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719A61">
      <w:pPr>
        <w:tabs>
          <w:tab w:val="left" w:pos="1050"/>
        </w:tabs>
        <w:rPr>
          <w:rFonts w:hint="default" w:ascii="Times New Roman" w:hAnsi="Times New Roman" w:eastAsia="方正仿宋_GB2312" w:cs="Times New Roman"/>
          <w:color w:val="auto"/>
          <w:sz w:val="36"/>
          <w:szCs w:val="36"/>
          <w:highlight w:val="none"/>
        </w:rPr>
      </w:pPr>
    </w:p>
    <w:p w14:paraId="1BA4C595">
      <w:pPr>
        <w:rPr>
          <w:rFonts w:hint="default" w:ascii="Times New Roman" w:hAnsi="Times New Roman" w:eastAsia="方正仿宋_GB2312" w:cs="Times New Roman"/>
          <w:color w:val="auto"/>
          <w:sz w:val="36"/>
          <w:szCs w:val="36"/>
          <w:highlight w:val="none"/>
        </w:rPr>
      </w:pPr>
    </w:p>
    <w:p w14:paraId="3C740F65">
      <w:pPr>
        <w:rPr>
          <w:rFonts w:hint="default" w:ascii="Times New Roman" w:hAnsi="Times New Roman" w:eastAsia="方正仿宋_GB2312" w:cs="Times New Roman"/>
          <w:color w:val="auto"/>
          <w:sz w:val="36"/>
          <w:szCs w:val="36"/>
          <w:highlight w:val="none"/>
        </w:rPr>
      </w:pPr>
    </w:p>
    <w:p w14:paraId="5601076B">
      <w:pPr>
        <w:pStyle w:val="22"/>
        <w:rPr>
          <w:rFonts w:hint="default" w:ascii="Times New Roman" w:hAnsi="Times New Roman" w:cs="Times New Roman"/>
          <w:color w:val="auto"/>
          <w:highlight w:val="none"/>
        </w:rPr>
      </w:pPr>
    </w:p>
    <w:p w14:paraId="6BE9F0B2">
      <w:pPr>
        <w:adjustRightInd w:val="0"/>
        <w:snapToGrid w:val="0"/>
        <w:jc w:val="center"/>
        <w:outlineLvl w:val="0"/>
        <w:rPr>
          <w:rFonts w:hint="default" w:ascii="Times New Roman" w:hAnsi="Times New Roman" w:eastAsia="方正小标宋_GBK" w:cs="Times New Roman"/>
          <w:bCs/>
          <w:color w:val="auto"/>
          <w:sz w:val="72"/>
          <w:szCs w:val="72"/>
          <w:highlight w:val="none"/>
        </w:rPr>
      </w:pPr>
      <w:r>
        <w:rPr>
          <w:rFonts w:hint="default" w:ascii="Times New Roman" w:hAnsi="Times New Roman" w:eastAsia="方正小标宋_GBK" w:cs="Times New Roman"/>
          <w:bCs/>
          <w:color w:val="auto"/>
          <w:sz w:val="72"/>
          <w:szCs w:val="72"/>
          <w:highlight w:val="none"/>
        </w:rPr>
        <w:t>建设项目环境影响报告表</w:t>
      </w:r>
    </w:p>
    <w:p w14:paraId="7B8CA67C">
      <w:pPr>
        <w:adjustRightInd w:val="0"/>
        <w:snapToGrid w:val="0"/>
        <w:spacing w:before="192" w:beforeLines="80"/>
        <w:jc w:val="center"/>
        <w:rPr>
          <w:rFonts w:hint="default" w:ascii="Times New Roman" w:hAnsi="Times New Roman" w:eastAsia="楷体_GB2312" w:cs="Times New Roman"/>
          <w:bCs/>
          <w:color w:val="auto"/>
          <w:sz w:val="48"/>
          <w:szCs w:val="48"/>
          <w:highlight w:val="none"/>
        </w:rPr>
      </w:pPr>
      <w:r>
        <w:rPr>
          <w:rFonts w:hint="default" w:ascii="Times New Roman" w:hAnsi="Times New Roman" w:eastAsia="楷体_GB2312" w:cs="Times New Roman"/>
          <w:bCs/>
          <w:color w:val="auto"/>
          <w:sz w:val="48"/>
          <w:szCs w:val="48"/>
          <w:highlight w:val="none"/>
        </w:rPr>
        <w:t>（污染影响类）</w:t>
      </w:r>
    </w:p>
    <w:p w14:paraId="4E8EAB45">
      <w:pPr>
        <w:bidi w:val="0"/>
        <w:rPr>
          <w:rFonts w:hint="default"/>
          <w:color w:val="auto"/>
          <w:highlight w:val="none"/>
        </w:rPr>
      </w:pPr>
    </w:p>
    <w:p w14:paraId="77CDD872">
      <w:pPr>
        <w:jc w:val="center"/>
        <w:rPr>
          <w:rFonts w:hint="default" w:ascii="Times New Roman" w:hAnsi="Times New Roman" w:eastAsia="仿宋" w:cs="Times New Roman"/>
          <w:color w:val="auto"/>
          <w:sz w:val="52"/>
          <w:szCs w:val="52"/>
          <w:highlight w:val="none"/>
        </w:rPr>
      </w:pPr>
    </w:p>
    <w:p w14:paraId="1E552D86">
      <w:pPr>
        <w:ind w:firstLine="1040"/>
        <w:rPr>
          <w:rFonts w:hint="default" w:ascii="Times New Roman" w:hAnsi="Times New Roman" w:eastAsia="仿宋" w:cs="Times New Roman"/>
          <w:color w:val="auto"/>
          <w:sz w:val="44"/>
          <w:szCs w:val="44"/>
          <w:highlight w:val="none"/>
        </w:rPr>
      </w:pPr>
    </w:p>
    <w:p w14:paraId="52E238E0">
      <w:pPr>
        <w:ind w:firstLine="1040"/>
        <w:rPr>
          <w:rFonts w:hint="default" w:ascii="Times New Roman" w:hAnsi="Times New Roman" w:eastAsia="仿宋" w:cs="Times New Roman"/>
          <w:color w:val="auto"/>
          <w:sz w:val="44"/>
          <w:szCs w:val="44"/>
          <w:highlight w:val="none"/>
        </w:rPr>
      </w:pPr>
    </w:p>
    <w:p w14:paraId="0A6C5C3F">
      <w:pPr>
        <w:ind w:firstLine="1040"/>
        <w:rPr>
          <w:rFonts w:hint="default" w:ascii="Times New Roman" w:hAnsi="Times New Roman" w:eastAsia="仿宋" w:cs="Times New Roman"/>
          <w:color w:val="auto"/>
          <w:sz w:val="44"/>
          <w:szCs w:val="44"/>
          <w:highlight w:val="none"/>
        </w:rPr>
      </w:pPr>
    </w:p>
    <w:p w14:paraId="3F8881B7">
      <w:pPr>
        <w:ind w:firstLine="1040"/>
        <w:jc w:val="center"/>
        <w:rPr>
          <w:rFonts w:hint="default" w:ascii="Times New Roman" w:hAnsi="Times New Roman" w:eastAsia="仿宋" w:cs="Times New Roman"/>
          <w:color w:val="auto"/>
          <w:sz w:val="44"/>
          <w:szCs w:val="44"/>
          <w:highlight w:val="none"/>
        </w:rPr>
      </w:pPr>
    </w:p>
    <w:p w14:paraId="2437DB75">
      <w:pPr>
        <w:ind w:firstLine="1040"/>
        <w:jc w:val="center"/>
        <w:rPr>
          <w:rFonts w:hint="default" w:ascii="Times New Roman" w:hAnsi="Times New Roman" w:eastAsia="仿宋" w:cs="Times New Roman"/>
          <w:color w:val="auto"/>
          <w:sz w:val="44"/>
          <w:szCs w:val="44"/>
          <w:highlight w:val="none"/>
        </w:rPr>
      </w:pPr>
      <w:bookmarkStart w:id="5" w:name="_GoBack"/>
      <w:bookmarkEnd w:id="5"/>
    </w:p>
    <w:tbl>
      <w:tblPr>
        <w:tblStyle w:val="26"/>
        <w:tblpPr w:leftFromText="180" w:rightFromText="180" w:vertAnchor="text" w:horzAnchor="page" w:tblpX="1669" w:tblpY="45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5"/>
        <w:gridCol w:w="6014"/>
      </w:tblGrid>
      <w:tr w14:paraId="750DA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2845" w:type="dxa"/>
            <w:tcBorders>
              <w:top w:val="nil"/>
              <w:left w:val="nil"/>
              <w:bottom w:val="nil"/>
              <w:right w:val="nil"/>
            </w:tcBorders>
            <w:noWrap w:val="0"/>
            <w:vAlign w:val="center"/>
          </w:tcPr>
          <w:p w14:paraId="506E1261">
            <w:pPr>
              <w:adjustRightInd w:val="0"/>
              <w:snapToGrid w:val="0"/>
              <w:spacing w:line="240" w:lineRule="auto"/>
              <w:jc w:val="center"/>
              <w:rPr>
                <w:rFonts w:hint="default" w:ascii="Times New Roman" w:hAnsi="Times New Roman" w:eastAsia="仿宋_GB2312" w:cs="Times New Roman"/>
                <w:b/>
                <w:bCs/>
                <w:color w:val="auto"/>
                <w:sz w:val="32"/>
                <w:szCs w:val="32"/>
                <w:highlight w:val="none"/>
                <w:vertAlign w:val="baseline"/>
              </w:rPr>
            </w:pPr>
            <w:r>
              <w:rPr>
                <w:rFonts w:hint="default" w:ascii="Times New Roman" w:hAnsi="Times New Roman" w:eastAsia="仿宋_GB2312" w:cs="Times New Roman"/>
                <w:b/>
                <w:bCs/>
                <w:color w:val="auto"/>
                <w:sz w:val="32"/>
                <w:szCs w:val="32"/>
                <w:highlight w:val="none"/>
              </w:rPr>
              <w:t>项目名称：</w:t>
            </w:r>
          </w:p>
        </w:tc>
        <w:tc>
          <w:tcPr>
            <w:tcW w:w="6014" w:type="dxa"/>
            <w:tcBorders>
              <w:top w:val="nil"/>
              <w:left w:val="nil"/>
              <w:right w:val="nil"/>
            </w:tcBorders>
            <w:noWrap w:val="0"/>
            <w:vAlign w:val="center"/>
          </w:tcPr>
          <w:p w14:paraId="224E512B">
            <w:pPr>
              <w:adjustRightInd w:val="0"/>
              <w:snapToGrid w:val="0"/>
              <w:spacing w:line="240" w:lineRule="auto"/>
              <w:jc w:val="center"/>
              <w:rPr>
                <w:rFonts w:hint="eastAsia" w:ascii="Times New Roman" w:hAnsi="Times New Roman" w:eastAsia="仿宋_GB2312" w:cs="Times New Roman"/>
                <w:b/>
                <w:bCs/>
                <w:color w:val="auto"/>
                <w:sz w:val="32"/>
                <w:szCs w:val="32"/>
                <w:highlight w:val="none"/>
                <w:u w:val="none"/>
                <w:vertAlign w:val="baseline"/>
                <w:lang w:eastAsia="zh-CN"/>
              </w:rPr>
            </w:pPr>
            <w:r>
              <w:rPr>
                <w:rFonts w:hint="eastAsia" w:eastAsia="仿宋_GB2312" w:cs="Times New Roman"/>
                <w:b/>
                <w:bCs/>
                <w:color w:val="auto"/>
                <w:sz w:val="32"/>
                <w:szCs w:val="32"/>
                <w:highlight w:val="none"/>
                <w:u w:val="none"/>
                <w:vertAlign w:val="baseline"/>
                <w:lang w:eastAsia="zh-CN"/>
              </w:rPr>
              <w:t>年产7000万件LED显示屏模组、2000万个显示屏模组器件项目</w:t>
            </w:r>
          </w:p>
        </w:tc>
      </w:tr>
      <w:tr w14:paraId="0131F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845" w:type="dxa"/>
            <w:tcBorders>
              <w:top w:val="nil"/>
              <w:left w:val="nil"/>
              <w:bottom w:val="nil"/>
              <w:right w:val="nil"/>
            </w:tcBorders>
            <w:noWrap w:val="0"/>
            <w:vAlign w:val="center"/>
          </w:tcPr>
          <w:p w14:paraId="5121A4D9">
            <w:pPr>
              <w:adjustRightInd w:val="0"/>
              <w:snapToGrid w:val="0"/>
              <w:spacing w:line="240" w:lineRule="auto"/>
              <w:jc w:val="center"/>
              <w:rPr>
                <w:rFonts w:hint="default" w:ascii="Times New Roman" w:hAnsi="Times New Roman" w:eastAsia="仿宋_GB2312" w:cs="Times New Roman"/>
                <w:b/>
                <w:bCs/>
                <w:color w:val="auto"/>
                <w:sz w:val="32"/>
                <w:szCs w:val="32"/>
                <w:highlight w:val="none"/>
                <w:vertAlign w:val="baseline"/>
              </w:rPr>
            </w:pPr>
            <w:r>
              <w:rPr>
                <w:rFonts w:hint="default" w:ascii="Times New Roman" w:hAnsi="Times New Roman" w:eastAsia="仿宋_GB2312" w:cs="Times New Roman"/>
                <w:b/>
                <w:bCs/>
                <w:color w:val="auto"/>
                <w:sz w:val="32"/>
                <w:szCs w:val="32"/>
                <w:highlight w:val="none"/>
              </w:rPr>
              <w:t>建设单位（盖章）：</w:t>
            </w:r>
          </w:p>
        </w:tc>
        <w:tc>
          <w:tcPr>
            <w:tcW w:w="6014" w:type="dxa"/>
            <w:tcBorders>
              <w:left w:val="nil"/>
              <w:right w:val="nil"/>
            </w:tcBorders>
            <w:noWrap w:val="0"/>
            <w:vAlign w:val="center"/>
          </w:tcPr>
          <w:p w14:paraId="6D9752D1">
            <w:pPr>
              <w:adjustRightInd w:val="0"/>
              <w:snapToGrid w:val="0"/>
              <w:spacing w:line="240" w:lineRule="auto"/>
              <w:jc w:val="center"/>
              <w:rPr>
                <w:rFonts w:hint="eastAsia" w:ascii="Times New Roman" w:hAnsi="Times New Roman" w:eastAsia="仿宋_GB2312" w:cs="Times New Roman"/>
                <w:b/>
                <w:bCs/>
                <w:color w:val="auto"/>
                <w:sz w:val="32"/>
                <w:szCs w:val="32"/>
                <w:highlight w:val="none"/>
                <w:u w:val="none"/>
                <w:vertAlign w:val="baseline"/>
                <w:lang w:eastAsia="zh-CN"/>
              </w:rPr>
            </w:pPr>
            <w:r>
              <w:rPr>
                <w:rFonts w:hint="eastAsia" w:eastAsia="仿宋_GB2312" w:cs="Times New Roman"/>
                <w:b/>
                <w:bCs/>
                <w:color w:val="auto"/>
                <w:sz w:val="32"/>
                <w:szCs w:val="32"/>
                <w:highlight w:val="none"/>
                <w:u w:val="none"/>
                <w:vertAlign w:val="baseline"/>
                <w:lang w:eastAsia="zh-CN"/>
              </w:rPr>
              <w:t>安徽神州半导体有限公司</w:t>
            </w:r>
          </w:p>
        </w:tc>
      </w:tr>
      <w:tr w14:paraId="1AFB0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845" w:type="dxa"/>
            <w:tcBorders>
              <w:top w:val="nil"/>
              <w:left w:val="nil"/>
              <w:bottom w:val="nil"/>
              <w:right w:val="nil"/>
            </w:tcBorders>
            <w:noWrap w:val="0"/>
            <w:vAlign w:val="center"/>
          </w:tcPr>
          <w:p w14:paraId="6CE7DDA5">
            <w:pPr>
              <w:adjustRightInd w:val="0"/>
              <w:snapToGrid w:val="0"/>
              <w:spacing w:line="240" w:lineRule="auto"/>
              <w:jc w:val="center"/>
              <w:rPr>
                <w:rFonts w:hint="default" w:ascii="Times New Roman" w:hAnsi="Times New Roman" w:eastAsia="仿宋_GB2312" w:cs="Times New Roman"/>
                <w:b/>
                <w:bCs/>
                <w:color w:val="auto"/>
                <w:sz w:val="32"/>
                <w:szCs w:val="32"/>
                <w:highlight w:val="none"/>
                <w:vertAlign w:val="baseline"/>
              </w:rPr>
            </w:pPr>
            <w:r>
              <w:rPr>
                <w:rFonts w:hint="default" w:ascii="Times New Roman" w:hAnsi="Times New Roman" w:eastAsia="仿宋_GB2312" w:cs="Times New Roman"/>
                <w:b/>
                <w:bCs/>
                <w:color w:val="auto"/>
                <w:sz w:val="32"/>
                <w:szCs w:val="32"/>
                <w:highlight w:val="none"/>
              </w:rPr>
              <w:t>编制日期：</w:t>
            </w:r>
          </w:p>
        </w:tc>
        <w:tc>
          <w:tcPr>
            <w:tcW w:w="6014" w:type="dxa"/>
            <w:tcBorders>
              <w:left w:val="nil"/>
              <w:right w:val="nil"/>
            </w:tcBorders>
            <w:noWrap w:val="0"/>
            <w:vAlign w:val="center"/>
          </w:tcPr>
          <w:p w14:paraId="602A0489">
            <w:pPr>
              <w:adjustRightInd w:val="0"/>
              <w:snapToGrid w:val="0"/>
              <w:spacing w:line="240" w:lineRule="auto"/>
              <w:jc w:val="center"/>
              <w:rPr>
                <w:rFonts w:hint="default" w:ascii="Times New Roman" w:hAnsi="Times New Roman" w:eastAsia="仿宋_GB2312" w:cs="Times New Roman"/>
                <w:b/>
                <w:bCs/>
                <w:color w:val="auto"/>
                <w:sz w:val="32"/>
                <w:szCs w:val="32"/>
                <w:highlight w:val="none"/>
                <w:u w:val="none"/>
                <w:vertAlign w:val="baseline"/>
              </w:rPr>
            </w:pPr>
            <w:r>
              <w:rPr>
                <w:rFonts w:hint="default" w:ascii="Times New Roman" w:hAnsi="Times New Roman" w:cs="Times New Roman"/>
                <w:b/>
                <w:bCs/>
                <w:color w:val="auto"/>
                <w:sz w:val="32"/>
                <w:szCs w:val="32"/>
                <w:highlight w:val="none"/>
                <w:u w:val="none"/>
              </w:rPr>
              <w:t>202</w:t>
            </w:r>
            <w:r>
              <w:rPr>
                <w:rFonts w:hint="eastAsia" w:cs="Times New Roman"/>
                <w:b/>
                <w:bCs/>
                <w:color w:val="auto"/>
                <w:sz w:val="32"/>
                <w:szCs w:val="32"/>
                <w:highlight w:val="none"/>
                <w:u w:val="none"/>
                <w:lang w:val="en-US" w:eastAsia="zh-CN"/>
              </w:rPr>
              <w:t>5</w:t>
            </w:r>
            <w:r>
              <w:rPr>
                <w:rFonts w:hint="default" w:ascii="Times New Roman" w:hAnsi="Times New Roman" w:cs="Times New Roman"/>
                <w:b/>
                <w:bCs/>
                <w:color w:val="auto"/>
                <w:sz w:val="32"/>
                <w:szCs w:val="32"/>
                <w:highlight w:val="none"/>
                <w:u w:val="none"/>
              </w:rPr>
              <w:t>年</w:t>
            </w:r>
            <w:r>
              <w:rPr>
                <w:rFonts w:hint="eastAsia" w:cs="Times New Roman"/>
                <w:b/>
                <w:bCs/>
                <w:color w:val="auto"/>
                <w:sz w:val="32"/>
                <w:szCs w:val="32"/>
                <w:highlight w:val="none"/>
                <w:u w:val="none"/>
                <w:lang w:val="en-US" w:eastAsia="zh-CN"/>
              </w:rPr>
              <w:t>9</w:t>
            </w:r>
            <w:r>
              <w:rPr>
                <w:rFonts w:hint="default" w:ascii="Times New Roman" w:hAnsi="Times New Roman" w:cs="Times New Roman"/>
                <w:b/>
                <w:bCs/>
                <w:color w:val="auto"/>
                <w:sz w:val="32"/>
                <w:szCs w:val="32"/>
                <w:highlight w:val="none"/>
                <w:u w:val="none"/>
              </w:rPr>
              <w:t>月</w:t>
            </w:r>
          </w:p>
        </w:tc>
      </w:tr>
    </w:tbl>
    <w:p w14:paraId="3DA0C96C">
      <w:pPr>
        <w:ind w:firstLine="1040"/>
        <w:jc w:val="center"/>
        <w:rPr>
          <w:rFonts w:hint="default" w:ascii="Times New Roman" w:hAnsi="Times New Roman" w:eastAsia="仿宋" w:cs="Times New Roman"/>
          <w:color w:val="auto"/>
          <w:sz w:val="44"/>
          <w:szCs w:val="44"/>
          <w:highlight w:val="none"/>
        </w:rPr>
      </w:pPr>
    </w:p>
    <w:p w14:paraId="475D2997">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bookmarkStart w:id="0" w:name="_Hlk57884087"/>
    </w:p>
    <w:p w14:paraId="6197F49C">
      <w:pPr>
        <w:adjustRightInd w:val="0"/>
        <w:snapToGrid w:val="0"/>
        <w:spacing w:line="288" w:lineRule="auto"/>
        <w:ind w:firstLine="1040"/>
        <w:rPr>
          <w:rFonts w:hint="default" w:ascii="Times New Roman" w:hAnsi="Times New Roman" w:eastAsia="方正仿宋_GB2312" w:cs="Times New Roman"/>
          <w:color w:val="auto"/>
          <w:sz w:val="36"/>
          <w:szCs w:val="36"/>
          <w:highlight w:val="none"/>
        </w:rPr>
      </w:pPr>
    </w:p>
    <w:bookmarkEnd w:id="0"/>
    <w:p w14:paraId="0E69AE0D">
      <w:pPr>
        <w:adjustRightInd w:val="0"/>
        <w:snapToGrid w:val="0"/>
        <w:spacing w:line="288" w:lineRule="auto"/>
        <w:jc w:val="center"/>
        <w:rPr>
          <w:rFonts w:hint="default" w:ascii="Times New Roman" w:hAnsi="Times New Roman" w:eastAsia="楷体_GB2312" w:cs="Times New Roman"/>
          <w:color w:val="auto"/>
          <w:sz w:val="36"/>
          <w:szCs w:val="36"/>
          <w:highlight w:val="none"/>
        </w:rPr>
      </w:pPr>
      <w:r>
        <w:rPr>
          <w:rFonts w:hint="default" w:ascii="Times New Roman" w:hAnsi="Times New Roman" w:eastAsia="楷体_GB2312" w:cs="Times New Roman"/>
          <w:color w:val="auto"/>
          <w:sz w:val="36"/>
          <w:szCs w:val="36"/>
          <w:highlight w:val="none"/>
        </w:rPr>
        <w:t>中华人民共和国生态环境部制</w:t>
      </w:r>
    </w:p>
    <w:p w14:paraId="494EFAE4">
      <w:pPr>
        <w:adjustRightInd w:val="0"/>
        <w:snapToGrid w:val="0"/>
        <w:spacing w:line="288" w:lineRule="auto"/>
        <w:rPr>
          <w:rFonts w:hint="default" w:ascii="Times New Roman" w:hAnsi="Times New Roman" w:eastAsia="方正仿宋_GB2312" w:cs="Times New Roman"/>
          <w:color w:val="auto"/>
          <w:sz w:val="36"/>
          <w:szCs w:val="36"/>
          <w:highlight w:val="none"/>
        </w:rPr>
        <w:sectPr>
          <w:footerReference r:id="rId3" w:type="default"/>
          <w:footerReference r:id="rId4" w:type="even"/>
          <w:pgSz w:w="11906" w:h="16838"/>
          <w:pgMar w:top="1701" w:right="1531" w:bottom="1701" w:left="1531" w:header="851" w:footer="1077" w:gutter="0"/>
          <w:pgBorders>
            <w:top w:val="none" w:sz="0" w:space="0"/>
            <w:left w:val="none" w:sz="0" w:space="0"/>
            <w:bottom w:val="none" w:sz="0" w:space="0"/>
            <w:right w:val="none" w:sz="0" w:space="0"/>
          </w:pgBorders>
          <w:pgNumType w:start="3"/>
          <w:cols w:space="720" w:num="1"/>
          <w:docGrid w:linePitch="312" w:charSpace="0"/>
        </w:sectPr>
      </w:pPr>
    </w:p>
    <w:p w14:paraId="0281DCA4">
      <w:pPr>
        <w:pStyle w:val="23"/>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一、建设项目基本情况</w:t>
      </w:r>
    </w:p>
    <w:tbl>
      <w:tblPr>
        <w:tblStyle w:val="2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004"/>
        <w:gridCol w:w="1622"/>
        <w:gridCol w:w="2042"/>
        <w:gridCol w:w="4146"/>
      </w:tblGrid>
      <w:tr w14:paraId="41C277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2E398804">
            <w:pPr>
              <w:adjustRightInd w:val="0"/>
              <w:snapToGrid w:val="0"/>
              <w:jc w:val="center"/>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建设项目名称</w:t>
            </w:r>
          </w:p>
        </w:tc>
        <w:tc>
          <w:tcPr>
            <w:tcW w:w="7810" w:type="dxa"/>
            <w:gridSpan w:val="3"/>
            <w:noWrap w:val="0"/>
            <w:vAlign w:val="center"/>
          </w:tcPr>
          <w:p w14:paraId="77D796E8">
            <w:pPr>
              <w:adjustRightInd w:val="0"/>
              <w:snapToGrid w:val="0"/>
              <w:jc w:val="center"/>
              <w:rPr>
                <w:rFonts w:hint="default" w:ascii="Times New Roman" w:hAnsi="Times New Roman" w:cs="Times New Roman" w:eastAsiaTheme="minorEastAsia"/>
                <w:color w:val="auto"/>
                <w:sz w:val="24"/>
                <w:szCs w:val="24"/>
                <w:highlight w:val="none"/>
                <w:lang w:eastAsia="zh-CN"/>
              </w:rPr>
            </w:pPr>
            <w:r>
              <w:rPr>
                <w:rFonts w:hint="eastAsia" w:cs="Times New Roman" w:eastAsiaTheme="minorEastAsia"/>
                <w:b w:val="0"/>
                <w:bCs w:val="0"/>
                <w:color w:val="auto"/>
                <w:sz w:val="24"/>
                <w:szCs w:val="24"/>
                <w:highlight w:val="none"/>
                <w:u w:val="none"/>
                <w:vertAlign w:val="baseline"/>
                <w:lang w:eastAsia="zh-CN"/>
              </w:rPr>
              <w:t>年产7000万件LED显示屏模组、2000万个显示屏模组器件项目</w:t>
            </w:r>
          </w:p>
        </w:tc>
      </w:tr>
      <w:tr w14:paraId="612FFB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2" w:hRule="atLeast"/>
          <w:jc w:val="center"/>
        </w:trPr>
        <w:tc>
          <w:tcPr>
            <w:tcW w:w="1004" w:type="dxa"/>
            <w:noWrap w:val="0"/>
            <w:tcMar>
              <w:top w:w="16" w:type="dxa"/>
              <w:left w:w="16" w:type="dxa"/>
              <w:right w:w="16" w:type="dxa"/>
            </w:tcMar>
            <w:vAlign w:val="center"/>
          </w:tcPr>
          <w:p w14:paraId="050EA474">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项目代码</w:t>
            </w:r>
          </w:p>
        </w:tc>
        <w:tc>
          <w:tcPr>
            <w:tcW w:w="7810" w:type="dxa"/>
            <w:gridSpan w:val="3"/>
            <w:noWrap w:val="0"/>
            <w:vAlign w:val="center"/>
          </w:tcPr>
          <w:p w14:paraId="381D8472">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2508-341763-04-01-552874</w:t>
            </w:r>
          </w:p>
        </w:tc>
      </w:tr>
      <w:tr w14:paraId="5F59A5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04" w:type="dxa"/>
            <w:noWrap w:val="0"/>
            <w:tcMar>
              <w:top w:w="16" w:type="dxa"/>
              <w:left w:w="16" w:type="dxa"/>
              <w:right w:w="16" w:type="dxa"/>
            </w:tcMar>
            <w:vAlign w:val="center"/>
          </w:tcPr>
          <w:p w14:paraId="2084E04F">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建设单位联系人</w:t>
            </w:r>
          </w:p>
        </w:tc>
        <w:tc>
          <w:tcPr>
            <w:tcW w:w="1622" w:type="dxa"/>
            <w:noWrap w:val="0"/>
            <w:vAlign w:val="center"/>
          </w:tcPr>
          <w:p w14:paraId="7B0EC0D5">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李凯</w:t>
            </w:r>
          </w:p>
        </w:tc>
        <w:tc>
          <w:tcPr>
            <w:tcW w:w="2042" w:type="dxa"/>
            <w:noWrap w:val="0"/>
            <w:vAlign w:val="center"/>
          </w:tcPr>
          <w:p w14:paraId="56EF1E0C">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联系方式</w:t>
            </w:r>
          </w:p>
        </w:tc>
        <w:tc>
          <w:tcPr>
            <w:tcW w:w="4146" w:type="dxa"/>
            <w:noWrap w:val="0"/>
            <w:vAlign w:val="center"/>
          </w:tcPr>
          <w:p w14:paraId="4C44B594">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17339629991</w:t>
            </w:r>
          </w:p>
        </w:tc>
      </w:tr>
      <w:tr w14:paraId="0AF30A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2CBFC384">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建设地点</w:t>
            </w:r>
          </w:p>
        </w:tc>
        <w:tc>
          <w:tcPr>
            <w:tcW w:w="7810" w:type="dxa"/>
            <w:gridSpan w:val="3"/>
            <w:noWrap w:val="0"/>
            <w:vAlign w:val="center"/>
          </w:tcPr>
          <w:p w14:paraId="1AE0459A">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池州市皖江江南新兴产业集中区科技孵化园A4厂房</w:t>
            </w:r>
          </w:p>
        </w:tc>
      </w:tr>
      <w:tr w14:paraId="7CAC56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516971EB">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地理坐标</w:t>
            </w:r>
          </w:p>
        </w:tc>
        <w:tc>
          <w:tcPr>
            <w:tcW w:w="7810" w:type="dxa"/>
            <w:gridSpan w:val="3"/>
            <w:noWrap w:val="0"/>
            <w:vAlign w:val="center"/>
          </w:tcPr>
          <w:p w14:paraId="539E046E">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u w:val="single"/>
              </w:rPr>
              <w:t>117</w:t>
            </w:r>
            <w:r>
              <w:rPr>
                <w:rFonts w:hint="default" w:ascii="Times New Roman" w:hAnsi="Times New Roman" w:cs="Times New Roman"/>
                <w:color w:val="auto"/>
                <w:sz w:val="24"/>
                <w:szCs w:val="24"/>
                <w:highlight w:val="none"/>
              </w:rPr>
              <w:t>度</w:t>
            </w:r>
            <w:r>
              <w:rPr>
                <w:rFonts w:hint="default" w:ascii="Times New Roman" w:hAnsi="Times New Roman" w:cs="Times New Roman"/>
                <w:color w:val="auto"/>
                <w:sz w:val="24"/>
                <w:szCs w:val="24"/>
                <w:highlight w:val="none"/>
                <w:u w:val="single"/>
                <w:lang w:val="en-US" w:eastAsia="zh-CN"/>
              </w:rPr>
              <w:t>38</w:t>
            </w:r>
            <w:r>
              <w:rPr>
                <w:rFonts w:hint="default" w:ascii="Times New Roman" w:hAnsi="Times New Roman" w:cs="Times New Roman"/>
                <w:color w:val="auto"/>
                <w:sz w:val="24"/>
                <w:szCs w:val="24"/>
                <w:highlight w:val="none"/>
              </w:rPr>
              <w:t>分</w:t>
            </w:r>
            <w:r>
              <w:rPr>
                <w:rFonts w:hint="eastAsia" w:cs="Times New Roman"/>
                <w:color w:val="auto"/>
                <w:sz w:val="24"/>
                <w:szCs w:val="24"/>
                <w:highlight w:val="none"/>
                <w:u w:val="single"/>
                <w:lang w:val="en-US" w:eastAsia="zh-CN"/>
              </w:rPr>
              <w:t>31.011</w:t>
            </w:r>
            <w:r>
              <w:rPr>
                <w:rFonts w:hint="default" w:ascii="Times New Roman" w:hAnsi="Times New Roman" w:cs="Times New Roman"/>
                <w:color w:val="auto"/>
                <w:sz w:val="24"/>
                <w:szCs w:val="24"/>
                <w:highlight w:val="none"/>
              </w:rPr>
              <w:t>秒，</w:t>
            </w:r>
            <w:r>
              <w:rPr>
                <w:rFonts w:hint="default" w:ascii="Times New Roman" w:hAnsi="Times New Roman" w:cs="Times New Roman"/>
                <w:color w:val="auto"/>
                <w:sz w:val="24"/>
                <w:szCs w:val="24"/>
                <w:highlight w:val="none"/>
                <w:u w:val="single"/>
              </w:rPr>
              <w:t>3</w:t>
            </w:r>
            <w:r>
              <w:rPr>
                <w:rFonts w:hint="default" w:ascii="Times New Roman" w:hAnsi="Times New Roman" w:cs="Times New Roman"/>
                <w:color w:val="auto"/>
                <w:sz w:val="24"/>
                <w:szCs w:val="24"/>
                <w:highlight w:val="none"/>
                <w:u w:val="single"/>
                <w:lang w:val="en-US" w:eastAsia="zh-CN"/>
              </w:rPr>
              <w:t>0</w:t>
            </w:r>
            <w:r>
              <w:rPr>
                <w:rFonts w:hint="default" w:ascii="Times New Roman" w:hAnsi="Times New Roman" w:cs="Times New Roman"/>
                <w:color w:val="auto"/>
                <w:sz w:val="24"/>
                <w:szCs w:val="24"/>
                <w:highlight w:val="none"/>
              </w:rPr>
              <w:t>度</w:t>
            </w:r>
            <w:r>
              <w:rPr>
                <w:rFonts w:hint="default" w:ascii="Times New Roman" w:hAnsi="Times New Roman" w:cs="Times New Roman"/>
                <w:color w:val="auto"/>
                <w:sz w:val="24"/>
                <w:szCs w:val="24"/>
                <w:highlight w:val="none"/>
                <w:u w:val="single"/>
                <w:lang w:val="en-US" w:eastAsia="zh-CN"/>
              </w:rPr>
              <w:t>45</w:t>
            </w:r>
            <w:r>
              <w:rPr>
                <w:rFonts w:hint="default" w:ascii="Times New Roman" w:hAnsi="Times New Roman" w:cs="Times New Roman"/>
                <w:color w:val="auto"/>
                <w:sz w:val="24"/>
                <w:szCs w:val="24"/>
                <w:highlight w:val="none"/>
              </w:rPr>
              <w:t>分</w:t>
            </w:r>
            <w:r>
              <w:rPr>
                <w:rFonts w:hint="default" w:ascii="Times New Roman" w:hAnsi="Times New Roman" w:cs="Times New Roman"/>
                <w:color w:val="auto"/>
                <w:sz w:val="24"/>
                <w:szCs w:val="24"/>
                <w:highlight w:val="none"/>
                <w:u w:val="single"/>
                <w:lang w:val="en-US" w:eastAsia="zh-CN"/>
              </w:rPr>
              <w:t>39.</w:t>
            </w:r>
            <w:r>
              <w:rPr>
                <w:rFonts w:hint="eastAsia" w:cs="Times New Roman"/>
                <w:color w:val="auto"/>
                <w:sz w:val="24"/>
                <w:szCs w:val="24"/>
                <w:highlight w:val="none"/>
                <w:u w:val="single"/>
                <w:lang w:val="en-US" w:eastAsia="zh-CN"/>
              </w:rPr>
              <w:t>212</w:t>
            </w:r>
            <w:r>
              <w:rPr>
                <w:rFonts w:hint="default" w:ascii="Times New Roman" w:hAnsi="Times New Roman" w:cs="Times New Roman"/>
                <w:color w:val="auto"/>
                <w:sz w:val="24"/>
                <w:szCs w:val="24"/>
                <w:highlight w:val="none"/>
              </w:rPr>
              <w:t>秒）</w:t>
            </w:r>
          </w:p>
        </w:tc>
      </w:tr>
      <w:tr w14:paraId="72E6C6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04" w:type="dxa"/>
            <w:noWrap w:val="0"/>
            <w:tcMar>
              <w:top w:w="16" w:type="dxa"/>
              <w:left w:w="16" w:type="dxa"/>
              <w:right w:w="16" w:type="dxa"/>
            </w:tcMar>
            <w:vAlign w:val="center"/>
          </w:tcPr>
          <w:p w14:paraId="0F7DBD94">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国民经济</w:t>
            </w:r>
          </w:p>
          <w:p w14:paraId="698388A4">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p>
        </w:tc>
        <w:tc>
          <w:tcPr>
            <w:tcW w:w="1622" w:type="dxa"/>
            <w:noWrap w:val="0"/>
            <w:vAlign w:val="center"/>
          </w:tcPr>
          <w:p w14:paraId="5C47C03A">
            <w:pPr>
              <w:adjustRightInd w:val="0"/>
              <w:snapToGrid w:val="0"/>
              <w:jc w:val="center"/>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C3974显示器件制造</w:t>
            </w:r>
          </w:p>
          <w:p w14:paraId="241A5FC7">
            <w:pPr>
              <w:adjustRightInd w:val="0"/>
              <w:snapToGrid w:val="0"/>
              <w:jc w:val="center"/>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C2929塑料零件及其他塑料制品制造</w:t>
            </w:r>
          </w:p>
        </w:tc>
        <w:tc>
          <w:tcPr>
            <w:tcW w:w="2042" w:type="dxa"/>
            <w:noWrap w:val="0"/>
            <w:vAlign w:val="center"/>
          </w:tcPr>
          <w:p w14:paraId="7C11BF19">
            <w:pPr>
              <w:adjustRightInd w:val="0"/>
              <w:snapToGrid w:val="0"/>
              <w:jc w:val="center"/>
              <w:rPr>
                <w:rFonts w:hint="default" w:ascii="Times New Roman" w:hAnsi="Times New Roman" w:cs="Times New Roman"/>
                <w:color w:val="auto"/>
                <w:sz w:val="24"/>
                <w:szCs w:val="24"/>
                <w:highlight w:val="none"/>
              </w:rPr>
            </w:pPr>
            <w:bookmarkStart w:id="1" w:name="_Hlk49843745"/>
            <w:r>
              <w:rPr>
                <w:rFonts w:hint="default" w:ascii="Times New Roman" w:hAnsi="Times New Roman" w:cs="Times New Roman"/>
                <w:color w:val="auto"/>
                <w:sz w:val="24"/>
                <w:szCs w:val="24"/>
                <w:highlight w:val="none"/>
              </w:rPr>
              <w:t>建设项目</w:t>
            </w:r>
          </w:p>
          <w:p w14:paraId="0B3ECBD5">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bookmarkEnd w:id="1"/>
          </w:p>
        </w:tc>
        <w:tc>
          <w:tcPr>
            <w:tcW w:w="4146" w:type="dxa"/>
            <w:noWrap w:val="0"/>
            <w:vAlign w:val="center"/>
          </w:tcPr>
          <w:p w14:paraId="43B3CA91">
            <w:pPr>
              <w:adjustRightInd w:val="0"/>
              <w:snapToGrid w:val="0"/>
              <w:jc w:val="both"/>
              <w:rPr>
                <w:rFonts w:hint="default" w:ascii="Times New Roman" w:hAnsi="Times New Roman"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三十六、计算机、通信和其他电子设备制造业39</w:t>
            </w:r>
            <w:r>
              <w:rPr>
                <w:rFonts w:hint="default"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80电子器件制造397</w:t>
            </w:r>
            <w:r>
              <w:rPr>
                <w:rFonts w:hint="default" w:ascii="Times New Roman" w:hAnsi="Times New Roman" w:cs="Times New Roman"/>
                <w:color w:val="auto"/>
                <w:sz w:val="24"/>
                <w:szCs w:val="24"/>
                <w:highlight w:val="none"/>
                <w:lang w:val="en-US" w:eastAsia="zh-CN"/>
              </w:rPr>
              <w:t>-显示器件制造；集成电路制造；使用有机溶剂的；有酸洗的以上均不含仅分割、焊接、组装的</w:t>
            </w:r>
          </w:p>
          <w:p w14:paraId="6C951585">
            <w:pPr>
              <w:adjustRightInd w:val="0"/>
              <w:snapToGrid w:val="0"/>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二十六、橡胶和塑料制品业29-53塑料制品业292-其他（年用非溶剂型低VOCs含量涂料10吨以下的除外）</w:t>
            </w:r>
          </w:p>
        </w:tc>
      </w:tr>
      <w:tr w14:paraId="038E61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7E55F82A">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建设性质</w:t>
            </w:r>
          </w:p>
        </w:tc>
        <w:tc>
          <w:tcPr>
            <w:tcW w:w="1622" w:type="dxa"/>
            <w:noWrap w:val="0"/>
            <w:vAlign w:val="center"/>
          </w:tcPr>
          <w:p w14:paraId="58568FE4">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新建（迁建）</w:t>
            </w:r>
          </w:p>
          <w:p w14:paraId="52ED5F86">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改建</w:t>
            </w:r>
          </w:p>
          <w:p w14:paraId="1D393375">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扩建</w:t>
            </w:r>
          </w:p>
          <w:p w14:paraId="5FE72859">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技术改造</w:t>
            </w:r>
          </w:p>
        </w:tc>
        <w:tc>
          <w:tcPr>
            <w:tcW w:w="2042" w:type="dxa"/>
            <w:noWrap w:val="0"/>
            <w:vAlign w:val="center"/>
          </w:tcPr>
          <w:p w14:paraId="163C51AD">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w:t>
            </w:r>
          </w:p>
          <w:p w14:paraId="5E2A0BB6">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申报情形</w:t>
            </w:r>
          </w:p>
        </w:tc>
        <w:tc>
          <w:tcPr>
            <w:tcW w:w="4146" w:type="dxa"/>
            <w:noWrap w:val="0"/>
            <w:vAlign w:val="center"/>
          </w:tcPr>
          <w:p w14:paraId="2E07F688">
            <w:pPr>
              <w:jc w:val="lef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首次申报项目</w:t>
            </w:r>
          </w:p>
          <w:p w14:paraId="703E5303">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不予批准后再次申报项目</w:t>
            </w:r>
          </w:p>
          <w:p w14:paraId="75F5DA34">
            <w:pPr>
              <w:jc w:val="lef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超五年重新审核项目</w:t>
            </w:r>
          </w:p>
          <w:p w14:paraId="34BAE4EF">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重大变动重新报批项目</w:t>
            </w:r>
          </w:p>
        </w:tc>
      </w:tr>
      <w:tr w14:paraId="248FC4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351BE0A9">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项目审批（核准/备案）部门（选填）</w:t>
            </w:r>
          </w:p>
        </w:tc>
        <w:tc>
          <w:tcPr>
            <w:tcW w:w="1622" w:type="dxa"/>
            <w:noWrap w:val="0"/>
            <w:vAlign w:val="center"/>
          </w:tcPr>
          <w:p w14:paraId="5F8EB7A2">
            <w:pPr>
              <w:adjustRightInd w:val="0"/>
              <w:snapToGrid w:val="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皖江江南产业集中区管委会产业发展部</w:t>
            </w:r>
          </w:p>
        </w:tc>
        <w:tc>
          <w:tcPr>
            <w:tcW w:w="2042" w:type="dxa"/>
            <w:noWrap w:val="0"/>
            <w:vAlign w:val="center"/>
          </w:tcPr>
          <w:p w14:paraId="06E1BD6D">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项目审批（核准/备案）文号（选填）</w:t>
            </w:r>
          </w:p>
        </w:tc>
        <w:tc>
          <w:tcPr>
            <w:tcW w:w="4146" w:type="dxa"/>
            <w:noWrap w:val="0"/>
            <w:vAlign w:val="center"/>
          </w:tcPr>
          <w:p w14:paraId="073B6262">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江南管产</w:t>
            </w:r>
            <w:r>
              <w:rPr>
                <w:rFonts w:hint="eastAsia" w:cs="Times New Roman"/>
                <w:color w:val="auto"/>
                <w:sz w:val="24"/>
                <w:szCs w:val="24"/>
                <w:highlight w:val="none"/>
                <w:lang w:val="en-US" w:eastAsia="zh-CN"/>
              </w:rPr>
              <w:t>〔2025〕172号</w:t>
            </w:r>
          </w:p>
        </w:tc>
      </w:tr>
      <w:tr w14:paraId="23A6CE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52D7251B">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总投资（万元）</w:t>
            </w:r>
          </w:p>
        </w:tc>
        <w:tc>
          <w:tcPr>
            <w:tcW w:w="1622" w:type="dxa"/>
            <w:noWrap w:val="0"/>
            <w:vAlign w:val="center"/>
          </w:tcPr>
          <w:p w14:paraId="566A291F">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35</w:t>
            </w:r>
            <w:r>
              <w:rPr>
                <w:rFonts w:hint="default" w:ascii="Times New Roman" w:hAnsi="Times New Roman" w:cs="Times New Roman"/>
                <w:color w:val="auto"/>
                <w:sz w:val="24"/>
                <w:szCs w:val="24"/>
                <w:highlight w:val="none"/>
                <w:lang w:val="en-US" w:eastAsia="zh-CN"/>
              </w:rPr>
              <w:t>000</w:t>
            </w:r>
          </w:p>
        </w:tc>
        <w:tc>
          <w:tcPr>
            <w:tcW w:w="2042" w:type="dxa"/>
            <w:noWrap w:val="0"/>
            <w:tcMar>
              <w:top w:w="16" w:type="dxa"/>
              <w:left w:w="16" w:type="dxa"/>
              <w:right w:w="16" w:type="dxa"/>
            </w:tcMar>
            <w:vAlign w:val="center"/>
          </w:tcPr>
          <w:p w14:paraId="7A588C65">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环保投资（万元）</w:t>
            </w:r>
          </w:p>
        </w:tc>
        <w:tc>
          <w:tcPr>
            <w:tcW w:w="4146" w:type="dxa"/>
            <w:noWrap w:val="0"/>
            <w:vAlign w:val="center"/>
          </w:tcPr>
          <w:p w14:paraId="16BFE526">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130</w:t>
            </w:r>
          </w:p>
        </w:tc>
      </w:tr>
      <w:tr w14:paraId="2B6CD7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5FE3E89E">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环保投资占比（%）</w:t>
            </w:r>
          </w:p>
        </w:tc>
        <w:tc>
          <w:tcPr>
            <w:tcW w:w="1622" w:type="dxa"/>
            <w:noWrap w:val="0"/>
            <w:vAlign w:val="center"/>
          </w:tcPr>
          <w:p w14:paraId="3B119B9B">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0.37</w:t>
            </w:r>
            <w:r>
              <w:rPr>
                <w:rFonts w:hint="default" w:ascii="Times New Roman" w:hAnsi="Times New Roman" w:eastAsia="宋体" w:cs="Times New Roman"/>
                <w:color w:val="auto"/>
                <w:sz w:val="24"/>
                <w:szCs w:val="24"/>
                <w:highlight w:val="none"/>
                <w:lang w:val="en-US" w:eastAsia="zh-CN"/>
              </w:rPr>
              <w:t>%</w:t>
            </w:r>
          </w:p>
        </w:tc>
        <w:tc>
          <w:tcPr>
            <w:tcW w:w="2042" w:type="dxa"/>
            <w:noWrap w:val="0"/>
            <w:tcMar>
              <w:top w:w="16" w:type="dxa"/>
              <w:left w:w="16" w:type="dxa"/>
              <w:right w:w="16" w:type="dxa"/>
            </w:tcMar>
            <w:vAlign w:val="center"/>
          </w:tcPr>
          <w:p w14:paraId="727BFF63">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施工工期</w:t>
            </w:r>
          </w:p>
        </w:tc>
        <w:tc>
          <w:tcPr>
            <w:tcW w:w="4146" w:type="dxa"/>
            <w:noWrap w:val="0"/>
            <w:vAlign w:val="center"/>
          </w:tcPr>
          <w:p w14:paraId="08861A61">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3</w:t>
            </w:r>
            <w:r>
              <w:rPr>
                <w:rFonts w:hint="default" w:ascii="Times New Roman" w:hAnsi="Times New Roman" w:cs="Times New Roman"/>
                <w:color w:val="auto"/>
                <w:sz w:val="24"/>
                <w:szCs w:val="24"/>
                <w:highlight w:val="none"/>
                <w:lang w:val="en-US" w:eastAsia="zh-CN"/>
              </w:rPr>
              <w:t>个月</w:t>
            </w:r>
          </w:p>
        </w:tc>
      </w:tr>
      <w:tr w14:paraId="7E4CBC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028AC757">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是否开工建设</w:t>
            </w:r>
          </w:p>
        </w:tc>
        <w:tc>
          <w:tcPr>
            <w:tcW w:w="1622" w:type="dxa"/>
            <w:noWrap w:val="0"/>
            <w:vAlign w:val="center"/>
          </w:tcPr>
          <w:p w14:paraId="3642B27F">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否</w:t>
            </w:r>
          </w:p>
          <w:p w14:paraId="5AEFACFE">
            <w:pPr>
              <w:adjustRightInd w:val="0"/>
              <w:snapToGrid w:val="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是</w:t>
            </w:r>
          </w:p>
        </w:tc>
        <w:tc>
          <w:tcPr>
            <w:tcW w:w="2042" w:type="dxa"/>
            <w:noWrap w:val="0"/>
            <w:tcMar>
              <w:top w:w="16" w:type="dxa"/>
              <w:left w:w="16" w:type="dxa"/>
              <w:right w:w="16" w:type="dxa"/>
            </w:tcMar>
            <w:vAlign w:val="center"/>
          </w:tcPr>
          <w:p w14:paraId="5157CDBA">
            <w:pPr>
              <w:adjustRightInd w:val="0"/>
              <w:snapToGrid w:val="0"/>
              <w:jc w:val="center"/>
              <w:rPr>
                <w:rFonts w:hint="default" w:ascii="Times New Roman" w:hAnsi="Times New Roman" w:cs="Times New Roman"/>
                <w:color w:val="auto"/>
                <w:spacing w:val="-6"/>
                <w:sz w:val="24"/>
                <w:szCs w:val="24"/>
                <w:highlight w:val="none"/>
              </w:rPr>
            </w:pPr>
            <w:r>
              <w:rPr>
                <w:rFonts w:hint="default" w:ascii="Times New Roman" w:hAnsi="Times New Roman" w:cs="Times New Roman"/>
                <w:color w:val="auto"/>
                <w:spacing w:val="-6"/>
                <w:sz w:val="24"/>
                <w:szCs w:val="24"/>
                <w:highlight w:val="none"/>
              </w:rPr>
              <w:t>用地（用海）</w:t>
            </w:r>
          </w:p>
          <w:p w14:paraId="37B5B563">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6"/>
                <w:sz w:val="24"/>
                <w:szCs w:val="24"/>
                <w:highlight w:val="none"/>
              </w:rPr>
              <w:t>面积（m</w:t>
            </w:r>
            <w:r>
              <w:rPr>
                <w:rFonts w:hint="default" w:ascii="Times New Roman" w:hAnsi="Times New Roman" w:cs="Times New Roman"/>
                <w:color w:val="auto"/>
                <w:spacing w:val="-6"/>
                <w:sz w:val="24"/>
                <w:szCs w:val="24"/>
                <w:highlight w:val="none"/>
                <w:vertAlign w:val="superscript"/>
              </w:rPr>
              <w:t>2</w:t>
            </w:r>
            <w:r>
              <w:rPr>
                <w:rFonts w:hint="default" w:ascii="Times New Roman" w:hAnsi="Times New Roman" w:cs="Times New Roman"/>
                <w:color w:val="auto"/>
                <w:spacing w:val="-6"/>
                <w:sz w:val="24"/>
                <w:szCs w:val="24"/>
                <w:highlight w:val="none"/>
              </w:rPr>
              <w:t>）</w:t>
            </w:r>
          </w:p>
        </w:tc>
        <w:tc>
          <w:tcPr>
            <w:tcW w:w="4146" w:type="dxa"/>
            <w:noWrap w:val="0"/>
            <w:vAlign w:val="center"/>
          </w:tcPr>
          <w:p w14:paraId="33E75EDA">
            <w:pPr>
              <w:adjustRightInd w:val="0"/>
              <w:snapToGrid w:val="0"/>
              <w:jc w:val="center"/>
              <w:rPr>
                <w:rFonts w:hint="eastAsia" w:cs="Times New Roman"/>
                <w:color w:val="auto"/>
                <w:sz w:val="24"/>
                <w:szCs w:val="24"/>
                <w:highlight w:val="none"/>
                <w:vertAlign w:val="superscript"/>
                <w:lang w:val="en-US" w:eastAsia="zh-CN"/>
              </w:rPr>
            </w:pPr>
            <w:r>
              <w:rPr>
                <w:rFonts w:hint="eastAsia" w:cs="Times New Roman"/>
                <w:color w:val="auto"/>
                <w:sz w:val="24"/>
                <w:szCs w:val="24"/>
                <w:highlight w:val="none"/>
                <w:lang w:val="en-US" w:eastAsia="zh-CN"/>
              </w:rPr>
              <w:t>用地面积1225.02m</w:t>
            </w:r>
            <w:r>
              <w:rPr>
                <w:rFonts w:hint="eastAsia" w:cs="Times New Roman"/>
                <w:color w:val="auto"/>
                <w:sz w:val="24"/>
                <w:szCs w:val="24"/>
                <w:highlight w:val="none"/>
                <w:vertAlign w:val="superscript"/>
                <w:lang w:val="en-US" w:eastAsia="zh-CN"/>
              </w:rPr>
              <w:t>2</w:t>
            </w:r>
          </w:p>
          <w:p w14:paraId="42435DF1">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(建筑面积约6544.11m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val="en-US" w:eastAsia="zh-CN"/>
              </w:rPr>
              <w:t>)</w:t>
            </w:r>
          </w:p>
        </w:tc>
      </w:tr>
      <w:tr w14:paraId="4F88FB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4" w:type="dxa"/>
            <w:noWrap w:val="0"/>
            <w:vAlign w:val="center"/>
          </w:tcPr>
          <w:p w14:paraId="7EE9126B">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专项评价设置情况</w:t>
            </w:r>
          </w:p>
        </w:tc>
        <w:tc>
          <w:tcPr>
            <w:tcW w:w="7810" w:type="dxa"/>
            <w:gridSpan w:val="3"/>
            <w:noWrap w:val="0"/>
            <w:vAlign w:val="center"/>
          </w:tcPr>
          <w:p w14:paraId="005C274B">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无</w:t>
            </w:r>
          </w:p>
        </w:tc>
      </w:tr>
      <w:tr w14:paraId="123D8F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04" w:type="dxa"/>
            <w:noWrap w:val="0"/>
            <w:vAlign w:val="center"/>
          </w:tcPr>
          <w:p w14:paraId="2EACC878">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规划情况</w:t>
            </w:r>
          </w:p>
        </w:tc>
        <w:tc>
          <w:tcPr>
            <w:tcW w:w="7810" w:type="dxa"/>
            <w:gridSpan w:val="3"/>
            <w:noWrap w:val="0"/>
            <w:vAlign w:val="center"/>
          </w:tcPr>
          <w:p w14:paraId="7E9BF8A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规划名称：《安徽省江南产业集中区总体规划》</w:t>
            </w:r>
            <w:r>
              <w:rPr>
                <w:rFonts w:hint="eastAsia" w:cs="Times New Roman"/>
                <w:color w:val="auto"/>
                <w:sz w:val="24"/>
                <w:szCs w:val="24"/>
                <w:highlight w:val="none"/>
                <w:lang w:eastAsia="zh-CN"/>
              </w:rPr>
              <w:t>（现更名为皖江江南新兴产业集中区）</w:t>
            </w:r>
            <w:r>
              <w:rPr>
                <w:rFonts w:hint="default" w:ascii="Times New Roman" w:hAnsi="Times New Roman" w:cs="Times New Roman"/>
                <w:color w:val="auto"/>
                <w:sz w:val="24"/>
                <w:szCs w:val="24"/>
                <w:highlight w:val="none"/>
              </w:rPr>
              <w:t>；</w:t>
            </w:r>
          </w:p>
          <w:p w14:paraId="1341D5E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审批机关：</w:t>
            </w:r>
            <w:r>
              <w:rPr>
                <w:rFonts w:hint="eastAsia" w:ascii="Times New Roman" w:hAnsi="Times New Roman" w:cs="Times New Roman"/>
                <w:color w:val="auto"/>
                <w:sz w:val="24"/>
                <w:szCs w:val="24"/>
                <w:highlight w:val="none"/>
                <w:lang w:val="en-US" w:eastAsia="zh-CN"/>
              </w:rPr>
              <w:t>安徽省人民政府</w:t>
            </w:r>
          </w:p>
          <w:p w14:paraId="1F5DC20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eastAsia="宋体"/>
                <w:color w:val="auto"/>
                <w:sz w:val="24"/>
                <w:szCs w:val="24"/>
                <w:highlight w:val="none"/>
                <w:lang w:val="en-US" w:eastAsia="zh-CN"/>
              </w:rPr>
            </w:pPr>
            <w:r>
              <w:rPr>
                <w:rFonts w:hint="default" w:ascii="Times New Roman" w:hAnsi="Times New Roman" w:cs="Times New Roman"/>
                <w:color w:val="auto"/>
                <w:sz w:val="24"/>
                <w:szCs w:val="24"/>
                <w:highlight w:val="none"/>
              </w:rPr>
              <w:t>审查文件名称及文号：</w:t>
            </w:r>
            <w:r>
              <w:rPr>
                <w:rFonts w:hint="eastAsia" w:cs="Times New Roman"/>
                <w:color w:val="auto"/>
                <w:sz w:val="24"/>
                <w:szCs w:val="24"/>
                <w:highlight w:val="none"/>
                <w:lang w:val="en-US" w:eastAsia="zh-CN"/>
              </w:rPr>
              <w:t>《安徽省人民政府关于同意安徽省江南产业集中区总体规划的批复》（皖政秘〔2016〕138号）</w:t>
            </w:r>
          </w:p>
        </w:tc>
      </w:tr>
      <w:tr w14:paraId="1F6508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004" w:type="dxa"/>
            <w:noWrap w:val="0"/>
            <w:vAlign w:val="center"/>
          </w:tcPr>
          <w:p w14:paraId="763B8FB7">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规划环境影响</w:t>
            </w:r>
          </w:p>
          <w:p w14:paraId="1D8C6765">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评价情况</w:t>
            </w:r>
          </w:p>
        </w:tc>
        <w:tc>
          <w:tcPr>
            <w:tcW w:w="7810" w:type="dxa"/>
            <w:gridSpan w:val="3"/>
            <w:noWrap w:val="0"/>
            <w:vAlign w:val="center"/>
          </w:tcPr>
          <w:p w14:paraId="4807484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规划文件名称：《安徽省江南产业集中区总体规划环境影响报告书》；</w:t>
            </w:r>
          </w:p>
          <w:p w14:paraId="15F032F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eastAsia="zh-CN"/>
              </w:rPr>
              <w:t>原</w:t>
            </w:r>
            <w:r>
              <w:rPr>
                <w:rFonts w:hint="default" w:ascii="Times New Roman" w:hAnsi="Times New Roman" w:cs="Times New Roman"/>
                <w:color w:val="auto"/>
                <w:sz w:val="24"/>
                <w:szCs w:val="24"/>
                <w:highlight w:val="none"/>
              </w:rPr>
              <w:t>安徽省环境保护厅；</w:t>
            </w:r>
          </w:p>
          <w:p w14:paraId="12D1E17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审批文件名称及文号：</w:t>
            </w:r>
            <w:r>
              <w:rPr>
                <w:rFonts w:hint="eastAsia" w:ascii="Times New Roman" w:hAnsi="Times New Roman" w:cs="Times New Roman"/>
                <w:color w:val="auto"/>
                <w:sz w:val="24"/>
                <w:szCs w:val="24"/>
                <w:highlight w:val="none"/>
                <w:lang w:eastAsia="zh-CN"/>
              </w:rPr>
              <w:t>《安徽省环保厅关于安徽省江南产业集中区总体规划环境影响报告书审查意见的函》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以皖环函</w:t>
            </w:r>
            <w:r>
              <w:rPr>
                <w:rFonts w:hint="eastAsia" w:cs="Times New Roman"/>
                <w:color w:val="auto"/>
                <w:sz w:val="24"/>
                <w:szCs w:val="24"/>
                <w:highlight w:val="none"/>
                <w:lang w:val="en-US" w:eastAsia="zh-CN"/>
              </w:rPr>
              <w:t>〔2018〕</w:t>
            </w:r>
            <w:r>
              <w:rPr>
                <w:rFonts w:hint="eastAsia" w:ascii="Times New Roman" w:hAnsi="Times New Roman" w:cs="Times New Roman"/>
                <w:color w:val="auto"/>
                <w:sz w:val="24"/>
                <w:szCs w:val="24"/>
                <w:highlight w:val="none"/>
                <w:lang w:val="en-US" w:eastAsia="zh-CN"/>
              </w:rPr>
              <w:t>374 号</w:t>
            </w:r>
            <w:r>
              <w:rPr>
                <w:rFonts w:hint="default" w:ascii="Times New Roman" w:hAnsi="Times New Roman" w:cs="Times New Roman"/>
                <w:color w:val="auto"/>
                <w:sz w:val="24"/>
                <w:szCs w:val="24"/>
                <w:highlight w:val="none"/>
              </w:rPr>
              <w:t>）</w:t>
            </w:r>
          </w:p>
          <w:p w14:paraId="4F70132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规划文件名称：《安徽省江南产业集中区产业发展规划（2019-2030年）环境影响报告书》；</w:t>
            </w:r>
          </w:p>
          <w:p w14:paraId="430B545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eastAsia="zh-CN"/>
              </w:rPr>
              <w:t>原</w:t>
            </w:r>
            <w:r>
              <w:rPr>
                <w:rFonts w:hint="default" w:ascii="Times New Roman" w:hAnsi="Times New Roman" w:cs="Times New Roman"/>
                <w:color w:val="auto"/>
                <w:sz w:val="24"/>
                <w:szCs w:val="24"/>
                <w:highlight w:val="none"/>
              </w:rPr>
              <w:t>安徽省环境保护厅；</w:t>
            </w:r>
          </w:p>
          <w:p w14:paraId="7AF928B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审批文件名称及文号：</w:t>
            </w:r>
            <w:r>
              <w:rPr>
                <w:rFonts w:hint="eastAsia" w:ascii="Times New Roman" w:hAnsi="Times New Roman" w:cs="Times New Roman"/>
                <w:color w:val="auto"/>
                <w:sz w:val="24"/>
                <w:szCs w:val="24"/>
                <w:highlight w:val="none"/>
                <w:lang w:eastAsia="zh-CN"/>
              </w:rPr>
              <w:t>《安徽省环保厅关于安徽省江南产业集中区产业发展规划（2019-2030）环境影响报告书审查意见的函》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皖环函</w:t>
            </w:r>
            <w:r>
              <w:rPr>
                <w:rFonts w:hint="eastAsia" w:cs="Times New Roman"/>
                <w:color w:val="auto"/>
                <w:sz w:val="24"/>
                <w:szCs w:val="24"/>
                <w:highlight w:val="none"/>
                <w:lang w:val="en-US" w:eastAsia="zh-CN"/>
              </w:rPr>
              <w:t>〔2020〕107号</w:t>
            </w:r>
            <w:r>
              <w:rPr>
                <w:rFonts w:hint="default" w:ascii="Times New Roman" w:hAnsi="Times New Roman" w:cs="Times New Roman"/>
                <w:color w:val="auto"/>
                <w:sz w:val="24"/>
                <w:szCs w:val="24"/>
                <w:highlight w:val="none"/>
              </w:rPr>
              <w:t>）</w:t>
            </w:r>
          </w:p>
        </w:tc>
      </w:tr>
      <w:tr w14:paraId="47F007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04" w:type="dxa"/>
            <w:noWrap w:val="0"/>
            <w:vAlign w:val="center"/>
          </w:tcPr>
          <w:p w14:paraId="1CE61BFC">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规划及规划环境影响评价相符性分析</w:t>
            </w:r>
          </w:p>
        </w:tc>
        <w:tc>
          <w:tcPr>
            <w:tcW w:w="7810" w:type="dxa"/>
            <w:gridSpan w:val="3"/>
            <w:noWrap w:val="0"/>
            <w:vAlign w:val="center"/>
          </w:tcPr>
          <w:p w14:paraId="3EA666C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rPr>
              <w:t>1、</w:t>
            </w:r>
            <w:r>
              <w:rPr>
                <w:rFonts w:hint="eastAsia" w:cs="Times New Roman"/>
                <w:b/>
                <w:bCs/>
                <w:color w:val="auto"/>
                <w:sz w:val="24"/>
                <w:szCs w:val="24"/>
                <w:highlight w:val="none"/>
                <w:lang w:val="en-US" w:eastAsia="zh-CN"/>
              </w:rPr>
              <w:t>规划相符性分析</w:t>
            </w:r>
          </w:p>
          <w:p w14:paraId="0B6365A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eastAsia="zh-CN"/>
              </w:rPr>
              <w:t>（</w:t>
            </w:r>
            <w:r>
              <w:rPr>
                <w:rFonts w:hint="eastAsia" w:cs="Times New Roman"/>
                <w:b/>
                <w:bCs/>
                <w:color w:val="auto"/>
                <w:sz w:val="24"/>
                <w:szCs w:val="24"/>
                <w:highlight w:val="none"/>
                <w:lang w:val="en-US" w:eastAsia="zh-CN"/>
              </w:rPr>
              <w:t>1</w:t>
            </w:r>
            <w:r>
              <w:rPr>
                <w:rFonts w:hint="eastAsia"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与</w:t>
            </w:r>
            <w:r>
              <w:rPr>
                <w:rFonts w:hint="default" w:ascii="Times New Roman" w:hAnsi="Times New Roman" w:cs="Times New Roman"/>
                <w:b/>
                <w:bCs/>
                <w:color w:val="auto"/>
                <w:sz w:val="24"/>
                <w:szCs w:val="24"/>
                <w:highlight w:val="none"/>
                <w:lang w:val="en-US" w:eastAsia="zh-CN"/>
              </w:rPr>
              <w:t>《安徽省江南产业集中区总体规划》</w:t>
            </w:r>
            <w:r>
              <w:rPr>
                <w:rFonts w:hint="default" w:ascii="Times New Roman" w:hAnsi="Times New Roman" w:cs="Times New Roman"/>
                <w:b/>
                <w:bCs/>
                <w:color w:val="auto"/>
                <w:sz w:val="24"/>
                <w:szCs w:val="24"/>
                <w:highlight w:val="none"/>
              </w:rPr>
              <w:t>相符性分析</w:t>
            </w:r>
          </w:p>
          <w:p w14:paraId="600F29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江南产业集中区总体规划》可知，园区规划范围由产业集中区和城市协调发展区两部分组成。其中，产业集中区用地面积为158.34平方公里，城市协调发展区用地面积为41.09平方公里。规划范围北至长江，南至沿江高速、铜九铁路，西至牧之路，东至青通河，规划面积199.43平方公里。集中区重点发展三大战略性新兴产业、现代服务业。积极培育三大战略性新兴产业——包括</w:t>
            </w:r>
            <w:r>
              <w:rPr>
                <w:rFonts w:hint="default" w:ascii="Times New Roman" w:hAnsi="Times New Roman" w:cs="Times New Roman"/>
                <w:b/>
                <w:bCs/>
                <w:color w:val="auto"/>
                <w:sz w:val="24"/>
                <w:szCs w:val="24"/>
                <w:highlight w:val="none"/>
                <w:lang w:val="en-US" w:eastAsia="zh-CN"/>
              </w:rPr>
              <w:t>电子信息产业、高端装备制造业和新材料产业</w:t>
            </w:r>
            <w:r>
              <w:rPr>
                <w:rFonts w:hint="default" w:ascii="Times New Roman" w:hAnsi="Times New Roman" w:cs="Times New Roman"/>
                <w:color w:val="auto"/>
                <w:sz w:val="24"/>
                <w:szCs w:val="24"/>
                <w:highlight w:val="none"/>
                <w:lang w:val="en-US" w:eastAsia="zh-CN"/>
              </w:rPr>
              <w:t>；加快发展现代服务业——包括现代物流、研发创意、商务服务、信息服务、通用航空、大健康服务等。</w:t>
            </w:r>
          </w:p>
          <w:p w14:paraId="732367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本项目属于</w:t>
            </w:r>
            <w:r>
              <w:rPr>
                <w:rFonts w:hint="eastAsia" w:ascii="Times New Roman" w:hAnsi="Times New Roman" w:cs="Times New Roman"/>
                <w:color w:val="auto"/>
                <w:sz w:val="24"/>
                <w:szCs w:val="24"/>
                <w:highlight w:val="none"/>
                <w:lang w:val="en-US" w:eastAsia="zh-CN"/>
              </w:rPr>
              <w:t>C3974显示器件制造</w:t>
            </w:r>
            <w:r>
              <w:rPr>
                <w:rFonts w:hint="eastAsia" w:cs="Times New Roman"/>
                <w:color w:val="auto"/>
                <w:sz w:val="24"/>
                <w:szCs w:val="24"/>
                <w:highlight w:val="none"/>
                <w:lang w:val="en-US" w:eastAsia="zh-CN"/>
              </w:rPr>
              <w:t>及C2929塑料零件及其他塑料制品制造</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生产的产品均属于显示器件，</w:t>
            </w:r>
            <w:r>
              <w:rPr>
                <w:rFonts w:hint="default" w:ascii="Times New Roman" w:hAnsi="Times New Roman" w:cs="Times New Roman"/>
                <w:color w:val="auto"/>
                <w:sz w:val="24"/>
                <w:szCs w:val="24"/>
                <w:highlight w:val="none"/>
                <w:lang w:val="en-US" w:eastAsia="zh-CN"/>
              </w:rPr>
              <w:t>属于主导产业中的电子信息产业。且根据《安徽省江南产业集中区总体规划》（2010-2030年）中规划用地布局图可知，项目</w:t>
            </w:r>
            <w:r>
              <w:rPr>
                <w:rFonts w:hint="eastAsia" w:cs="Times New Roman"/>
                <w:color w:val="auto"/>
                <w:sz w:val="24"/>
                <w:szCs w:val="24"/>
                <w:highlight w:val="none"/>
                <w:lang w:val="en-US" w:eastAsia="zh-CN"/>
              </w:rPr>
              <w:t>用地</w:t>
            </w:r>
            <w:r>
              <w:rPr>
                <w:rFonts w:hint="default" w:ascii="Times New Roman" w:hAnsi="Times New Roman" w:cs="Times New Roman"/>
                <w:color w:val="auto"/>
                <w:sz w:val="24"/>
                <w:szCs w:val="24"/>
                <w:highlight w:val="none"/>
                <w:lang w:val="en-US" w:eastAsia="zh-CN"/>
              </w:rPr>
              <w:t>属于工业用地</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故本项目与《安徽省江南产业集中区总体规划》（2010-2030年）相符。</w:t>
            </w:r>
          </w:p>
          <w:p w14:paraId="053468A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（2）与《安徽省江南产业集中区产业发展规划（2019-2030）》相符性分析</w:t>
            </w:r>
          </w:p>
          <w:p w14:paraId="19BF07F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①产业功能分区符合性：</w:t>
            </w:r>
          </w:p>
          <w:p w14:paraId="0B331A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规划产业布局在集中区“一主、两副、两组团”的规划空间结构的基础上，依托电子信息产业、高端装备制造业和新材料产业三大主导产业的发展，集中区划分出三大产业片区，各片区集中力量，大力推动主导产业的发展，充分发挥主导产业的扩散效应，带动辅助产业及整个集中区的发展，形成“两核、三片、多区”的产业布局。</w:t>
            </w:r>
          </w:p>
          <w:p w14:paraId="519C04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本项目属于C3974显示器件制造</w:t>
            </w:r>
            <w:r>
              <w:rPr>
                <w:rFonts w:hint="eastAsia" w:cs="Times New Roman"/>
                <w:color w:val="auto"/>
                <w:sz w:val="24"/>
                <w:szCs w:val="24"/>
                <w:highlight w:val="none"/>
                <w:lang w:val="en-US" w:eastAsia="zh-CN"/>
              </w:rPr>
              <w:t>及C2929塑料零件及其他塑料制品制造</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生产的产品均属于显示器件</w:t>
            </w:r>
            <w:r>
              <w:rPr>
                <w:rFonts w:hint="default" w:ascii="Times New Roman" w:hAnsi="Times New Roman" w:cs="Times New Roman"/>
                <w:b w:val="0"/>
                <w:bCs w:val="0"/>
                <w:color w:val="auto"/>
                <w:sz w:val="24"/>
                <w:szCs w:val="24"/>
                <w:highlight w:val="none"/>
                <w:lang w:val="en-US" w:eastAsia="zh-CN"/>
              </w:rPr>
              <w:t>，属于主导产业</w:t>
            </w:r>
            <w:r>
              <w:rPr>
                <w:rFonts w:hint="eastAsia" w:cs="Times New Roman"/>
                <w:b w:val="0"/>
                <w:bCs w:val="0"/>
                <w:color w:val="auto"/>
                <w:sz w:val="24"/>
                <w:szCs w:val="24"/>
                <w:highlight w:val="none"/>
                <w:lang w:val="en-US" w:eastAsia="zh-CN"/>
              </w:rPr>
              <w:t>机械</w:t>
            </w:r>
            <w:r>
              <w:rPr>
                <w:rFonts w:hint="eastAsia" w:ascii="Times New Roman" w:hAnsi="Times New Roman" w:eastAsia="宋体" w:cs="Times New Roman"/>
                <w:b w:val="0"/>
                <w:bCs w:val="0"/>
                <w:color w:val="auto"/>
                <w:sz w:val="24"/>
                <w:szCs w:val="24"/>
                <w:highlight w:val="none"/>
                <w:lang w:val="en-US" w:eastAsia="zh-CN"/>
              </w:rPr>
              <w:t>电子</w:t>
            </w:r>
            <w:r>
              <w:rPr>
                <w:rFonts w:hint="default" w:ascii="Times New Roman" w:hAnsi="Times New Roman" w:eastAsia="宋体" w:cs="Times New Roman"/>
                <w:b w:val="0"/>
                <w:bCs w:val="0"/>
                <w:color w:val="auto"/>
                <w:sz w:val="24"/>
                <w:szCs w:val="24"/>
                <w:highlight w:val="none"/>
                <w:lang w:val="en-US" w:eastAsia="zh-CN"/>
              </w:rPr>
              <w:t>产业</w:t>
            </w:r>
            <w:r>
              <w:rPr>
                <w:rFonts w:hint="eastAsia" w:ascii="Times New Roman" w:hAnsi="Times New Roman" w:eastAsia="宋体" w:cs="Times New Roman"/>
                <w:b w:val="0"/>
                <w:bCs w:val="0"/>
                <w:color w:val="auto"/>
                <w:sz w:val="24"/>
                <w:szCs w:val="24"/>
                <w:highlight w:val="none"/>
                <w:lang w:val="en-US" w:eastAsia="zh-CN"/>
              </w:rPr>
              <w:t>（中游产业）中</w:t>
            </w:r>
            <w:r>
              <w:rPr>
                <w:rFonts w:hint="default" w:ascii="Times New Roman" w:hAnsi="Times New Roman" w:eastAsia="宋体" w:cs="Times New Roman"/>
                <w:b w:val="0"/>
                <w:bCs w:val="0"/>
                <w:color w:val="auto"/>
                <w:sz w:val="24"/>
                <w:szCs w:val="24"/>
                <w:highlight w:val="none"/>
                <w:lang w:val="en-US" w:eastAsia="zh-CN"/>
              </w:rPr>
              <w:t>的</w:t>
            </w:r>
            <w:r>
              <w:rPr>
                <w:rFonts w:hint="eastAsia" w:cs="Times New Roman"/>
                <w:b w:val="0"/>
                <w:bCs w:val="0"/>
                <w:color w:val="auto"/>
                <w:sz w:val="24"/>
                <w:szCs w:val="24"/>
                <w:highlight w:val="none"/>
                <w:lang w:val="en-US" w:eastAsia="zh-CN"/>
              </w:rPr>
              <w:t>显示器件</w:t>
            </w:r>
            <w:r>
              <w:rPr>
                <w:rFonts w:hint="eastAsia" w:ascii="Times New Roman" w:hAnsi="Times New Roman" w:eastAsia="宋体" w:cs="Times New Roman"/>
                <w:b w:val="0"/>
                <w:bCs w:val="0"/>
                <w:color w:val="auto"/>
                <w:sz w:val="24"/>
                <w:szCs w:val="24"/>
                <w:highlight w:val="none"/>
                <w:lang w:val="en-US" w:eastAsia="zh-CN"/>
              </w:rPr>
              <w:t>制造。本项目选址位于皖江江南新兴产业集中区机械电子产业片区，因此项目与园区产业功能分区相符。</w:t>
            </w:r>
          </w:p>
          <w:p w14:paraId="6DAB2BB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②产业发展规划符合性：</w:t>
            </w:r>
          </w:p>
          <w:p w14:paraId="465BBF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根据《安徽省江南产业集中区产业发展规划（2019-2030）》，机械电子产业是江南产业集中区的主导产业，江南产业集中区重点发展机械电子产业中的中游和下游产业，具体如下所示：</w:t>
            </w:r>
          </w:p>
          <w:p w14:paraId="602D39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p>
          <w:p w14:paraId="1E509B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p>
          <w:p w14:paraId="735D80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p>
          <w:p w14:paraId="334634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p>
          <w:p w14:paraId="0D4895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p>
          <w:p w14:paraId="62C390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p>
          <w:p w14:paraId="1F2910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p>
          <w:p w14:paraId="4D557C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p>
          <w:p w14:paraId="03E1D4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p>
          <w:p w14:paraId="391AA234">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color w:val="auto"/>
                <w:sz w:val="24"/>
                <w:szCs w:val="24"/>
                <w:highlight w:val="none"/>
                <w:lang w:val="en-US" w:eastAsia="zh-CN"/>
              </w:rPr>
            </w:pPr>
            <w:r>
              <w:rPr>
                <w:color w:val="auto"/>
                <w:sz w:val="24"/>
                <w:szCs w:val="24"/>
                <w:highlight w:val="none"/>
              </w:rPr>
              <w:drawing>
                <wp:inline distT="0" distB="0" distL="114300" distR="114300">
                  <wp:extent cx="4683760" cy="6188710"/>
                  <wp:effectExtent l="0" t="0" r="2540" b="2540"/>
                  <wp:docPr id="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1"/>
                          <pic:cNvPicPr>
                            <a:picLocks noChangeAspect="1"/>
                          </pic:cNvPicPr>
                        </pic:nvPicPr>
                        <pic:blipFill>
                          <a:blip r:embed="rId8"/>
                          <a:stretch>
                            <a:fillRect/>
                          </a:stretch>
                        </pic:blipFill>
                        <pic:spPr>
                          <a:xfrm>
                            <a:off x="0" y="0"/>
                            <a:ext cx="4683760" cy="6188710"/>
                          </a:xfrm>
                          <a:prstGeom prst="rect">
                            <a:avLst/>
                          </a:prstGeom>
                          <a:noFill/>
                          <a:ln>
                            <a:noFill/>
                          </a:ln>
                        </pic:spPr>
                      </pic:pic>
                    </a:graphicData>
                  </a:graphic>
                </wp:inline>
              </w:drawing>
            </w:r>
          </w:p>
          <w:p w14:paraId="2DD79A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图1-1  机械电子产业链</w:t>
            </w:r>
          </w:p>
          <w:p w14:paraId="106316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本项目属于</w:t>
            </w:r>
            <w:r>
              <w:rPr>
                <w:rFonts w:hint="default" w:ascii="Times New Roman" w:hAnsi="Times New Roman" w:cs="Times New Roman"/>
                <w:b w:val="0"/>
                <w:bCs w:val="0"/>
                <w:color w:val="auto"/>
                <w:sz w:val="24"/>
                <w:szCs w:val="24"/>
                <w:highlight w:val="none"/>
                <w:lang w:val="en-US" w:eastAsia="zh-CN"/>
              </w:rPr>
              <w:t>C3974显示器件制造</w:t>
            </w:r>
            <w:r>
              <w:rPr>
                <w:rFonts w:hint="eastAsia" w:cs="Times New Roman"/>
                <w:color w:val="auto"/>
                <w:sz w:val="24"/>
                <w:szCs w:val="24"/>
                <w:highlight w:val="none"/>
                <w:lang w:val="en-US" w:eastAsia="zh-CN"/>
              </w:rPr>
              <w:t>及C2929塑料零件及其他塑料制品制造</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生产的产品均属于显示器件</w:t>
            </w:r>
            <w:r>
              <w:rPr>
                <w:rFonts w:hint="default" w:ascii="Times New Roman" w:hAnsi="Times New Roman" w:cs="Times New Roman"/>
                <w:b w:val="0"/>
                <w:bCs w:val="0"/>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属于主导产业</w:t>
            </w:r>
            <w:r>
              <w:rPr>
                <w:rFonts w:hint="eastAsia" w:cs="Times New Roman"/>
                <w:color w:val="auto"/>
                <w:sz w:val="24"/>
                <w:szCs w:val="24"/>
                <w:highlight w:val="none"/>
                <w:lang w:val="en-US" w:eastAsia="zh-CN"/>
              </w:rPr>
              <w:t>机械电子</w:t>
            </w:r>
            <w:r>
              <w:rPr>
                <w:rFonts w:hint="default" w:ascii="Times New Roman" w:hAnsi="Times New Roman" w:cs="Times New Roman"/>
                <w:color w:val="auto"/>
                <w:sz w:val="24"/>
                <w:szCs w:val="24"/>
                <w:highlight w:val="none"/>
                <w:lang w:val="en-US" w:eastAsia="zh-CN"/>
              </w:rPr>
              <w:t>产业</w:t>
            </w:r>
            <w:r>
              <w:rPr>
                <w:rFonts w:hint="eastAsia" w:cs="Times New Roman"/>
                <w:color w:val="auto"/>
                <w:sz w:val="24"/>
                <w:szCs w:val="24"/>
                <w:highlight w:val="none"/>
                <w:lang w:val="en-US" w:eastAsia="zh-CN"/>
              </w:rPr>
              <w:t>（中游产业）</w:t>
            </w:r>
            <w:r>
              <w:rPr>
                <w:rFonts w:hint="default" w:ascii="Times New Roman" w:hAnsi="Times New Roman" w:cs="Times New Roman"/>
                <w:color w:val="auto"/>
                <w:sz w:val="24"/>
                <w:szCs w:val="24"/>
                <w:highlight w:val="none"/>
                <w:lang w:val="en-US" w:eastAsia="zh-CN"/>
              </w:rPr>
              <w:t>中的</w:t>
            </w:r>
            <w:r>
              <w:rPr>
                <w:rFonts w:hint="eastAsia" w:cs="Times New Roman"/>
                <w:color w:val="auto"/>
                <w:sz w:val="24"/>
                <w:szCs w:val="24"/>
                <w:highlight w:val="none"/>
                <w:lang w:val="en-US" w:eastAsia="zh-CN"/>
              </w:rPr>
              <w:t>显示器件制造。</w:t>
            </w:r>
          </w:p>
          <w:p w14:paraId="39823A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综上所述，本项目与《安徽省江南产业集中区产业发展规划（2019-2030）》相符。</w:t>
            </w:r>
          </w:p>
          <w:p w14:paraId="2C779DC6">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规划环评及审查意见相符性分析</w:t>
            </w:r>
          </w:p>
          <w:p w14:paraId="5CA633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2010年4月安徽省机构编制委员会办公室以《关于皖江城市带承接产业转移示范区省直管集中区管委会机构编制事项的通知》（皖编办〔2010〕32号）批复同意成立安池铜省直管集中区。</w:t>
            </w:r>
          </w:p>
          <w:p w14:paraId="0B2E44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2010年8月安徽省机构编制委员会办公室以《关于皖江城市带承接产业转移示范区省直管集中区更名的通知》（皖编办〔2010〕36号），批复更名为安徽省江南产业集中区。</w:t>
            </w:r>
          </w:p>
          <w:p w14:paraId="07BA85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2016年7月，安徽省人民政府以“皖政秘〔2016〕138号文”批复了《安徽省江南产业集中区总体规划》，2018年3月27日，安徽省生态环境厅（原安徽省环境保护厅）以《安徽省环保厅关于安徽省江南产业集中区总体规划环境影响报告书审查意见的函》“皖环函〔2018〕374号文”通过了集中区规划环评的审查。</w:t>
            </w:r>
          </w:p>
          <w:p w14:paraId="5782E6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2019年5月，安徽省江南产业集中区（现皖江江南新兴产业集中区）管委会委托合肥工业大学编制了《安徽省江南产业集中区产业发展规划（2019-2030年）》。</w:t>
            </w:r>
          </w:p>
          <w:p w14:paraId="06D254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2019年10月16日，安徽省人民政府常务会审议通过了《进一步推动江北、江南产业集中区改革创新和高质量发展的意见》，意见明确了集中区的主导产业为机械电子产业、新型材料产业、大健康产业。</w:t>
            </w:r>
          </w:p>
          <w:p w14:paraId="6BBC0C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2020年3月9日，《安徽省生态环境厅关于印发安徽省江南产业集中区产业发展规划（2019~2030）环境影响报告书审查意见的函》“皖环函〔2020〕107号”通过了对园区产业发展规划环评的审查。该批复中明确集中区规划总面积为36.5平方公里，不包括总体规划中池州高新区管辖地块（20平方公里）范围。规划主导产业为机械电子、新型材料和大健康三大主导产业。</w:t>
            </w:r>
          </w:p>
          <w:p w14:paraId="38116D80">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与《安徽省江南产业集中区产业发展规划（2019~2030）环境影响报告书》相符性分析</w:t>
            </w:r>
          </w:p>
          <w:p w14:paraId="1670247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b/>
                <w:bCs/>
                <w:color w:val="auto"/>
                <w:sz w:val="24"/>
                <w:szCs w:val="24"/>
                <w:highlight w:val="none"/>
                <w:lang w:val="en-US" w:eastAsia="zh-CN"/>
              </w:rPr>
            </w:pPr>
          </w:p>
          <w:p w14:paraId="686F557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b/>
                <w:bCs/>
                <w:color w:val="auto"/>
                <w:sz w:val="24"/>
                <w:szCs w:val="24"/>
                <w:highlight w:val="none"/>
                <w:lang w:val="en-US" w:eastAsia="zh-CN"/>
              </w:rPr>
            </w:pPr>
          </w:p>
          <w:p w14:paraId="1240472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b/>
                <w:bCs/>
                <w:color w:val="auto"/>
                <w:sz w:val="24"/>
                <w:szCs w:val="24"/>
                <w:highlight w:val="none"/>
                <w:lang w:val="en-US" w:eastAsia="zh-CN"/>
              </w:rPr>
            </w:pPr>
          </w:p>
          <w:p w14:paraId="47CFA90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b/>
                <w:bCs/>
                <w:color w:val="auto"/>
                <w:sz w:val="24"/>
                <w:szCs w:val="24"/>
                <w:highlight w:val="none"/>
                <w:lang w:val="en-US" w:eastAsia="zh-CN"/>
              </w:rPr>
            </w:pPr>
          </w:p>
          <w:p w14:paraId="5338F0D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b/>
                <w:bCs/>
                <w:color w:val="auto"/>
                <w:sz w:val="24"/>
                <w:szCs w:val="24"/>
                <w:highlight w:val="none"/>
                <w:lang w:val="en-US" w:eastAsia="zh-CN"/>
              </w:rPr>
            </w:pPr>
          </w:p>
          <w:p w14:paraId="77122B4C">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jc w:val="center"/>
              <w:textAlignment w:val="auto"/>
              <w:rPr>
                <w:rFonts w:hint="default"/>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表1-1与《安徽省江南产业集中区产业发展规划（2019~2030）环境影响报告书》相符性分析</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3952"/>
              <w:gridCol w:w="2107"/>
              <w:gridCol w:w="789"/>
            </w:tblGrid>
            <w:tr w14:paraId="447D7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484" w:type="pct"/>
                  <w:vAlign w:val="center"/>
                </w:tcPr>
                <w:p w14:paraId="562C4646">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序号</w:t>
                  </w:r>
                </w:p>
              </w:tc>
              <w:tc>
                <w:tcPr>
                  <w:tcW w:w="2606" w:type="pct"/>
                  <w:vAlign w:val="center"/>
                </w:tcPr>
                <w:p w14:paraId="60A14B2E">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规划</w:t>
                  </w:r>
                  <w:r>
                    <w:rPr>
                      <w:rFonts w:hint="eastAsia" w:cs="Times New Roman"/>
                      <w:b/>
                      <w:bCs/>
                      <w:color w:val="auto"/>
                      <w:sz w:val="21"/>
                      <w:szCs w:val="21"/>
                      <w:highlight w:val="none"/>
                      <w:lang w:val="en-US" w:eastAsia="zh-CN"/>
                    </w:rPr>
                    <w:t>要求</w:t>
                  </w:r>
                </w:p>
              </w:tc>
              <w:tc>
                <w:tcPr>
                  <w:tcW w:w="1389" w:type="pct"/>
                  <w:vAlign w:val="center"/>
                </w:tcPr>
                <w:p w14:paraId="6765BCF3">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本项目内容</w:t>
                  </w:r>
                </w:p>
              </w:tc>
              <w:tc>
                <w:tcPr>
                  <w:tcW w:w="520" w:type="pct"/>
                  <w:vAlign w:val="center"/>
                </w:tcPr>
                <w:p w14:paraId="5253D4F9">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相符性</w:t>
                  </w:r>
                </w:p>
              </w:tc>
            </w:tr>
            <w:tr w14:paraId="101E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trPr>
              <w:tc>
                <w:tcPr>
                  <w:tcW w:w="484" w:type="pct"/>
                  <w:vAlign w:val="center"/>
                </w:tcPr>
                <w:p w14:paraId="7266D6AE">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2606" w:type="pct"/>
                  <w:vAlign w:val="center"/>
                </w:tcPr>
                <w:p w14:paraId="58E1329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规划四至范围为东至泰山路，南至九华湖，西至昆仑山路，北至滨江大道，规划用地规模为36.50平方公里</w:t>
                  </w:r>
                  <w:r>
                    <w:rPr>
                      <w:rFonts w:hint="eastAsia"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规划主导产业为机械电子、新型材料和</w:t>
                  </w:r>
                  <w:r>
                    <w:rPr>
                      <w:rFonts w:hint="eastAsia" w:cs="Times New Roman"/>
                      <w:color w:val="auto"/>
                      <w:sz w:val="21"/>
                      <w:szCs w:val="21"/>
                      <w:highlight w:val="none"/>
                      <w:lang w:val="en-US" w:eastAsia="zh-CN"/>
                    </w:rPr>
                    <w:t>大健康</w:t>
                  </w:r>
                  <w:r>
                    <w:rPr>
                      <w:rFonts w:hint="default" w:ascii="Times New Roman" w:hAnsi="Times New Roman" w:eastAsia="宋体" w:cs="Times New Roman"/>
                      <w:color w:val="auto"/>
                      <w:sz w:val="21"/>
                      <w:szCs w:val="21"/>
                      <w:highlight w:val="none"/>
                      <w:lang w:val="en-US" w:eastAsia="zh-CN"/>
                    </w:rPr>
                    <w:t>三大主导产业。</w:t>
                  </w:r>
                </w:p>
              </w:tc>
              <w:tc>
                <w:tcPr>
                  <w:tcW w:w="1389" w:type="pct"/>
                  <w:vAlign w:val="center"/>
                </w:tcPr>
                <w:p w14:paraId="4616B2A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本项目属于C3974显示器件制造及C2929塑料零件及其他塑料制品制造，生产的产品均属于</w:t>
                  </w:r>
                  <w:r>
                    <w:rPr>
                      <w:rFonts w:hint="eastAsia" w:cs="Times New Roman"/>
                      <w:color w:val="auto"/>
                      <w:sz w:val="21"/>
                      <w:szCs w:val="21"/>
                      <w:highlight w:val="none"/>
                      <w:lang w:val="en-US" w:eastAsia="zh-CN"/>
                    </w:rPr>
                    <w:t>显示器件</w:t>
                  </w:r>
                  <w:r>
                    <w:rPr>
                      <w:rFonts w:hint="default" w:ascii="Times New Roman" w:hAnsi="Times New Roman" w:cs="Times New Roman"/>
                      <w:color w:val="auto"/>
                      <w:sz w:val="21"/>
                      <w:szCs w:val="21"/>
                      <w:highlight w:val="none"/>
                      <w:lang w:val="en-US" w:eastAsia="zh-CN"/>
                    </w:rPr>
                    <w:t>，属于主导产业中的</w:t>
                  </w:r>
                  <w:r>
                    <w:rPr>
                      <w:rFonts w:hint="eastAsia" w:cs="Times New Roman"/>
                      <w:color w:val="auto"/>
                      <w:sz w:val="21"/>
                      <w:szCs w:val="21"/>
                      <w:highlight w:val="none"/>
                      <w:lang w:val="en-US" w:eastAsia="zh-CN"/>
                    </w:rPr>
                    <w:t>机械电子</w:t>
                  </w:r>
                  <w:r>
                    <w:rPr>
                      <w:rFonts w:hint="default" w:ascii="Times New Roman" w:hAnsi="Times New Roman" w:cs="Times New Roman"/>
                      <w:color w:val="auto"/>
                      <w:sz w:val="21"/>
                      <w:szCs w:val="21"/>
                      <w:highlight w:val="none"/>
                      <w:lang w:val="en-US" w:eastAsia="zh-CN"/>
                    </w:rPr>
                    <w:t>产业</w:t>
                  </w:r>
                  <w:r>
                    <w:rPr>
                      <w:rFonts w:hint="eastAsia" w:ascii="Times New Roman" w:hAnsi="Times New Roman" w:cs="Times New Roman"/>
                      <w:color w:val="auto"/>
                      <w:sz w:val="21"/>
                      <w:szCs w:val="21"/>
                      <w:highlight w:val="none"/>
                      <w:lang w:val="en-US" w:eastAsia="zh-CN"/>
                    </w:rPr>
                    <w:t>，</w:t>
                  </w:r>
                  <w:r>
                    <w:rPr>
                      <w:rFonts w:hint="eastAsia" w:cs="Times New Roman"/>
                      <w:color w:val="auto"/>
                      <w:sz w:val="21"/>
                      <w:szCs w:val="21"/>
                      <w:highlight w:val="none"/>
                      <w:lang w:val="en-US" w:eastAsia="zh-CN"/>
                    </w:rPr>
                    <w:t>项目建设地点位于池州市皖江江南新兴产业集中区孵化园A4厂房1层部分区域以及2、3层全部区域共计约6544.11m</w:t>
                  </w:r>
                  <w:r>
                    <w:rPr>
                      <w:rFonts w:hint="eastAsia" w:cs="Times New Roman"/>
                      <w:color w:val="auto"/>
                      <w:sz w:val="21"/>
                      <w:szCs w:val="21"/>
                      <w:highlight w:val="none"/>
                      <w:vertAlign w:val="superscript"/>
                      <w:lang w:val="en-US" w:eastAsia="zh-CN"/>
                    </w:rPr>
                    <w:t>2</w:t>
                  </w:r>
                </w:p>
              </w:tc>
              <w:tc>
                <w:tcPr>
                  <w:tcW w:w="520" w:type="pct"/>
                  <w:vAlign w:val="center"/>
                </w:tcPr>
                <w:p w14:paraId="4BA445A2">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2909C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4" w:hRule="atLeast"/>
              </w:trPr>
              <w:tc>
                <w:tcPr>
                  <w:tcW w:w="484" w:type="pct"/>
                  <w:vAlign w:val="center"/>
                </w:tcPr>
                <w:p w14:paraId="7DBCF3CD">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2606" w:type="pct"/>
                  <w:vAlign w:val="center"/>
                </w:tcPr>
                <w:p w14:paraId="7A5D76C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强化工业源治理措施。加强现有企业生产废气治理设施的监管工作，确保设施正常运行；严格区内传统制造企业生产废气的治理要求，倒逼企业创新转型。规划实施期间，对于新引进有供热需求的企业，需优先使用集中供热或清洁能源，尽可能减少区域内二氧化硫和氮氧化物的排放量。进一步控制排放挥发性有机污染物等特征污染物项目的引进，并加快对现有排放挥发性有机污染物等特征污染物企业的升级改造工作，提高原料的清洁性并加强污染控制措施，对区内排放不达标的企业实施限期整改。</w:t>
                  </w:r>
                </w:p>
              </w:tc>
              <w:tc>
                <w:tcPr>
                  <w:tcW w:w="1389" w:type="pct"/>
                  <w:vAlign w:val="center"/>
                </w:tcPr>
                <w:p w14:paraId="2F45779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本项目废气通过前端集气罩/管道集后，引入</w:t>
                  </w:r>
                  <w:r>
                    <w:rPr>
                      <w:rFonts w:hint="eastAsia" w:cs="Times New Roman"/>
                      <w:color w:val="auto"/>
                      <w:kern w:val="2"/>
                      <w:sz w:val="21"/>
                      <w:szCs w:val="21"/>
                      <w:highlight w:val="none"/>
                      <w:lang w:val="en-US" w:eastAsia="zh-CN"/>
                    </w:rPr>
                    <w:t>干式过滤器</w:t>
                  </w:r>
                  <w:r>
                    <w:rPr>
                      <w:rFonts w:hint="eastAsia" w:cs="Times New Roman"/>
                      <w:color w:val="auto"/>
                      <w:sz w:val="21"/>
                      <w:szCs w:val="21"/>
                      <w:highlight w:val="none"/>
                      <w:lang w:val="en-US" w:eastAsia="zh-CN"/>
                    </w:rPr>
                    <w:t>+二级活性炭吸附装置处理，最后经一根23m高排气筒排放</w:t>
                  </w:r>
                </w:p>
              </w:tc>
              <w:tc>
                <w:tcPr>
                  <w:tcW w:w="520" w:type="pct"/>
                  <w:vAlign w:val="center"/>
                </w:tcPr>
                <w:p w14:paraId="1A5206D7">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4129B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4" w:hRule="atLeast"/>
              </w:trPr>
              <w:tc>
                <w:tcPr>
                  <w:tcW w:w="484" w:type="pct"/>
                  <w:vAlign w:val="center"/>
                </w:tcPr>
                <w:p w14:paraId="10333CA2">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2606" w:type="pct"/>
                  <w:vAlign w:val="center"/>
                </w:tcPr>
                <w:p w14:paraId="6EC4E2F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严格落实水污染防治行动计划、关于全面打造水清岸绿产业优美丽长江（安徽）经济带的实施意见以及集中区上轮规划环评及审查意见中有关要求，各企业应按清污分流、雨污分流原则建立完善的排水系统，加强企业废水污染源整治，确保达标纳管，在现有监管的基础上，进一步加强对生产企业监管力度，从废水预处理、建立完善的废水收集和排放体系方面，确保企业生产废水治理设施正常运转、达标纳管。企业废水预处理针对自身废水特点，遵循分质处理的原则，采用经济可行的处理方案，确保接管废水达到污水处理厂接管标准</w:t>
                  </w:r>
                  <w:r>
                    <w:rPr>
                      <w:rFonts w:hint="eastAsia" w:cs="Times New Roman"/>
                      <w:color w:val="auto"/>
                      <w:sz w:val="21"/>
                      <w:szCs w:val="21"/>
                      <w:highlight w:val="none"/>
                      <w:lang w:val="en-US" w:eastAsia="zh-CN"/>
                    </w:rPr>
                    <w:t>。</w:t>
                  </w:r>
                </w:p>
              </w:tc>
              <w:tc>
                <w:tcPr>
                  <w:tcW w:w="1389" w:type="pct"/>
                  <w:vAlign w:val="center"/>
                </w:tcPr>
                <w:p w14:paraId="4213335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厂区采取雨、污</w:t>
                  </w:r>
                  <w:r>
                    <w:rPr>
                      <w:rFonts w:hint="default" w:ascii="Times New Roman" w:hAnsi="Times New Roman" w:cs="Times New Roman"/>
                      <w:color w:val="auto"/>
                      <w:sz w:val="21"/>
                      <w:szCs w:val="21"/>
                      <w:highlight w:val="none"/>
                    </w:rPr>
                    <w:t>分流制</w:t>
                  </w:r>
                  <w:r>
                    <w:rPr>
                      <w:rFonts w:hint="eastAsia" w:ascii="Times New Roman" w:hAnsi="Times New Roman" w:cs="Times New Roman"/>
                      <w:color w:val="auto"/>
                      <w:sz w:val="21"/>
                      <w:szCs w:val="21"/>
                      <w:highlight w:val="none"/>
                      <w:lang w:eastAsia="zh-CN"/>
                    </w:rPr>
                    <w:t>，</w:t>
                  </w:r>
                  <w:r>
                    <w:rPr>
                      <w:rFonts w:hint="eastAsia" w:cs="Times New Roman"/>
                      <w:color w:val="auto"/>
                      <w:sz w:val="21"/>
                      <w:szCs w:val="21"/>
                      <w:highlight w:val="none"/>
                      <w:vertAlign w:val="baseline"/>
                      <w:lang w:val="en-US" w:eastAsia="zh-CN"/>
                    </w:rPr>
                    <w:t>项目</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w:t>
                  </w:r>
                  <w:r>
                    <w:rPr>
                      <w:rFonts w:hint="eastAsia" w:cs="Times New Roman"/>
                      <w:color w:val="auto"/>
                      <w:sz w:val="21"/>
                      <w:szCs w:val="21"/>
                      <w:highlight w:val="none"/>
                      <w:lang w:val="en-US" w:eastAsia="zh-CN"/>
                    </w:rPr>
                    <w:t>与冷却循环外排水一并</w:t>
                  </w:r>
                  <w:r>
                    <w:rPr>
                      <w:rFonts w:hint="eastAsia" w:ascii="Times New Roman" w:hAnsi="Times New Roman" w:cs="Times New Roman"/>
                      <w:color w:val="auto"/>
                      <w:sz w:val="21"/>
                      <w:szCs w:val="21"/>
                      <w:highlight w:val="none"/>
                      <w:lang w:eastAsia="zh-CN"/>
                    </w:rPr>
                    <w:t>排入</w:t>
                  </w:r>
                  <w:r>
                    <w:rPr>
                      <w:rFonts w:hint="eastAsia" w:cs="Times New Roman"/>
                      <w:color w:val="auto"/>
                      <w:sz w:val="21"/>
                      <w:szCs w:val="21"/>
                      <w:highlight w:val="none"/>
                      <w:lang w:eastAsia="zh-CN"/>
                    </w:rPr>
                    <w:t>皖江江南新兴产业集中区第一污水处理厂，</w:t>
                  </w:r>
                  <w:r>
                    <w:rPr>
                      <w:rFonts w:hint="eastAsia" w:ascii="Times New Roman" w:hAnsi="Times New Roman" w:cs="Times New Roman"/>
                      <w:color w:val="auto"/>
                      <w:sz w:val="21"/>
                      <w:szCs w:val="21"/>
                      <w:highlight w:val="none"/>
                      <w:lang w:eastAsia="zh-CN"/>
                    </w:rPr>
                    <w:t>处理达标后经九华河排入长江</w:t>
                  </w:r>
                  <w:r>
                    <w:rPr>
                      <w:rFonts w:hint="eastAsia" w:cs="Times New Roman"/>
                      <w:color w:val="auto"/>
                      <w:sz w:val="21"/>
                      <w:szCs w:val="21"/>
                      <w:highlight w:val="none"/>
                      <w:lang w:eastAsia="zh-CN"/>
                    </w:rPr>
                    <w:t>。满足水污染防治行动计划、关于全面打造水清岸绿产业优美丽长江（安徽）经济带的实施意见以及集中区上轮规划环评及审查意见中有关要求</w:t>
                  </w:r>
                </w:p>
              </w:tc>
              <w:tc>
                <w:tcPr>
                  <w:tcW w:w="520" w:type="pct"/>
                  <w:vAlign w:val="center"/>
                </w:tcPr>
                <w:p w14:paraId="79CEC9A7">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637E4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8" w:hRule="atLeast"/>
              </w:trPr>
              <w:tc>
                <w:tcPr>
                  <w:tcW w:w="484" w:type="pct"/>
                  <w:vAlign w:val="center"/>
                </w:tcPr>
                <w:p w14:paraId="67B4B021">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2606" w:type="pct"/>
                  <w:vAlign w:val="center"/>
                </w:tcPr>
                <w:p w14:paraId="702654F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建议企业在做好地下水防渗措施的基础上，监管人员做好企业和规划区的风险防范工作，加强安全教育和监管巡查力度，做好地下水跟踪监测，定期取地下水样进行监测，发现问题及时处理，避免建设项目对地下水环境造成恶化。</w:t>
                  </w:r>
                </w:p>
              </w:tc>
              <w:tc>
                <w:tcPr>
                  <w:tcW w:w="1389" w:type="pct"/>
                  <w:vAlign w:val="center"/>
                </w:tcPr>
                <w:p w14:paraId="3A4C4B0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项目采取分区防渗措施，危废暂存库进行重点防渗，原料仓库、成品仓库、生产区</w:t>
                  </w:r>
                  <w:r>
                    <w:rPr>
                      <w:rFonts w:hint="eastAsia" w:cs="Times New Roman"/>
                      <w:color w:val="auto"/>
                      <w:kern w:val="0"/>
                      <w:sz w:val="21"/>
                      <w:szCs w:val="21"/>
                      <w:highlight w:val="none"/>
                      <w:lang w:eastAsia="zh-CN" w:bidi="ar"/>
                    </w:rPr>
                    <w:t>进行</w:t>
                  </w:r>
                  <w:r>
                    <w:rPr>
                      <w:rFonts w:hint="eastAsia" w:ascii="Times New Roman" w:hAnsi="Times New Roman" w:cs="Times New Roman"/>
                      <w:color w:val="auto"/>
                      <w:kern w:val="0"/>
                      <w:sz w:val="21"/>
                      <w:szCs w:val="21"/>
                      <w:highlight w:val="none"/>
                      <w:lang w:eastAsia="zh-CN" w:bidi="ar"/>
                    </w:rPr>
                    <w:t>一般防渗</w:t>
                  </w:r>
                  <w:r>
                    <w:rPr>
                      <w:rFonts w:hint="eastAsia" w:cs="Times New Roman"/>
                      <w:color w:val="auto"/>
                      <w:kern w:val="0"/>
                      <w:sz w:val="21"/>
                      <w:szCs w:val="21"/>
                      <w:highlight w:val="none"/>
                      <w:lang w:eastAsia="zh-CN" w:bidi="ar"/>
                    </w:rPr>
                    <w:t>，基本排除了土壤、地下水污染途径</w:t>
                  </w:r>
                </w:p>
              </w:tc>
              <w:tc>
                <w:tcPr>
                  <w:tcW w:w="520" w:type="pct"/>
                  <w:vAlign w:val="center"/>
                </w:tcPr>
                <w:p w14:paraId="1FD2A89B">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59BD5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6" w:hRule="atLeast"/>
              </w:trPr>
              <w:tc>
                <w:tcPr>
                  <w:tcW w:w="484" w:type="pct"/>
                  <w:vAlign w:val="center"/>
                </w:tcPr>
                <w:p w14:paraId="502859A3">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2606" w:type="pct"/>
                  <w:vAlign w:val="center"/>
                </w:tcPr>
                <w:p w14:paraId="701602B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包括加强环境管理、降低建设期间的施工噪声，对各企业高噪声设备采取降噪处理；加强区内的交通组织与管理，减轻交通噪声的影响；重点保护居民区、学校等敏感目标的声环境质量。在建设中落实“三同时”的要求，确保噪声达标排放。</w:t>
                  </w:r>
                </w:p>
              </w:tc>
              <w:tc>
                <w:tcPr>
                  <w:tcW w:w="1389" w:type="pct"/>
                  <w:vAlign w:val="center"/>
                </w:tcPr>
                <w:p w14:paraId="3FF92D8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项目采取选用低噪声设备、合理布局、厂房隔声、设备减振等措施，厂界噪声预测值均满足《工业企业厂界环境噪声排放标准》（GB12348-2008）3类标准限值要求</w:t>
                  </w:r>
                </w:p>
              </w:tc>
              <w:tc>
                <w:tcPr>
                  <w:tcW w:w="520" w:type="pct"/>
                  <w:vAlign w:val="center"/>
                </w:tcPr>
                <w:p w14:paraId="42D00C02">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14:paraId="20242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484" w:type="pct"/>
                  <w:vAlign w:val="center"/>
                </w:tcPr>
                <w:p w14:paraId="78AE203D">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c>
                <w:tcPr>
                  <w:tcW w:w="2606" w:type="pct"/>
                  <w:vAlign w:val="center"/>
                </w:tcPr>
                <w:p w14:paraId="2180105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（1）机械电子产业：</w:t>
                  </w:r>
                </w:p>
                <w:p w14:paraId="543BCDA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表面处理中心以外的电镀生产工艺（其他必须配套电镀工序的企业，应严格控制其镀种和在电镀中心以外布局，其选址需经过充分环境影响论证）；②禁止引入国家产业指导目录中非鼓励类铅酸电池项目。</w:t>
                  </w:r>
                </w:p>
                <w:p w14:paraId="7AD22FD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（3）新型材料产业：</w:t>
                  </w:r>
                </w:p>
                <w:p w14:paraId="05E6A99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①禁止引入能耗物耗高、环境污染大、产出效益低的国家或省规定禁止的其他落后工艺；</w:t>
                  </w:r>
                </w:p>
                <w:p w14:paraId="0D83243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②禁止引入表面处理中心以外的电镀生产工艺（其他必须配套电镀工序的企业，应严格控制其镀种和在电镀中心以外布局，其选址需经过充分环境影响论证）；③禁止引入多晶硅、单晶硅制造等前道生产工序；</w:t>
                  </w:r>
                </w:p>
                <w:p w14:paraId="5846F31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④禁止引入酸、碱、肥料、农药以及化学合成制药等污染严重的化工项目，为集中区内项目上下游配套、污染较轻的，以及单纯混合和分装的复配项目需经项目环评阶段充分论证后方可准入；</w:t>
                  </w:r>
                </w:p>
                <w:p w14:paraId="068C4F3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⑤从严控制规模效益差、能源资源消耗大、环境影响严重的项目进入，包括钢铁、有色金属原矿冶炼、石化、焦化、水泥、原浆造纸、制革、平板玻璃和非金属矿原矿加工等项目。</w:t>
                  </w:r>
                </w:p>
                <w:p w14:paraId="3CB3CDF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（3）大健康产业</w:t>
                  </w:r>
                </w:p>
                <w:p w14:paraId="5B82627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①禁止引入《产业结构调整指导目录（2019年本）》等产业政策中限制类和淘汰类设备和工艺；</w:t>
                  </w:r>
                </w:p>
                <w:p w14:paraId="6A29070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②禁止引入涉及化学合成工序的制药类项目。</w:t>
                  </w:r>
                </w:p>
              </w:tc>
              <w:tc>
                <w:tcPr>
                  <w:tcW w:w="1389" w:type="pct"/>
                  <w:vAlign w:val="center"/>
                </w:tcPr>
                <w:p w14:paraId="1AED739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本项目属于C3974显示器件制造及C2929塑料零件及其他塑料制品制造，生产的产品均属于</w:t>
                  </w:r>
                  <w:r>
                    <w:rPr>
                      <w:rFonts w:hint="eastAsia" w:cs="Times New Roman"/>
                      <w:color w:val="auto"/>
                      <w:sz w:val="21"/>
                      <w:szCs w:val="21"/>
                      <w:highlight w:val="none"/>
                      <w:lang w:val="en-US" w:eastAsia="zh-CN"/>
                    </w:rPr>
                    <w:t>显示器件</w:t>
                  </w:r>
                  <w:r>
                    <w:rPr>
                      <w:rFonts w:hint="default" w:ascii="Times New Roman" w:hAnsi="Times New Roman" w:cs="Times New Roman"/>
                      <w:color w:val="auto"/>
                      <w:sz w:val="21"/>
                      <w:szCs w:val="21"/>
                      <w:highlight w:val="none"/>
                      <w:lang w:val="en-US" w:eastAsia="zh-CN"/>
                    </w:rPr>
                    <w:t>，属于主导产业中的</w:t>
                  </w:r>
                  <w:r>
                    <w:rPr>
                      <w:rFonts w:hint="eastAsia" w:cs="Times New Roman"/>
                      <w:color w:val="auto"/>
                      <w:sz w:val="21"/>
                      <w:szCs w:val="21"/>
                      <w:highlight w:val="none"/>
                      <w:lang w:val="en-US" w:eastAsia="zh-CN"/>
                    </w:rPr>
                    <w:t>机械电子</w:t>
                  </w:r>
                  <w:r>
                    <w:rPr>
                      <w:rFonts w:hint="default" w:ascii="Times New Roman" w:hAnsi="Times New Roman" w:cs="Times New Roman"/>
                      <w:color w:val="auto"/>
                      <w:sz w:val="21"/>
                      <w:szCs w:val="21"/>
                      <w:highlight w:val="none"/>
                      <w:lang w:val="en-US" w:eastAsia="zh-CN"/>
                    </w:rPr>
                    <w:t>产业</w:t>
                  </w:r>
                  <w:r>
                    <w:rPr>
                      <w:rFonts w:hint="eastAsia" w:cs="Times New Roman"/>
                      <w:color w:val="auto"/>
                      <w:sz w:val="21"/>
                      <w:szCs w:val="21"/>
                      <w:highlight w:val="none"/>
                      <w:lang w:val="en-US" w:eastAsia="zh-CN"/>
                    </w:rPr>
                    <w:t>，不在园区项目负面清单内</w:t>
                  </w:r>
                </w:p>
              </w:tc>
              <w:tc>
                <w:tcPr>
                  <w:tcW w:w="520" w:type="pct"/>
                  <w:vAlign w:val="center"/>
                </w:tcPr>
                <w:p w14:paraId="1BD6B367">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bl>
          <w:p w14:paraId="5BBD42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2" w:firstLineChars="200"/>
              <w:jc w:val="both"/>
              <w:textAlignment w:va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（2）与《安徽省环保厅关于安徽省江南产业集中区产业发展规划（2019-2030）环境影响报告书审查意见的函》相符性分析</w:t>
            </w:r>
          </w:p>
          <w:p w14:paraId="2086C8B8">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表1-2与《安徽省环保厅关于安徽省江南产业集中区产业发展规划（2019-2030）环境影响报告书审查意见的函》相符性分析</w:t>
            </w:r>
          </w:p>
          <w:tbl>
            <w:tblPr>
              <w:tblStyle w:val="26"/>
              <w:tblW w:w="7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7"/>
              <w:gridCol w:w="3683"/>
              <w:gridCol w:w="2230"/>
              <w:gridCol w:w="739"/>
            </w:tblGrid>
            <w:tr w14:paraId="0C3B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07" w:type="dxa"/>
                  <w:vAlign w:val="center"/>
                </w:tcPr>
                <w:p w14:paraId="32C7E517">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序号</w:t>
                  </w:r>
                </w:p>
              </w:tc>
              <w:tc>
                <w:tcPr>
                  <w:tcW w:w="3683" w:type="dxa"/>
                  <w:vAlign w:val="center"/>
                </w:tcPr>
                <w:p w14:paraId="23F14C3D">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文件要求</w:t>
                  </w:r>
                </w:p>
              </w:tc>
              <w:tc>
                <w:tcPr>
                  <w:tcW w:w="2230" w:type="dxa"/>
                  <w:vAlign w:val="center"/>
                </w:tcPr>
                <w:p w14:paraId="38CB6CDD">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本项目内容</w:t>
                  </w:r>
                </w:p>
              </w:tc>
              <w:tc>
                <w:tcPr>
                  <w:tcW w:w="739" w:type="dxa"/>
                  <w:vAlign w:val="center"/>
                </w:tcPr>
                <w:p w14:paraId="1A0C0731">
                  <w:pPr>
                    <w:spacing w:line="240" w:lineRule="auto"/>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cs="Times New Roman"/>
                      <w:b/>
                      <w:bCs/>
                      <w:color w:val="auto"/>
                      <w:sz w:val="21"/>
                      <w:szCs w:val="21"/>
                      <w:highlight w:val="none"/>
                      <w:lang w:val="en-US" w:eastAsia="zh-CN"/>
                    </w:rPr>
                    <w:t>相符性</w:t>
                  </w:r>
                </w:p>
              </w:tc>
            </w:tr>
            <w:tr w14:paraId="2AC2E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9" w:hRule="atLeast"/>
              </w:trPr>
              <w:tc>
                <w:tcPr>
                  <w:tcW w:w="607" w:type="dxa"/>
                  <w:vAlign w:val="center"/>
                </w:tcPr>
                <w:p w14:paraId="6B757150">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1</w:t>
                  </w:r>
                </w:p>
              </w:tc>
              <w:tc>
                <w:tcPr>
                  <w:tcW w:w="3683" w:type="dxa"/>
                  <w:vAlign w:val="center"/>
                </w:tcPr>
                <w:p w14:paraId="0DFE4F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鉴于集中区开发建设用地周边存在铜陵淡水豚国家级自然保护区、安徽贵池十八索省级自然保护区等重点环境敏感目标，集中区应严格落实《报告书》提出的污水集中处理、中水回用等工程措施，确保集中区污水不排入安徽贵池十八索省级自然保护区范围，污水经九华河入长江后，不降低铜陵淡水豚国家自然保护区现有水环境质量。要做好与九华山机场相关规划的衔接，建筑物高度应符合机场净空要求，并根据机场噪声对起步区的影响，合理规划在机场周边的用地布局。</w:t>
                  </w:r>
                </w:p>
              </w:tc>
              <w:tc>
                <w:tcPr>
                  <w:tcW w:w="2230" w:type="dxa"/>
                  <w:vAlign w:val="center"/>
                </w:tcPr>
                <w:p w14:paraId="75991B4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w:t>
                  </w:r>
                  <w:r>
                    <w:rPr>
                      <w:rFonts w:hint="eastAsia" w:cs="Times New Roman"/>
                      <w:color w:val="auto"/>
                      <w:sz w:val="21"/>
                      <w:szCs w:val="21"/>
                      <w:highlight w:val="none"/>
                      <w:lang w:val="en-US" w:eastAsia="zh-CN"/>
                    </w:rPr>
                    <w:t>与冷却循环外排水一并</w:t>
                  </w:r>
                  <w:r>
                    <w:rPr>
                      <w:rFonts w:hint="eastAsia" w:ascii="Times New Roman" w:hAnsi="Times New Roman" w:cs="Times New Roman"/>
                      <w:color w:val="auto"/>
                      <w:sz w:val="21"/>
                      <w:szCs w:val="21"/>
                      <w:highlight w:val="none"/>
                      <w:lang w:eastAsia="zh-CN"/>
                    </w:rPr>
                    <w:t>排入</w:t>
                  </w:r>
                  <w:r>
                    <w:rPr>
                      <w:rFonts w:hint="eastAsia" w:cs="Times New Roman"/>
                      <w:color w:val="auto"/>
                      <w:sz w:val="21"/>
                      <w:szCs w:val="21"/>
                      <w:highlight w:val="none"/>
                      <w:lang w:eastAsia="zh-CN"/>
                    </w:rPr>
                    <w:t>皖江江南新兴产业集中区第一污水处理厂</w:t>
                  </w:r>
                  <w:r>
                    <w:rPr>
                      <w:rFonts w:hint="eastAsia" w:ascii="Times New Roman" w:hAnsi="Times New Roman" w:cs="Times New Roman"/>
                      <w:color w:val="auto"/>
                      <w:sz w:val="21"/>
                      <w:szCs w:val="21"/>
                      <w:highlight w:val="none"/>
                      <w:lang w:eastAsia="zh-CN"/>
                    </w:rPr>
                    <w:t>，处理达标后经九华河排入长江</w:t>
                  </w:r>
                  <w:r>
                    <w:rPr>
                      <w:rFonts w:hint="eastAsia" w:cs="Times New Roman"/>
                      <w:color w:val="auto"/>
                      <w:sz w:val="21"/>
                      <w:szCs w:val="21"/>
                      <w:highlight w:val="none"/>
                      <w:lang w:eastAsia="zh-CN"/>
                    </w:rPr>
                    <w:t>，</w:t>
                  </w:r>
                  <w:r>
                    <w:rPr>
                      <w:rFonts w:hint="eastAsia" w:cs="Times New Roman"/>
                      <w:color w:val="auto"/>
                      <w:sz w:val="21"/>
                      <w:szCs w:val="21"/>
                      <w:highlight w:val="none"/>
                      <w:vertAlign w:val="baseline"/>
                      <w:lang w:val="en-US" w:eastAsia="zh-CN"/>
                    </w:rPr>
                    <w:t>不会对铜陵淡水豚国家级自然保护区生态环境质量产生不利影响</w:t>
                  </w:r>
                </w:p>
              </w:tc>
              <w:tc>
                <w:tcPr>
                  <w:tcW w:w="739" w:type="dxa"/>
                  <w:vAlign w:val="center"/>
                </w:tcPr>
                <w:p w14:paraId="323A8D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2FF3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9" w:hRule="atLeast"/>
              </w:trPr>
              <w:tc>
                <w:tcPr>
                  <w:tcW w:w="607" w:type="dxa"/>
                  <w:vAlign w:val="center"/>
                </w:tcPr>
                <w:p w14:paraId="4C0DD10B">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2</w:t>
                  </w:r>
                </w:p>
              </w:tc>
              <w:tc>
                <w:tcPr>
                  <w:tcW w:w="3683" w:type="dxa"/>
                  <w:vAlign w:val="center"/>
                </w:tcPr>
                <w:p w14:paraId="3F84417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保护问题，确保自然保护区和居民生态环境质量不降低。</w:t>
                  </w:r>
                </w:p>
              </w:tc>
              <w:tc>
                <w:tcPr>
                  <w:tcW w:w="2230" w:type="dxa"/>
                  <w:vAlign w:val="center"/>
                </w:tcPr>
                <w:p w14:paraId="41914F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本项目位于池州市皖江江南新兴产业集中区孵化园A4厂房</w:t>
                  </w:r>
                  <w:r>
                    <w:rPr>
                      <w:rFonts w:hint="eastAsia" w:cs="Times New Roman"/>
                      <w:color w:val="auto"/>
                      <w:sz w:val="21"/>
                      <w:szCs w:val="21"/>
                      <w:highlight w:val="none"/>
                      <w:lang w:val="en-US" w:eastAsia="zh-CN"/>
                    </w:rPr>
                    <w:t>，项目周边均为工业企业标准化厂房。</w:t>
                  </w:r>
                </w:p>
              </w:tc>
              <w:tc>
                <w:tcPr>
                  <w:tcW w:w="739" w:type="dxa"/>
                  <w:vAlign w:val="center"/>
                </w:tcPr>
                <w:p w14:paraId="2C5E44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10CA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3" w:hRule="atLeast"/>
              </w:trPr>
              <w:tc>
                <w:tcPr>
                  <w:tcW w:w="607" w:type="dxa"/>
                  <w:vAlign w:val="center"/>
                </w:tcPr>
                <w:p w14:paraId="1BC5CA2D">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3</w:t>
                  </w:r>
                </w:p>
              </w:tc>
              <w:tc>
                <w:tcPr>
                  <w:tcW w:w="3683" w:type="dxa"/>
                  <w:vAlign w:val="center"/>
                </w:tcPr>
                <w:p w14:paraId="0BC64A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要坚决落实关于“共抓大保护，不搞大开发”的要求，在规划确定的集中区产业定位总体框架下，充分考虑与区域产业布局的互补，进一步优化发展重点，最大限度控制集中区污染物排放量和排放强度。</w:t>
                  </w:r>
                </w:p>
              </w:tc>
              <w:tc>
                <w:tcPr>
                  <w:tcW w:w="2230" w:type="dxa"/>
                  <w:vAlign w:val="center"/>
                </w:tcPr>
                <w:p w14:paraId="4CFE5480">
                  <w:pPr>
                    <w:pStyle w:val="12"/>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val="en-US" w:eastAsia="zh-CN"/>
                    </w:rPr>
                    <w:t>本项目属于C3974显示器件制造及C2929塑料零件及其他塑料制品制造，生产的产品均属于</w:t>
                  </w:r>
                  <w:r>
                    <w:rPr>
                      <w:rFonts w:hint="eastAsia" w:cs="Times New Roman"/>
                      <w:color w:val="auto"/>
                      <w:sz w:val="21"/>
                      <w:szCs w:val="21"/>
                      <w:highlight w:val="none"/>
                      <w:lang w:val="en-US" w:eastAsia="zh-CN"/>
                    </w:rPr>
                    <w:t>显示器件</w:t>
                  </w:r>
                  <w:r>
                    <w:rPr>
                      <w:rFonts w:hint="default" w:ascii="Times New Roman" w:hAnsi="Times New Roman" w:cs="Times New Roman"/>
                      <w:color w:val="auto"/>
                      <w:sz w:val="21"/>
                      <w:szCs w:val="21"/>
                      <w:highlight w:val="none"/>
                      <w:lang w:val="en-US" w:eastAsia="zh-CN"/>
                    </w:rPr>
                    <w:t>，属于主导产业中的</w:t>
                  </w:r>
                  <w:r>
                    <w:rPr>
                      <w:rFonts w:hint="eastAsia" w:cs="Times New Roman"/>
                      <w:color w:val="auto"/>
                      <w:sz w:val="21"/>
                      <w:szCs w:val="21"/>
                      <w:highlight w:val="none"/>
                      <w:lang w:val="en-US" w:eastAsia="zh-CN"/>
                    </w:rPr>
                    <w:t>机械电子</w:t>
                  </w:r>
                  <w:r>
                    <w:rPr>
                      <w:rFonts w:hint="default" w:ascii="Times New Roman" w:hAnsi="Times New Roman" w:cs="Times New Roman"/>
                      <w:color w:val="auto"/>
                      <w:sz w:val="21"/>
                      <w:szCs w:val="21"/>
                      <w:highlight w:val="none"/>
                      <w:lang w:val="en-US" w:eastAsia="zh-CN"/>
                    </w:rPr>
                    <w:t>产业</w:t>
                  </w:r>
                  <w:r>
                    <w:rPr>
                      <w:rFonts w:hint="eastAsia" w:cs="Times New Roman"/>
                      <w:color w:val="auto"/>
                      <w:sz w:val="21"/>
                      <w:szCs w:val="21"/>
                      <w:highlight w:val="none"/>
                      <w:lang w:val="en-US" w:eastAsia="zh-CN"/>
                    </w:rPr>
                    <w:t>，项目生产过程中产生的废气、废水、噪声、固废按照评价要求落实相应的污染物治理措施后，可确保</w:t>
                  </w:r>
                  <w:r>
                    <w:rPr>
                      <w:rFonts w:hint="eastAsia"/>
                      <w:color w:val="auto"/>
                      <w:sz w:val="21"/>
                      <w:szCs w:val="21"/>
                      <w:highlight w:val="none"/>
                      <w:lang w:eastAsia="zh-CN"/>
                    </w:rPr>
                    <w:t>废气、废水、噪声达标排放，固废妥善处置</w:t>
                  </w:r>
                  <w:r>
                    <w:rPr>
                      <w:rFonts w:hint="eastAsia" w:cs="Times New Roman"/>
                      <w:color w:val="auto"/>
                      <w:sz w:val="21"/>
                      <w:szCs w:val="21"/>
                      <w:highlight w:val="none"/>
                      <w:lang w:val="en-US" w:eastAsia="zh-CN"/>
                    </w:rPr>
                    <w:t>，不会对区域生态环境质量产生不利影响</w:t>
                  </w:r>
                </w:p>
              </w:tc>
              <w:tc>
                <w:tcPr>
                  <w:tcW w:w="739" w:type="dxa"/>
                  <w:vAlign w:val="center"/>
                </w:tcPr>
                <w:p w14:paraId="2EE39D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744D6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6" w:hRule="atLeast"/>
              </w:trPr>
              <w:tc>
                <w:tcPr>
                  <w:tcW w:w="607" w:type="dxa"/>
                  <w:vAlign w:val="center"/>
                </w:tcPr>
                <w:p w14:paraId="7BACDEA8">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4</w:t>
                  </w:r>
                </w:p>
              </w:tc>
              <w:tc>
                <w:tcPr>
                  <w:tcW w:w="3683" w:type="dxa"/>
                  <w:vAlign w:val="center"/>
                </w:tcPr>
                <w:p w14:paraId="05D900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入园项目应严格执行水环境保护相关标准和要求，坚持环保优先原则，强化水资源管理，保留集中区内现有天然水体。提高水重复利用率，制定并实施集中区节水规划，积极推进水资源综合利用和企业用水量控制，切实提高水资源利用率。集中区开发应同步建设完善污水收水管网，确保集中区内污水全收集、全处理，充分考虑中水回用等节水措施，确保集中区建设不降低区域地表水环境质量和水体功能。</w:t>
                  </w:r>
                </w:p>
              </w:tc>
              <w:tc>
                <w:tcPr>
                  <w:tcW w:w="2230" w:type="dxa"/>
                  <w:vAlign w:val="center"/>
                </w:tcPr>
                <w:p w14:paraId="7FF4DF3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项目</w:t>
                  </w:r>
                  <w:r>
                    <w:rPr>
                      <w:rFonts w:hint="eastAsia" w:cs="Times New Roman"/>
                      <w:color w:val="auto"/>
                      <w:sz w:val="21"/>
                      <w:szCs w:val="21"/>
                      <w:highlight w:val="none"/>
                      <w:lang w:eastAsia="zh-CN"/>
                    </w:rPr>
                    <w:t>采取雨、污</w:t>
                  </w:r>
                  <w:r>
                    <w:rPr>
                      <w:rFonts w:hint="default" w:ascii="Times New Roman" w:hAnsi="Times New Roman" w:cs="Times New Roman"/>
                      <w:color w:val="auto"/>
                      <w:sz w:val="21"/>
                      <w:szCs w:val="21"/>
                      <w:highlight w:val="none"/>
                    </w:rPr>
                    <w:t>分流制</w:t>
                  </w:r>
                  <w:r>
                    <w:rPr>
                      <w:rFonts w:hint="eastAsia" w:ascii="Times New Roman" w:hAnsi="Times New Roman" w:cs="Times New Roman"/>
                      <w:color w:val="auto"/>
                      <w:sz w:val="21"/>
                      <w:szCs w:val="21"/>
                      <w:highlight w:val="none"/>
                      <w:lang w:eastAsia="zh-CN"/>
                    </w:rPr>
                    <w:t>，生活污水经园区化粪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w:t>
                  </w:r>
                  <w:r>
                    <w:rPr>
                      <w:rFonts w:hint="eastAsia" w:cs="Times New Roman"/>
                      <w:color w:val="auto"/>
                      <w:sz w:val="21"/>
                      <w:szCs w:val="21"/>
                      <w:highlight w:val="none"/>
                      <w:lang w:val="en-US" w:eastAsia="zh-CN"/>
                    </w:rPr>
                    <w:t>与冷却循环外排水一并</w:t>
                  </w:r>
                  <w:r>
                    <w:rPr>
                      <w:rFonts w:hint="eastAsia" w:ascii="Times New Roman" w:hAnsi="Times New Roman" w:cs="Times New Roman"/>
                      <w:color w:val="auto"/>
                      <w:sz w:val="21"/>
                      <w:szCs w:val="21"/>
                      <w:highlight w:val="none"/>
                      <w:lang w:eastAsia="zh-CN"/>
                    </w:rPr>
                    <w:t>排入</w:t>
                  </w:r>
                  <w:r>
                    <w:rPr>
                      <w:rFonts w:hint="eastAsia" w:cs="Times New Roman"/>
                      <w:color w:val="auto"/>
                      <w:sz w:val="21"/>
                      <w:szCs w:val="21"/>
                      <w:highlight w:val="none"/>
                      <w:lang w:eastAsia="zh-CN"/>
                    </w:rPr>
                    <w:t>皖江江南新兴产业集中区第一污水处理厂</w:t>
                  </w:r>
                  <w:r>
                    <w:rPr>
                      <w:rFonts w:hint="eastAsia" w:ascii="Times New Roman" w:hAnsi="Times New Roman" w:cs="Times New Roman"/>
                      <w:color w:val="auto"/>
                      <w:sz w:val="21"/>
                      <w:szCs w:val="21"/>
                      <w:highlight w:val="none"/>
                      <w:lang w:eastAsia="zh-CN"/>
                    </w:rPr>
                    <w:t>，处理达标后经九华河排入长江</w:t>
                  </w:r>
                </w:p>
              </w:tc>
              <w:tc>
                <w:tcPr>
                  <w:tcW w:w="739" w:type="dxa"/>
                  <w:vAlign w:val="center"/>
                </w:tcPr>
                <w:p w14:paraId="347685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23704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607" w:type="dxa"/>
                  <w:vAlign w:val="center"/>
                </w:tcPr>
                <w:p w14:paraId="61AAD7DB">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5</w:t>
                  </w:r>
                </w:p>
              </w:tc>
              <w:tc>
                <w:tcPr>
                  <w:tcW w:w="3683" w:type="dxa"/>
                  <w:vAlign w:val="center"/>
                </w:tcPr>
                <w:p w14:paraId="50F2FB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加快集中区燃气、集中供气等清洁能源规划实施进度，全面落实《安徽省大气污染防治行动计划实施方案》各项要求。按规定落实各类固体废物的收集和处理处置，特别是危险废物的收集、暂存、转运、处置。</w:t>
                  </w:r>
                </w:p>
              </w:tc>
              <w:tc>
                <w:tcPr>
                  <w:tcW w:w="2230" w:type="dxa"/>
                  <w:vAlign w:val="center"/>
                </w:tcPr>
                <w:p w14:paraId="27D29D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olor w:val="auto"/>
                      <w:sz w:val="21"/>
                      <w:szCs w:val="21"/>
                      <w:highlight w:val="none"/>
                      <w:lang w:eastAsia="zh-CN"/>
                    </w:rPr>
                    <w:t>本项目</w:t>
                  </w:r>
                  <w:r>
                    <w:rPr>
                      <w:color w:val="auto"/>
                      <w:sz w:val="21"/>
                      <w:szCs w:val="21"/>
                      <w:highlight w:val="none"/>
                    </w:rPr>
                    <w:t>固体废物均资源化和无害</w:t>
                  </w:r>
                  <w:r>
                    <w:rPr>
                      <w:rFonts w:hint="eastAsia"/>
                      <w:color w:val="auto"/>
                      <w:sz w:val="21"/>
                      <w:szCs w:val="21"/>
                      <w:highlight w:val="none"/>
                      <w:lang w:eastAsia="zh-CN"/>
                    </w:rPr>
                    <w:t>化</w:t>
                  </w:r>
                  <w:r>
                    <w:rPr>
                      <w:color w:val="auto"/>
                      <w:sz w:val="21"/>
                      <w:szCs w:val="21"/>
                      <w:highlight w:val="none"/>
                    </w:rPr>
                    <w:t>处理(危险废物拟委托有相应危废处理资质的单位进行处理)</w:t>
                  </w:r>
                </w:p>
              </w:tc>
              <w:tc>
                <w:tcPr>
                  <w:tcW w:w="739" w:type="dxa"/>
                  <w:vAlign w:val="center"/>
                </w:tcPr>
                <w:p w14:paraId="1E78F0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18E45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607" w:type="dxa"/>
                  <w:vAlign w:val="center"/>
                </w:tcPr>
                <w:p w14:paraId="6D08E282">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6</w:t>
                  </w:r>
                </w:p>
              </w:tc>
              <w:tc>
                <w:tcPr>
                  <w:tcW w:w="3683" w:type="dxa"/>
                  <w:vAlign w:val="center"/>
                </w:tcPr>
                <w:p w14:paraId="092D5C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建立健全集中区环境监控体系，坚持预防为主、防控结合，制定并落实集中区综合环境风险防范、预警和应急体系，及时更新升级各类突发环境事件应急预案，做好应急软硬件建设和储备。</w:t>
                  </w:r>
                </w:p>
              </w:tc>
              <w:tc>
                <w:tcPr>
                  <w:tcW w:w="2230" w:type="dxa"/>
                  <w:vAlign w:val="center"/>
                </w:tcPr>
                <w:p w14:paraId="016B6E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lang w:eastAsia="zh-CN"/>
                    </w:rPr>
                    <w:t>本次评价要求项目建成后及时编制突发环境事件应急预案，做到预防为主，防控结合</w:t>
                  </w:r>
                </w:p>
              </w:tc>
              <w:tc>
                <w:tcPr>
                  <w:tcW w:w="739" w:type="dxa"/>
                  <w:vAlign w:val="center"/>
                </w:tcPr>
                <w:p w14:paraId="2575CB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61F78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607" w:type="dxa"/>
                  <w:vAlign w:val="center"/>
                </w:tcPr>
                <w:p w14:paraId="1A90C2B2">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7</w:t>
                  </w:r>
                </w:p>
              </w:tc>
              <w:tc>
                <w:tcPr>
                  <w:tcW w:w="3683" w:type="dxa"/>
                  <w:vAlign w:val="center"/>
                </w:tcPr>
                <w:p w14:paraId="4AFF52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加强环境保护制度建设和管理。入区项目应严格执行环境影响评价制度和环保“三同时”制度；新增污染物排放总量，应严格按照污染物排放总量控制的要求执行。在规划实施过程中，每隔五年进行一次环境影响跟踪评价，规划修编应重新编制环境影响报告书。</w:t>
                  </w:r>
                </w:p>
              </w:tc>
              <w:tc>
                <w:tcPr>
                  <w:tcW w:w="2230" w:type="dxa"/>
                  <w:vAlign w:val="center"/>
                </w:tcPr>
                <w:p w14:paraId="4CAEA7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本评价要求项目严格按照“三同时”制度，新增污染物总量来源明确</w:t>
                  </w:r>
                </w:p>
              </w:tc>
              <w:tc>
                <w:tcPr>
                  <w:tcW w:w="739" w:type="dxa"/>
                  <w:vAlign w:val="center"/>
                </w:tcPr>
                <w:p w14:paraId="2B12D7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bl>
          <w:p w14:paraId="64497C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rFonts w:hint="default" w:ascii="Times New Roman" w:hAnsi="Times New Roman" w:eastAsia="宋体" w:cs="Times New Roman"/>
                <w:color w:val="auto"/>
                <w:sz w:val="24"/>
                <w:szCs w:val="24"/>
                <w:highlight w:val="none"/>
                <w:lang w:eastAsia="zh-CN"/>
              </w:rPr>
              <w:t>综上，本项目建设</w:t>
            </w:r>
            <w:r>
              <w:rPr>
                <w:rFonts w:hint="eastAsia" w:ascii="宋体" w:hAnsi="宋体" w:eastAsia="宋体" w:cs="宋体"/>
                <w:color w:val="auto"/>
                <w:sz w:val="24"/>
                <w:szCs w:val="24"/>
                <w:highlight w:val="none"/>
                <w:lang w:val="en-US" w:eastAsia="zh-CN"/>
              </w:rPr>
              <w:t>符合</w:t>
            </w:r>
            <w:r>
              <w:rPr>
                <w:rFonts w:hint="eastAsia" w:ascii="Times New Roman" w:hAnsi="Times New Roman" w:cs="Times New Roman"/>
                <w:color w:val="auto"/>
                <w:sz w:val="24"/>
                <w:szCs w:val="24"/>
                <w:highlight w:val="none"/>
                <w:lang w:val="en-US" w:eastAsia="zh-CN"/>
              </w:rPr>
              <w:t>皖江江南新兴产业集中区</w:t>
            </w:r>
            <w:r>
              <w:rPr>
                <w:rFonts w:hint="eastAsia" w:ascii="宋体" w:hAnsi="宋体" w:eastAsia="宋体" w:cs="宋体"/>
                <w:color w:val="auto"/>
                <w:sz w:val="24"/>
                <w:szCs w:val="24"/>
                <w:highlight w:val="none"/>
                <w:lang w:val="en-US" w:eastAsia="zh-CN"/>
              </w:rPr>
              <w:t>总体发展规划及规划环评要求。</w:t>
            </w:r>
          </w:p>
          <w:p w14:paraId="4D613B82">
            <w:pPr>
              <w:pStyle w:val="22"/>
              <w:spacing w:after="0" w:line="360" w:lineRule="auto"/>
              <w:ind w:firstLine="482" w:firstLineChars="200"/>
              <w:rPr>
                <w:rFonts w:hint="default" w:ascii="Times New Roman" w:hAnsi="Times New Roman" w:eastAsia="宋体" w:cs="Times New Roman"/>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3、与《池州市人民政府关于进一步明确皖江江南新兴产业集中区、池州经济技术开发区主导产业的批复》相符性分析</w:t>
            </w:r>
          </w:p>
          <w:p w14:paraId="64C699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rFonts w:hint="eastAsia" w:ascii="Times New Roman" w:hAnsi="Times New Roman" w:eastAsia="宋体" w:cs="Times New Roman"/>
                <w:color w:val="000000"/>
                <w:sz w:val="24"/>
                <w:highlight w:val="none"/>
                <w:lang w:val="en-US" w:eastAsia="zh-CN"/>
              </w:rPr>
              <w:t>根</w:t>
            </w:r>
            <w:r>
              <w:rPr>
                <w:rFonts w:hint="eastAsia" w:ascii="Times New Roman" w:hAnsi="Times New Roman" w:eastAsia="宋体" w:cs="Times New Roman"/>
                <w:b w:val="0"/>
                <w:bCs w:val="0"/>
                <w:color w:val="000000"/>
                <w:sz w:val="24"/>
                <w:highlight w:val="none"/>
                <w:lang w:val="en-US" w:eastAsia="zh-CN"/>
              </w:rPr>
              <w:t>据《池州市人民政府关于进一步明确皖江江南新兴产业集中区、池州经济技术开发区主导产业的批复》（池政秘【2025】15号）相关内容：原则同意将皖江江南新兴产业集中区主导产业明确为“有色金属冶炼和压延加工业（国民经济行业代码C32），计算机、通信和其他电子设备制造业（国民经济行业代码C39），铁路、船舶、航空航天和其他运输设备制造业（国民经济行业代码C37）”。</w:t>
            </w:r>
          </w:p>
          <w:p w14:paraId="0E6055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highlight w:val="none"/>
              </w:rPr>
            </w:pPr>
            <w:r>
              <w:rPr>
                <w:rFonts w:hint="default" w:ascii="Times New Roman" w:hAnsi="Times New Roman" w:cs="Times New Roman"/>
                <w:color w:val="auto"/>
                <w:sz w:val="24"/>
                <w:szCs w:val="24"/>
                <w:highlight w:val="none"/>
                <w:lang w:val="en-US" w:eastAsia="zh-CN"/>
              </w:rPr>
              <w:t>本项目属于</w:t>
            </w:r>
            <w:r>
              <w:rPr>
                <w:rFonts w:hint="eastAsia" w:ascii="Times New Roman" w:hAnsi="Times New Roman" w:cs="Times New Roman"/>
                <w:color w:val="auto"/>
                <w:sz w:val="24"/>
                <w:szCs w:val="24"/>
                <w:highlight w:val="none"/>
                <w:lang w:val="en-US" w:eastAsia="zh-CN"/>
              </w:rPr>
              <w:t>C3974显示器件制造</w:t>
            </w:r>
            <w:r>
              <w:rPr>
                <w:rFonts w:hint="eastAsia" w:cs="Times New Roman"/>
                <w:color w:val="auto"/>
                <w:sz w:val="24"/>
                <w:szCs w:val="24"/>
                <w:highlight w:val="none"/>
                <w:lang w:val="en-US" w:eastAsia="zh-CN"/>
              </w:rPr>
              <w:t>及C2929塑料零件及其他塑料制品制造</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生产的产品均属于显示器件，属于</w:t>
            </w:r>
            <w:r>
              <w:rPr>
                <w:rFonts w:hint="eastAsia" w:ascii="Times New Roman" w:hAnsi="Times New Roman" w:eastAsia="宋体" w:cs="Times New Roman"/>
                <w:b w:val="0"/>
                <w:bCs w:val="0"/>
                <w:color w:val="000000"/>
                <w:sz w:val="24"/>
                <w:highlight w:val="none"/>
                <w:lang w:val="en-US" w:eastAsia="zh-CN"/>
              </w:rPr>
              <w:t>《池州市人民政府关于进一步明确皖江江南新兴产业集中区、池州经济技术开发区主导产业的批复》（池政秘【2025】15号）</w:t>
            </w:r>
            <w:r>
              <w:rPr>
                <w:rFonts w:hint="eastAsia" w:cs="Times New Roman"/>
                <w:color w:val="auto"/>
                <w:sz w:val="24"/>
                <w:szCs w:val="24"/>
                <w:highlight w:val="none"/>
                <w:lang w:val="en-US" w:eastAsia="zh-CN"/>
              </w:rPr>
              <w:t>中的</w:t>
            </w:r>
            <w:r>
              <w:rPr>
                <w:rFonts w:hint="eastAsia" w:ascii="Times New Roman" w:hAnsi="Times New Roman" w:eastAsia="宋体" w:cs="Times New Roman"/>
                <w:b w:val="0"/>
                <w:bCs w:val="0"/>
                <w:color w:val="000000"/>
                <w:sz w:val="24"/>
                <w:highlight w:val="none"/>
                <w:lang w:val="en-US" w:eastAsia="zh-CN"/>
              </w:rPr>
              <w:t>计算机、通信和其他电子设备制造业（国民经济行业代码C39）。</w:t>
            </w:r>
          </w:p>
        </w:tc>
      </w:tr>
      <w:tr w14:paraId="794DD4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4" w:type="dxa"/>
            <w:noWrap w:val="0"/>
            <w:vAlign w:val="center"/>
          </w:tcPr>
          <w:p w14:paraId="09C9E877">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其他相符性分析</w:t>
            </w:r>
          </w:p>
        </w:tc>
        <w:tc>
          <w:tcPr>
            <w:tcW w:w="7810" w:type="dxa"/>
            <w:gridSpan w:val="3"/>
            <w:noWrap w:val="0"/>
            <w:vAlign w:val="center"/>
          </w:tcPr>
          <w:p w14:paraId="581BD05E">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1、产业政策相符性分析</w:t>
            </w:r>
          </w:p>
          <w:p w14:paraId="358021C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根据《国民经济行业分类》(GB/T4754-2017)，本项目属于</w:t>
            </w:r>
            <w:r>
              <w:rPr>
                <w:rFonts w:hint="eastAsia" w:cs="Times New Roman"/>
                <w:color w:val="auto"/>
                <w:sz w:val="24"/>
                <w:szCs w:val="24"/>
                <w:highlight w:val="none"/>
                <w:lang w:val="en-US" w:eastAsia="zh-CN"/>
              </w:rPr>
              <w:t>C3974</w:t>
            </w:r>
            <w:r>
              <w:rPr>
                <w:rFonts w:hint="eastAsia" w:ascii="Times New Roman" w:hAnsi="Times New Roman" w:cs="Times New Roman"/>
                <w:color w:val="auto"/>
                <w:sz w:val="24"/>
                <w:szCs w:val="24"/>
                <w:highlight w:val="none"/>
                <w:lang w:val="en-US" w:eastAsia="zh-CN"/>
              </w:rPr>
              <w:t>显示器件制造及C2929塑料零件及其他塑料制品制造。对照《产业结构调整指导目录（2024年本）》，本项目生产的产品不属于</w:t>
            </w:r>
            <w:r>
              <w:rPr>
                <w:rFonts w:hint="eastAsia" w:ascii="Times New Roman" w:hAnsi="Times New Roman" w:eastAsia="宋体" w:cs="Times New Roman"/>
                <w:color w:val="auto"/>
                <w:sz w:val="24"/>
                <w:szCs w:val="24"/>
                <w:highlight w:val="none"/>
                <w:lang w:val="en-US" w:eastAsia="zh-CN"/>
              </w:rPr>
              <w:t>《产业结构调整指导目录（2024年本）》中的限制类、淘汰类项目，属于允许类项目。</w:t>
            </w:r>
          </w:p>
          <w:p w14:paraId="51AE4C2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项目已在</w:t>
            </w:r>
            <w:r>
              <w:rPr>
                <w:rFonts w:hint="eastAsia" w:ascii="Times New Roman" w:hAnsi="Times New Roman" w:eastAsia="宋体" w:cs="Times New Roman"/>
                <w:color w:val="auto"/>
                <w:sz w:val="24"/>
                <w:szCs w:val="24"/>
                <w:highlight w:val="none"/>
                <w:lang w:eastAsia="zh-CN"/>
              </w:rPr>
              <w:t>皖江江南产业集中区管委会产业发展部备案</w:t>
            </w:r>
            <w:r>
              <w:rPr>
                <w:rFonts w:hint="eastAsia" w:ascii="Times New Roman" w:hAnsi="Times New Roman" w:cs="Times New Roman"/>
                <w:color w:val="auto"/>
                <w:sz w:val="24"/>
                <w:szCs w:val="24"/>
                <w:highlight w:val="none"/>
                <w:lang w:val="en-US" w:eastAsia="zh-CN"/>
              </w:rPr>
              <w:t>，备案号：</w:t>
            </w:r>
            <w:r>
              <w:rPr>
                <w:rFonts w:hint="eastAsia" w:cs="Times New Roman"/>
                <w:color w:val="auto"/>
                <w:sz w:val="24"/>
                <w:szCs w:val="24"/>
                <w:highlight w:val="none"/>
                <w:lang w:val="en-US" w:eastAsia="zh-CN"/>
              </w:rPr>
              <w:t>2508-341763-04-01-552874。</w:t>
            </w:r>
            <w:r>
              <w:rPr>
                <w:rFonts w:hint="eastAsia" w:ascii="Times New Roman" w:hAnsi="Times New Roman" w:cs="Times New Roman"/>
                <w:color w:val="auto"/>
                <w:sz w:val="24"/>
                <w:szCs w:val="24"/>
                <w:highlight w:val="none"/>
                <w:lang w:val="en-US" w:eastAsia="zh-CN"/>
              </w:rPr>
              <w:t>因此，本项目符合国家产业政策。</w:t>
            </w:r>
          </w:p>
          <w:p w14:paraId="6302A24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2、与周边环境相容性分析</w:t>
            </w:r>
          </w:p>
          <w:p w14:paraId="49936D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本项目</w:t>
            </w:r>
            <w:r>
              <w:rPr>
                <w:rFonts w:hint="eastAsia" w:eastAsia="宋体" w:cs="Times New Roman"/>
                <w:color w:val="auto"/>
                <w:sz w:val="24"/>
                <w:szCs w:val="24"/>
                <w:highlight w:val="none"/>
                <w:lang w:val="en-US" w:eastAsia="zh-CN"/>
              </w:rPr>
              <w:t>位于</w:t>
            </w:r>
            <w:r>
              <w:rPr>
                <w:rFonts w:hint="eastAsia" w:cs="Times New Roman"/>
                <w:color w:val="auto"/>
                <w:sz w:val="24"/>
                <w:szCs w:val="24"/>
                <w:highlight w:val="none"/>
                <w:lang w:val="en-US" w:eastAsia="zh-CN"/>
              </w:rPr>
              <w:t>池州市皖江江南新兴产业集中区科技孵化园A4厂房</w:t>
            </w:r>
            <w:r>
              <w:rPr>
                <w:rFonts w:hint="eastAsia" w:ascii="Times New Roman" w:hAnsi="Times New Roman" w:eastAsia="宋体" w:cs="Times New Roman"/>
                <w:color w:val="auto"/>
                <w:sz w:val="24"/>
                <w:szCs w:val="24"/>
                <w:highlight w:val="none"/>
                <w:lang w:val="en-US" w:eastAsia="zh-CN"/>
              </w:rPr>
              <w:t>，厂房位于皖江江南新兴产业集中区规划范围内。</w:t>
            </w:r>
            <w:r>
              <w:rPr>
                <w:rFonts w:hint="eastAsia" w:cs="Times New Roman"/>
                <w:color w:val="auto"/>
                <w:sz w:val="24"/>
                <w:szCs w:val="24"/>
                <w:highlight w:val="none"/>
                <w:lang w:val="en-US" w:eastAsia="zh-CN"/>
              </w:rPr>
              <w:t>A4厂房共计5层楼，其中1层东部区域以及2、3层全部区域被本项目租赁，1层西部区域以及4、5层全部区域现状为空置。</w:t>
            </w:r>
            <w:r>
              <w:rPr>
                <w:rFonts w:hint="eastAsia" w:ascii="Times New Roman" w:hAnsi="Times New Roman" w:eastAsia="宋体" w:cs="Times New Roman"/>
                <w:color w:val="auto"/>
                <w:sz w:val="24"/>
                <w:szCs w:val="24"/>
                <w:highlight w:val="none"/>
                <w:lang w:val="en-US" w:eastAsia="zh-CN"/>
              </w:rPr>
              <w:t>据现场勘探，</w:t>
            </w:r>
            <w:r>
              <w:rPr>
                <w:rFonts w:hint="eastAsia" w:eastAsia="宋体" w:cs="Times New Roman"/>
                <w:color w:val="auto"/>
                <w:sz w:val="24"/>
                <w:szCs w:val="24"/>
                <w:highlight w:val="none"/>
                <w:lang w:val="en-US" w:eastAsia="zh-CN"/>
              </w:rPr>
              <w:t>项目周边（南侧、西侧、北侧）均为工业化厂房，</w:t>
            </w:r>
            <w:r>
              <w:rPr>
                <w:rFonts w:hint="eastAsia" w:cs="Times New Roman"/>
                <w:color w:val="auto"/>
                <w:sz w:val="24"/>
                <w:szCs w:val="24"/>
                <w:highlight w:val="none"/>
                <w:lang w:val="en-US" w:eastAsia="zh-CN"/>
              </w:rPr>
              <w:t>东侧为仙寓山北路。</w:t>
            </w:r>
            <w:r>
              <w:rPr>
                <w:rFonts w:hint="eastAsia" w:ascii="Times New Roman" w:hAnsi="Times New Roman" w:eastAsia="宋体" w:cs="Times New Roman"/>
                <w:color w:val="auto"/>
                <w:sz w:val="24"/>
                <w:szCs w:val="24"/>
                <w:highlight w:val="none"/>
                <w:lang w:val="en-US" w:eastAsia="zh-CN"/>
              </w:rPr>
              <w:t>项目评价区域内无需特殊保护的濒危动植物，评价区域无国家级、省级和市级重点文物保护单位。本项目生产过程中产生的废气、废水、噪声、固废按照评价要求落实相应的污染物治理措施后，可确保废气、废水、噪声稳定达标排放，固废妥善处置，不会对区域生态环境质量产生不利影响。因此，本项目</w:t>
            </w:r>
            <w:r>
              <w:rPr>
                <w:rFonts w:hint="default" w:ascii="Times New Roman" w:hAnsi="Times New Roman" w:cs="Times New Roman"/>
                <w:color w:val="auto"/>
                <w:sz w:val="24"/>
                <w:szCs w:val="24"/>
                <w:highlight w:val="none"/>
              </w:rPr>
              <w:t>与周围环境</w:t>
            </w:r>
            <w:r>
              <w:rPr>
                <w:rFonts w:hint="eastAsia" w:cs="Times New Roman"/>
                <w:color w:val="auto"/>
                <w:sz w:val="24"/>
                <w:szCs w:val="24"/>
                <w:highlight w:val="none"/>
                <w:lang w:eastAsia="zh-CN"/>
              </w:rPr>
              <w:t>能够</w:t>
            </w:r>
            <w:r>
              <w:rPr>
                <w:rFonts w:hint="default" w:ascii="Times New Roman" w:hAnsi="Times New Roman" w:cs="Times New Roman"/>
                <w:color w:val="auto"/>
                <w:sz w:val="24"/>
                <w:szCs w:val="24"/>
                <w:highlight w:val="none"/>
              </w:rPr>
              <w:t>相容。</w:t>
            </w:r>
          </w:p>
          <w:p w14:paraId="4A5D0D45">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3、</w:t>
            </w:r>
            <w:r>
              <w:rPr>
                <w:rFonts w:hint="eastAsia" w:ascii="Times New Roman" w:hAnsi="Times New Roman" w:eastAsia="宋体" w:cs="Times New Roman"/>
                <w:b/>
                <w:bCs/>
                <w:color w:val="auto"/>
                <w:sz w:val="24"/>
                <w:szCs w:val="24"/>
                <w:highlight w:val="none"/>
                <w:lang w:val="en-US" w:eastAsia="zh-CN"/>
              </w:rPr>
              <w:t>选址符合性分析</w:t>
            </w:r>
          </w:p>
          <w:p w14:paraId="39D4172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本项目为新建项目，</w:t>
            </w:r>
            <w:r>
              <w:rPr>
                <w:rFonts w:hint="eastAsia" w:cs="Times New Roman"/>
                <w:color w:val="auto"/>
                <w:sz w:val="24"/>
                <w:szCs w:val="24"/>
                <w:highlight w:val="none"/>
                <w:lang w:val="en-US" w:eastAsia="zh-CN"/>
              </w:rPr>
              <w:t>池州市皖江江南新兴产业集中区科技孵化园A4厂房</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属于</w:t>
            </w:r>
            <w:r>
              <w:rPr>
                <w:rFonts w:hint="eastAsia" w:cs="Times New Roman"/>
                <w:color w:val="auto"/>
                <w:sz w:val="24"/>
                <w:szCs w:val="24"/>
                <w:highlight w:val="none"/>
                <w:lang w:val="en-US" w:eastAsia="zh-CN"/>
              </w:rPr>
              <w:t>皖江江南新兴产业集中区</w:t>
            </w:r>
            <w:r>
              <w:rPr>
                <w:rFonts w:hint="default" w:ascii="Times New Roman" w:hAnsi="Times New Roman" w:eastAsia="宋体" w:cs="Times New Roman"/>
                <w:color w:val="auto"/>
                <w:sz w:val="24"/>
                <w:szCs w:val="24"/>
                <w:highlight w:val="none"/>
                <w:lang w:val="en-US" w:eastAsia="zh-CN"/>
              </w:rPr>
              <w:t>范围。</w:t>
            </w:r>
            <w:r>
              <w:rPr>
                <w:rFonts w:hint="eastAsia" w:ascii="Times New Roman" w:hAnsi="Times New Roman" w:eastAsia="宋体" w:cs="Times New Roman"/>
                <w:color w:val="auto"/>
                <w:sz w:val="24"/>
                <w:szCs w:val="24"/>
                <w:highlight w:val="none"/>
                <w:lang w:eastAsia="zh-CN"/>
              </w:rPr>
              <w:t>根据《安徽省江南产业集中区总体规划》中</w:t>
            </w:r>
            <w:r>
              <w:rPr>
                <w:rFonts w:hint="eastAsia" w:cs="Times New Roman"/>
                <w:color w:val="auto"/>
                <w:sz w:val="24"/>
                <w:szCs w:val="24"/>
                <w:highlight w:val="none"/>
                <w:lang w:eastAsia="zh-CN"/>
              </w:rPr>
              <w:t>用地布局</w:t>
            </w:r>
            <w:r>
              <w:rPr>
                <w:rFonts w:hint="eastAsia" w:ascii="Times New Roman" w:hAnsi="Times New Roman" w:eastAsia="宋体" w:cs="Times New Roman"/>
                <w:color w:val="auto"/>
                <w:sz w:val="24"/>
                <w:szCs w:val="24"/>
                <w:highlight w:val="none"/>
                <w:lang w:eastAsia="zh-CN"/>
              </w:rPr>
              <w:t>图可知，</w:t>
            </w:r>
            <w:r>
              <w:rPr>
                <w:rFonts w:hint="default" w:ascii="Times New Roman" w:hAnsi="Times New Roman" w:eastAsia="宋体" w:cs="Times New Roman"/>
                <w:color w:val="auto"/>
                <w:sz w:val="24"/>
                <w:szCs w:val="24"/>
                <w:highlight w:val="none"/>
                <w:lang w:val="en-US" w:eastAsia="zh-CN"/>
              </w:rPr>
              <w:t>项目所在地为工业用地。园区交通便利，供水、供电、排水等基础设施完善，</w:t>
            </w:r>
            <w:r>
              <w:rPr>
                <w:rFonts w:hint="eastAsia" w:ascii="Times New Roman" w:hAnsi="Times New Roman" w:eastAsia="宋体" w:cs="Times New Roman"/>
                <w:color w:val="auto"/>
                <w:sz w:val="24"/>
                <w:szCs w:val="24"/>
                <w:highlight w:val="none"/>
                <w:lang w:val="en-US" w:eastAsia="zh-CN"/>
              </w:rPr>
              <w:t>因此项目</w:t>
            </w:r>
            <w:r>
              <w:rPr>
                <w:rFonts w:hint="eastAsia" w:cs="Times New Roman"/>
                <w:color w:val="auto"/>
                <w:sz w:val="24"/>
                <w:szCs w:val="24"/>
                <w:highlight w:val="none"/>
                <w:lang w:val="en-US" w:eastAsia="zh-CN"/>
              </w:rPr>
              <w:t>用地符合皖江江南新兴产业集中区规划要求</w:t>
            </w:r>
            <w:r>
              <w:rPr>
                <w:rFonts w:hint="eastAsia" w:ascii="Times New Roman" w:hAnsi="Times New Roman" w:eastAsia="宋体" w:cs="Times New Roman"/>
                <w:color w:val="auto"/>
                <w:sz w:val="24"/>
                <w:szCs w:val="24"/>
                <w:highlight w:val="none"/>
                <w:lang w:val="en-US" w:eastAsia="zh-CN"/>
              </w:rPr>
              <w:t>。</w:t>
            </w:r>
          </w:p>
          <w:p w14:paraId="43499CB4">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4</w:t>
            </w:r>
            <w:r>
              <w:rPr>
                <w:rFonts w:hint="default" w:ascii="Times New Roman" w:hAnsi="Times New Roman" w:cs="Times New Roman"/>
                <w:b/>
                <w:bCs/>
                <w:color w:val="auto"/>
                <w:sz w:val="24"/>
                <w:szCs w:val="24"/>
                <w:highlight w:val="none"/>
              </w:rPr>
              <w:t>、“三线一单”</w:t>
            </w:r>
            <w:r>
              <w:rPr>
                <w:rFonts w:hint="eastAsia" w:cs="Times New Roman"/>
                <w:b/>
                <w:bCs/>
                <w:color w:val="auto"/>
                <w:sz w:val="24"/>
                <w:szCs w:val="24"/>
                <w:highlight w:val="none"/>
                <w:lang w:eastAsia="zh-CN"/>
              </w:rPr>
              <w:t>生态环境分区管控</w:t>
            </w:r>
            <w:r>
              <w:rPr>
                <w:rFonts w:hint="default" w:ascii="Times New Roman" w:hAnsi="Times New Roman" w:cs="Times New Roman"/>
                <w:b/>
                <w:bCs/>
                <w:color w:val="auto"/>
                <w:sz w:val="24"/>
                <w:szCs w:val="24"/>
                <w:highlight w:val="none"/>
              </w:rPr>
              <w:t>符合性分析</w:t>
            </w:r>
          </w:p>
          <w:p w14:paraId="48AAC0F5">
            <w:pPr>
              <w:keepNext w:val="0"/>
              <w:keepLines w:val="0"/>
              <w:pageBreakBefore w:val="0"/>
              <w:kinsoku/>
              <w:wordWrap/>
              <w:overflowPunct/>
              <w:topLinePunct w:val="0"/>
              <w:autoSpaceDE/>
              <w:autoSpaceDN/>
              <w:bidi w:val="0"/>
              <w:adjustRightInd/>
              <w:snapToGrid/>
              <w:spacing w:line="360" w:lineRule="auto"/>
              <w:ind w:firstLine="476" w:firstLineChars="200"/>
              <w:textAlignment w:val="auto"/>
              <w:rPr>
                <w:rFonts w:hint="eastAsia"/>
                <w:color w:val="auto"/>
                <w:spacing w:val="6"/>
                <w:sz w:val="24"/>
                <w:szCs w:val="24"/>
                <w:highlight w:val="none"/>
              </w:rPr>
            </w:pPr>
            <w:r>
              <w:rPr>
                <w:color w:val="auto"/>
                <w:spacing w:val="-1"/>
                <w:sz w:val="24"/>
                <w:szCs w:val="24"/>
                <w:highlight w:val="none"/>
              </w:rPr>
              <w:t>根</w:t>
            </w:r>
            <w:r>
              <w:rPr>
                <w:rFonts w:hint="eastAsia" w:ascii="Times New Roman" w:hAnsi="Times New Roman" w:eastAsia="宋体" w:cs="Times New Roman"/>
                <w:snapToGrid/>
                <w:color w:val="auto"/>
                <w:kern w:val="2"/>
                <w:sz w:val="24"/>
                <w:szCs w:val="24"/>
                <w:highlight w:val="none"/>
                <w:lang w:val="en-US" w:eastAsia="zh-CN" w:bidi="ar-SA"/>
              </w:rPr>
              <w:t>据《安徽省“三线一单”生态环境分区管控管理办法（暂行）》（皖环发）〔2022〕5</w:t>
            </w:r>
            <w:r>
              <w:rPr>
                <w:color w:val="auto"/>
                <w:spacing w:val="-1"/>
                <w:sz w:val="24"/>
                <w:szCs w:val="24"/>
                <w:highlight w:val="none"/>
              </w:rPr>
              <w:t>号）要求：在建设项目环评中，做好与“三线一单”生态环境</w:t>
            </w:r>
            <w:r>
              <w:rPr>
                <w:color w:val="auto"/>
                <w:spacing w:val="7"/>
                <w:sz w:val="24"/>
                <w:szCs w:val="24"/>
                <w:highlight w:val="none"/>
              </w:rPr>
              <w:t>分区管控相符性分析，充分论证是否符合生</w:t>
            </w:r>
            <w:r>
              <w:rPr>
                <w:color w:val="auto"/>
                <w:spacing w:val="6"/>
                <w:sz w:val="24"/>
                <w:szCs w:val="24"/>
                <w:highlight w:val="none"/>
              </w:rPr>
              <w:t>态环境准入清单要求，对不符合</w:t>
            </w:r>
            <w:r>
              <w:rPr>
                <w:rFonts w:hint="eastAsia"/>
                <w:color w:val="auto"/>
                <w:spacing w:val="6"/>
                <w:sz w:val="24"/>
                <w:szCs w:val="24"/>
                <w:highlight w:val="none"/>
              </w:rPr>
              <w:t>的依法不予审批；以及生态环境部《关于以改善环境质量为核心加强环境影响评价管理的通知》（环环评〔2016〕150号）要求：切实加强环境影响评价管理，落实“生态保护红线、环境质量底线、资源利用上线和环境准入负面清单”约束，建立项目环评审批与规划环评、现有项目环境管理、区域环境质量联动机制，更好地发挥环评制度从源头防范环境污染和生态破坏的作用，加快推进改善环境质量。</w:t>
            </w:r>
          </w:p>
          <w:p w14:paraId="32294A54">
            <w:pPr>
              <w:spacing w:line="360" w:lineRule="auto"/>
              <w:ind w:firstLine="480"/>
              <w:rPr>
                <w:rFonts w:hint="default" w:ascii="Times New Roman" w:hAnsi="Times New Roman" w:eastAsia="宋体" w:cs="Times New Roman"/>
                <w:b/>
                <w:bCs w:val="0"/>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eastAsia="zh-CN"/>
              </w:rPr>
              <w:t>（</w:t>
            </w:r>
            <w:r>
              <w:rPr>
                <w:rFonts w:hint="eastAsia" w:ascii="Times New Roman" w:hAnsi="Times New Roman" w:eastAsia="宋体" w:cs="Times New Roman"/>
                <w:b/>
                <w:bCs w:val="0"/>
                <w:color w:val="auto"/>
                <w:sz w:val="24"/>
                <w:szCs w:val="24"/>
                <w:highlight w:val="none"/>
                <w:lang w:val="en-US" w:eastAsia="zh-CN"/>
              </w:rPr>
              <w:t>1</w:t>
            </w:r>
            <w:r>
              <w:rPr>
                <w:rFonts w:hint="eastAsia" w:ascii="Times New Roman" w:hAnsi="Times New Roman" w:eastAsia="宋体" w:cs="Times New Roman"/>
                <w:b/>
                <w:bCs w:val="0"/>
                <w:color w:val="auto"/>
                <w:sz w:val="24"/>
                <w:szCs w:val="24"/>
                <w:highlight w:val="none"/>
                <w:lang w:eastAsia="zh-CN"/>
              </w:rPr>
              <w:t>）</w:t>
            </w:r>
            <w:r>
              <w:rPr>
                <w:rFonts w:hint="default" w:ascii="Times New Roman" w:hAnsi="Times New Roman" w:eastAsia="宋体" w:cs="Times New Roman"/>
                <w:b/>
                <w:bCs w:val="0"/>
                <w:color w:val="auto"/>
                <w:sz w:val="24"/>
                <w:szCs w:val="24"/>
                <w:highlight w:val="none"/>
                <w:lang w:val="en-US" w:eastAsia="zh-CN"/>
              </w:rPr>
              <w:t>生态保护红线</w:t>
            </w:r>
          </w:p>
          <w:p w14:paraId="601E85FF">
            <w:pPr>
              <w:keepNext w:val="0"/>
              <w:keepLines w:val="0"/>
              <w:pageBreakBefore w:val="0"/>
              <w:kinsoku/>
              <w:wordWrap/>
              <w:overflowPunct/>
              <w:topLinePunct w:val="0"/>
              <w:autoSpaceDE/>
              <w:autoSpaceDN/>
              <w:bidi w:val="0"/>
              <w:adjustRightInd/>
              <w:snapToGrid/>
              <w:spacing w:line="360" w:lineRule="auto"/>
              <w:ind w:firstLine="504" w:firstLineChars="200"/>
              <w:textAlignment w:val="auto"/>
              <w:rPr>
                <w:rFonts w:hint="eastAsia" w:ascii="Times New Roman" w:hAnsi="Times New Roman" w:eastAsia="宋体" w:cs="Times New Roman"/>
                <w:color w:val="auto"/>
                <w:spacing w:val="6"/>
                <w:sz w:val="24"/>
                <w:szCs w:val="24"/>
                <w:highlight w:val="none"/>
              </w:rPr>
            </w:pPr>
            <w:r>
              <w:rPr>
                <w:rFonts w:hint="eastAsia" w:ascii="Times New Roman" w:hAnsi="Times New Roman" w:eastAsia="宋体" w:cs="Times New Roman"/>
                <w:color w:val="auto"/>
                <w:spacing w:val="6"/>
                <w:sz w:val="24"/>
                <w:szCs w:val="24"/>
                <w:highlight w:val="none"/>
                <w:lang w:eastAsia="zh-CN"/>
              </w:rPr>
              <w:t>建设项目位于</w:t>
            </w:r>
            <w:r>
              <w:rPr>
                <w:rFonts w:hint="eastAsia" w:cs="Times New Roman"/>
                <w:color w:val="auto"/>
                <w:spacing w:val="6"/>
                <w:sz w:val="24"/>
                <w:szCs w:val="24"/>
                <w:highlight w:val="none"/>
                <w:lang w:val="en-US" w:eastAsia="zh-CN"/>
              </w:rPr>
              <w:t>池州市皖江江南新兴产业集中区科技孵化园A4厂房</w:t>
            </w:r>
            <w:r>
              <w:rPr>
                <w:rFonts w:hint="eastAsia" w:ascii="Times New Roman" w:hAnsi="Times New Roman" w:eastAsia="宋体" w:cs="Times New Roman"/>
                <w:color w:val="auto"/>
                <w:spacing w:val="6"/>
                <w:sz w:val="24"/>
                <w:szCs w:val="24"/>
                <w:highlight w:val="none"/>
                <w:lang w:eastAsia="zh-CN"/>
              </w:rPr>
              <w:t>，用地性质为工业用地。对照安徽省“三线一单”公众服务平台</w:t>
            </w:r>
            <w:r>
              <w:rPr>
                <w:rFonts w:hint="eastAsia" w:ascii="Times New Roman" w:hAnsi="Times New Roman" w:eastAsia="宋体" w:cs="Times New Roman"/>
                <w:color w:val="auto"/>
                <w:spacing w:val="6"/>
                <w:sz w:val="24"/>
                <w:szCs w:val="24"/>
                <w:highlight w:val="none"/>
                <w:lang w:val="en-US" w:eastAsia="zh-CN"/>
              </w:rPr>
              <w:t>以及</w:t>
            </w:r>
            <w:r>
              <w:rPr>
                <w:rFonts w:hint="eastAsia" w:ascii="Times New Roman" w:hAnsi="Times New Roman" w:eastAsia="宋体" w:cs="Times New Roman"/>
                <w:color w:val="auto"/>
                <w:spacing w:val="6"/>
                <w:sz w:val="24"/>
                <w:szCs w:val="24"/>
                <w:highlight w:val="none"/>
                <w:lang w:eastAsia="zh-CN"/>
              </w:rPr>
              <w:t>池州市生态保护红线</w:t>
            </w:r>
            <w:r>
              <w:rPr>
                <w:rFonts w:hint="eastAsia" w:ascii="Times New Roman" w:hAnsi="Times New Roman" w:eastAsia="宋体" w:cs="Times New Roman"/>
                <w:color w:val="auto"/>
                <w:spacing w:val="6"/>
                <w:sz w:val="24"/>
                <w:szCs w:val="24"/>
                <w:highlight w:val="none"/>
                <w:lang w:val="en-US" w:eastAsia="zh-CN"/>
              </w:rPr>
              <w:t>分布</w:t>
            </w:r>
            <w:r>
              <w:rPr>
                <w:rFonts w:hint="eastAsia" w:ascii="Times New Roman" w:hAnsi="Times New Roman" w:eastAsia="宋体" w:cs="Times New Roman"/>
                <w:color w:val="auto"/>
                <w:spacing w:val="6"/>
                <w:sz w:val="24"/>
                <w:szCs w:val="24"/>
                <w:highlight w:val="none"/>
                <w:lang w:eastAsia="zh-CN"/>
              </w:rPr>
              <w:t>图可知，</w:t>
            </w:r>
            <w:r>
              <w:rPr>
                <w:rFonts w:hint="eastAsia" w:ascii="Times New Roman" w:hAnsi="Times New Roman" w:eastAsia="宋体" w:cs="Times New Roman"/>
                <w:color w:val="auto"/>
                <w:spacing w:val="6"/>
                <w:sz w:val="24"/>
                <w:szCs w:val="24"/>
                <w:highlight w:val="none"/>
                <w:lang w:val="en-US" w:eastAsia="zh-CN"/>
              </w:rPr>
              <w:t>项目</w:t>
            </w:r>
            <w:r>
              <w:rPr>
                <w:rFonts w:hint="eastAsia" w:ascii="Times New Roman" w:hAnsi="Times New Roman" w:eastAsia="宋体" w:cs="Times New Roman"/>
                <w:color w:val="auto"/>
                <w:spacing w:val="6"/>
                <w:sz w:val="24"/>
                <w:szCs w:val="24"/>
                <w:highlight w:val="none"/>
                <w:lang w:eastAsia="zh-CN"/>
              </w:rPr>
              <w:t>不涉及重点生态功能区、生态敏感区、生态脆弱区、禁止开发区以及其他未列入上述范围的重要生态功能或生态环境敏感、脆弱的区域，不属于生态红线管控区。</w:t>
            </w:r>
            <w:r>
              <w:rPr>
                <w:rFonts w:hint="eastAsia" w:ascii="Times New Roman" w:hAnsi="Times New Roman" w:eastAsia="宋体" w:cs="Times New Roman"/>
                <w:color w:val="auto"/>
                <w:spacing w:val="6"/>
                <w:sz w:val="24"/>
                <w:szCs w:val="24"/>
                <w:highlight w:val="none"/>
              </w:rPr>
              <w:t>项目符合生态保护红线管控要求。</w:t>
            </w:r>
          </w:p>
          <w:p w14:paraId="2AB16AEF">
            <w:pPr>
              <w:keepNext w:val="0"/>
              <w:keepLines w:val="0"/>
              <w:pageBreakBefore w:val="0"/>
              <w:kinsoku/>
              <w:wordWrap/>
              <w:overflowPunct/>
              <w:topLinePunct w:val="0"/>
              <w:autoSpaceDE/>
              <w:autoSpaceDN/>
              <w:bidi w:val="0"/>
              <w:adjustRightInd/>
              <w:snapToGrid/>
              <w:spacing w:line="360" w:lineRule="auto"/>
              <w:ind w:firstLine="504" w:firstLineChars="200"/>
              <w:textAlignment w:val="auto"/>
              <w:rPr>
                <w:rFonts w:hint="default" w:ascii="Times New Roman" w:hAnsi="Times New Roman" w:eastAsia="宋体" w:cs="Times New Roman"/>
                <w:color w:val="auto"/>
                <w:spacing w:val="6"/>
                <w:sz w:val="24"/>
                <w:szCs w:val="24"/>
                <w:highlight w:val="none"/>
                <w:lang w:val="en-US" w:eastAsia="zh-CN"/>
              </w:rPr>
            </w:pPr>
            <w:r>
              <w:rPr>
                <w:rFonts w:hint="eastAsia" w:ascii="Times New Roman" w:hAnsi="Times New Roman" w:eastAsia="宋体" w:cs="Times New Roman"/>
                <w:color w:val="auto"/>
                <w:spacing w:val="6"/>
                <w:sz w:val="24"/>
                <w:szCs w:val="24"/>
                <w:highlight w:val="none"/>
                <w:lang w:val="en-US" w:eastAsia="zh-CN"/>
              </w:rPr>
              <w:t>根据</w:t>
            </w:r>
            <w:r>
              <w:rPr>
                <w:rFonts w:hint="default" w:ascii="Times New Roman" w:hAnsi="Times New Roman" w:eastAsia="宋体" w:cs="Times New Roman"/>
                <w:color w:val="auto"/>
                <w:spacing w:val="6"/>
                <w:sz w:val="24"/>
                <w:szCs w:val="24"/>
                <w:highlight w:val="none"/>
                <w:lang w:eastAsia="zh-CN"/>
              </w:rPr>
              <w:t>安徽省“三线一单”公众服务平台</w:t>
            </w:r>
            <w:r>
              <w:rPr>
                <w:rFonts w:hint="eastAsia" w:ascii="Times New Roman" w:hAnsi="Times New Roman" w:eastAsia="宋体" w:cs="Times New Roman"/>
                <w:color w:val="auto"/>
                <w:spacing w:val="6"/>
                <w:sz w:val="24"/>
                <w:szCs w:val="24"/>
                <w:highlight w:val="none"/>
                <w:lang w:val="en-US" w:eastAsia="zh-CN"/>
              </w:rPr>
              <w:t>查询可知</w:t>
            </w:r>
            <w:r>
              <w:rPr>
                <w:rFonts w:hint="default" w:ascii="Times New Roman" w:hAnsi="Times New Roman" w:eastAsia="宋体" w:cs="Times New Roman"/>
                <w:color w:val="auto"/>
                <w:spacing w:val="6"/>
                <w:sz w:val="24"/>
                <w:szCs w:val="24"/>
                <w:highlight w:val="none"/>
                <w:lang w:eastAsia="zh-CN"/>
              </w:rPr>
              <w:t>，本项目</w:t>
            </w:r>
            <w:r>
              <w:rPr>
                <w:rFonts w:hint="default" w:ascii="Times New Roman" w:hAnsi="Times New Roman" w:eastAsia="宋体" w:cs="Times New Roman"/>
                <w:color w:val="auto"/>
                <w:spacing w:val="6"/>
                <w:sz w:val="24"/>
                <w:szCs w:val="24"/>
                <w:highlight w:val="none"/>
                <w:lang w:val="en-US" w:eastAsia="zh-CN"/>
              </w:rPr>
              <w:t>位于</w:t>
            </w:r>
            <w:r>
              <w:rPr>
                <w:rFonts w:hint="default" w:ascii="Times New Roman" w:hAnsi="Times New Roman" w:eastAsia="宋体" w:cs="Times New Roman"/>
                <w:color w:val="auto"/>
                <w:spacing w:val="6"/>
                <w:sz w:val="24"/>
                <w:szCs w:val="24"/>
                <w:highlight w:val="none"/>
                <w:lang w:eastAsia="zh-CN"/>
              </w:rPr>
              <w:t>重点管控单元</w:t>
            </w:r>
            <w:r>
              <w:rPr>
                <w:rFonts w:hint="eastAsia" w:ascii="Times New Roman" w:hAnsi="Times New Roman" w:eastAsia="宋体" w:cs="Times New Roman"/>
                <w:color w:val="auto"/>
                <w:spacing w:val="6"/>
                <w:sz w:val="24"/>
                <w:szCs w:val="24"/>
                <w:highlight w:val="none"/>
                <w:lang w:val="en-US" w:eastAsia="zh-CN"/>
              </w:rPr>
              <w:t>6</w:t>
            </w:r>
            <w:r>
              <w:rPr>
                <w:rFonts w:hint="default" w:ascii="Times New Roman" w:hAnsi="Times New Roman" w:eastAsia="宋体" w:cs="Times New Roman"/>
                <w:color w:val="auto"/>
                <w:spacing w:val="6"/>
                <w:sz w:val="24"/>
                <w:szCs w:val="24"/>
                <w:highlight w:val="none"/>
                <w:lang w:eastAsia="zh-CN"/>
              </w:rPr>
              <w:t>（编码：</w:t>
            </w:r>
            <w:r>
              <w:rPr>
                <w:rFonts w:hint="default" w:ascii="Times New Roman" w:hAnsi="Times New Roman" w:eastAsia="宋体" w:cs="Times New Roman"/>
                <w:color w:val="auto"/>
                <w:spacing w:val="6"/>
                <w:sz w:val="24"/>
                <w:szCs w:val="24"/>
                <w:highlight w:val="none"/>
                <w:lang w:val="en-US" w:eastAsia="zh-CN"/>
              </w:rPr>
              <w:t>ZH341702200</w:t>
            </w:r>
            <w:r>
              <w:rPr>
                <w:rFonts w:hint="eastAsia" w:ascii="Times New Roman" w:hAnsi="Times New Roman" w:eastAsia="宋体" w:cs="Times New Roman"/>
                <w:color w:val="auto"/>
                <w:spacing w:val="6"/>
                <w:sz w:val="24"/>
                <w:szCs w:val="24"/>
                <w:highlight w:val="none"/>
                <w:lang w:val="en-US" w:eastAsia="zh-CN"/>
              </w:rPr>
              <w:t>06</w:t>
            </w:r>
            <w:r>
              <w:rPr>
                <w:rFonts w:hint="default" w:ascii="Times New Roman" w:hAnsi="Times New Roman" w:eastAsia="宋体" w:cs="Times New Roman"/>
                <w:color w:val="auto"/>
                <w:spacing w:val="6"/>
                <w:sz w:val="24"/>
                <w:szCs w:val="24"/>
                <w:highlight w:val="none"/>
                <w:lang w:eastAsia="zh-CN"/>
              </w:rPr>
              <w:t>），管控单元</w:t>
            </w:r>
            <w:r>
              <w:rPr>
                <w:rFonts w:hint="default" w:ascii="Times New Roman" w:hAnsi="Times New Roman" w:eastAsia="宋体" w:cs="Times New Roman"/>
                <w:color w:val="auto"/>
                <w:spacing w:val="6"/>
                <w:sz w:val="24"/>
                <w:szCs w:val="24"/>
                <w:highlight w:val="none"/>
                <w:lang w:val="en-US" w:eastAsia="zh-CN"/>
              </w:rPr>
              <w:t>分</w:t>
            </w:r>
            <w:r>
              <w:rPr>
                <w:rFonts w:hint="default" w:ascii="Times New Roman" w:hAnsi="Times New Roman" w:eastAsia="宋体" w:cs="Times New Roman"/>
                <w:color w:val="auto"/>
                <w:spacing w:val="6"/>
                <w:sz w:val="24"/>
                <w:szCs w:val="24"/>
                <w:highlight w:val="none"/>
                <w:lang w:eastAsia="zh-CN"/>
              </w:rPr>
              <w:t>类：水重点</w:t>
            </w:r>
            <w:r>
              <w:rPr>
                <w:rFonts w:hint="default" w:ascii="Times New Roman" w:hAnsi="Times New Roman" w:eastAsia="宋体" w:cs="Times New Roman"/>
                <w:color w:val="auto"/>
                <w:spacing w:val="6"/>
                <w:sz w:val="24"/>
                <w:szCs w:val="24"/>
                <w:highlight w:val="none"/>
                <w:lang w:val="en-US" w:eastAsia="zh-CN"/>
              </w:rPr>
              <w:t>/大气重点/土重点</w:t>
            </w:r>
            <w:r>
              <w:rPr>
                <w:rFonts w:hint="eastAsia" w:ascii="Times New Roman" w:hAnsi="Times New Roman" w:eastAsia="宋体" w:cs="Times New Roman"/>
                <w:color w:val="auto"/>
                <w:spacing w:val="6"/>
                <w:sz w:val="24"/>
                <w:szCs w:val="24"/>
                <w:highlight w:val="none"/>
                <w:lang w:val="en-US" w:eastAsia="zh-CN"/>
              </w:rPr>
              <w:t>。项目建设</w:t>
            </w:r>
            <w:r>
              <w:rPr>
                <w:rFonts w:hint="default" w:ascii="Times New Roman" w:hAnsi="Times New Roman" w:eastAsia="宋体" w:cs="Times New Roman"/>
                <w:color w:val="auto"/>
                <w:spacing w:val="6"/>
                <w:sz w:val="24"/>
                <w:szCs w:val="24"/>
                <w:highlight w:val="none"/>
                <w:lang w:val="en-US" w:eastAsia="zh-CN"/>
              </w:rPr>
              <w:t>符合</w:t>
            </w:r>
            <w:r>
              <w:rPr>
                <w:rFonts w:ascii="宋体" w:hAnsi="宋体" w:eastAsia="宋体" w:cs="宋体"/>
                <w:color w:val="auto"/>
                <w:sz w:val="24"/>
                <w:szCs w:val="24"/>
                <w:highlight w:val="none"/>
              </w:rPr>
              <w:t>安徽“三线一单”管控要求查询报告</w:t>
            </w:r>
            <w:r>
              <w:rPr>
                <w:rFonts w:hint="default" w:ascii="Times New Roman" w:hAnsi="Times New Roman" w:eastAsia="宋体" w:cs="Times New Roman"/>
                <w:color w:val="auto"/>
                <w:spacing w:val="6"/>
                <w:sz w:val="24"/>
                <w:szCs w:val="24"/>
                <w:highlight w:val="none"/>
                <w:lang w:val="en-US" w:eastAsia="zh-CN"/>
              </w:rPr>
              <w:t>中明确的池州市</w:t>
            </w:r>
            <w:r>
              <w:rPr>
                <w:rFonts w:hint="default" w:ascii="Times New Roman" w:hAnsi="Times New Roman" w:eastAsia="宋体" w:cs="Times New Roman"/>
                <w:color w:val="auto"/>
                <w:spacing w:val="6"/>
                <w:sz w:val="24"/>
                <w:szCs w:val="24"/>
                <w:highlight w:val="none"/>
                <w:lang w:eastAsia="zh-CN"/>
              </w:rPr>
              <w:t>重点管控</w:t>
            </w:r>
            <w:r>
              <w:rPr>
                <w:rFonts w:hint="eastAsia" w:ascii="Times New Roman" w:hAnsi="Times New Roman" w:eastAsia="宋体" w:cs="Times New Roman"/>
                <w:color w:val="auto"/>
                <w:spacing w:val="6"/>
                <w:sz w:val="24"/>
                <w:szCs w:val="24"/>
                <w:highlight w:val="none"/>
                <w:lang w:val="en-US" w:eastAsia="zh-CN"/>
              </w:rPr>
              <w:t>单元</w:t>
            </w:r>
            <w:r>
              <w:rPr>
                <w:rFonts w:hint="default" w:ascii="Times New Roman" w:hAnsi="Times New Roman" w:eastAsia="宋体" w:cs="Times New Roman"/>
                <w:color w:val="auto"/>
                <w:spacing w:val="6"/>
                <w:sz w:val="24"/>
                <w:szCs w:val="24"/>
                <w:highlight w:val="none"/>
                <w:lang w:val="en-US" w:eastAsia="zh-CN"/>
              </w:rPr>
              <w:t>划分要求</w:t>
            </w:r>
            <w:r>
              <w:rPr>
                <w:rFonts w:hint="eastAsia" w:ascii="Times New Roman" w:hAnsi="Times New Roman" w:eastAsia="宋体" w:cs="Times New Roman"/>
                <w:color w:val="auto"/>
                <w:spacing w:val="6"/>
                <w:sz w:val="24"/>
                <w:szCs w:val="24"/>
                <w:highlight w:val="none"/>
                <w:lang w:val="en-US" w:eastAsia="zh-CN"/>
              </w:rPr>
              <w:t>，项目不占用生态保护红线。详见下图1-1。</w:t>
            </w:r>
          </w:p>
          <w:p w14:paraId="76BB6433">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color w:val="auto"/>
                <w:highlight w:val="none"/>
              </w:rPr>
              <w:drawing>
                <wp:inline distT="0" distB="0" distL="114300" distR="114300">
                  <wp:extent cx="4697095" cy="2757805"/>
                  <wp:effectExtent l="9525" t="9525" r="17780" b="13970"/>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pic:cNvPicPr>
                            <a:picLocks noChangeAspect="1"/>
                          </pic:cNvPicPr>
                        </pic:nvPicPr>
                        <pic:blipFill>
                          <a:blip r:embed="rId9"/>
                          <a:stretch>
                            <a:fillRect/>
                          </a:stretch>
                        </pic:blipFill>
                        <pic:spPr>
                          <a:xfrm>
                            <a:off x="0" y="0"/>
                            <a:ext cx="4697095" cy="2757805"/>
                          </a:xfrm>
                          <a:prstGeom prst="rect">
                            <a:avLst/>
                          </a:prstGeom>
                          <a:noFill/>
                          <a:ln>
                            <a:solidFill>
                              <a:schemeClr val="tx1"/>
                            </a:solidFill>
                          </a:ln>
                        </pic:spPr>
                      </pic:pic>
                    </a:graphicData>
                  </a:graphic>
                </wp:inline>
              </w:drawing>
            </w:r>
          </w:p>
          <w:p w14:paraId="6ECA3CC7">
            <w:pPr>
              <w:pStyle w:val="24"/>
              <w:ind w:left="0" w:leftChars="0" w:firstLine="0" w:firstLineChars="0"/>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图1-</w:t>
            </w:r>
            <w:r>
              <w:rPr>
                <w:rFonts w:hint="eastAsia" w:cs="Times New Roman"/>
                <w:b/>
                <w:color w:val="auto"/>
                <w:sz w:val="21"/>
                <w:szCs w:val="21"/>
                <w:highlight w:val="none"/>
                <w:lang w:val="en-US" w:eastAsia="zh-CN"/>
              </w:rPr>
              <w:t xml:space="preserve">2 </w:t>
            </w:r>
            <w:r>
              <w:rPr>
                <w:rFonts w:hint="default" w:ascii="Times New Roman" w:hAnsi="Times New Roman" w:eastAsia="宋体" w:cs="Times New Roman"/>
                <w:b/>
                <w:color w:val="auto"/>
                <w:sz w:val="21"/>
                <w:szCs w:val="21"/>
                <w:highlight w:val="none"/>
                <w:lang w:eastAsia="zh-CN"/>
              </w:rPr>
              <w:t xml:space="preserve"> 项目</w:t>
            </w:r>
            <w:r>
              <w:rPr>
                <w:rFonts w:hint="default" w:ascii="Times New Roman" w:hAnsi="Times New Roman" w:eastAsia="宋体" w:cs="Times New Roman"/>
                <w:b/>
                <w:color w:val="auto"/>
                <w:sz w:val="21"/>
                <w:szCs w:val="21"/>
                <w:highlight w:val="none"/>
                <w:lang w:val="en-US" w:eastAsia="zh-CN"/>
              </w:rPr>
              <w:t>与</w:t>
            </w:r>
            <w:r>
              <w:rPr>
                <w:rFonts w:hint="default" w:ascii="Times New Roman" w:hAnsi="Times New Roman" w:eastAsia="宋体" w:cs="Times New Roman"/>
                <w:b/>
                <w:color w:val="auto"/>
                <w:sz w:val="21"/>
                <w:szCs w:val="21"/>
                <w:highlight w:val="none"/>
                <w:lang w:eastAsia="zh-CN"/>
              </w:rPr>
              <w:t>池州市生态环境管控单元</w:t>
            </w:r>
            <w:r>
              <w:rPr>
                <w:rFonts w:hint="eastAsia" w:ascii="Times New Roman" w:hAnsi="Times New Roman" w:cs="Times New Roman"/>
                <w:b/>
                <w:color w:val="auto"/>
                <w:sz w:val="21"/>
                <w:szCs w:val="21"/>
                <w:highlight w:val="none"/>
                <w:lang w:val="en-US" w:eastAsia="zh-CN"/>
              </w:rPr>
              <w:t>对照分析</w:t>
            </w:r>
            <w:r>
              <w:rPr>
                <w:rFonts w:hint="default" w:ascii="Times New Roman" w:hAnsi="Times New Roman" w:eastAsia="宋体" w:cs="Times New Roman"/>
                <w:b/>
                <w:color w:val="auto"/>
                <w:sz w:val="21"/>
                <w:szCs w:val="21"/>
                <w:highlight w:val="none"/>
                <w:lang w:eastAsia="zh-CN"/>
              </w:rPr>
              <w:t>图</w:t>
            </w:r>
          </w:p>
          <w:p w14:paraId="55EB3D12">
            <w:pPr>
              <w:spacing w:line="360" w:lineRule="auto"/>
              <w:ind w:firstLine="480"/>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cs="Times New Roman"/>
                <w:bCs/>
                <w:color w:val="auto"/>
                <w:sz w:val="24"/>
                <w:szCs w:val="24"/>
                <w:highlight w:val="none"/>
                <w:lang w:val="en-US" w:eastAsia="zh-CN"/>
              </w:rPr>
              <w:t>综上分析，</w:t>
            </w:r>
            <w:r>
              <w:rPr>
                <w:rFonts w:hint="eastAsia" w:ascii="Times New Roman" w:hAnsi="Times New Roman" w:eastAsia="宋体" w:cs="Times New Roman"/>
                <w:bCs/>
                <w:color w:val="auto"/>
                <w:sz w:val="24"/>
                <w:szCs w:val="24"/>
                <w:highlight w:val="none"/>
                <w:lang w:val="en-US" w:eastAsia="zh-CN"/>
              </w:rPr>
              <w:t>项目建设</w:t>
            </w:r>
            <w:r>
              <w:rPr>
                <w:rFonts w:hint="default" w:ascii="Times New Roman" w:hAnsi="Times New Roman" w:eastAsia="宋体" w:cs="Times New Roman"/>
                <w:bCs/>
                <w:color w:val="auto"/>
                <w:sz w:val="24"/>
                <w:szCs w:val="24"/>
                <w:highlight w:val="none"/>
                <w:lang w:val="en-US" w:eastAsia="zh-CN"/>
              </w:rPr>
              <w:t>符合《池州市“三线一单”编制文本》中明确的池州市管控区划分要求</w:t>
            </w:r>
            <w:r>
              <w:rPr>
                <w:rFonts w:hint="eastAsia" w:ascii="Times New Roman" w:hAnsi="Times New Roman" w:eastAsia="宋体" w:cs="Times New Roman"/>
                <w:bCs/>
                <w:color w:val="auto"/>
                <w:sz w:val="24"/>
                <w:szCs w:val="24"/>
                <w:highlight w:val="none"/>
                <w:lang w:val="en-US" w:eastAsia="zh-CN"/>
              </w:rPr>
              <w:t>。</w:t>
            </w:r>
          </w:p>
          <w:p w14:paraId="267C18AD">
            <w:pPr>
              <w:spacing w:line="360" w:lineRule="auto"/>
              <w:ind w:firstLine="480"/>
              <w:rPr>
                <w:rFonts w:hint="default" w:ascii="Times New Roman" w:hAnsi="Times New Roman" w:eastAsia="宋体" w:cs="Times New Roman"/>
                <w:b/>
                <w:bCs w:val="0"/>
                <w:color w:val="auto"/>
                <w:sz w:val="24"/>
                <w:szCs w:val="24"/>
                <w:highlight w:val="none"/>
                <w:lang w:val="en-US" w:eastAsia="zh-CN"/>
              </w:rPr>
            </w:pPr>
            <w:r>
              <w:rPr>
                <w:rFonts w:hint="eastAsia" w:ascii="Times New Roman" w:hAnsi="Times New Roman" w:eastAsia="宋体" w:cs="Times New Roman"/>
                <w:b/>
                <w:bCs w:val="0"/>
                <w:color w:val="auto"/>
                <w:sz w:val="24"/>
                <w:szCs w:val="24"/>
                <w:highlight w:val="none"/>
                <w:lang w:val="en-US" w:eastAsia="zh-CN"/>
              </w:rPr>
              <w:t>（2）</w:t>
            </w:r>
            <w:r>
              <w:rPr>
                <w:rFonts w:hint="default" w:ascii="Times New Roman" w:hAnsi="Times New Roman" w:eastAsia="宋体" w:cs="Times New Roman"/>
                <w:b/>
                <w:bCs w:val="0"/>
                <w:color w:val="auto"/>
                <w:sz w:val="24"/>
                <w:szCs w:val="24"/>
                <w:highlight w:val="none"/>
                <w:lang w:val="en-US" w:eastAsia="zh-CN"/>
              </w:rPr>
              <w:t>环境质量底线</w:t>
            </w:r>
          </w:p>
          <w:p w14:paraId="2E2BD9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①环境空气</w:t>
            </w:r>
          </w:p>
          <w:p w14:paraId="61F397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bidi="ar-SA"/>
              </w:rPr>
              <w:t>根据《202</w:t>
            </w:r>
            <w:r>
              <w:rPr>
                <w:rFonts w:hint="eastAsia"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w:t>
            </w:r>
            <w:r>
              <w:rPr>
                <w:rFonts w:hint="eastAsia" w:ascii="Times New Roman" w:hAnsi="Times New Roman" w:eastAsia="宋体" w:cs="Times New Roman"/>
                <w:color w:val="auto"/>
                <w:kern w:val="0"/>
                <w:sz w:val="24"/>
                <w:szCs w:val="24"/>
                <w:highlight w:val="none"/>
                <w:lang w:val="en-US" w:eastAsia="zh-CN" w:bidi="ar-SA"/>
              </w:rPr>
              <w:t>池州市</w:t>
            </w:r>
            <w:r>
              <w:rPr>
                <w:rFonts w:hint="default" w:ascii="Times New Roman" w:hAnsi="Times New Roman" w:eastAsia="宋体" w:cs="Times New Roman"/>
                <w:color w:val="auto"/>
                <w:kern w:val="0"/>
                <w:sz w:val="24"/>
                <w:szCs w:val="24"/>
                <w:highlight w:val="none"/>
                <w:lang w:val="en-US" w:eastAsia="zh-CN" w:bidi="ar-SA"/>
              </w:rPr>
              <w:t>生态环境状况公报》相关数据可知，池州市2024年SO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、NO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10</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2.5</w:t>
            </w:r>
            <w:r>
              <w:rPr>
                <w:rFonts w:hint="default" w:ascii="Times New Roman" w:hAnsi="Times New Roman" w:eastAsia="宋体" w:cs="Times New Roman"/>
                <w:color w:val="auto"/>
                <w:kern w:val="0"/>
                <w:sz w:val="24"/>
                <w:szCs w:val="24"/>
                <w:highlight w:val="none"/>
                <w:lang w:val="en-US" w:eastAsia="zh-CN" w:bidi="ar-SA"/>
              </w:rPr>
              <w:t>年均浓度分别为5μg/m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、20μg/m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、47μg/m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、31μg/m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；CO 24小时平均第95百分位数为1mg/m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，O</w:t>
            </w:r>
            <w:r>
              <w:rPr>
                <w:rFonts w:hint="default" w:ascii="Times New Roman" w:hAnsi="Times New Roman" w:eastAsia="宋体" w:cs="Times New Roman"/>
                <w:color w:val="auto"/>
                <w:kern w:val="0"/>
                <w:sz w:val="24"/>
                <w:szCs w:val="24"/>
                <w:highlight w:val="none"/>
                <w:vertAlign w:val="sub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日最大8小时平均第90百分位数为154μg/m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；各污染物平均浓度均优于《环境空气质量标准》（GB3095-2012）中二级标准限值</w:t>
            </w:r>
            <w:r>
              <w:rPr>
                <w:rFonts w:hint="eastAsia" w:cs="Times New Roman"/>
                <w:color w:val="auto"/>
                <w:kern w:val="0"/>
                <w:sz w:val="24"/>
                <w:szCs w:val="24"/>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SA"/>
              </w:rPr>
              <w:t>202</w:t>
            </w:r>
            <w:r>
              <w:rPr>
                <w:rFonts w:hint="eastAsia"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w:t>
            </w:r>
            <w:r>
              <w:rPr>
                <w:rFonts w:hint="eastAsia" w:ascii="Times New Roman" w:hAnsi="Times New Roman" w:eastAsia="宋体" w:cs="Times New Roman"/>
                <w:color w:val="auto"/>
                <w:kern w:val="0"/>
                <w:sz w:val="24"/>
                <w:szCs w:val="24"/>
                <w:highlight w:val="none"/>
                <w:lang w:val="en-US" w:eastAsia="zh-CN" w:bidi="ar-SA"/>
              </w:rPr>
              <w:t>池州</w:t>
            </w:r>
            <w:r>
              <w:rPr>
                <w:rFonts w:hint="default" w:ascii="Times New Roman" w:hAnsi="Times New Roman" w:eastAsia="宋体" w:cs="Times New Roman"/>
                <w:color w:val="auto"/>
                <w:kern w:val="0"/>
                <w:sz w:val="24"/>
                <w:szCs w:val="24"/>
                <w:highlight w:val="none"/>
                <w:lang w:val="en-US" w:eastAsia="zh-CN" w:bidi="ar-SA"/>
              </w:rPr>
              <w:t>市环境空气中SO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、NO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10</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2.5</w:t>
            </w:r>
            <w:r>
              <w:rPr>
                <w:rFonts w:hint="default" w:ascii="Times New Roman" w:hAnsi="Times New Roman" w:eastAsia="宋体" w:cs="Times New Roman"/>
                <w:color w:val="auto"/>
                <w:kern w:val="0"/>
                <w:sz w:val="24"/>
                <w:szCs w:val="24"/>
                <w:highlight w:val="none"/>
                <w:lang w:val="en-US" w:eastAsia="zh-CN" w:bidi="ar-SA"/>
              </w:rPr>
              <w:t>、CO和O</w:t>
            </w:r>
            <w:r>
              <w:rPr>
                <w:rFonts w:hint="default" w:ascii="Times New Roman" w:hAnsi="Times New Roman" w:eastAsia="宋体" w:cs="Times New Roman"/>
                <w:color w:val="auto"/>
                <w:kern w:val="0"/>
                <w:sz w:val="24"/>
                <w:szCs w:val="24"/>
                <w:highlight w:val="none"/>
                <w:vertAlign w:val="sub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等六项基本污染物全部达标，故项目所在地区域为“达标区”</w:t>
            </w:r>
            <w:r>
              <w:rPr>
                <w:rFonts w:hint="eastAsia" w:cs="Times New Roman"/>
                <w:color w:val="auto"/>
                <w:kern w:val="0"/>
                <w:sz w:val="24"/>
                <w:szCs w:val="24"/>
                <w:highlight w:val="none"/>
                <w:lang w:val="en-US" w:eastAsia="zh-CN" w:bidi="ar-SA"/>
              </w:rPr>
              <w:t>；项目特征因子非甲烷总烃满足《大气污染物综合排放标准详解》中的限值要求，TSP满足《环境空气质量标准》（GB3095-2012）限值要求。</w:t>
            </w:r>
            <w:r>
              <w:rPr>
                <w:rFonts w:hint="eastAsia" w:ascii="Times New Roman" w:hAnsi="Times New Roman" w:eastAsia="宋体" w:cs="Times New Roman"/>
                <w:color w:val="auto"/>
                <w:sz w:val="24"/>
                <w:szCs w:val="24"/>
                <w:highlight w:val="none"/>
                <w:lang w:val="en-US" w:eastAsia="zh-CN"/>
              </w:rPr>
              <w:t>本项目在生产过程产生的污染物经采取相应措施后可达标排放，项目废气污染物排放量较小不会突破环境质量底线。</w:t>
            </w:r>
          </w:p>
          <w:p w14:paraId="681C0C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②地表水环境</w:t>
            </w:r>
          </w:p>
          <w:p w14:paraId="11923C1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w:t>
            </w:r>
            <w:r>
              <w:rPr>
                <w:rFonts w:hint="eastAsia" w:cs="Times New Roman"/>
                <w:color w:val="auto"/>
                <w:sz w:val="24"/>
                <w:szCs w:val="24"/>
                <w:highlight w:val="none"/>
                <w:lang w:val="en-US" w:eastAsia="zh-CN"/>
              </w:rPr>
              <w:t>池州市生态环境局发布的</w:t>
            </w:r>
            <w:r>
              <w:rPr>
                <w:rFonts w:hint="default" w:ascii="Times New Roman" w:hAnsi="Times New Roman" w:eastAsia="宋体" w:cs="Times New Roman"/>
                <w:color w:val="auto"/>
                <w:sz w:val="24"/>
                <w:szCs w:val="24"/>
                <w:highlight w:val="none"/>
              </w:rPr>
              <w:t>2025</w:t>
            </w:r>
            <w:r>
              <w:rPr>
                <w:rFonts w:hint="eastAsia" w:cs="Times New Roman"/>
                <w:color w:val="auto"/>
                <w:sz w:val="24"/>
                <w:szCs w:val="24"/>
                <w:highlight w:val="none"/>
                <w:lang w:val="en-US" w:eastAsia="zh-CN"/>
              </w:rPr>
              <w:t>年</w:t>
            </w:r>
            <w:r>
              <w:rPr>
                <w:rFonts w:hint="default" w:ascii="Times New Roman" w:hAnsi="Times New Roman" w:eastAsia="宋体" w:cs="Times New Roman"/>
                <w:color w:val="auto"/>
                <w:sz w:val="24"/>
                <w:szCs w:val="24"/>
                <w:highlight w:val="none"/>
              </w:rPr>
              <w:t>池州市</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月份地表水环境状况(新版)</w:t>
            </w:r>
            <w:r>
              <w:rPr>
                <w:rFonts w:hint="eastAsia" w:cs="Times New Roman"/>
                <w:color w:val="auto"/>
                <w:sz w:val="24"/>
                <w:szCs w:val="24"/>
                <w:highlight w:val="none"/>
                <w:lang w:val="en-US" w:eastAsia="zh-CN"/>
              </w:rPr>
              <w:t>数据</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lang w:eastAsia="zh-CN"/>
              </w:rPr>
              <w:t>https://sthjj.chizhou.gov.cn/OpennessContent/show/1680196.html</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按照《地表水环境质量标准》（GB3838—2002）和《地表水环境质量评价办法（试行）》（2011年3月）进行评价，202</w:t>
            </w:r>
            <w:r>
              <w:rPr>
                <w:rFonts w:hint="default"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月份长江五步沟右岸</w:t>
            </w:r>
            <w:r>
              <w:rPr>
                <w:rFonts w:hint="default" w:ascii="Times New Roman" w:hAnsi="Times New Roman" w:cs="Times New Roman"/>
                <w:color w:val="auto"/>
                <w:sz w:val="24"/>
                <w:szCs w:val="24"/>
                <w:highlight w:val="none"/>
                <w:lang w:val="en-US" w:eastAsia="zh-CN"/>
              </w:rPr>
              <w:t>断面、民生水厂</w:t>
            </w:r>
            <w:r>
              <w:rPr>
                <w:rFonts w:hint="default" w:ascii="Times New Roman" w:hAnsi="Times New Roman" w:eastAsia="宋体" w:cs="Times New Roman"/>
                <w:color w:val="auto"/>
                <w:sz w:val="24"/>
                <w:szCs w:val="24"/>
                <w:highlight w:val="none"/>
              </w:rPr>
              <w:t>右岸</w:t>
            </w:r>
            <w:r>
              <w:rPr>
                <w:rFonts w:hint="default" w:ascii="Times New Roman" w:hAnsi="Times New Roman" w:cs="Times New Roman"/>
                <w:color w:val="auto"/>
                <w:sz w:val="24"/>
                <w:szCs w:val="24"/>
                <w:highlight w:val="none"/>
                <w:lang w:val="en-US" w:eastAsia="zh-CN"/>
              </w:rPr>
              <w:t>断面、江口水厂断面</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各断面水质综合评价为Ⅱ</w:t>
            </w:r>
            <w:r>
              <w:rPr>
                <w:rFonts w:hint="default" w:ascii="Times New Roman" w:hAnsi="Times New Roman" w:eastAsia="宋体" w:cs="Times New Roman"/>
                <w:color w:val="auto"/>
                <w:sz w:val="24"/>
                <w:szCs w:val="24"/>
                <w:highlight w:val="none"/>
              </w:rPr>
              <w:t>类</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长江</w:t>
            </w:r>
            <w:r>
              <w:rPr>
                <w:rFonts w:hint="default" w:ascii="Times New Roman" w:hAnsi="Times New Roman" w:eastAsia="宋体" w:cs="Times New Roman"/>
                <w:color w:val="auto"/>
                <w:sz w:val="24"/>
                <w:szCs w:val="24"/>
                <w:highlight w:val="none"/>
                <w:lang w:val="en-US" w:eastAsia="zh-CN"/>
              </w:rPr>
              <w:t>水质</w:t>
            </w:r>
            <w:r>
              <w:rPr>
                <w:rFonts w:hint="default" w:ascii="Times New Roman" w:hAnsi="Times New Roman" w:eastAsia="宋体" w:cs="Times New Roman"/>
                <w:color w:val="auto"/>
                <w:sz w:val="24"/>
                <w:szCs w:val="24"/>
                <w:highlight w:val="none"/>
              </w:rPr>
              <w:t>满足《地表水环境质量标准》（GB3838-2002）中Ⅲ类标准要求</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九华河</w:t>
            </w:r>
            <w:r>
              <w:rPr>
                <w:rFonts w:hint="default" w:ascii="Times New Roman" w:hAnsi="Times New Roman" w:cs="Times New Roman"/>
                <w:color w:val="auto"/>
                <w:sz w:val="24"/>
                <w:szCs w:val="24"/>
                <w:highlight w:val="none"/>
                <w:lang w:val="en-US" w:eastAsia="zh-CN"/>
              </w:rPr>
              <w:t>梅垅断面水质综合评价为</w:t>
            </w:r>
            <w:r>
              <w:rPr>
                <w:rFonts w:hint="default" w:ascii="Times New Roman" w:hAnsi="Times New Roman" w:eastAsia="宋体" w:cs="Times New Roman"/>
                <w:color w:val="auto"/>
                <w:sz w:val="24"/>
                <w:szCs w:val="24"/>
                <w:highlight w:val="none"/>
              </w:rPr>
              <w:t>Ⅲ类</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九华河</w:t>
            </w:r>
            <w:r>
              <w:rPr>
                <w:rFonts w:hint="default" w:ascii="Times New Roman" w:hAnsi="Times New Roman" w:cs="Times New Roman"/>
                <w:color w:val="auto"/>
                <w:sz w:val="24"/>
                <w:szCs w:val="24"/>
                <w:highlight w:val="none"/>
                <w:lang w:val="en-US" w:eastAsia="zh-CN"/>
              </w:rPr>
              <w:t>青阳贵池县界水质综合评价为Ⅱ</w:t>
            </w:r>
            <w:r>
              <w:rPr>
                <w:rFonts w:hint="default" w:ascii="Times New Roman" w:hAnsi="Times New Roman" w:eastAsia="宋体" w:cs="Times New Roman"/>
                <w:color w:val="auto"/>
                <w:sz w:val="24"/>
                <w:szCs w:val="24"/>
                <w:highlight w:val="none"/>
              </w:rPr>
              <w:t>类</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九华河水质满足《地表水环境质量标准》（GB3838-2002）中Ⅲ类标准要求。</w:t>
            </w:r>
            <w:r>
              <w:rPr>
                <w:rFonts w:hint="eastAsia" w:cs="Times New Roman"/>
                <w:color w:val="auto"/>
                <w:sz w:val="24"/>
                <w:szCs w:val="24"/>
                <w:highlight w:val="none"/>
                <w:lang w:eastAsia="zh-CN"/>
              </w:rPr>
              <w:t>因此，</w:t>
            </w:r>
            <w:r>
              <w:rPr>
                <w:color w:val="auto"/>
                <w:sz w:val="24"/>
                <w:highlight w:val="none"/>
              </w:rPr>
              <w:t>评价区域地表水环境质量现状良好</w:t>
            </w:r>
            <w:r>
              <w:rPr>
                <w:rFonts w:hint="eastAsia"/>
                <w:color w:val="auto"/>
                <w:sz w:val="24"/>
                <w:highlight w:val="none"/>
                <w:lang w:eastAsia="zh-CN"/>
              </w:rPr>
              <w:t>。</w:t>
            </w:r>
          </w:p>
          <w:p w14:paraId="278092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项目</w:t>
            </w:r>
            <w:r>
              <w:rPr>
                <w:rFonts w:hint="eastAsia" w:cs="Times New Roman"/>
                <w:color w:val="auto"/>
                <w:sz w:val="24"/>
                <w:szCs w:val="24"/>
                <w:highlight w:val="none"/>
                <w:lang w:eastAsia="zh-CN"/>
              </w:rPr>
              <w:t>运营期</w:t>
            </w:r>
            <w:r>
              <w:rPr>
                <w:rFonts w:hint="eastAsia" w:ascii="Times New Roman" w:hAnsi="Times New Roman" w:cs="Times New Roman"/>
                <w:color w:val="auto"/>
                <w:sz w:val="24"/>
                <w:szCs w:val="24"/>
                <w:highlight w:val="none"/>
                <w:lang w:eastAsia="zh-CN"/>
              </w:rPr>
              <w:t>生活污水</w:t>
            </w:r>
            <w:r>
              <w:rPr>
                <w:rFonts w:hint="eastAsia" w:cs="Times New Roman"/>
                <w:color w:val="auto"/>
                <w:sz w:val="24"/>
                <w:szCs w:val="24"/>
                <w:highlight w:val="none"/>
                <w:lang w:eastAsia="zh-CN"/>
              </w:rPr>
              <w:t>依托</w:t>
            </w:r>
            <w:r>
              <w:rPr>
                <w:rFonts w:hint="eastAsia" w:ascii="Times New Roman" w:hAnsi="Times New Roman" w:cs="Times New Roman"/>
                <w:color w:val="auto"/>
                <w:sz w:val="24"/>
                <w:szCs w:val="24"/>
                <w:highlight w:val="none"/>
                <w:lang w:eastAsia="zh-CN"/>
              </w:rPr>
              <w:t>园区化粪预处理</w:t>
            </w:r>
            <w:r>
              <w:rPr>
                <w:rFonts w:hint="eastAsia" w:cs="Times New Roman"/>
                <w:color w:val="auto"/>
                <w:sz w:val="24"/>
                <w:szCs w:val="24"/>
                <w:highlight w:val="none"/>
                <w:lang w:val="en-US" w:eastAsia="zh-CN"/>
              </w:rPr>
              <w:t>与冷却循环冷却水一并排入</w:t>
            </w:r>
            <w:r>
              <w:rPr>
                <w:rFonts w:hint="eastAsia" w:ascii="Times New Roman" w:hAnsi="Times New Roman" w:cs="Times New Roman"/>
                <w:color w:val="auto"/>
                <w:sz w:val="24"/>
                <w:szCs w:val="24"/>
                <w:highlight w:val="none"/>
                <w:lang w:eastAsia="zh-CN"/>
              </w:rPr>
              <w:t>皖江江南新兴产业集中区第一污水处理厂处理达标后经九华河排入长江。</w:t>
            </w:r>
            <w:r>
              <w:rPr>
                <w:rFonts w:hint="eastAsia" w:ascii="Times New Roman" w:hAnsi="Times New Roman" w:cs="Times New Roman"/>
                <w:color w:val="auto"/>
                <w:sz w:val="24"/>
                <w:szCs w:val="24"/>
                <w:highlight w:val="none"/>
                <w:lang w:val="en-US" w:eastAsia="zh-CN"/>
              </w:rPr>
              <w:t>废水总排口废水排放达到</w:t>
            </w:r>
            <w:r>
              <w:rPr>
                <w:rFonts w:hint="eastAsia"/>
                <w:color w:val="auto"/>
                <w:sz w:val="24"/>
                <w:szCs w:val="32"/>
                <w:highlight w:val="none"/>
                <w:lang w:eastAsia="zh-CN"/>
              </w:rPr>
              <w:t>《</w:t>
            </w:r>
            <w:r>
              <w:rPr>
                <w:rFonts w:hint="eastAsia"/>
                <w:color w:val="auto"/>
                <w:sz w:val="24"/>
                <w:szCs w:val="32"/>
                <w:highlight w:val="none"/>
                <w:lang w:val="en-US" w:eastAsia="zh-CN"/>
              </w:rPr>
              <w:t>电子工业水污染物排放标准</w:t>
            </w:r>
            <w:r>
              <w:rPr>
                <w:rFonts w:hint="eastAsia"/>
                <w:color w:val="auto"/>
                <w:sz w:val="24"/>
                <w:szCs w:val="32"/>
                <w:highlight w:val="none"/>
                <w:lang w:eastAsia="zh-CN"/>
              </w:rPr>
              <w:t>》（GB</w:t>
            </w:r>
            <w:r>
              <w:rPr>
                <w:rFonts w:hint="eastAsia"/>
                <w:color w:val="auto"/>
                <w:sz w:val="24"/>
                <w:szCs w:val="32"/>
                <w:highlight w:val="none"/>
                <w:lang w:val="en-US" w:eastAsia="zh-CN"/>
              </w:rPr>
              <w:t>39731</w:t>
            </w:r>
            <w:r>
              <w:rPr>
                <w:rFonts w:hint="eastAsia"/>
                <w:color w:val="auto"/>
                <w:sz w:val="24"/>
                <w:szCs w:val="32"/>
                <w:highlight w:val="none"/>
                <w:lang w:eastAsia="zh-CN"/>
              </w:rPr>
              <w:t>-</w:t>
            </w:r>
            <w:r>
              <w:rPr>
                <w:rFonts w:hint="eastAsia"/>
                <w:color w:val="auto"/>
                <w:sz w:val="24"/>
                <w:szCs w:val="32"/>
                <w:highlight w:val="none"/>
                <w:lang w:val="en-US" w:eastAsia="zh-CN"/>
              </w:rPr>
              <w:t>2020</w:t>
            </w:r>
            <w:r>
              <w:rPr>
                <w:rFonts w:hint="eastAsia"/>
                <w:color w:val="auto"/>
                <w:sz w:val="24"/>
                <w:szCs w:val="32"/>
                <w:highlight w:val="none"/>
                <w:lang w:eastAsia="zh-CN"/>
              </w:rPr>
              <w:t>）表</w:t>
            </w:r>
            <w:r>
              <w:rPr>
                <w:rFonts w:hint="eastAsia"/>
                <w:color w:val="auto"/>
                <w:sz w:val="24"/>
                <w:szCs w:val="32"/>
                <w:highlight w:val="none"/>
                <w:lang w:val="en-US" w:eastAsia="zh-CN"/>
              </w:rPr>
              <w:t>1、表2限值、皖江江南新兴产业集中区第一污水处理厂接管限值《污水综合排放标准》及（GB8978-1996）表4三级标准要求</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lang w:eastAsia="zh-CN"/>
              </w:rPr>
              <w:t>污水处理厂尾水达《城镇污水处理厂污染物排放标准》（GB</w:t>
            </w:r>
            <w:r>
              <w:rPr>
                <w:rFonts w:hint="eastAsia" w:cs="Times New Roman"/>
                <w:color w:val="auto"/>
                <w:sz w:val="24"/>
                <w:szCs w:val="24"/>
                <w:highlight w:val="none"/>
                <w:lang w:val="en-US" w:eastAsia="zh-CN"/>
              </w:rPr>
              <w:t>18918</w:t>
            </w:r>
            <w:r>
              <w:rPr>
                <w:rFonts w:hint="default" w:ascii="Times New Roman" w:hAnsi="Times New Roman" w:cs="Times New Roman"/>
                <w:color w:val="auto"/>
                <w:sz w:val="24"/>
                <w:szCs w:val="24"/>
                <w:highlight w:val="none"/>
                <w:lang w:eastAsia="zh-CN"/>
              </w:rPr>
              <w:t>-2002）一级A标准</w:t>
            </w:r>
            <w:r>
              <w:rPr>
                <w:rFonts w:hint="eastAsia" w:ascii="Times New Roman" w:hAnsi="Times New Roman" w:cs="Times New Roman"/>
                <w:color w:val="auto"/>
                <w:sz w:val="24"/>
                <w:szCs w:val="24"/>
                <w:highlight w:val="none"/>
                <w:lang w:eastAsia="zh-CN"/>
              </w:rPr>
              <w:t>后经九华河排入长江</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项目</w:t>
            </w:r>
            <w:r>
              <w:rPr>
                <w:rFonts w:hint="eastAsia" w:cs="Times New Roman"/>
                <w:color w:val="auto"/>
                <w:sz w:val="24"/>
                <w:szCs w:val="24"/>
                <w:highlight w:val="none"/>
                <w:lang w:val="en-US" w:eastAsia="zh-CN"/>
              </w:rPr>
              <w:t>生活污水、冷却循环外排水达标排放，项目</w:t>
            </w:r>
            <w:r>
              <w:rPr>
                <w:rFonts w:hint="eastAsia" w:ascii="Times New Roman" w:hAnsi="Times New Roman" w:eastAsia="宋体" w:cs="Times New Roman"/>
                <w:color w:val="auto"/>
                <w:sz w:val="24"/>
                <w:szCs w:val="24"/>
                <w:highlight w:val="none"/>
                <w:lang w:val="en-US" w:eastAsia="zh-CN"/>
              </w:rPr>
              <w:t>废水污染物排放量较小</w:t>
            </w:r>
            <w:r>
              <w:rPr>
                <w:rFonts w:hint="eastAsia" w:cs="Times New Roman"/>
                <w:color w:val="auto"/>
                <w:sz w:val="24"/>
                <w:szCs w:val="24"/>
                <w:highlight w:val="none"/>
                <w:lang w:val="en-US" w:eastAsia="zh-CN"/>
              </w:rPr>
              <w:t>且</w:t>
            </w:r>
            <w:r>
              <w:rPr>
                <w:rFonts w:hint="eastAsia" w:ascii="Times New Roman" w:hAnsi="Times New Roman" w:eastAsia="宋体" w:cs="Times New Roman"/>
                <w:color w:val="auto"/>
                <w:sz w:val="24"/>
                <w:szCs w:val="24"/>
                <w:highlight w:val="none"/>
                <w:lang w:val="en-US" w:eastAsia="zh-CN"/>
              </w:rPr>
              <w:t>污染物较为简单易处理，不会突破环境质量底线。</w:t>
            </w:r>
          </w:p>
          <w:p w14:paraId="3AC4FB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③声环境</w:t>
            </w:r>
          </w:p>
          <w:p w14:paraId="08E40F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厂界四周50m范围内无医院、学校、住宅等声环境保护目标，根据《建设项目环境影响报告表编制技术指南（污染影响类）（试行）》，项目无需进行声环境质量现状评价；根据噪声预测结果，本项目建成后，厂界四周噪声贡献值满足《工业企业厂界环境噪声排放标准》（GB12348-2008）中的3类标准要求，因此，项目建设对区域声环境影响较小。</w:t>
            </w:r>
          </w:p>
          <w:p w14:paraId="38A130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b/>
                <w:bCs w:val="0"/>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本项目在生产过程产生的污染物经采取相应措施后可达标排放，对评价区域空气环境、地表水环境、声环境质量产生的影响均在环境承载力范围内，不会降低现有环境功能。</w:t>
            </w:r>
          </w:p>
          <w:p w14:paraId="2838539B">
            <w:pPr>
              <w:spacing w:line="360" w:lineRule="auto"/>
              <w:ind w:firstLine="480"/>
              <w:rPr>
                <w:rFonts w:hint="eastAsia" w:ascii="Times New Roman" w:hAnsi="Times New Roman" w:eastAsia="宋体" w:cs="Times New Roman"/>
                <w:b/>
                <w:bCs w:val="0"/>
                <w:color w:val="auto"/>
                <w:sz w:val="24"/>
                <w:szCs w:val="24"/>
                <w:highlight w:val="none"/>
                <w:lang w:val="en-US" w:eastAsia="zh-CN"/>
              </w:rPr>
            </w:pPr>
            <w:r>
              <w:rPr>
                <w:rFonts w:hint="eastAsia" w:ascii="Times New Roman" w:hAnsi="Times New Roman" w:cs="Times New Roman"/>
                <w:b/>
                <w:bCs w:val="0"/>
                <w:color w:val="auto"/>
                <w:sz w:val="24"/>
                <w:szCs w:val="24"/>
                <w:highlight w:val="none"/>
                <w:lang w:val="en-US" w:eastAsia="zh-CN"/>
              </w:rPr>
              <w:t>（3）</w:t>
            </w:r>
            <w:r>
              <w:rPr>
                <w:rFonts w:hint="eastAsia" w:ascii="Times New Roman" w:hAnsi="Times New Roman" w:eastAsia="宋体" w:cs="Times New Roman"/>
                <w:b/>
                <w:bCs w:val="0"/>
                <w:color w:val="auto"/>
                <w:sz w:val="24"/>
                <w:szCs w:val="24"/>
                <w:highlight w:val="none"/>
                <w:lang w:val="en-US" w:eastAsia="zh-CN"/>
              </w:rPr>
              <w:t>资源利用上线</w:t>
            </w:r>
          </w:p>
          <w:p w14:paraId="1554AFD5">
            <w:pPr>
              <w:adjustRightInd w:val="0"/>
              <w:spacing w:line="360" w:lineRule="auto"/>
              <w:ind w:firstLine="480" w:firstLineChars="200"/>
              <w:contextualSpacing/>
              <w:rPr>
                <w:rFonts w:hint="default" w:ascii="Times New Roman" w:hAnsi="Times New Roman" w:eastAsia="宋体" w:cs="Times New Roman"/>
                <w:bCs/>
                <w:color w:val="auto"/>
                <w:kern w:val="2"/>
                <w:sz w:val="24"/>
                <w:szCs w:val="28"/>
                <w:highlight w:val="none"/>
                <w:lang w:val="en-US" w:eastAsia="zh-CN" w:bidi="ar-SA"/>
              </w:rPr>
            </w:pPr>
            <w:r>
              <w:rPr>
                <w:rFonts w:hint="eastAsia" w:ascii="Times New Roman" w:hAnsi="Times New Roman" w:eastAsia="宋体" w:cs="Times New Roman"/>
                <w:bCs/>
                <w:color w:val="auto"/>
                <w:kern w:val="2"/>
                <w:sz w:val="24"/>
                <w:szCs w:val="28"/>
                <w:highlight w:val="none"/>
                <w:lang w:val="en-US" w:eastAsia="zh-CN" w:bidi="ar-SA"/>
              </w:rPr>
              <w:t>①</w:t>
            </w:r>
            <w:r>
              <w:rPr>
                <w:rFonts w:hint="default" w:ascii="Times New Roman" w:hAnsi="Times New Roman" w:eastAsia="宋体" w:cs="Times New Roman"/>
                <w:bCs/>
                <w:color w:val="auto"/>
                <w:kern w:val="2"/>
                <w:sz w:val="24"/>
                <w:szCs w:val="28"/>
                <w:highlight w:val="none"/>
                <w:lang w:val="en-US" w:eastAsia="zh-CN" w:bidi="ar-SA"/>
              </w:rPr>
              <w:t>水资源利用上线及分区管控</w:t>
            </w:r>
          </w:p>
          <w:p w14:paraId="68E2D5AE">
            <w:pPr>
              <w:adjustRightInd w:val="0"/>
              <w:spacing w:line="360" w:lineRule="auto"/>
              <w:ind w:firstLine="480" w:firstLineChars="200"/>
              <w:contextualSpacing/>
              <w:rPr>
                <w:rFonts w:hint="default" w:ascii="Times New Roman" w:hAnsi="Times New Roman" w:eastAsia="宋体" w:cs="Times New Roman"/>
                <w:bCs/>
                <w:color w:val="auto"/>
                <w:kern w:val="2"/>
                <w:sz w:val="24"/>
                <w:szCs w:val="28"/>
                <w:highlight w:val="none"/>
                <w:lang w:val="en-US" w:eastAsia="zh-CN" w:bidi="ar-SA"/>
              </w:rPr>
            </w:pPr>
            <w:r>
              <w:rPr>
                <w:rFonts w:hint="default" w:ascii="Times New Roman" w:hAnsi="Times New Roman" w:eastAsia="宋体" w:cs="Times New Roman"/>
                <w:bCs/>
                <w:color w:val="auto"/>
                <w:kern w:val="2"/>
                <w:sz w:val="24"/>
                <w:szCs w:val="28"/>
                <w:highlight w:val="none"/>
                <w:lang w:val="en-US" w:eastAsia="zh-CN" w:bidi="ar-SA"/>
              </w:rPr>
              <w:t>池州市行政区划内无地下水限采区，因此池州市水资源管控分区皆为一般管控区，占全市国土面积的100.00%。</w:t>
            </w:r>
            <w:r>
              <w:rPr>
                <w:rFonts w:hint="eastAsia" w:ascii="Times New Roman" w:hAnsi="Times New Roman" w:eastAsia="宋体" w:cs="Times New Roman"/>
                <w:bCs/>
                <w:color w:val="auto"/>
                <w:sz w:val="24"/>
                <w:szCs w:val="24"/>
                <w:highlight w:val="none"/>
                <w:lang w:eastAsia="zh-CN"/>
              </w:rPr>
              <w:t>建设项目位于</w:t>
            </w:r>
            <w:r>
              <w:rPr>
                <w:rFonts w:hint="eastAsia" w:cs="Times New Roman"/>
                <w:color w:val="auto"/>
                <w:sz w:val="24"/>
                <w:szCs w:val="24"/>
                <w:highlight w:val="none"/>
                <w:lang w:val="en-US" w:eastAsia="zh-CN"/>
              </w:rPr>
              <w:t>池州市皖江江南新兴产业集中区科技孵化园A4厂房</w:t>
            </w:r>
            <w:r>
              <w:rPr>
                <w:rFonts w:hint="eastAsia"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pacing w:val="6"/>
                <w:sz w:val="24"/>
                <w:szCs w:val="24"/>
                <w:highlight w:val="none"/>
                <w:lang w:eastAsia="zh-CN"/>
              </w:rPr>
              <w:t>重点管控单元</w:t>
            </w:r>
            <w:r>
              <w:rPr>
                <w:rFonts w:hint="eastAsia" w:ascii="Times New Roman" w:hAnsi="Times New Roman" w:cs="Times New Roman"/>
                <w:color w:val="auto"/>
                <w:spacing w:val="6"/>
                <w:sz w:val="24"/>
                <w:szCs w:val="24"/>
                <w:highlight w:val="none"/>
                <w:lang w:val="en-US" w:eastAsia="zh-CN"/>
              </w:rPr>
              <w:t>6</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bCs/>
                <w:color w:val="auto"/>
                <w:sz w:val="24"/>
                <w:szCs w:val="24"/>
                <w:highlight w:val="none"/>
                <w:lang w:eastAsia="zh-CN"/>
              </w:rPr>
              <w:t>，</w:t>
            </w:r>
            <w:r>
              <w:rPr>
                <w:rFonts w:hint="eastAsia" w:ascii="Times New Roman" w:hAnsi="Times New Roman" w:eastAsia="宋体" w:cs="Times New Roman"/>
                <w:bCs/>
                <w:color w:val="auto"/>
                <w:kern w:val="2"/>
                <w:sz w:val="24"/>
                <w:szCs w:val="28"/>
                <w:highlight w:val="none"/>
                <w:lang w:val="en-US" w:eastAsia="zh-CN" w:bidi="ar-SA"/>
              </w:rPr>
              <w:t>项目位于</w:t>
            </w:r>
            <w:r>
              <w:rPr>
                <w:rFonts w:hint="default" w:ascii="Times New Roman" w:hAnsi="Times New Roman" w:eastAsia="宋体" w:cs="Times New Roman"/>
                <w:bCs/>
                <w:color w:val="auto"/>
                <w:kern w:val="2"/>
                <w:sz w:val="24"/>
                <w:szCs w:val="28"/>
                <w:highlight w:val="none"/>
                <w:lang w:val="en-US" w:eastAsia="zh-CN" w:bidi="ar-SA"/>
              </w:rPr>
              <w:t>水资源管控一般管控区</w:t>
            </w:r>
            <w:r>
              <w:rPr>
                <w:rFonts w:hint="eastAsia" w:ascii="Times New Roman" w:hAnsi="Times New Roman" w:eastAsia="宋体" w:cs="Times New Roman"/>
                <w:bCs/>
                <w:color w:val="auto"/>
                <w:kern w:val="2"/>
                <w:sz w:val="24"/>
                <w:szCs w:val="28"/>
                <w:highlight w:val="none"/>
                <w:lang w:val="en-US" w:eastAsia="zh-CN" w:bidi="ar-SA"/>
              </w:rPr>
              <w:t>，项目无工业用水，生活用水量较少，不会突破区域</w:t>
            </w:r>
            <w:r>
              <w:rPr>
                <w:rFonts w:hint="default" w:ascii="Times New Roman" w:hAnsi="Times New Roman" w:eastAsia="宋体" w:cs="Times New Roman"/>
                <w:bCs/>
                <w:color w:val="auto"/>
                <w:kern w:val="2"/>
                <w:sz w:val="24"/>
                <w:szCs w:val="28"/>
                <w:highlight w:val="none"/>
                <w:lang w:val="en-US" w:eastAsia="zh-CN" w:bidi="ar-SA"/>
              </w:rPr>
              <w:t>水资源利用上线</w:t>
            </w:r>
            <w:r>
              <w:rPr>
                <w:rFonts w:hint="eastAsia" w:ascii="Times New Roman" w:hAnsi="Times New Roman" w:eastAsia="宋体" w:cs="Times New Roman"/>
                <w:bCs/>
                <w:color w:val="auto"/>
                <w:kern w:val="2"/>
                <w:sz w:val="24"/>
                <w:szCs w:val="28"/>
                <w:highlight w:val="none"/>
                <w:lang w:val="en-US" w:eastAsia="zh-CN" w:bidi="ar-SA"/>
              </w:rPr>
              <w:t>。</w:t>
            </w:r>
          </w:p>
          <w:p w14:paraId="62C5277A">
            <w:pPr>
              <w:adjustRightInd w:val="0"/>
              <w:spacing w:line="360" w:lineRule="auto"/>
              <w:ind w:firstLine="480" w:firstLineChars="200"/>
              <w:contextualSpacing/>
              <w:rPr>
                <w:rFonts w:hint="default" w:ascii="Times New Roman" w:hAnsi="Times New Roman" w:eastAsia="宋体" w:cs="Times New Roman"/>
                <w:bCs/>
                <w:color w:val="auto"/>
                <w:kern w:val="2"/>
                <w:sz w:val="24"/>
                <w:szCs w:val="28"/>
                <w:highlight w:val="none"/>
                <w:lang w:val="en-US" w:eastAsia="zh-CN" w:bidi="ar-SA"/>
              </w:rPr>
            </w:pPr>
            <w:r>
              <w:rPr>
                <w:rFonts w:hint="eastAsia" w:ascii="Times New Roman" w:hAnsi="Times New Roman" w:cs="Times New Roman"/>
                <w:bCs/>
                <w:color w:val="auto"/>
                <w:kern w:val="2"/>
                <w:sz w:val="24"/>
                <w:szCs w:val="28"/>
                <w:highlight w:val="none"/>
                <w:lang w:val="en-US" w:eastAsia="zh-CN" w:bidi="ar-SA"/>
              </w:rPr>
              <w:t>②</w:t>
            </w:r>
            <w:r>
              <w:rPr>
                <w:rFonts w:hint="default" w:ascii="Times New Roman" w:hAnsi="Times New Roman" w:eastAsia="宋体" w:cs="Times New Roman"/>
                <w:bCs/>
                <w:color w:val="auto"/>
                <w:kern w:val="2"/>
                <w:sz w:val="24"/>
                <w:szCs w:val="28"/>
                <w:highlight w:val="none"/>
                <w:lang w:val="en-US" w:eastAsia="zh-CN" w:bidi="ar-SA"/>
              </w:rPr>
              <w:t>土地资源利用上线及分区管控</w:t>
            </w:r>
          </w:p>
          <w:p w14:paraId="46C33FAA">
            <w:pPr>
              <w:adjustRightInd w:val="0"/>
              <w:spacing w:line="360" w:lineRule="auto"/>
              <w:ind w:firstLine="480" w:firstLineChars="200"/>
              <w:contextualSpacing/>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eastAsia="zh-CN"/>
              </w:rPr>
              <w:t>建设项目位于</w:t>
            </w:r>
            <w:r>
              <w:rPr>
                <w:rFonts w:hint="eastAsia" w:cs="Times New Roman"/>
                <w:color w:val="auto"/>
                <w:sz w:val="24"/>
                <w:szCs w:val="24"/>
                <w:highlight w:val="none"/>
                <w:lang w:val="en-US" w:eastAsia="zh-CN"/>
              </w:rPr>
              <w:t>池州市皖江江南新兴产业集中区科技孵化园A4厂房</w:t>
            </w:r>
            <w:r>
              <w:rPr>
                <w:rFonts w:hint="eastAsia"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pacing w:val="6"/>
                <w:sz w:val="24"/>
                <w:szCs w:val="24"/>
                <w:highlight w:val="none"/>
                <w:lang w:eastAsia="zh-CN"/>
              </w:rPr>
              <w:t>重点管控单元</w:t>
            </w:r>
            <w:r>
              <w:rPr>
                <w:rFonts w:hint="eastAsia" w:ascii="Times New Roman" w:hAnsi="Times New Roman" w:cs="Times New Roman"/>
                <w:color w:val="auto"/>
                <w:spacing w:val="6"/>
                <w:sz w:val="24"/>
                <w:szCs w:val="24"/>
                <w:highlight w:val="none"/>
                <w:lang w:val="en-US" w:eastAsia="zh-CN"/>
              </w:rPr>
              <w:t>6</w:t>
            </w:r>
            <w:r>
              <w:rPr>
                <w:rFonts w:hint="eastAsia" w:ascii="Times New Roman" w:hAnsi="Times New Roman" w:cs="Times New Roman"/>
                <w:color w:val="auto"/>
                <w:sz w:val="24"/>
                <w:szCs w:val="24"/>
                <w:highlight w:val="none"/>
                <w:lang w:val="en-US" w:eastAsia="zh-CN"/>
              </w:rPr>
              <w:t>）</w:t>
            </w:r>
            <w:r>
              <w:rPr>
                <w:rFonts w:hint="eastAsia" w:ascii="Times New Roman" w:hAnsi="Times New Roman" w:eastAsia="宋体" w:cs="Times New Roman"/>
                <w:bCs/>
                <w:color w:val="auto"/>
                <w:sz w:val="24"/>
                <w:szCs w:val="24"/>
                <w:highlight w:val="none"/>
                <w:lang w:eastAsia="zh-CN"/>
              </w:rPr>
              <w:t>，</w:t>
            </w:r>
            <w:r>
              <w:rPr>
                <w:rFonts w:hint="eastAsia" w:ascii="Times New Roman" w:hAnsi="Times New Roman" w:eastAsia="宋体" w:cs="Times New Roman"/>
                <w:bCs/>
                <w:color w:val="auto"/>
                <w:kern w:val="2"/>
                <w:sz w:val="24"/>
                <w:szCs w:val="28"/>
                <w:highlight w:val="none"/>
                <w:lang w:val="en-US" w:eastAsia="zh-CN" w:bidi="ar-SA"/>
              </w:rPr>
              <w:t>且</w:t>
            </w:r>
            <w:r>
              <w:rPr>
                <w:rFonts w:hint="eastAsia" w:ascii="Times New Roman" w:hAnsi="Times New Roman" w:cs="Times New Roman"/>
                <w:bCs/>
                <w:color w:val="auto"/>
                <w:kern w:val="2"/>
                <w:sz w:val="24"/>
                <w:szCs w:val="28"/>
                <w:highlight w:val="none"/>
                <w:lang w:val="en-US" w:eastAsia="zh-CN" w:bidi="ar-SA"/>
              </w:rPr>
              <w:t>项目</w:t>
            </w:r>
            <w:r>
              <w:rPr>
                <w:rFonts w:hint="eastAsia" w:ascii="Times New Roman" w:hAnsi="Times New Roman" w:eastAsia="宋体" w:cs="Times New Roman"/>
                <w:bCs/>
                <w:color w:val="auto"/>
                <w:kern w:val="2"/>
                <w:sz w:val="24"/>
                <w:szCs w:val="28"/>
                <w:highlight w:val="none"/>
                <w:lang w:val="en-US" w:eastAsia="zh-CN" w:bidi="ar-SA"/>
              </w:rPr>
              <w:t>工业厂房</w:t>
            </w:r>
            <w:r>
              <w:rPr>
                <w:rFonts w:hint="eastAsia" w:ascii="Times New Roman" w:hAnsi="Times New Roman" w:cs="Times New Roman"/>
                <w:bCs/>
                <w:color w:val="auto"/>
                <w:kern w:val="2"/>
                <w:sz w:val="24"/>
                <w:szCs w:val="28"/>
                <w:highlight w:val="none"/>
                <w:lang w:val="en-US" w:eastAsia="zh-CN" w:bidi="ar-SA"/>
              </w:rPr>
              <w:t>为租赁</w:t>
            </w:r>
            <w:r>
              <w:rPr>
                <w:rFonts w:hint="eastAsia" w:cs="Times New Roman"/>
                <w:bCs/>
                <w:color w:val="auto"/>
                <w:kern w:val="2"/>
                <w:sz w:val="24"/>
                <w:szCs w:val="28"/>
                <w:highlight w:val="none"/>
                <w:lang w:val="en-US" w:eastAsia="zh-CN" w:bidi="ar-SA"/>
              </w:rPr>
              <w:t>，本次项目不新开发工业用地</w:t>
            </w:r>
            <w:r>
              <w:rPr>
                <w:rFonts w:hint="eastAsia" w:ascii="Times New Roman" w:hAnsi="Times New Roman" w:eastAsia="宋体" w:cs="Times New Roman"/>
                <w:bCs/>
                <w:color w:val="auto"/>
                <w:sz w:val="24"/>
                <w:szCs w:val="24"/>
                <w:highlight w:val="none"/>
                <w:lang w:val="en-US" w:eastAsia="zh-CN"/>
              </w:rPr>
              <w:t>，项目建设符合</w:t>
            </w:r>
            <w:r>
              <w:rPr>
                <w:rFonts w:hint="default" w:ascii="Times New Roman" w:hAnsi="Times New Roman" w:eastAsia="宋体" w:cs="Times New Roman"/>
                <w:bCs/>
                <w:color w:val="auto"/>
                <w:sz w:val="24"/>
                <w:szCs w:val="24"/>
                <w:highlight w:val="none"/>
                <w:lang w:val="en-US" w:eastAsia="zh-CN"/>
              </w:rPr>
              <w:t>土地资源利用上线</w:t>
            </w:r>
            <w:r>
              <w:rPr>
                <w:rFonts w:hint="eastAsia" w:ascii="Times New Roman" w:hAnsi="Times New Roman" w:eastAsia="宋体" w:cs="Times New Roman"/>
                <w:bCs/>
                <w:color w:val="auto"/>
                <w:sz w:val="24"/>
                <w:szCs w:val="24"/>
                <w:highlight w:val="none"/>
                <w:lang w:val="en-US" w:eastAsia="zh-CN"/>
              </w:rPr>
              <w:t>要求。</w:t>
            </w:r>
          </w:p>
          <w:p w14:paraId="6B03ADDE">
            <w:pPr>
              <w:adjustRightInd w:val="0"/>
              <w:spacing w:line="360" w:lineRule="auto"/>
              <w:ind w:firstLine="480" w:firstLineChars="200"/>
              <w:contextualSpacing/>
              <w:rPr>
                <w:rFonts w:hint="eastAsia" w:ascii="Times New Roman" w:hAnsi="Times New Roman" w:eastAsia="宋体" w:cs="Times New Roman"/>
                <w:bCs/>
                <w:color w:val="auto"/>
                <w:sz w:val="24"/>
                <w:szCs w:val="24"/>
                <w:highlight w:val="none"/>
                <w:lang w:eastAsia="zh-CN"/>
              </w:rPr>
            </w:pPr>
            <w:r>
              <w:rPr>
                <w:rFonts w:hint="eastAsia" w:ascii="Times New Roman" w:hAnsi="Times New Roman" w:eastAsia="宋体" w:cs="Times New Roman"/>
                <w:bCs/>
                <w:color w:val="auto"/>
                <w:sz w:val="24"/>
                <w:szCs w:val="24"/>
                <w:highlight w:val="none"/>
                <w:lang w:eastAsia="zh-CN"/>
              </w:rPr>
              <w:t>（4）环境准入负面清单</w:t>
            </w:r>
          </w:p>
          <w:p w14:paraId="6DD53A26">
            <w:pPr>
              <w:adjustRightInd w:val="0"/>
              <w:spacing w:line="360" w:lineRule="auto"/>
              <w:ind w:firstLine="480" w:firstLineChars="200"/>
              <w:contextualSpacing/>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本项目属于</w:t>
            </w:r>
            <w:r>
              <w:rPr>
                <w:rFonts w:hint="default" w:ascii="Times New Roman" w:hAnsi="Times New Roman" w:cs="Times New Roman"/>
                <w:b w:val="0"/>
                <w:bCs w:val="0"/>
                <w:color w:val="auto"/>
                <w:sz w:val="24"/>
                <w:szCs w:val="24"/>
                <w:highlight w:val="none"/>
                <w:lang w:val="en-US" w:eastAsia="zh-CN"/>
              </w:rPr>
              <w:t>C3974显示器件制造</w:t>
            </w:r>
            <w:r>
              <w:rPr>
                <w:rFonts w:hint="eastAsia" w:cs="Times New Roman"/>
                <w:color w:val="auto"/>
                <w:sz w:val="24"/>
                <w:szCs w:val="24"/>
                <w:highlight w:val="none"/>
                <w:lang w:val="en-US" w:eastAsia="zh-CN"/>
              </w:rPr>
              <w:t>及C2929塑料零件及其他塑料制品制造</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生产的产品均属于显示器件</w:t>
            </w:r>
            <w:r>
              <w:rPr>
                <w:rFonts w:hint="default" w:ascii="Times New Roman" w:hAnsi="Times New Roman" w:cs="Times New Roman"/>
                <w:b w:val="0"/>
                <w:bCs w:val="0"/>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属于江南产业集中区产业规划范围的</w:t>
            </w:r>
            <w:r>
              <w:rPr>
                <w:rFonts w:hint="default" w:ascii="Times New Roman" w:hAnsi="Times New Roman" w:eastAsia="宋体" w:cs="Times New Roman"/>
                <w:color w:val="auto"/>
                <w:sz w:val="24"/>
                <w:szCs w:val="24"/>
                <w:highlight w:val="none"/>
                <w:lang w:val="en-US" w:eastAsia="zh-CN"/>
              </w:rPr>
              <w:t>机械电子</w:t>
            </w:r>
            <w:r>
              <w:rPr>
                <w:rFonts w:hint="eastAsia" w:ascii="Times New Roman" w:hAnsi="Times New Roman" w:eastAsia="宋体" w:cs="Times New Roman"/>
                <w:color w:val="auto"/>
                <w:sz w:val="24"/>
                <w:szCs w:val="24"/>
                <w:highlight w:val="none"/>
                <w:lang w:val="en-US" w:eastAsia="zh-CN"/>
              </w:rPr>
              <w:t>产业类别。根据《安徽省江南产业集中区产业发展规划（2019-2030年）环境影响报告书》，在江南产业集中区产业规划范围内入驻企业负面清单具体如下表：</w:t>
            </w:r>
          </w:p>
          <w:p w14:paraId="760038A9">
            <w:pPr>
              <w:spacing w:line="240" w:lineRule="auto"/>
              <w:jc w:val="center"/>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表1-</w:t>
            </w:r>
            <w:r>
              <w:rPr>
                <w:rFonts w:hint="eastAsia" w:cs="Times New Roman" w:eastAsiaTheme="minorEastAsia"/>
                <w:b/>
                <w:bCs/>
                <w:color w:val="auto"/>
                <w:sz w:val="21"/>
                <w:szCs w:val="21"/>
                <w:highlight w:val="none"/>
                <w:lang w:val="en-US" w:eastAsia="zh-CN"/>
              </w:rPr>
              <w:t>3</w:t>
            </w:r>
            <w:r>
              <w:rPr>
                <w:rFonts w:hint="default" w:ascii="Times New Roman" w:hAnsi="Times New Roman" w:cs="Times New Roman" w:eastAsiaTheme="minorEastAsia"/>
                <w:b/>
                <w:bCs/>
                <w:color w:val="auto"/>
                <w:sz w:val="21"/>
                <w:szCs w:val="21"/>
                <w:highlight w:val="none"/>
                <w:lang w:val="en-US" w:eastAsia="zh-CN"/>
              </w:rPr>
              <w:t xml:space="preserve">  </w:t>
            </w:r>
            <w:r>
              <w:rPr>
                <w:rFonts w:hint="default" w:ascii="Times New Roman" w:hAnsi="Times New Roman" w:cs="Times New Roman" w:eastAsiaTheme="minorEastAsia"/>
                <w:b/>
                <w:bCs/>
                <w:color w:val="auto"/>
                <w:sz w:val="21"/>
                <w:szCs w:val="21"/>
                <w:highlight w:val="none"/>
              </w:rPr>
              <w:t>江南</w:t>
            </w:r>
            <w:r>
              <w:rPr>
                <w:rFonts w:hint="default" w:ascii="Times New Roman" w:hAnsi="Times New Roman" w:cs="Times New Roman" w:eastAsiaTheme="minorEastAsia"/>
                <w:b/>
                <w:bCs/>
                <w:color w:val="auto"/>
                <w:sz w:val="21"/>
                <w:szCs w:val="21"/>
                <w:highlight w:val="none"/>
                <w:lang w:val="en-US" w:eastAsia="zh-CN"/>
              </w:rPr>
              <w:t>产业</w:t>
            </w:r>
            <w:r>
              <w:rPr>
                <w:rFonts w:hint="default" w:ascii="Times New Roman" w:hAnsi="Times New Roman" w:cs="Times New Roman" w:eastAsiaTheme="minorEastAsia"/>
                <w:b/>
                <w:bCs/>
                <w:color w:val="auto"/>
                <w:sz w:val="21"/>
                <w:szCs w:val="21"/>
                <w:highlight w:val="none"/>
              </w:rPr>
              <w:t>集中区</w:t>
            </w:r>
            <w:r>
              <w:rPr>
                <w:rFonts w:hint="default" w:ascii="Times New Roman" w:hAnsi="Times New Roman" w:cs="Times New Roman" w:eastAsiaTheme="minorEastAsia"/>
                <w:b/>
                <w:bCs/>
                <w:color w:val="auto"/>
                <w:sz w:val="21"/>
                <w:szCs w:val="21"/>
                <w:highlight w:val="none"/>
                <w:lang w:eastAsia="zh-CN"/>
              </w:rPr>
              <w:t>产业规划范围内</w:t>
            </w:r>
            <w:r>
              <w:rPr>
                <w:rFonts w:hint="default" w:ascii="Times New Roman" w:hAnsi="Times New Roman" w:cs="Times New Roman" w:eastAsiaTheme="minorEastAsia"/>
                <w:b/>
                <w:bCs/>
                <w:color w:val="auto"/>
                <w:sz w:val="21"/>
                <w:szCs w:val="21"/>
                <w:highlight w:val="none"/>
                <w:lang w:val="en-US" w:eastAsia="zh-CN"/>
              </w:rPr>
              <w:t>环境</w:t>
            </w:r>
            <w:r>
              <w:rPr>
                <w:rFonts w:hint="default" w:ascii="Times New Roman" w:hAnsi="Times New Roman" w:cs="Times New Roman" w:eastAsiaTheme="minorEastAsia"/>
                <w:b/>
                <w:bCs/>
                <w:color w:val="auto"/>
                <w:sz w:val="21"/>
                <w:szCs w:val="21"/>
                <w:highlight w:val="none"/>
              </w:rPr>
              <w:t>准入负面清单</w:t>
            </w:r>
          </w:p>
          <w:tbl>
            <w:tblPr>
              <w:tblStyle w:val="25"/>
              <w:tblW w:w="7588" w:type="dxa"/>
              <w:jc w:val="center"/>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397"/>
              <w:gridCol w:w="571"/>
              <w:gridCol w:w="5085"/>
              <w:gridCol w:w="1535"/>
            </w:tblGrid>
            <w:tr w14:paraId="75647EC5">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70" w:hRule="atLeast"/>
                <w:jc w:val="center"/>
              </w:trPr>
              <w:tc>
                <w:tcPr>
                  <w:tcW w:w="262" w:type="pct"/>
                  <w:tcBorders>
                    <w:top w:val="single" w:color="auto" w:sz="4" w:space="0"/>
                    <w:left w:val="single" w:color="auto" w:sz="0" w:space="0"/>
                    <w:bottom w:val="single" w:color="auto" w:sz="4" w:space="0"/>
                    <w:right w:val="single" w:color="auto" w:sz="4" w:space="0"/>
                    <w:tl2br w:val="nil"/>
                    <w:tr2bl w:val="nil"/>
                  </w:tcBorders>
                  <w:noWrap w:val="0"/>
                  <w:vAlign w:val="center"/>
                </w:tcPr>
                <w:p w14:paraId="0E85DB41">
                  <w:pPr>
                    <w:pStyle w:val="78"/>
                    <w:spacing w:line="240" w:lineRule="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序号</w:t>
                  </w:r>
                </w:p>
              </w:tc>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AF81F35">
                  <w:pPr>
                    <w:pStyle w:val="78"/>
                    <w:spacing w:line="240" w:lineRule="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产业类别</w:t>
                  </w:r>
                </w:p>
              </w:tc>
              <w:tc>
                <w:tcPr>
                  <w:tcW w:w="335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3F1CD57">
                  <w:pPr>
                    <w:pStyle w:val="78"/>
                    <w:spacing w:line="240" w:lineRule="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负面清单</w:t>
                  </w:r>
                </w:p>
              </w:tc>
              <w:tc>
                <w:tcPr>
                  <w:tcW w:w="1011"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11CBA9F">
                  <w:pPr>
                    <w:pStyle w:val="78"/>
                    <w:spacing w:line="240" w:lineRule="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本项目</w:t>
                  </w:r>
                </w:p>
              </w:tc>
            </w:tr>
            <w:tr w14:paraId="7EC218E7">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70" w:hRule="atLeast"/>
                <w:jc w:val="center"/>
              </w:trPr>
              <w:tc>
                <w:tcPr>
                  <w:tcW w:w="26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78D75D4">
                  <w:pPr>
                    <w:pStyle w:val="78"/>
                    <w:spacing w:line="24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004CAFE">
                  <w:pPr>
                    <w:pStyle w:val="78"/>
                    <w:spacing w:line="24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机械电子</w:t>
                  </w:r>
                </w:p>
              </w:tc>
              <w:tc>
                <w:tcPr>
                  <w:tcW w:w="335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C053659">
                  <w:pPr>
                    <w:pStyle w:val="78"/>
                    <w:spacing w:line="240" w:lineRule="auto"/>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①禁止引入表面处理中心以外的电镀生产工艺（其他必须配套电镀工序的企业，应严格控制其镀种和在电镀中心以外布局，其选址需经过充分环境影响论证）；</w:t>
                  </w:r>
                </w:p>
                <w:p w14:paraId="6C5E411F">
                  <w:pPr>
                    <w:pStyle w:val="78"/>
                    <w:spacing w:line="240" w:lineRule="auto"/>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②禁止引入国家产业指导目录中非鼓励类铅酸电池项目。</w:t>
                  </w:r>
                </w:p>
              </w:tc>
              <w:tc>
                <w:tcPr>
                  <w:tcW w:w="1011" w:type="pct"/>
                  <w:vMerge w:val="restart"/>
                  <w:tcBorders>
                    <w:top w:val="single" w:color="auto" w:sz="4" w:space="0"/>
                    <w:left w:val="single" w:color="auto" w:sz="4" w:space="0"/>
                    <w:right w:val="single" w:color="auto" w:sz="4" w:space="0"/>
                    <w:tl2br w:val="nil"/>
                    <w:tr2bl w:val="nil"/>
                  </w:tcBorders>
                  <w:noWrap w:val="0"/>
                  <w:vAlign w:val="center"/>
                </w:tcPr>
                <w:p w14:paraId="5FFED1AD">
                  <w:pPr>
                    <w:pStyle w:val="78"/>
                    <w:spacing w:line="24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本项目属于C3974显示器件制造及C2929塑料零件及其他塑料制品制造，生产的产品均属于</w:t>
                  </w:r>
                  <w:r>
                    <w:rPr>
                      <w:rFonts w:hint="eastAsia" w:cs="Times New Roman"/>
                      <w:color w:val="auto"/>
                      <w:sz w:val="21"/>
                      <w:szCs w:val="21"/>
                      <w:highlight w:val="none"/>
                      <w:lang w:val="en-US" w:eastAsia="zh-CN"/>
                    </w:rPr>
                    <w:t>显示器件</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项目</w:t>
                  </w:r>
                  <w:r>
                    <w:rPr>
                      <w:rFonts w:hint="default" w:ascii="Times New Roman" w:hAnsi="Times New Roman" w:cs="Times New Roman"/>
                      <w:color w:val="auto"/>
                      <w:sz w:val="21"/>
                      <w:szCs w:val="21"/>
                      <w:highlight w:val="none"/>
                      <w:lang w:val="en-US" w:eastAsia="zh-CN"/>
                    </w:rPr>
                    <w:t>不涉及电镀工艺</w:t>
                  </w:r>
                  <w:r>
                    <w:rPr>
                      <w:rFonts w:hint="default" w:ascii="Times New Roman" w:hAnsi="Times New Roman" w:eastAsia="宋体" w:cs="Times New Roman"/>
                      <w:color w:val="auto"/>
                      <w:kern w:val="0"/>
                      <w:sz w:val="21"/>
                      <w:szCs w:val="21"/>
                      <w:highlight w:val="none"/>
                      <w:lang w:eastAsia="zh-CN" w:bidi="ar"/>
                    </w:rPr>
                    <w:t>，对照安徽省两高目录</w:t>
                  </w:r>
                  <w:r>
                    <w:rPr>
                      <w:rFonts w:hint="default" w:ascii="Times New Roman" w:hAnsi="Times New Roman" w:cs="Times New Roman"/>
                      <w:color w:val="auto"/>
                      <w:kern w:val="0"/>
                      <w:sz w:val="21"/>
                      <w:szCs w:val="21"/>
                      <w:highlight w:val="none"/>
                      <w:lang w:eastAsia="zh-CN" w:bidi="ar"/>
                    </w:rPr>
                    <w:t>，</w:t>
                  </w:r>
                  <w:r>
                    <w:rPr>
                      <w:rFonts w:hint="default" w:ascii="Times New Roman" w:hAnsi="Times New Roman" w:cs="Times New Roman"/>
                      <w:color w:val="auto"/>
                      <w:kern w:val="0"/>
                      <w:sz w:val="21"/>
                      <w:szCs w:val="21"/>
                      <w:highlight w:val="none"/>
                      <w:lang w:val="en-US" w:eastAsia="zh-CN" w:bidi="ar"/>
                    </w:rPr>
                    <w:t>本项目</w:t>
                  </w:r>
                  <w:r>
                    <w:rPr>
                      <w:rFonts w:hint="default" w:ascii="Times New Roman" w:hAnsi="Times New Roman" w:eastAsia="宋体" w:cs="Times New Roman"/>
                      <w:color w:val="auto"/>
                      <w:kern w:val="0"/>
                      <w:sz w:val="21"/>
                      <w:szCs w:val="21"/>
                      <w:highlight w:val="none"/>
                      <w:lang w:eastAsia="zh-CN" w:bidi="ar"/>
                    </w:rPr>
                    <w:t>不属于高污染、高能耗、高水耗和资源型行业；对照《产业结构调整指导目录（20</w:t>
                  </w:r>
                  <w:r>
                    <w:rPr>
                      <w:rFonts w:hint="default" w:ascii="Times New Roman" w:hAnsi="Times New Roman" w:eastAsia="宋体" w:cs="Times New Roman"/>
                      <w:color w:val="auto"/>
                      <w:kern w:val="0"/>
                      <w:sz w:val="21"/>
                      <w:szCs w:val="21"/>
                      <w:highlight w:val="none"/>
                      <w:lang w:val="en-US" w:eastAsia="zh-CN" w:bidi="ar"/>
                    </w:rPr>
                    <w:t>24</w:t>
                  </w:r>
                  <w:r>
                    <w:rPr>
                      <w:rFonts w:hint="default" w:ascii="Times New Roman" w:hAnsi="Times New Roman" w:eastAsia="宋体" w:cs="Times New Roman"/>
                      <w:color w:val="auto"/>
                      <w:kern w:val="0"/>
                      <w:sz w:val="21"/>
                      <w:szCs w:val="21"/>
                      <w:highlight w:val="none"/>
                      <w:lang w:eastAsia="zh-CN" w:bidi="ar"/>
                    </w:rPr>
                    <w:t>年本）》，不属于限制、淘汰或者禁止类项目</w:t>
                  </w:r>
                  <w:r>
                    <w:rPr>
                      <w:rFonts w:hint="eastAsia" w:ascii="Times New Roman" w:hAnsi="Times New Roman" w:eastAsia="宋体" w:cs="Times New Roman"/>
                      <w:color w:val="auto"/>
                      <w:kern w:val="0"/>
                      <w:sz w:val="21"/>
                      <w:szCs w:val="21"/>
                      <w:highlight w:val="none"/>
                      <w:lang w:eastAsia="zh-CN" w:bidi="ar"/>
                    </w:rPr>
                    <w:t>，</w:t>
                  </w:r>
                  <w:r>
                    <w:rPr>
                      <w:rFonts w:hint="eastAsia" w:ascii="Times New Roman" w:hAnsi="Times New Roman" w:eastAsia="宋体" w:cs="Times New Roman"/>
                      <w:color w:val="auto"/>
                      <w:kern w:val="0"/>
                      <w:sz w:val="21"/>
                      <w:szCs w:val="21"/>
                      <w:highlight w:val="none"/>
                      <w:lang w:val="en-US" w:eastAsia="zh-CN" w:bidi="ar"/>
                    </w:rPr>
                    <w:t>项目不属于江南产业集中区环境准入负面清单产业类型。</w:t>
                  </w:r>
                </w:p>
              </w:tc>
            </w:tr>
            <w:tr w14:paraId="1C1A8684">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70" w:hRule="atLeast"/>
                <w:jc w:val="center"/>
              </w:trPr>
              <w:tc>
                <w:tcPr>
                  <w:tcW w:w="26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548219D">
                  <w:pPr>
                    <w:pStyle w:val="78"/>
                    <w:spacing w:line="24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38C1818">
                  <w:pPr>
                    <w:pStyle w:val="78"/>
                    <w:spacing w:line="24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新型材料</w:t>
                  </w:r>
                </w:p>
              </w:tc>
              <w:tc>
                <w:tcPr>
                  <w:tcW w:w="335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466DBDE">
                  <w:pPr>
                    <w:pStyle w:val="78"/>
                    <w:spacing w:line="240" w:lineRule="auto"/>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①禁止引入能耗物耗高、环境污染大、产出效益低的国家或省规定禁止的其他落后工艺；</w:t>
                  </w:r>
                </w:p>
                <w:p w14:paraId="66AC4351">
                  <w:pPr>
                    <w:pStyle w:val="78"/>
                    <w:spacing w:line="240" w:lineRule="auto"/>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②禁止引入表面处理中心以外的电镀生产工艺（其他必须配套电镀工序的企业，应严格控制其镀种和在电镀中心以外布局，其选址需经过充分环境影响论证）；</w:t>
                  </w:r>
                </w:p>
                <w:p w14:paraId="0FE45DB3">
                  <w:pPr>
                    <w:pStyle w:val="78"/>
                    <w:spacing w:line="240" w:lineRule="auto"/>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③禁止引入多晶硅、单晶硅制造等前道生产工序；</w:t>
                  </w:r>
                </w:p>
                <w:p w14:paraId="1422CFD5">
                  <w:pPr>
                    <w:pStyle w:val="78"/>
                    <w:spacing w:line="240" w:lineRule="auto"/>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④禁止引入酸、碱、肥料、农药以及化学合成制药等污染严重的化工项目，为集中区内项目上下游配套、污染较轻的，以及单纯混合和分装的复配项目需经项目环评阶段充分论证后方可准入；</w:t>
                  </w:r>
                </w:p>
                <w:p w14:paraId="1F56CFC8">
                  <w:pPr>
                    <w:pStyle w:val="78"/>
                    <w:spacing w:line="240" w:lineRule="auto"/>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⑤从严控制规模效益差、能源资源消耗大、环境影响严重的项目进入，包括钢铁、有色金属原矿冶炼、石化、焦化、水泥、原浆造纸、制革、平板玻璃和非金属矿原矿加工等项目。</w:t>
                  </w:r>
                </w:p>
              </w:tc>
              <w:tc>
                <w:tcPr>
                  <w:tcW w:w="1011" w:type="pct"/>
                  <w:vMerge w:val="continue"/>
                  <w:tcBorders>
                    <w:left w:val="single" w:color="auto" w:sz="4" w:space="0"/>
                    <w:right w:val="single" w:color="auto" w:sz="4" w:space="0"/>
                    <w:tl2br w:val="nil"/>
                    <w:tr2bl w:val="nil"/>
                  </w:tcBorders>
                  <w:noWrap w:val="0"/>
                  <w:vAlign w:val="center"/>
                </w:tcPr>
                <w:p w14:paraId="575AC47C">
                  <w:pPr>
                    <w:pStyle w:val="78"/>
                    <w:spacing w:line="240" w:lineRule="auto"/>
                    <w:rPr>
                      <w:rFonts w:hint="default" w:ascii="Times New Roman" w:hAnsi="Times New Roman" w:eastAsia="宋体" w:cs="Times New Roman"/>
                      <w:color w:val="auto"/>
                      <w:sz w:val="21"/>
                      <w:szCs w:val="21"/>
                      <w:highlight w:val="none"/>
                      <w:lang w:val="en-US" w:eastAsia="zh-CN"/>
                    </w:rPr>
                  </w:pPr>
                </w:p>
              </w:tc>
            </w:tr>
            <w:tr w14:paraId="13E1254C">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70" w:hRule="atLeast"/>
                <w:jc w:val="center"/>
              </w:trPr>
              <w:tc>
                <w:tcPr>
                  <w:tcW w:w="26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6AA84B3">
                  <w:pPr>
                    <w:pStyle w:val="78"/>
                    <w:spacing w:line="24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w:t>
                  </w:r>
                </w:p>
              </w:tc>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B510B10">
                  <w:pPr>
                    <w:pStyle w:val="78"/>
                    <w:spacing w:line="24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大健康</w:t>
                  </w:r>
                </w:p>
              </w:tc>
              <w:tc>
                <w:tcPr>
                  <w:tcW w:w="335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C9D1C9B">
                  <w:pPr>
                    <w:pStyle w:val="78"/>
                    <w:spacing w:line="240" w:lineRule="auto"/>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①禁止引入《产业结构调整指导目录（2024年本）》等产业政策中限制类和淘汰类设备和工艺；</w:t>
                  </w:r>
                </w:p>
                <w:p w14:paraId="42351EDE">
                  <w:pPr>
                    <w:pStyle w:val="78"/>
                    <w:spacing w:line="240" w:lineRule="auto"/>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②禁止引入涉及化学合成工序的制药类项目。</w:t>
                  </w:r>
                </w:p>
              </w:tc>
              <w:tc>
                <w:tcPr>
                  <w:tcW w:w="1011" w:type="pct"/>
                  <w:vMerge w:val="continue"/>
                  <w:tcBorders>
                    <w:left w:val="single" w:color="auto" w:sz="4" w:space="0"/>
                    <w:bottom w:val="single" w:color="auto" w:sz="4" w:space="0"/>
                    <w:right w:val="single" w:color="auto" w:sz="4" w:space="0"/>
                    <w:tl2br w:val="nil"/>
                    <w:tr2bl w:val="nil"/>
                  </w:tcBorders>
                  <w:noWrap w:val="0"/>
                  <w:vAlign w:val="center"/>
                </w:tcPr>
                <w:p w14:paraId="213E07CC">
                  <w:pPr>
                    <w:pStyle w:val="78"/>
                    <w:spacing w:line="240" w:lineRule="auto"/>
                    <w:rPr>
                      <w:rFonts w:hint="default" w:ascii="Times New Roman" w:hAnsi="Times New Roman" w:eastAsia="宋体" w:cs="Times New Roman"/>
                      <w:color w:val="auto"/>
                      <w:sz w:val="21"/>
                      <w:szCs w:val="21"/>
                      <w:highlight w:val="none"/>
                      <w:lang w:val="en-US" w:eastAsia="zh-CN"/>
                    </w:rPr>
                  </w:pPr>
                </w:p>
              </w:tc>
            </w:tr>
          </w:tbl>
          <w:p w14:paraId="3D83660F">
            <w:pPr>
              <w:adjustRightInd w:val="0"/>
              <w:spacing w:line="360" w:lineRule="auto"/>
              <w:ind w:firstLine="480" w:firstLineChars="200"/>
              <w:contextualSpacing/>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本项目属于C3974显示器件制造及C2929塑料零件及其他塑料制品制造，生产的产品均属于</w:t>
            </w:r>
            <w:r>
              <w:rPr>
                <w:rFonts w:hint="eastAsia" w:cs="Times New Roman"/>
                <w:bCs/>
                <w:color w:val="auto"/>
                <w:sz w:val="24"/>
                <w:szCs w:val="24"/>
                <w:highlight w:val="none"/>
                <w:lang w:val="en-US" w:eastAsia="zh-CN"/>
              </w:rPr>
              <w:t>显示器件</w:t>
            </w:r>
            <w:r>
              <w:rPr>
                <w:rFonts w:hint="eastAsia" w:ascii="Times New Roman" w:hAnsi="Times New Roman" w:eastAsia="宋体" w:cs="Times New Roman"/>
                <w:bCs/>
                <w:color w:val="auto"/>
                <w:sz w:val="24"/>
                <w:szCs w:val="24"/>
                <w:highlight w:val="none"/>
                <w:lang w:val="en-US" w:eastAsia="zh-CN"/>
              </w:rPr>
              <w:t>，属于江南产业集中区产业规划中的主导产业，项目不涉及电镀工艺，对照安徽省两高目录，本项目不属于高污染、高能耗、高水耗和资源型行业；对照《产业结构调整指导目录（2024年本）》，不属于限制、淘汰或者禁止类项目，故本项目不属于江南产业集中区产业规划范围内环境准入负面清单产业类型。</w:t>
            </w:r>
          </w:p>
          <w:p w14:paraId="0C64491B">
            <w:pPr>
              <w:adjustRightInd w:val="0"/>
              <w:spacing w:line="360" w:lineRule="auto"/>
              <w:ind w:firstLine="482" w:firstLineChars="200"/>
              <w:contextualSpacing/>
              <w:rPr>
                <w:rFonts w:hint="default" w:ascii="Times New Roman" w:hAnsi="Times New Roman" w:eastAsia="宋体" w:cs="Times New Roman"/>
                <w:b/>
                <w:bCs w:val="0"/>
                <w:color w:val="auto"/>
                <w:sz w:val="24"/>
                <w:szCs w:val="24"/>
                <w:highlight w:val="none"/>
                <w:lang w:eastAsia="zh-CN"/>
              </w:rPr>
            </w:pPr>
            <w:r>
              <w:rPr>
                <w:rFonts w:hint="eastAsia" w:ascii="Times New Roman" w:hAnsi="Times New Roman" w:eastAsia="宋体" w:cs="Times New Roman"/>
                <w:b/>
                <w:bCs w:val="0"/>
                <w:color w:val="auto"/>
                <w:sz w:val="24"/>
                <w:szCs w:val="24"/>
                <w:highlight w:val="none"/>
                <w:lang w:val="en-US" w:eastAsia="zh-CN"/>
              </w:rPr>
              <w:t>（5）生态环境管控单元划定及分区管控相符相分析</w:t>
            </w:r>
          </w:p>
          <w:p w14:paraId="65D360F4">
            <w:pPr>
              <w:keepNext w:val="0"/>
              <w:keepLines w:val="0"/>
              <w:pageBreakBefore w:val="0"/>
              <w:kinsoku/>
              <w:wordWrap/>
              <w:overflowPunct/>
              <w:topLinePunct w:val="0"/>
              <w:autoSpaceDE/>
              <w:autoSpaceDN/>
              <w:bidi w:val="0"/>
              <w:adjustRightInd/>
              <w:snapToGrid/>
              <w:spacing w:line="360" w:lineRule="auto"/>
              <w:ind w:firstLine="504" w:firstLineChars="200"/>
              <w:textAlignment w:val="auto"/>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color w:val="auto"/>
                <w:spacing w:val="6"/>
                <w:sz w:val="24"/>
                <w:szCs w:val="24"/>
                <w:highlight w:val="none"/>
                <w:lang w:val="en-US" w:eastAsia="zh-CN"/>
              </w:rPr>
              <w:t>根据</w:t>
            </w:r>
            <w:r>
              <w:rPr>
                <w:rFonts w:hint="default" w:ascii="Times New Roman" w:hAnsi="Times New Roman" w:eastAsia="宋体" w:cs="Times New Roman"/>
                <w:color w:val="auto"/>
                <w:spacing w:val="6"/>
                <w:sz w:val="24"/>
                <w:szCs w:val="24"/>
                <w:highlight w:val="none"/>
                <w:lang w:eastAsia="zh-CN"/>
              </w:rPr>
              <w:t>安徽省“三线一单”公众服务平台</w:t>
            </w:r>
            <w:r>
              <w:rPr>
                <w:rFonts w:hint="eastAsia" w:ascii="Times New Roman" w:hAnsi="Times New Roman" w:eastAsia="宋体" w:cs="Times New Roman"/>
                <w:color w:val="auto"/>
                <w:spacing w:val="6"/>
                <w:sz w:val="24"/>
                <w:szCs w:val="24"/>
                <w:highlight w:val="none"/>
                <w:lang w:val="en-US" w:eastAsia="zh-CN"/>
              </w:rPr>
              <w:t>查询可知</w:t>
            </w:r>
            <w:r>
              <w:rPr>
                <w:rFonts w:hint="default" w:ascii="Times New Roman" w:hAnsi="Times New Roman" w:eastAsia="宋体" w:cs="Times New Roman"/>
                <w:color w:val="auto"/>
                <w:spacing w:val="6"/>
                <w:sz w:val="24"/>
                <w:szCs w:val="24"/>
                <w:highlight w:val="none"/>
                <w:lang w:eastAsia="zh-CN"/>
              </w:rPr>
              <w:t>，本项目</w:t>
            </w:r>
            <w:r>
              <w:rPr>
                <w:rFonts w:hint="default" w:ascii="Times New Roman" w:hAnsi="Times New Roman" w:eastAsia="宋体" w:cs="Times New Roman"/>
                <w:color w:val="auto"/>
                <w:spacing w:val="6"/>
                <w:sz w:val="24"/>
                <w:szCs w:val="24"/>
                <w:highlight w:val="none"/>
                <w:lang w:val="en-US" w:eastAsia="zh-CN"/>
              </w:rPr>
              <w:t>位于</w:t>
            </w:r>
            <w:r>
              <w:rPr>
                <w:rFonts w:hint="default" w:ascii="Times New Roman" w:hAnsi="Times New Roman" w:eastAsia="宋体" w:cs="Times New Roman"/>
                <w:color w:val="auto"/>
                <w:spacing w:val="6"/>
                <w:sz w:val="24"/>
                <w:szCs w:val="24"/>
                <w:highlight w:val="none"/>
                <w:lang w:eastAsia="zh-CN"/>
              </w:rPr>
              <w:t>重点管控单元</w:t>
            </w:r>
            <w:r>
              <w:rPr>
                <w:rFonts w:hint="eastAsia" w:ascii="Times New Roman" w:hAnsi="Times New Roman" w:eastAsia="宋体" w:cs="Times New Roman"/>
                <w:color w:val="auto"/>
                <w:spacing w:val="6"/>
                <w:sz w:val="24"/>
                <w:szCs w:val="24"/>
                <w:highlight w:val="none"/>
                <w:lang w:val="en-US" w:eastAsia="zh-CN"/>
              </w:rPr>
              <w:t>6</w:t>
            </w:r>
            <w:r>
              <w:rPr>
                <w:rFonts w:hint="default" w:ascii="Times New Roman" w:hAnsi="Times New Roman" w:eastAsia="宋体" w:cs="Times New Roman"/>
                <w:color w:val="auto"/>
                <w:spacing w:val="6"/>
                <w:sz w:val="24"/>
                <w:szCs w:val="24"/>
                <w:highlight w:val="none"/>
                <w:lang w:eastAsia="zh-CN"/>
              </w:rPr>
              <w:t>（编码：</w:t>
            </w:r>
            <w:r>
              <w:rPr>
                <w:rFonts w:hint="default" w:ascii="Times New Roman" w:hAnsi="Times New Roman" w:eastAsia="宋体" w:cs="Times New Roman"/>
                <w:color w:val="auto"/>
                <w:spacing w:val="6"/>
                <w:sz w:val="24"/>
                <w:szCs w:val="24"/>
                <w:highlight w:val="none"/>
                <w:lang w:val="en-US" w:eastAsia="zh-CN"/>
              </w:rPr>
              <w:t>ZH341702200</w:t>
            </w:r>
            <w:r>
              <w:rPr>
                <w:rFonts w:hint="eastAsia" w:ascii="Times New Roman" w:hAnsi="Times New Roman" w:eastAsia="宋体" w:cs="Times New Roman"/>
                <w:color w:val="auto"/>
                <w:spacing w:val="6"/>
                <w:sz w:val="24"/>
                <w:szCs w:val="24"/>
                <w:highlight w:val="none"/>
                <w:lang w:val="en-US" w:eastAsia="zh-CN"/>
              </w:rPr>
              <w:t>06</w:t>
            </w:r>
            <w:r>
              <w:rPr>
                <w:rFonts w:hint="default" w:ascii="Times New Roman" w:hAnsi="Times New Roman" w:eastAsia="宋体" w:cs="Times New Roman"/>
                <w:color w:val="auto"/>
                <w:spacing w:val="6"/>
                <w:sz w:val="24"/>
                <w:szCs w:val="24"/>
                <w:highlight w:val="none"/>
                <w:lang w:eastAsia="zh-CN"/>
              </w:rPr>
              <w:t>），管控单元</w:t>
            </w:r>
            <w:r>
              <w:rPr>
                <w:rFonts w:hint="default" w:ascii="Times New Roman" w:hAnsi="Times New Roman" w:eastAsia="宋体" w:cs="Times New Roman"/>
                <w:color w:val="auto"/>
                <w:spacing w:val="6"/>
                <w:sz w:val="24"/>
                <w:szCs w:val="24"/>
                <w:highlight w:val="none"/>
                <w:lang w:val="en-US" w:eastAsia="zh-CN"/>
              </w:rPr>
              <w:t>分</w:t>
            </w:r>
            <w:r>
              <w:rPr>
                <w:rFonts w:hint="default" w:ascii="Times New Roman" w:hAnsi="Times New Roman" w:eastAsia="宋体" w:cs="Times New Roman"/>
                <w:color w:val="auto"/>
                <w:spacing w:val="6"/>
                <w:sz w:val="24"/>
                <w:szCs w:val="24"/>
                <w:highlight w:val="none"/>
                <w:lang w:eastAsia="zh-CN"/>
              </w:rPr>
              <w:t>类：水重点</w:t>
            </w:r>
            <w:r>
              <w:rPr>
                <w:rFonts w:hint="default" w:ascii="Times New Roman" w:hAnsi="Times New Roman" w:eastAsia="宋体" w:cs="Times New Roman"/>
                <w:color w:val="auto"/>
                <w:spacing w:val="6"/>
                <w:sz w:val="24"/>
                <w:szCs w:val="24"/>
                <w:highlight w:val="none"/>
                <w:lang w:val="en-US" w:eastAsia="zh-CN"/>
              </w:rPr>
              <w:t>/大气重点/土重点</w:t>
            </w:r>
            <w:r>
              <w:rPr>
                <w:rFonts w:hint="eastAsia" w:ascii="Times New Roman" w:hAnsi="Times New Roman" w:eastAsia="宋体" w:cs="Times New Roman"/>
                <w:color w:val="auto"/>
                <w:spacing w:val="6"/>
                <w:sz w:val="24"/>
                <w:szCs w:val="24"/>
                <w:highlight w:val="none"/>
                <w:lang w:val="en-US" w:eastAsia="zh-CN"/>
              </w:rPr>
              <w:t>。项目建设</w:t>
            </w:r>
            <w:r>
              <w:rPr>
                <w:rFonts w:hint="default" w:ascii="Times New Roman" w:hAnsi="Times New Roman" w:eastAsia="宋体" w:cs="Times New Roman"/>
                <w:color w:val="auto"/>
                <w:spacing w:val="6"/>
                <w:sz w:val="24"/>
                <w:szCs w:val="24"/>
                <w:highlight w:val="none"/>
                <w:lang w:val="en-US" w:eastAsia="zh-CN"/>
              </w:rPr>
              <w:t>符合</w:t>
            </w:r>
            <w:r>
              <w:rPr>
                <w:rFonts w:ascii="宋体" w:hAnsi="宋体" w:eastAsia="宋体" w:cs="宋体"/>
                <w:color w:val="auto"/>
                <w:sz w:val="24"/>
                <w:szCs w:val="24"/>
                <w:highlight w:val="none"/>
              </w:rPr>
              <w:t>安徽“三线一单”管控要求查询报告</w:t>
            </w:r>
            <w:r>
              <w:rPr>
                <w:rFonts w:hint="default" w:ascii="Times New Roman" w:hAnsi="Times New Roman" w:eastAsia="宋体" w:cs="Times New Roman"/>
                <w:color w:val="auto"/>
                <w:spacing w:val="6"/>
                <w:sz w:val="24"/>
                <w:szCs w:val="24"/>
                <w:highlight w:val="none"/>
                <w:lang w:val="en-US" w:eastAsia="zh-CN"/>
              </w:rPr>
              <w:t>中明确的池州市</w:t>
            </w:r>
            <w:r>
              <w:rPr>
                <w:rFonts w:hint="default" w:ascii="Times New Roman" w:hAnsi="Times New Roman" w:eastAsia="宋体" w:cs="Times New Roman"/>
                <w:color w:val="auto"/>
                <w:spacing w:val="6"/>
                <w:sz w:val="24"/>
                <w:szCs w:val="24"/>
                <w:highlight w:val="none"/>
                <w:lang w:eastAsia="zh-CN"/>
              </w:rPr>
              <w:t>重点管控</w:t>
            </w:r>
            <w:r>
              <w:rPr>
                <w:rFonts w:hint="eastAsia" w:ascii="Times New Roman" w:hAnsi="Times New Roman" w:eastAsia="宋体" w:cs="Times New Roman"/>
                <w:color w:val="auto"/>
                <w:spacing w:val="6"/>
                <w:sz w:val="24"/>
                <w:szCs w:val="24"/>
                <w:highlight w:val="none"/>
                <w:lang w:val="en-US" w:eastAsia="zh-CN"/>
              </w:rPr>
              <w:t>单元</w:t>
            </w:r>
            <w:r>
              <w:rPr>
                <w:rFonts w:hint="default" w:ascii="Times New Roman" w:hAnsi="Times New Roman" w:eastAsia="宋体" w:cs="Times New Roman"/>
                <w:color w:val="auto"/>
                <w:spacing w:val="6"/>
                <w:sz w:val="24"/>
                <w:szCs w:val="24"/>
                <w:highlight w:val="none"/>
                <w:lang w:val="en-US" w:eastAsia="zh-CN"/>
              </w:rPr>
              <w:t>划分要求</w:t>
            </w:r>
            <w:r>
              <w:rPr>
                <w:rFonts w:hint="eastAsia" w:ascii="Times New Roman" w:hAnsi="Times New Roman" w:eastAsia="宋体" w:cs="Times New Roman"/>
                <w:color w:val="auto"/>
                <w:spacing w:val="6"/>
                <w:sz w:val="24"/>
                <w:szCs w:val="24"/>
                <w:highlight w:val="none"/>
                <w:lang w:val="en-US" w:eastAsia="zh-CN"/>
              </w:rPr>
              <w:t>，项目不占用生态保护红线。详见图1-1。项目与项目所在地（重点管控单元）管控要求相符性分析</w:t>
            </w:r>
            <w:r>
              <w:rPr>
                <w:rFonts w:hint="eastAsia" w:ascii="Times New Roman" w:hAnsi="Times New Roman" w:eastAsia="宋体" w:cs="Times New Roman"/>
                <w:bCs/>
                <w:color w:val="auto"/>
                <w:sz w:val="24"/>
                <w:szCs w:val="24"/>
                <w:highlight w:val="none"/>
                <w:lang w:val="en-US" w:eastAsia="zh-CN"/>
              </w:rPr>
              <w:t>如下。</w:t>
            </w:r>
          </w:p>
          <w:p w14:paraId="38412FE5">
            <w:pPr>
              <w:spacing w:line="360" w:lineRule="auto"/>
              <w:jc w:val="center"/>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表1-</w:t>
            </w:r>
            <w:r>
              <w:rPr>
                <w:rFonts w:hint="eastAsia" w:cs="Times New Roman"/>
                <w:b/>
                <w:bCs/>
                <w:color w:val="auto"/>
                <w:sz w:val="21"/>
                <w:szCs w:val="21"/>
                <w:highlight w:val="none"/>
                <w:lang w:val="en-US" w:eastAsia="zh-CN"/>
              </w:rPr>
              <w:t>4</w:t>
            </w:r>
            <w:r>
              <w:rPr>
                <w:rFonts w:hint="eastAsia" w:ascii="Times New Roman" w:hAnsi="Times New Roman" w:eastAsia="宋体" w:cs="Times New Roman"/>
                <w:b/>
                <w:bCs/>
                <w:color w:val="auto"/>
                <w:sz w:val="21"/>
                <w:szCs w:val="21"/>
                <w:highlight w:val="none"/>
              </w:rPr>
              <w:t xml:space="preserve"> 项目</w:t>
            </w:r>
            <w:r>
              <w:rPr>
                <w:rFonts w:hint="eastAsia" w:ascii="Times New Roman" w:hAnsi="Times New Roman" w:eastAsia="宋体" w:cs="Times New Roman"/>
                <w:b/>
                <w:bCs/>
                <w:color w:val="auto"/>
                <w:sz w:val="21"/>
                <w:szCs w:val="21"/>
                <w:highlight w:val="none"/>
                <w:lang w:val="en-US" w:eastAsia="zh-CN"/>
              </w:rPr>
              <w:t>与项目</w:t>
            </w:r>
            <w:r>
              <w:rPr>
                <w:rFonts w:hint="eastAsia" w:ascii="Times New Roman" w:hAnsi="Times New Roman" w:eastAsia="宋体" w:cs="Times New Roman"/>
                <w:b/>
                <w:bCs/>
                <w:color w:val="auto"/>
                <w:sz w:val="21"/>
                <w:szCs w:val="21"/>
                <w:highlight w:val="none"/>
              </w:rPr>
              <w:t>所在地</w:t>
            </w:r>
            <w:r>
              <w:rPr>
                <w:rFonts w:hint="eastAsia" w:ascii="Times New Roman" w:hAnsi="Times New Roman" w:eastAsia="宋体" w:cs="Times New Roman"/>
                <w:b/>
                <w:bCs/>
                <w:color w:val="auto"/>
                <w:sz w:val="21"/>
                <w:szCs w:val="21"/>
                <w:highlight w:val="none"/>
                <w:lang w:val="en-US" w:eastAsia="zh-CN"/>
              </w:rPr>
              <w:t>（重点管控单元）</w:t>
            </w:r>
            <w:r>
              <w:rPr>
                <w:rFonts w:hint="eastAsia" w:ascii="Times New Roman" w:hAnsi="Times New Roman" w:eastAsia="宋体" w:cs="Times New Roman"/>
                <w:b/>
                <w:bCs/>
                <w:color w:val="auto"/>
                <w:sz w:val="21"/>
                <w:szCs w:val="21"/>
                <w:highlight w:val="none"/>
              </w:rPr>
              <w:t>管控要求相符性分析</w:t>
            </w:r>
          </w:p>
          <w:tbl>
            <w:tblPr>
              <w:tblStyle w:val="25"/>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648"/>
              <w:gridCol w:w="614"/>
              <w:gridCol w:w="3275"/>
              <w:gridCol w:w="2150"/>
              <w:gridCol w:w="263"/>
            </w:tblGrid>
            <w:tr w14:paraId="57635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13" w:type="pct"/>
                  <w:noWrap w:val="0"/>
                  <w:vAlign w:val="center"/>
                </w:tcPr>
                <w:p w14:paraId="165BA7E3">
                  <w:pPr>
                    <w:jc w:val="center"/>
                    <w:rPr>
                      <w:bCs/>
                      <w:color w:val="auto"/>
                      <w:sz w:val="18"/>
                      <w:szCs w:val="18"/>
                      <w:highlight w:val="none"/>
                    </w:rPr>
                  </w:pPr>
                  <w:r>
                    <w:rPr>
                      <w:rFonts w:hint="eastAsia" w:ascii="Calibri" w:hAnsi="Calibri"/>
                      <w:bCs/>
                      <w:color w:val="auto"/>
                      <w:sz w:val="18"/>
                      <w:szCs w:val="18"/>
                      <w:highlight w:val="none"/>
                      <w:lang w:bidi="ar"/>
                    </w:rPr>
                    <w:t>环境</w:t>
                  </w:r>
                  <w:r>
                    <w:rPr>
                      <w:bCs/>
                      <w:color w:val="auto"/>
                      <w:sz w:val="18"/>
                      <w:szCs w:val="18"/>
                      <w:highlight w:val="none"/>
                      <w:lang w:bidi="ar"/>
                    </w:rPr>
                    <w:t>管控单元分类</w:t>
                  </w:r>
                </w:p>
              </w:tc>
              <w:tc>
                <w:tcPr>
                  <w:tcW w:w="427" w:type="pct"/>
                  <w:noWrap w:val="0"/>
                  <w:vAlign w:val="center"/>
                </w:tcPr>
                <w:p w14:paraId="1EDB3E0E">
                  <w:pPr>
                    <w:jc w:val="center"/>
                    <w:rPr>
                      <w:rFonts w:ascii="Calibri" w:hAnsi="Calibri"/>
                      <w:bCs/>
                      <w:color w:val="auto"/>
                      <w:sz w:val="18"/>
                      <w:szCs w:val="18"/>
                      <w:highlight w:val="none"/>
                      <w:lang w:bidi="ar"/>
                    </w:rPr>
                  </w:pPr>
                  <w:r>
                    <w:rPr>
                      <w:rFonts w:hint="eastAsia" w:ascii="Calibri" w:hAnsi="Calibri"/>
                      <w:bCs/>
                      <w:color w:val="auto"/>
                      <w:sz w:val="18"/>
                      <w:szCs w:val="18"/>
                      <w:highlight w:val="none"/>
                      <w:lang w:bidi="ar"/>
                    </w:rPr>
                    <w:t>区域管控要求</w:t>
                  </w:r>
                </w:p>
              </w:tc>
              <w:tc>
                <w:tcPr>
                  <w:tcW w:w="405" w:type="pct"/>
                  <w:noWrap w:val="0"/>
                  <w:vAlign w:val="center"/>
                </w:tcPr>
                <w:p w14:paraId="2339FF57">
                  <w:pPr>
                    <w:jc w:val="center"/>
                    <w:rPr>
                      <w:rFonts w:ascii="Calibri" w:hAnsi="Calibri"/>
                      <w:bCs/>
                      <w:color w:val="auto"/>
                      <w:sz w:val="18"/>
                      <w:szCs w:val="18"/>
                      <w:highlight w:val="none"/>
                      <w:lang w:bidi="ar"/>
                    </w:rPr>
                  </w:pPr>
                  <w:r>
                    <w:rPr>
                      <w:rFonts w:hint="eastAsia" w:ascii="Calibri" w:hAnsi="Calibri"/>
                      <w:bCs/>
                      <w:color w:val="auto"/>
                      <w:sz w:val="18"/>
                      <w:szCs w:val="18"/>
                      <w:highlight w:val="none"/>
                      <w:lang w:bidi="ar"/>
                    </w:rPr>
                    <w:t>管控类别</w:t>
                  </w:r>
                </w:p>
              </w:tc>
              <w:tc>
                <w:tcPr>
                  <w:tcW w:w="2160" w:type="pct"/>
                  <w:noWrap w:val="0"/>
                  <w:vAlign w:val="center"/>
                </w:tcPr>
                <w:p w14:paraId="4B779256">
                  <w:pPr>
                    <w:jc w:val="center"/>
                    <w:rPr>
                      <w:rFonts w:ascii="Calibri" w:hAnsi="Calibri"/>
                      <w:color w:val="auto"/>
                      <w:sz w:val="18"/>
                      <w:szCs w:val="18"/>
                      <w:highlight w:val="none"/>
                      <w:lang w:bidi="ar"/>
                    </w:rPr>
                  </w:pPr>
                  <w:r>
                    <w:rPr>
                      <w:rFonts w:ascii="Calibri" w:hAnsi="Calibri"/>
                      <w:color w:val="auto"/>
                      <w:sz w:val="18"/>
                      <w:szCs w:val="18"/>
                      <w:highlight w:val="none"/>
                      <w:lang w:bidi="ar"/>
                    </w:rPr>
                    <w:t>环境管控要求</w:t>
                  </w:r>
                </w:p>
              </w:tc>
              <w:tc>
                <w:tcPr>
                  <w:tcW w:w="1418" w:type="pct"/>
                  <w:noWrap w:val="0"/>
                  <w:vAlign w:val="center"/>
                </w:tcPr>
                <w:p w14:paraId="63917256">
                  <w:pPr>
                    <w:jc w:val="center"/>
                    <w:rPr>
                      <w:rFonts w:ascii="Calibri" w:hAnsi="Calibri"/>
                      <w:color w:val="auto"/>
                      <w:sz w:val="18"/>
                      <w:szCs w:val="18"/>
                      <w:highlight w:val="none"/>
                      <w:lang w:bidi="ar"/>
                    </w:rPr>
                  </w:pPr>
                  <w:r>
                    <w:rPr>
                      <w:rFonts w:hint="eastAsia" w:ascii="Calibri" w:hAnsi="Calibri"/>
                      <w:color w:val="auto"/>
                      <w:sz w:val="18"/>
                      <w:szCs w:val="18"/>
                      <w:highlight w:val="none"/>
                      <w:lang w:bidi="ar"/>
                    </w:rPr>
                    <w:t>符合</w:t>
                  </w:r>
                  <w:r>
                    <w:rPr>
                      <w:rFonts w:ascii="Calibri" w:hAnsi="Calibri"/>
                      <w:color w:val="auto"/>
                      <w:sz w:val="18"/>
                      <w:szCs w:val="18"/>
                      <w:highlight w:val="none"/>
                      <w:lang w:bidi="ar"/>
                    </w:rPr>
                    <w:t>性分析</w:t>
                  </w:r>
                </w:p>
              </w:tc>
              <w:tc>
                <w:tcPr>
                  <w:tcW w:w="173" w:type="pct"/>
                  <w:noWrap w:val="0"/>
                  <w:vAlign w:val="center"/>
                </w:tcPr>
                <w:p w14:paraId="59A88ED5">
                  <w:pPr>
                    <w:jc w:val="center"/>
                    <w:rPr>
                      <w:bCs/>
                      <w:color w:val="auto"/>
                      <w:sz w:val="18"/>
                      <w:szCs w:val="18"/>
                      <w:highlight w:val="none"/>
                      <w:lang w:bidi="ar"/>
                    </w:rPr>
                  </w:pPr>
                  <w:r>
                    <w:rPr>
                      <w:bCs/>
                      <w:color w:val="auto"/>
                      <w:sz w:val="18"/>
                      <w:szCs w:val="18"/>
                      <w:highlight w:val="none"/>
                      <w:lang w:bidi="ar"/>
                    </w:rPr>
                    <w:t>符合性</w:t>
                  </w:r>
                </w:p>
              </w:tc>
            </w:tr>
            <w:tr w14:paraId="3FA6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3" w:type="pct"/>
                  <w:vMerge w:val="restart"/>
                  <w:noWrap w:val="0"/>
                  <w:vAlign w:val="center"/>
                </w:tcPr>
                <w:p w14:paraId="24A8AF7B">
                  <w:pPr>
                    <w:jc w:val="center"/>
                    <w:rPr>
                      <w:rFonts w:hint="eastAsia"/>
                      <w:color w:val="auto"/>
                      <w:sz w:val="18"/>
                      <w:szCs w:val="18"/>
                      <w:highlight w:val="none"/>
                    </w:rPr>
                  </w:pPr>
                  <w:r>
                    <w:rPr>
                      <w:color w:val="auto"/>
                      <w:sz w:val="18"/>
                      <w:szCs w:val="18"/>
                      <w:highlight w:val="none"/>
                      <w:lang w:bidi="ar"/>
                    </w:rPr>
                    <w:t>重点管控</w:t>
                  </w:r>
                  <w:r>
                    <w:rPr>
                      <w:rFonts w:hint="eastAsia" w:ascii="Calibri" w:hAnsi="Calibri"/>
                      <w:color w:val="auto"/>
                      <w:sz w:val="18"/>
                      <w:szCs w:val="18"/>
                      <w:highlight w:val="none"/>
                      <w:lang w:bidi="ar"/>
                    </w:rPr>
                    <w:t>单元</w:t>
                  </w:r>
                </w:p>
              </w:tc>
              <w:tc>
                <w:tcPr>
                  <w:tcW w:w="427" w:type="pct"/>
                  <w:vMerge w:val="restart"/>
                  <w:noWrap w:val="0"/>
                  <w:vAlign w:val="center"/>
                </w:tcPr>
                <w:p w14:paraId="1C708934">
                  <w:pPr>
                    <w:jc w:val="center"/>
                    <w:rPr>
                      <w:color w:val="auto"/>
                      <w:sz w:val="18"/>
                      <w:szCs w:val="18"/>
                      <w:highlight w:val="none"/>
                      <w:lang w:bidi="ar"/>
                    </w:rPr>
                  </w:pPr>
                  <w:r>
                    <w:rPr>
                      <w:color w:val="auto"/>
                      <w:sz w:val="18"/>
                      <w:szCs w:val="18"/>
                      <w:highlight w:val="none"/>
                      <w:lang w:bidi="ar"/>
                    </w:rPr>
                    <w:t>重点管控单元</w:t>
                  </w:r>
                  <w:r>
                    <w:rPr>
                      <w:rFonts w:hint="eastAsia" w:ascii="Calibri" w:hAnsi="Calibri"/>
                      <w:color w:val="auto"/>
                      <w:sz w:val="18"/>
                      <w:szCs w:val="18"/>
                      <w:highlight w:val="none"/>
                      <w:lang w:bidi="ar"/>
                    </w:rPr>
                    <w:t>6</w:t>
                  </w:r>
                </w:p>
              </w:tc>
              <w:tc>
                <w:tcPr>
                  <w:tcW w:w="405" w:type="pct"/>
                  <w:noWrap w:val="0"/>
                  <w:vAlign w:val="center"/>
                </w:tcPr>
                <w:p w14:paraId="155C4009">
                  <w:pPr>
                    <w:jc w:val="center"/>
                    <w:rPr>
                      <w:color w:val="auto"/>
                      <w:sz w:val="18"/>
                      <w:szCs w:val="18"/>
                      <w:highlight w:val="none"/>
                      <w:lang w:bidi="ar"/>
                    </w:rPr>
                  </w:pPr>
                  <w:r>
                    <w:rPr>
                      <w:color w:val="auto"/>
                      <w:sz w:val="18"/>
                      <w:szCs w:val="18"/>
                      <w:highlight w:val="none"/>
                      <w:lang w:bidi="ar"/>
                    </w:rPr>
                    <w:t>空间布局约束</w:t>
                  </w:r>
                </w:p>
              </w:tc>
              <w:tc>
                <w:tcPr>
                  <w:tcW w:w="2160" w:type="pct"/>
                  <w:noWrap w:val="0"/>
                  <w:vAlign w:val="center"/>
                </w:tcPr>
                <w:p w14:paraId="2DB50DA5">
                  <w:pPr>
                    <w:ind w:firstLine="360" w:firstLineChars="200"/>
                    <w:jc w:val="left"/>
                    <w:rPr>
                      <w:rFonts w:hint="eastAsia" w:ascii="Calibri" w:hAnsi="Calibri"/>
                      <w:color w:val="auto"/>
                      <w:sz w:val="18"/>
                      <w:szCs w:val="18"/>
                      <w:highlight w:val="none"/>
                      <w:lang w:bidi="ar"/>
                    </w:rPr>
                  </w:pPr>
                  <w:r>
                    <w:rPr>
                      <w:rFonts w:hint="eastAsia" w:ascii="Calibri" w:hAnsi="Calibri"/>
                      <w:color w:val="auto"/>
                      <w:sz w:val="18"/>
                      <w:szCs w:val="18"/>
                      <w:highlight w:val="none"/>
                      <w:lang w:bidi="ar"/>
                    </w:rPr>
                    <w:t>禁止新建燃料类煤气发生炉（园区现有企业同意建设的煤制气中心除外）。</w:t>
                  </w:r>
                </w:p>
                <w:p w14:paraId="1A014C30">
                  <w:pPr>
                    <w:ind w:firstLine="360" w:firstLineChars="200"/>
                    <w:jc w:val="left"/>
                    <w:rPr>
                      <w:color w:val="auto"/>
                      <w:sz w:val="18"/>
                      <w:szCs w:val="18"/>
                      <w:highlight w:val="none"/>
                      <w:lang w:bidi="ar"/>
                    </w:rPr>
                  </w:pPr>
                  <w:r>
                    <w:rPr>
                      <w:color w:val="auto"/>
                      <w:sz w:val="18"/>
                      <w:szCs w:val="18"/>
                      <w:highlight w:val="none"/>
                      <w:lang w:bidi="ar"/>
                    </w:rPr>
                    <w:t>严禁新增钢铁、焦化、电解铝、铸造、水泥和平板玻璃等产能；严格执行钢铁、水泥</w:t>
                  </w:r>
                  <w:r>
                    <w:rPr>
                      <w:rFonts w:hint="eastAsia"/>
                      <w:color w:val="auto"/>
                      <w:sz w:val="18"/>
                      <w:szCs w:val="18"/>
                      <w:highlight w:val="none"/>
                      <w:lang w:bidi="ar"/>
                    </w:rPr>
                    <w:t>、</w:t>
                  </w:r>
                  <w:r>
                    <w:rPr>
                      <w:color w:val="auto"/>
                      <w:sz w:val="18"/>
                      <w:szCs w:val="18"/>
                      <w:highlight w:val="none"/>
                      <w:lang w:bidi="ar"/>
                    </w:rPr>
                    <w:t>平板玻璃等行业产能置换实施办法。</w:t>
                  </w:r>
                </w:p>
                <w:p w14:paraId="32783560">
                  <w:pPr>
                    <w:ind w:firstLine="360" w:firstLineChars="200"/>
                    <w:jc w:val="left"/>
                    <w:rPr>
                      <w:rFonts w:hint="eastAsia"/>
                      <w:color w:val="auto"/>
                      <w:sz w:val="18"/>
                      <w:szCs w:val="18"/>
                      <w:highlight w:val="none"/>
                      <w:lang w:bidi="ar"/>
                    </w:rPr>
                  </w:pPr>
                  <w:r>
                    <w:rPr>
                      <w:rFonts w:hint="eastAsia"/>
                      <w:color w:val="auto"/>
                      <w:sz w:val="18"/>
                      <w:szCs w:val="18"/>
                      <w:highlight w:val="none"/>
                      <w:lang w:bidi="ar"/>
                    </w:rPr>
                    <w:t>严格控制新增“两高”项目审批，认真分析和评估拟建项目必要性、可行性和对产业高质量发展、能耗双控、</w:t>
                  </w:r>
                  <w:r>
                    <w:rPr>
                      <w:rFonts w:hint="eastAsia"/>
                      <w:color w:val="auto"/>
                      <w:sz w:val="18"/>
                      <w:szCs w:val="18"/>
                      <w:highlight w:val="none"/>
                      <w:lang w:eastAsia="zh-CN" w:bidi="ar"/>
                    </w:rPr>
                    <w:t>碳</w:t>
                  </w:r>
                  <w:r>
                    <w:rPr>
                      <w:rFonts w:hint="eastAsia"/>
                      <w:color w:val="auto"/>
                      <w:sz w:val="18"/>
                      <w:szCs w:val="18"/>
                      <w:highlight w:val="none"/>
                      <w:lang w:bidi="ar"/>
                    </w:rPr>
                    <w:t>排放和环境质量的影响，严格审查项目是否符合政策要求、产业规划、“三线一单”、规划环评要求，是否依法依规落实产能置换、能耗置换、煤炭消费减量替代、污染物排放区域削减等要求。对已建成投产的存量“两高”项目，有节能减排潜力的加快改造升级，属于落后产能的加快淘汰。</w:t>
                  </w:r>
                </w:p>
                <w:p w14:paraId="2D37261D">
                  <w:pPr>
                    <w:ind w:firstLine="360" w:firstLineChars="200"/>
                    <w:jc w:val="left"/>
                    <w:rPr>
                      <w:rFonts w:hint="eastAsia"/>
                      <w:color w:val="auto"/>
                      <w:sz w:val="18"/>
                      <w:szCs w:val="18"/>
                      <w:highlight w:val="none"/>
                      <w:lang w:bidi="ar"/>
                    </w:rPr>
                  </w:pPr>
                  <w:r>
                    <w:rPr>
                      <w:rFonts w:hint="eastAsia"/>
                      <w:color w:val="auto"/>
                      <w:sz w:val="18"/>
                      <w:szCs w:val="18"/>
                      <w:highlight w:val="none"/>
                      <w:lang w:bidi="ar"/>
                    </w:rPr>
                    <w:t>强化“散乱污”企业综合治理。全面开展“散乱污”企业及集群综合整治行动。根据产业政策、产业布局规划，以及土地、环保、质量、安全、能耗等要求，制定“散乱污”企业及集群整治标准。按照“先停后治”的原则，实施分类处置。</w:t>
                  </w:r>
                </w:p>
                <w:p w14:paraId="493371B5">
                  <w:pPr>
                    <w:ind w:firstLine="360" w:firstLineChars="200"/>
                    <w:jc w:val="left"/>
                    <w:rPr>
                      <w:color w:val="auto"/>
                      <w:sz w:val="18"/>
                      <w:szCs w:val="18"/>
                      <w:highlight w:val="none"/>
                      <w:lang w:bidi="ar"/>
                    </w:rPr>
                  </w:pPr>
                  <w:r>
                    <w:rPr>
                      <w:color w:val="auto"/>
                      <w:sz w:val="18"/>
                      <w:szCs w:val="18"/>
                      <w:highlight w:val="none"/>
                      <w:lang w:bidi="ar"/>
                    </w:rPr>
                    <w:t>企业应当全面推进清洁生产，优先采用能源和原材料利用效率高、污染物排放量少的清洁生产技术、工艺和设备，淘汰严重污染大气环境质量的产品、落后工艺和落后设备，减少大气污染物的产生和排放。</w:t>
                  </w:r>
                </w:p>
                <w:p w14:paraId="76665A97">
                  <w:pPr>
                    <w:ind w:firstLine="360" w:firstLineChars="200"/>
                    <w:jc w:val="left"/>
                    <w:rPr>
                      <w:rFonts w:hint="eastAsia"/>
                      <w:color w:val="auto"/>
                      <w:sz w:val="18"/>
                      <w:szCs w:val="18"/>
                      <w:highlight w:val="none"/>
                      <w:lang w:bidi="ar"/>
                    </w:rPr>
                  </w:pPr>
                  <w:r>
                    <w:rPr>
                      <w:rFonts w:hint="eastAsia"/>
                      <w:color w:val="auto"/>
                      <w:sz w:val="18"/>
                      <w:szCs w:val="18"/>
                      <w:highlight w:val="none"/>
                      <w:lang w:bidi="ar"/>
                    </w:rPr>
                    <w:t>禁止在合规园区外新建、扩建钢铁、石化、化工、焦化、建材、有色、制浆造纸等高污染项目。</w:t>
                  </w:r>
                </w:p>
                <w:p w14:paraId="68D8A81F">
                  <w:pPr>
                    <w:ind w:firstLine="360" w:firstLineChars="200"/>
                    <w:jc w:val="left"/>
                    <w:rPr>
                      <w:rFonts w:hint="eastAsia"/>
                      <w:color w:val="auto"/>
                      <w:sz w:val="18"/>
                      <w:szCs w:val="18"/>
                      <w:highlight w:val="none"/>
                      <w:lang w:bidi="ar"/>
                    </w:rPr>
                  </w:pPr>
                  <w:r>
                    <w:rPr>
                      <w:rFonts w:hint="eastAsia"/>
                      <w:color w:val="auto"/>
                      <w:sz w:val="18"/>
                      <w:szCs w:val="18"/>
                      <w:highlight w:val="none"/>
                      <w:lang w:bidi="ar"/>
                    </w:rPr>
                    <w:t>严控5公里范围内的新建项目。实施严格的化工项目市场准入制度，除提升安全环保节能水平一级质量升级的改扩建项目外，严格控制新建石油化工和煤化工等重化工、重污染项目。</w:t>
                  </w:r>
                </w:p>
                <w:p w14:paraId="5722AE08">
                  <w:pPr>
                    <w:ind w:firstLine="360" w:firstLineChars="200"/>
                    <w:jc w:val="left"/>
                    <w:rPr>
                      <w:color w:val="auto"/>
                      <w:sz w:val="18"/>
                      <w:szCs w:val="18"/>
                      <w:highlight w:val="none"/>
                      <w:lang w:bidi="ar"/>
                    </w:rPr>
                  </w:pPr>
                  <w:r>
                    <w:rPr>
                      <w:color w:val="auto"/>
                      <w:sz w:val="18"/>
                      <w:szCs w:val="18"/>
                      <w:highlight w:val="none"/>
                      <w:lang w:bidi="ar"/>
                    </w:rPr>
                    <w:t>长江干流岸线15公里范围内新建工业项目原则上全部进园区，其中化工项目进化工园区或主导产业为化工的开发区。严把各类项目准入门槛，严格执行环境保护标准，把主要污染物和重点重金属排放总量控制目标作为新(改、扩)建项目环评审批的前置条件。</w:t>
                  </w:r>
                </w:p>
                <w:p w14:paraId="2BA4E9FB">
                  <w:pPr>
                    <w:ind w:firstLine="360" w:firstLineChars="200"/>
                    <w:jc w:val="left"/>
                    <w:rPr>
                      <w:color w:val="auto"/>
                      <w:sz w:val="18"/>
                      <w:szCs w:val="18"/>
                      <w:highlight w:val="none"/>
                      <w:lang w:bidi="ar"/>
                    </w:rPr>
                  </w:pPr>
                  <w:r>
                    <w:rPr>
                      <w:color w:val="auto"/>
                      <w:sz w:val="18"/>
                      <w:szCs w:val="18"/>
                      <w:highlight w:val="none"/>
                      <w:lang w:bidi="ar"/>
                    </w:rPr>
                    <w:t>长江(安徽段)干支流一公里范围内已批未开工的项目，依法停止建设支持重新选址。已经开工建设的项目，严格进行检查评估，不符合岸线规划和环保、安全要求的，全部依法依规停建搬迁。</w:t>
                  </w:r>
                </w:p>
                <w:p w14:paraId="024E34E4">
                  <w:pPr>
                    <w:ind w:firstLine="360" w:firstLineChars="200"/>
                    <w:jc w:val="left"/>
                    <w:rPr>
                      <w:color w:val="auto"/>
                      <w:sz w:val="18"/>
                      <w:szCs w:val="18"/>
                      <w:highlight w:val="none"/>
                      <w:lang w:bidi="ar"/>
                    </w:rPr>
                  </w:pPr>
                  <w:r>
                    <w:rPr>
                      <w:color w:val="auto"/>
                      <w:sz w:val="18"/>
                      <w:szCs w:val="18"/>
                      <w:highlight w:val="none"/>
                      <w:lang w:bidi="ar"/>
                    </w:rPr>
                    <w:t>持续开展“散乱污”企业清理整治，对不符合产业政策和规划布局、未办理相关审批手续、不能稳定达标排放以及存在其他违法违规行为的企业</w:t>
                  </w:r>
                </w:p>
              </w:tc>
              <w:tc>
                <w:tcPr>
                  <w:tcW w:w="1418" w:type="pct"/>
                  <w:noWrap w:val="0"/>
                  <w:vAlign w:val="center"/>
                </w:tcPr>
                <w:p w14:paraId="457A3374">
                  <w:pPr>
                    <w:rPr>
                      <w:rFonts w:hint="eastAsia" w:ascii="Calibri" w:hAnsi="Calibri"/>
                      <w:color w:val="auto"/>
                      <w:sz w:val="18"/>
                      <w:szCs w:val="18"/>
                      <w:highlight w:val="none"/>
                    </w:rPr>
                  </w:pPr>
                  <w:r>
                    <w:rPr>
                      <w:rFonts w:hint="eastAsia" w:ascii="Calibri" w:hAnsi="Calibri"/>
                      <w:color w:val="auto"/>
                      <w:sz w:val="18"/>
                      <w:szCs w:val="18"/>
                      <w:highlight w:val="none"/>
                    </w:rPr>
                    <w:t>（1）本项目不涉及新建燃料类煤气发生炉。项目属于C3974显示器件制造及C2929塑料零件及其他塑料制品制造，不属于钢铁、焦化、电解铝、铸造、水泥和平板玻璃等；</w:t>
                  </w:r>
                </w:p>
                <w:p w14:paraId="3D5EF711">
                  <w:pPr>
                    <w:rPr>
                      <w:rFonts w:hint="eastAsia" w:ascii="Calibri" w:hAnsi="Calibri"/>
                      <w:color w:val="auto"/>
                      <w:sz w:val="18"/>
                      <w:szCs w:val="18"/>
                      <w:highlight w:val="none"/>
                      <w:lang w:bidi="ar"/>
                    </w:rPr>
                  </w:pPr>
                  <w:r>
                    <w:rPr>
                      <w:rFonts w:hint="eastAsia"/>
                      <w:color w:val="auto"/>
                      <w:spacing w:val="-2"/>
                      <w:sz w:val="18"/>
                      <w:szCs w:val="18"/>
                      <w:highlight w:val="none"/>
                    </w:rPr>
                    <w:t>（2）对照《</w:t>
                  </w:r>
                  <w:r>
                    <w:rPr>
                      <w:color w:val="auto"/>
                      <w:spacing w:val="-2"/>
                      <w:sz w:val="18"/>
                      <w:szCs w:val="18"/>
                      <w:highlight w:val="none"/>
                    </w:rPr>
                    <w:t>安徽省“两高”项目管理目录（试行）</w:t>
                  </w:r>
                  <w:r>
                    <w:rPr>
                      <w:rFonts w:hint="eastAsia"/>
                      <w:color w:val="auto"/>
                      <w:spacing w:val="-2"/>
                      <w:sz w:val="18"/>
                      <w:szCs w:val="18"/>
                      <w:highlight w:val="none"/>
                    </w:rPr>
                    <w:t>》，项目</w:t>
                  </w:r>
                  <w:r>
                    <w:rPr>
                      <w:color w:val="auto"/>
                      <w:spacing w:val="-2"/>
                      <w:sz w:val="18"/>
                      <w:szCs w:val="18"/>
                      <w:highlight w:val="none"/>
                    </w:rPr>
                    <w:t>不属于高耗能高排放项目</w:t>
                  </w:r>
                  <w:r>
                    <w:rPr>
                      <w:rFonts w:hint="eastAsia"/>
                      <w:color w:val="auto"/>
                      <w:spacing w:val="-2"/>
                      <w:sz w:val="18"/>
                      <w:szCs w:val="18"/>
                      <w:highlight w:val="none"/>
                    </w:rPr>
                    <w:t>，符合政策要求、产业规划、“三线一单”和规划环评要求；</w:t>
                  </w:r>
                </w:p>
                <w:p w14:paraId="72759ABB">
                  <w:pPr>
                    <w:rPr>
                      <w:rFonts w:hint="eastAsia" w:ascii="Calibri" w:hAnsi="Calibri"/>
                      <w:color w:val="auto"/>
                      <w:sz w:val="18"/>
                      <w:szCs w:val="18"/>
                      <w:highlight w:val="none"/>
                    </w:rPr>
                  </w:pPr>
                  <w:r>
                    <w:rPr>
                      <w:rFonts w:hint="eastAsia" w:ascii="Calibri" w:hAnsi="Calibri"/>
                      <w:color w:val="auto"/>
                      <w:sz w:val="18"/>
                      <w:szCs w:val="18"/>
                      <w:highlight w:val="none"/>
                      <w:lang w:bidi="ar"/>
                    </w:rPr>
                    <w:t>（3）项目</w:t>
                  </w:r>
                  <w:r>
                    <w:rPr>
                      <w:rFonts w:hint="eastAsia" w:ascii="Calibri" w:hAnsi="Calibri"/>
                      <w:color w:val="auto"/>
                      <w:sz w:val="18"/>
                      <w:szCs w:val="18"/>
                      <w:highlight w:val="none"/>
                    </w:rPr>
                    <w:t>生活污水经化粪池预处理</w:t>
                  </w:r>
                  <w:r>
                    <w:rPr>
                      <w:rFonts w:hint="eastAsia" w:ascii="Calibri" w:hAnsi="Calibri"/>
                      <w:color w:val="auto"/>
                      <w:sz w:val="18"/>
                      <w:szCs w:val="18"/>
                      <w:highlight w:val="none"/>
                      <w:lang w:val="en-US" w:eastAsia="zh-CN"/>
                    </w:rPr>
                    <w:t>与冷却循环外排水一并</w:t>
                  </w:r>
                  <w:r>
                    <w:rPr>
                      <w:rFonts w:hint="eastAsia"/>
                      <w:color w:val="auto"/>
                      <w:sz w:val="18"/>
                      <w:szCs w:val="18"/>
                      <w:highlight w:val="none"/>
                    </w:rPr>
                    <w:t>进入</w:t>
                  </w:r>
                  <w:r>
                    <w:rPr>
                      <w:rFonts w:hint="eastAsia"/>
                      <w:color w:val="auto"/>
                      <w:sz w:val="18"/>
                      <w:szCs w:val="18"/>
                      <w:highlight w:val="none"/>
                      <w:lang w:eastAsia="zh-CN"/>
                    </w:rPr>
                    <w:t>皖江江南新兴产业集中区第一污水处理厂</w:t>
                  </w:r>
                  <w:r>
                    <w:rPr>
                      <w:rFonts w:hint="eastAsia"/>
                      <w:color w:val="auto"/>
                      <w:sz w:val="18"/>
                      <w:szCs w:val="18"/>
                      <w:highlight w:val="none"/>
                      <w:lang w:val="en-US" w:eastAsia="zh-CN"/>
                    </w:rPr>
                    <w:t>处理</w:t>
                  </w:r>
                  <w:r>
                    <w:rPr>
                      <w:rFonts w:hint="eastAsia"/>
                      <w:color w:val="auto"/>
                      <w:sz w:val="18"/>
                      <w:szCs w:val="18"/>
                      <w:highlight w:val="none"/>
                    </w:rPr>
                    <w:t>；</w:t>
                  </w:r>
                </w:p>
                <w:p w14:paraId="4B2A78F4">
                  <w:pPr>
                    <w:rPr>
                      <w:rFonts w:hint="eastAsia" w:ascii="Calibri" w:hAnsi="Calibri"/>
                      <w:color w:val="auto"/>
                      <w:sz w:val="18"/>
                      <w:szCs w:val="18"/>
                      <w:highlight w:val="none"/>
                    </w:rPr>
                  </w:pPr>
                  <w:r>
                    <w:rPr>
                      <w:rFonts w:hint="eastAsia" w:ascii="Calibri" w:hAnsi="Calibri"/>
                      <w:color w:val="auto"/>
                      <w:sz w:val="18"/>
                      <w:szCs w:val="18"/>
                      <w:highlight w:val="none"/>
                    </w:rPr>
                    <w:t>（4）</w:t>
                  </w:r>
                  <w:r>
                    <w:rPr>
                      <w:rFonts w:ascii="Calibri" w:hAnsi="Calibri"/>
                      <w:color w:val="auto"/>
                      <w:sz w:val="18"/>
                      <w:szCs w:val="18"/>
                      <w:highlight w:val="none"/>
                    </w:rPr>
                    <w:t>本项目</w:t>
                  </w:r>
                  <w:r>
                    <w:rPr>
                      <w:rFonts w:hint="eastAsia" w:ascii="Calibri" w:hAnsi="Calibri"/>
                      <w:color w:val="auto"/>
                      <w:sz w:val="18"/>
                      <w:szCs w:val="18"/>
                      <w:highlight w:val="none"/>
                      <w:lang w:eastAsia="zh-CN"/>
                    </w:rPr>
                    <w:t>距离长江</w:t>
                  </w:r>
                  <w:r>
                    <w:rPr>
                      <w:rFonts w:hint="default" w:ascii="Calibri" w:hAnsi="Calibri"/>
                      <w:color w:val="auto"/>
                      <w:sz w:val="18"/>
                      <w:szCs w:val="18"/>
                      <w:highlight w:val="none"/>
                    </w:rPr>
                    <w:t>干流岸线</w:t>
                  </w:r>
                  <w:r>
                    <w:rPr>
                      <w:rFonts w:hint="eastAsia" w:ascii="Calibri" w:hAnsi="Calibri"/>
                      <w:color w:val="auto"/>
                      <w:sz w:val="18"/>
                      <w:szCs w:val="18"/>
                      <w:highlight w:val="none"/>
                      <w:lang w:val="en-US" w:eastAsia="zh-CN"/>
                    </w:rPr>
                    <w:t>1.045km</w:t>
                  </w:r>
                  <w:r>
                    <w:rPr>
                      <w:rFonts w:hint="default" w:ascii="Calibri" w:hAnsi="Calibri"/>
                      <w:color w:val="auto"/>
                      <w:sz w:val="18"/>
                      <w:szCs w:val="18"/>
                      <w:highlight w:val="none"/>
                    </w:rPr>
                    <w:t>，</w:t>
                  </w:r>
                  <w:r>
                    <w:rPr>
                      <w:rFonts w:hint="eastAsia"/>
                      <w:color w:val="auto"/>
                      <w:sz w:val="18"/>
                      <w:szCs w:val="18"/>
                      <w:highlight w:val="none"/>
                    </w:rPr>
                    <w:t>项目位于</w:t>
                  </w:r>
                  <w:r>
                    <w:rPr>
                      <w:rFonts w:hint="eastAsia"/>
                      <w:color w:val="auto"/>
                      <w:sz w:val="18"/>
                      <w:szCs w:val="18"/>
                      <w:highlight w:val="none"/>
                      <w:lang w:val="en-US" w:eastAsia="zh-CN"/>
                    </w:rPr>
                    <w:t>皖江江南新兴产业集中区</w:t>
                  </w:r>
                  <w:r>
                    <w:rPr>
                      <w:rFonts w:hint="eastAsia" w:ascii="Calibri" w:hAnsi="Calibri"/>
                      <w:color w:val="auto"/>
                      <w:sz w:val="18"/>
                      <w:szCs w:val="18"/>
                      <w:highlight w:val="none"/>
                    </w:rPr>
                    <w:t>，属于合规园区；项目目前正在办理环评等相关手续，暂未开工建设；且本项目不属于钢铁、石化、化工、焦化、</w:t>
                  </w:r>
                  <w:r>
                    <w:rPr>
                      <w:rFonts w:hint="eastAsia"/>
                      <w:color w:val="auto"/>
                      <w:sz w:val="18"/>
                      <w:szCs w:val="18"/>
                      <w:highlight w:val="none"/>
                      <w:lang w:bidi="ar"/>
                    </w:rPr>
                    <w:t>建材、有色、制浆造纸等高污染项目。</w:t>
                  </w:r>
                </w:p>
                <w:p w14:paraId="6B2EDE35">
                  <w:pPr>
                    <w:jc w:val="center"/>
                    <w:rPr>
                      <w:rFonts w:ascii="Calibri" w:hAnsi="Calibri"/>
                      <w:color w:val="auto"/>
                      <w:sz w:val="18"/>
                      <w:szCs w:val="18"/>
                      <w:highlight w:val="none"/>
                      <w:lang w:bidi="ar"/>
                    </w:rPr>
                  </w:pPr>
                </w:p>
              </w:tc>
              <w:tc>
                <w:tcPr>
                  <w:tcW w:w="173" w:type="pct"/>
                  <w:noWrap w:val="0"/>
                  <w:vAlign w:val="center"/>
                </w:tcPr>
                <w:p w14:paraId="7324C635">
                  <w:pPr>
                    <w:jc w:val="center"/>
                    <w:rPr>
                      <w:color w:val="auto"/>
                      <w:sz w:val="18"/>
                      <w:szCs w:val="18"/>
                      <w:highlight w:val="none"/>
                      <w:lang w:bidi="ar"/>
                    </w:rPr>
                  </w:pPr>
                  <w:r>
                    <w:rPr>
                      <w:color w:val="auto"/>
                      <w:sz w:val="18"/>
                      <w:szCs w:val="18"/>
                      <w:highlight w:val="none"/>
                      <w:lang w:bidi="ar"/>
                    </w:rPr>
                    <w:t>符合</w:t>
                  </w:r>
                </w:p>
              </w:tc>
            </w:tr>
            <w:tr w14:paraId="044E4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13" w:type="pct"/>
                  <w:vMerge w:val="continue"/>
                  <w:noWrap w:val="0"/>
                  <w:vAlign w:val="center"/>
                </w:tcPr>
                <w:p w14:paraId="2A312ADE">
                  <w:pPr>
                    <w:jc w:val="center"/>
                    <w:rPr>
                      <w:color w:val="auto"/>
                      <w:sz w:val="18"/>
                      <w:szCs w:val="18"/>
                      <w:highlight w:val="none"/>
                      <w:lang w:bidi="ar"/>
                    </w:rPr>
                  </w:pPr>
                </w:p>
              </w:tc>
              <w:tc>
                <w:tcPr>
                  <w:tcW w:w="427" w:type="pct"/>
                  <w:vMerge w:val="continue"/>
                  <w:noWrap w:val="0"/>
                  <w:vAlign w:val="center"/>
                </w:tcPr>
                <w:p w14:paraId="05B19FE2">
                  <w:pPr>
                    <w:jc w:val="center"/>
                    <w:rPr>
                      <w:color w:val="auto"/>
                      <w:sz w:val="18"/>
                      <w:szCs w:val="18"/>
                      <w:highlight w:val="none"/>
                      <w:lang w:bidi="ar"/>
                    </w:rPr>
                  </w:pPr>
                </w:p>
              </w:tc>
              <w:tc>
                <w:tcPr>
                  <w:tcW w:w="405" w:type="pct"/>
                  <w:noWrap w:val="0"/>
                  <w:vAlign w:val="center"/>
                </w:tcPr>
                <w:p w14:paraId="614CFBDB">
                  <w:pPr>
                    <w:widowControl/>
                    <w:adjustRightInd w:val="0"/>
                    <w:snapToGrid w:val="0"/>
                    <w:jc w:val="center"/>
                    <w:rPr>
                      <w:color w:val="auto"/>
                      <w:sz w:val="18"/>
                      <w:szCs w:val="18"/>
                      <w:highlight w:val="none"/>
                      <w:lang w:bidi="ar"/>
                    </w:rPr>
                  </w:pPr>
                  <w:r>
                    <w:rPr>
                      <w:rFonts w:hint="eastAsia"/>
                      <w:color w:val="auto"/>
                      <w:sz w:val="18"/>
                      <w:szCs w:val="18"/>
                      <w:highlight w:val="none"/>
                      <w:lang w:bidi="ar"/>
                    </w:rPr>
                    <w:t>污染物排放管控</w:t>
                  </w:r>
                </w:p>
              </w:tc>
              <w:tc>
                <w:tcPr>
                  <w:tcW w:w="2160" w:type="pct"/>
                  <w:noWrap w:val="0"/>
                  <w:vAlign w:val="center"/>
                </w:tcPr>
                <w:p w14:paraId="1ADCD84C">
                  <w:pPr>
                    <w:spacing w:line="240" w:lineRule="auto"/>
                    <w:ind w:firstLine="360" w:firstLineChars="200"/>
                    <w:jc w:val="left"/>
                    <w:rPr>
                      <w:rFonts w:hint="default" w:ascii="Times New Roman" w:hAnsi="Times New Roman" w:eastAsia="宋体" w:cs="Times New Roman"/>
                      <w:color w:val="auto"/>
                      <w:sz w:val="18"/>
                      <w:szCs w:val="18"/>
                      <w:highlight w:val="none"/>
                      <w:lang w:eastAsia="zh-CN"/>
                    </w:rPr>
                  </w:pPr>
                  <w:r>
                    <w:rPr>
                      <w:rFonts w:hint="default" w:ascii="Times New Roman" w:hAnsi="Times New Roman" w:eastAsia="宋体" w:cs="Times New Roman"/>
                      <w:color w:val="auto"/>
                      <w:sz w:val="18"/>
                      <w:szCs w:val="18"/>
                      <w:highlight w:val="none"/>
                      <w:lang w:eastAsia="zh-CN"/>
                    </w:rPr>
                    <w:t>集聚区内工业废水必须经预处理达到集中处理要求，方可进入污水集中处理设施。所有排污单位必须依法实现全面达标排放。</w:t>
                  </w:r>
                </w:p>
                <w:p w14:paraId="445510B8">
                  <w:pPr>
                    <w:spacing w:line="240" w:lineRule="auto"/>
                    <w:ind w:firstLine="360" w:firstLineChars="200"/>
                    <w:jc w:val="left"/>
                    <w:rPr>
                      <w:rFonts w:hint="default" w:ascii="Times New Roman" w:hAnsi="Times New Roman" w:eastAsia="宋体" w:cs="Times New Roman"/>
                      <w:color w:val="auto"/>
                      <w:sz w:val="18"/>
                      <w:szCs w:val="18"/>
                      <w:highlight w:val="none"/>
                      <w:lang w:eastAsia="zh-CN"/>
                    </w:rPr>
                  </w:pPr>
                  <w:r>
                    <w:rPr>
                      <w:rFonts w:hint="default" w:ascii="Times New Roman" w:hAnsi="Times New Roman" w:eastAsia="宋体" w:cs="Times New Roman"/>
                      <w:color w:val="auto"/>
                      <w:sz w:val="18"/>
                      <w:szCs w:val="18"/>
                      <w:highlight w:val="none"/>
                      <w:lang w:eastAsia="zh-CN"/>
                    </w:rPr>
                    <w:t>污染物排放标准中有特别排放限值的标准的行业，二氧化硫、氮氧化物、颗粒物、挥发性有机物（VOCs）全面执行大气污染物特别排放限值。</w:t>
                  </w:r>
                </w:p>
                <w:p w14:paraId="45C6AAEE">
                  <w:pPr>
                    <w:spacing w:line="240" w:lineRule="auto"/>
                    <w:ind w:firstLine="360" w:firstLineChars="200"/>
                    <w:jc w:val="left"/>
                    <w:rPr>
                      <w:rFonts w:hint="eastAsia"/>
                      <w:color w:val="auto"/>
                      <w:sz w:val="18"/>
                      <w:szCs w:val="18"/>
                      <w:highlight w:val="none"/>
                      <w:lang w:bidi="ar"/>
                    </w:rPr>
                  </w:pPr>
                  <w:r>
                    <w:rPr>
                      <w:rFonts w:hint="default" w:ascii="Times New Roman" w:hAnsi="Times New Roman" w:eastAsia="宋体" w:cs="Times New Roman"/>
                      <w:color w:val="auto"/>
                      <w:sz w:val="18"/>
                      <w:szCs w:val="18"/>
                      <w:highlight w:val="none"/>
                      <w:lang w:eastAsia="zh-CN"/>
                    </w:rPr>
                    <w:t>按《挥发性有机物无组织排放控制</w:t>
                  </w:r>
                  <w:r>
                    <w:rPr>
                      <w:rFonts w:hint="eastAsia" w:cs="Times New Roman"/>
                      <w:color w:val="auto"/>
                      <w:sz w:val="18"/>
                      <w:szCs w:val="18"/>
                      <w:highlight w:val="none"/>
                      <w:lang w:eastAsia="zh-CN"/>
                    </w:rPr>
                    <w:t>标准</w:t>
                  </w:r>
                  <w:r>
                    <w:rPr>
                      <w:rFonts w:hint="default" w:ascii="Times New Roman" w:hAnsi="Times New Roman" w:eastAsia="宋体" w:cs="Times New Roman"/>
                      <w:color w:val="auto"/>
                      <w:sz w:val="18"/>
                      <w:szCs w:val="18"/>
                      <w:highlight w:val="none"/>
                      <w:lang w:eastAsia="zh-CN"/>
                    </w:rPr>
                    <w:t>（GB37822-2019）要求，做好VOCs物料储存、物料转移和输送、工艺过程、设备与管线组件、敞开液面VOCs排放，以及VOCs无组织排放废气收集处理系统要求。</w:t>
                  </w:r>
                </w:p>
              </w:tc>
              <w:tc>
                <w:tcPr>
                  <w:tcW w:w="1418" w:type="pct"/>
                  <w:noWrap w:val="0"/>
                  <w:vAlign w:val="center"/>
                </w:tcPr>
                <w:p w14:paraId="1EBCF260">
                  <w:pPr>
                    <w:widowControl/>
                    <w:numPr>
                      <w:ilvl w:val="0"/>
                      <w:numId w:val="0"/>
                    </w:numPr>
                    <w:adjustRightInd w:val="0"/>
                    <w:snapToGrid w:val="0"/>
                    <w:jc w:val="both"/>
                    <w:rPr>
                      <w:rFonts w:hint="default"/>
                      <w:color w:val="auto"/>
                      <w:sz w:val="18"/>
                      <w:szCs w:val="18"/>
                      <w:highlight w:val="none"/>
                      <w:lang w:val="en-US" w:eastAsia="zh-CN" w:bidi="ar"/>
                    </w:rPr>
                  </w:pPr>
                  <w:r>
                    <w:rPr>
                      <w:rFonts w:hint="eastAsia"/>
                      <w:color w:val="auto"/>
                      <w:sz w:val="18"/>
                      <w:szCs w:val="18"/>
                      <w:highlight w:val="none"/>
                      <w:lang w:eastAsia="zh-CN" w:bidi="ar"/>
                    </w:rPr>
                    <w:t>（</w:t>
                  </w:r>
                  <w:r>
                    <w:rPr>
                      <w:rFonts w:hint="eastAsia"/>
                      <w:color w:val="auto"/>
                      <w:sz w:val="18"/>
                      <w:szCs w:val="18"/>
                      <w:highlight w:val="none"/>
                      <w:lang w:val="en-US" w:eastAsia="zh-CN" w:bidi="ar"/>
                    </w:rPr>
                    <w:t>1</w:t>
                  </w:r>
                  <w:r>
                    <w:rPr>
                      <w:rFonts w:hint="eastAsia"/>
                      <w:color w:val="auto"/>
                      <w:sz w:val="18"/>
                      <w:szCs w:val="18"/>
                      <w:highlight w:val="none"/>
                      <w:lang w:eastAsia="zh-CN" w:bidi="ar"/>
                    </w:rPr>
                    <w:t>）</w:t>
                  </w:r>
                  <w:r>
                    <w:rPr>
                      <w:rFonts w:hint="eastAsia"/>
                      <w:color w:val="auto"/>
                      <w:sz w:val="18"/>
                      <w:szCs w:val="18"/>
                      <w:highlight w:val="none"/>
                      <w:lang w:bidi="ar"/>
                    </w:rPr>
                    <w:t>项目产生的废气、废水均采取妥善有效的处理措施，可做到达标排放，固体废物均得到妥善处置，不会造成二次污染。</w:t>
                  </w:r>
                  <w:r>
                    <w:rPr>
                      <w:rFonts w:hint="eastAsia"/>
                      <w:color w:val="auto"/>
                      <w:sz w:val="18"/>
                      <w:szCs w:val="18"/>
                      <w:highlight w:val="none"/>
                      <w:lang w:eastAsia="zh-CN" w:bidi="ar"/>
                    </w:rPr>
                    <w:t>（</w:t>
                  </w:r>
                  <w:r>
                    <w:rPr>
                      <w:rFonts w:hint="eastAsia"/>
                      <w:color w:val="auto"/>
                      <w:sz w:val="18"/>
                      <w:szCs w:val="18"/>
                      <w:highlight w:val="none"/>
                      <w:lang w:val="en-US" w:eastAsia="zh-CN" w:bidi="ar"/>
                    </w:rPr>
                    <w:t>2</w:t>
                  </w:r>
                  <w:r>
                    <w:rPr>
                      <w:rFonts w:hint="eastAsia"/>
                      <w:color w:val="auto"/>
                      <w:sz w:val="18"/>
                      <w:szCs w:val="18"/>
                      <w:highlight w:val="none"/>
                      <w:lang w:eastAsia="zh-CN" w:bidi="ar"/>
                    </w:rPr>
                    <w:t>）</w:t>
                  </w:r>
                  <w:r>
                    <w:rPr>
                      <w:rFonts w:hint="eastAsia"/>
                      <w:color w:val="auto"/>
                      <w:sz w:val="18"/>
                      <w:szCs w:val="18"/>
                      <w:highlight w:val="none"/>
                      <w:lang w:val="en-US" w:eastAsia="zh-CN" w:bidi="ar"/>
                    </w:rPr>
                    <w:t>项目废气颗粒物、锡及其化合物执行大气污染物综合排放标准》（GB16297-1996）中二级标准及无组织排放监控限值要求；有组织非甲烷总烃、甲苯、苯乙烯及厂区内非甲烷总烃排放从严执行安徽省地方标准《固定源挥发性有机物综合排放标准第6部分：其他行业》（DB34/4812.6—2024）中的标准限值；显示屏模组器件生产过程中产生的乙苯排放执行《合成树脂工业污染物排放标准》中的大气污染物特别排放限值；厂界非甲烷总烃、甲苯排放执行《大气污染物综合排放标准》（GB16297-1996）中的无组织排放监控限值要求。（3）项目桶装酒精和无铅锡膏均密闭存储运输、项目对各环节产生的有机废气进行收集和处理。</w:t>
                  </w:r>
                </w:p>
              </w:tc>
              <w:tc>
                <w:tcPr>
                  <w:tcW w:w="173" w:type="pct"/>
                  <w:noWrap w:val="0"/>
                  <w:vAlign w:val="center"/>
                </w:tcPr>
                <w:p w14:paraId="1EE9236B">
                  <w:pPr>
                    <w:jc w:val="center"/>
                    <w:rPr>
                      <w:color w:val="auto"/>
                      <w:sz w:val="18"/>
                      <w:szCs w:val="18"/>
                      <w:highlight w:val="none"/>
                      <w:lang w:bidi="ar"/>
                    </w:rPr>
                  </w:pPr>
                  <w:r>
                    <w:rPr>
                      <w:color w:val="auto"/>
                      <w:sz w:val="18"/>
                      <w:szCs w:val="18"/>
                      <w:highlight w:val="none"/>
                      <w:lang w:bidi="ar"/>
                    </w:rPr>
                    <w:t>符合</w:t>
                  </w:r>
                </w:p>
              </w:tc>
            </w:tr>
            <w:tr w14:paraId="5A828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413" w:type="pct"/>
                  <w:vMerge w:val="continue"/>
                  <w:noWrap w:val="0"/>
                  <w:vAlign w:val="center"/>
                </w:tcPr>
                <w:p w14:paraId="705B22D0">
                  <w:pPr>
                    <w:jc w:val="center"/>
                    <w:rPr>
                      <w:color w:val="auto"/>
                      <w:sz w:val="18"/>
                      <w:szCs w:val="18"/>
                      <w:highlight w:val="none"/>
                      <w:lang w:bidi="ar"/>
                    </w:rPr>
                  </w:pPr>
                </w:p>
              </w:tc>
              <w:tc>
                <w:tcPr>
                  <w:tcW w:w="427" w:type="pct"/>
                  <w:vMerge w:val="continue"/>
                  <w:noWrap w:val="0"/>
                  <w:vAlign w:val="center"/>
                </w:tcPr>
                <w:p w14:paraId="466F29F4">
                  <w:pPr>
                    <w:jc w:val="center"/>
                    <w:rPr>
                      <w:color w:val="auto"/>
                      <w:sz w:val="18"/>
                      <w:szCs w:val="18"/>
                      <w:highlight w:val="none"/>
                      <w:lang w:bidi="ar"/>
                    </w:rPr>
                  </w:pPr>
                </w:p>
              </w:tc>
              <w:tc>
                <w:tcPr>
                  <w:tcW w:w="405" w:type="pct"/>
                  <w:noWrap w:val="0"/>
                  <w:vAlign w:val="center"/>
                </w:tcPr>
                <w:p w14:paraId="48C9406A">
                  <w:pPr>
                    <w:widowControl/>
                    <w:adjustRightInd w:val="0"/>
                    <w:snapToGrid w:val="0"/>
                    <w:jc w:val="center"/>
                    <w:rPr>
                      <w:color w:val="auto"/>
                      <w:sz w:val="18"/>
                      <w:szCs w:val="18"/>
                      <w:highlight w:val="none"/>
                      <w:lang w:bidi="ar"/>
                    </w:rPr>
                  </w:pPr>
                  <w:r>
                    <w:rPr>
                      <w:rFonts w:hint="eastAsia"/>
                      <w:color w:val="auto"/>
                      <w:sz w:val="18"/>
                      <w:szCs w:val="18"/>
                      <w:highlight w:val="none"/>
                      <w:lang w:bidi="ar"/>
                    </w:rPr>
                    <w:t>资源开发效率要求</w:t>
                  </w:r>
                </w:p>
              </w:tc>
              <w:tc>
                <w:tcPr>
                  <w:tcW w:w="2160" w:type="pct"/>
                  <w:noWrap w:val="0"/>
                  <w:vAlign w:val="center"/>
                </w:tcPr>
                <w:p w14:paraId="125DB6BA">
                  <w:pPr>
                    <w:bidi w:val="0"/>
                    <w:ind w:firstLine="180" w:firstLineChars="100"/>
                    <w:rPr>
                      <w:color w:val="auto"/>
                      <w:sz w:val="18"/>
                      <w:szCs w:val="18"/>
                      <w:highlight w:val="none"/>
                    </w:rPr>
                  </w:pPr>
                  <w:r>
                    <w:rPr>
                      <w:color w:val="auto"/>
                      <w:sz w:val="18"/>
                      <w:szCs w:val="18"/>
                      <w:highlight w:val="none"/>
                    </w:rPr>
                    <w:t>禁燃区内禁止使用散煤等高污染燃料，逐步实现无煤化。</w:t>
                  </w:r>
                </w:p>
                <w:p w14:paraId="1AB5FAAB">
                  <w:pPr>
                    <w:bidi w:val="0"/>
                    <w:ind w:firstLine="180" w:firstLineChars="100"/>
                    <w:rPr>
                      <w:color w:val="auto"/>
                      <w:sz w:val="18"/>
                      <w:szCs w:val="18"/>
                      <w:highlight w:val="none"/>
                    </w:rPr>
                  </w:pPr>
                  <w:r>
                    <w:rPr>
                      <w:color w:val="auto"/>
                      <w:sz w:val="18"/>
                      <w:szCs w:val="18"/>
                      <w:highlight w:val="none"/>
                    </w:rPr>
                    <w:t>在禁燃区内的企业事业单位和其他生产经营者，应当在规定的期限内停止使用高污染燃料，改用天然气、液化石油气、电能或者其他清洁能源。</w:t>
                  </w:r>
                </w:p>
                <w:p w14:paraId="77E86A8C">
                  <w:pPr>
                    <w:bidi w:val="0"/>
                    <w:ind w:firstLine="180" w:firstLineChars="100"/>
                    <w:rPr>
                      <w:rFonts w:hint="eastAsia"/>
                      <w:color w:val="auto"/>
                      <w:sz w:val="18"/>
                      <w:szCs w:val="18"/>
                      <w:highlight w:val="none"/>
                      <w:lang w:bidi="ar"/>
                    </w:rPr>
                  </w:pPr>
                  <w:r>
                    <w:rPr>
                      <w:color w:val="auto"/>
                      <w:sz w:val="18"/>
                      <w:szCs w:val="18"/>
                      <w:highlight w:val="none"/>
                    </w:rPr>
                    <w:t>到2025年,完成国家下达我省的减煤目标任务。其中</w:t>
                  </w:r>
                  <w:r>
                    <w:rPr>
                      <w:rFonts w:hint="eastAsia"/>
                      <w:color w:val="auto"/>
                      <w:sz w:val="18"/>
                      <w:szCs w:val="18"/>
                      <w:highlight w:val="none"/>
                      <w:lang w:eastAsia="zh-CN"/>
                    </w:rPr>
                    <w:t>，</w:t>
                  </w:r>
                  <w:r>
                    <w:rPr>
                      <w:color w:val="auto"/>
                      <w:sz w:val="18"/>
                      <w:szCs w:val="18"/>
                      <w:highlight w:val="none"/>
                    </w:rPr>
                    <w:t>电力行业煤炭消费控制目标按照国家有关规定执行</w:t>
                  </w:r>
                  <w:r>
                    <w:rPr>
                      <w:rFonts w:hint="eastAsia"/>
                      <w:color w:val="auto"/>
                      <w:sz w:val="18"/>
                      <w:szCs w:val="18"/>
                      <w:highlight w:val="none"/>
                      <w:lang w:eastAsia="zh-CN"/>
                    </w:rPr>
                    <w:t>；</w:t>
                  </w:r>
                  <w:r>
                    <w:rPr>
                      <w:color w:val="auto"/>
                      <w:sz w:val="18"/>
                      <w:szCs w:val="18"/>
                      <w:highlight w:val="none"/>
                    </w:rPr>
                    <w:t>非电力行业煤炭消费降低5%以上。到2025年，全省单位生产总值能耗比2020年下降14%，力争下降14.5%。</w:t>
                  </w:r>
                </w:p>
              </w:tc>
              <w:tc>
                <w:tcPr>
                  <w:tcW w:w="1418" w:type="pct"/>
                  <w:noWrap w:val="0"/>
                  <w:vAlign w:val="center"/>
                </w:tcPr>
                <w:p w14:paraId="725C523F">
                  <w:pPr>
                    <w:numPr>
                      <w:ilvl w:val="0"/>
                      <w:numId w:val="0"/>
                    </w:numPr>
                    <w:rPr>
                      <w:rFonts w:hint="eastAsia" w:eastAsia="宋体"/>
                      <w:color w:val="auto"/>
                      <w:sz w:val="18"/>
                      <w:szCs w:val="18"/>
                      <w:highlight w:val="none"/>
                      <w:lang w:val="en-US" w:eastAsia="zh-CN" w:bidi="ar"/>
                    </w:rPr>
                  </w:pPr>
                  <w:r>
                    <w:rPr>
                      <w:rFonts w:hint="eastAsia" w:ascii="Calibri" w:hAnsi="Calibri"/>
                      <w:color w:val="auto"/>
                      <w:sz w:val="18"/>
                      <w:szCs w:val="18"/>
                      <w:highlight w:val="none"/>
                    </w:rPr>
                    <w:t>本项目属于C3974显示器件制造及C2929塑料零件及其他塑料制品制造，项目</w:t>
                  </w:r>
                  <w:r>
                    <w:rPr>
                      <w:rFonts w:hint="eastAsia" w:ascii="Calibri" w:hAnsi="Calibri"/>
                      <w:color w:val="auto"/>
                      <w:sz w:val="18"/>
                      <w:szCs w:val="18"/>
                      <w:highlight w:val="none"/>
                      <w:lang w:val="en-US" w:eastAsia="zh-CN"/>
                    </w:rPr>
                    <w:t>使用电能作为清洁能源，不涉及煤炭等高污染</w:t>
                  </w:r>
                  <w:r>
                    <w:rPr>
                      <w:rFonts w:hint="eastAsia"/>
                      <w:color w:val="auto"/>
                      <w:sz w:val="18"/>
                      <w:szCs w:val="18"/>
                      <w:highlight w:val="none"/>
                      <w:lang w:val="en-US" w:eastAsia="zh-CN"/>
                    </w:rPr>
                    <w:t>燃料。</w:t>
                  </w:r>
                </w:p>
              </w:tc>
              <w:tc>
                <w:tcPr>
                  <w:tcW w:w="173" w:type="pct"/>
                  <w:noWrap w:val="0"/>
                  <w:vAlign w:val="center"/>
                </w:tcPr>
                <w:p w14:paraId="2ED462E8">
                  <w:pPr>
                    <w:jc w:val="center"/>
                    <w:rPr>
                      <w:color w:val="auto"/>
                      <w:sz w:val="18"/>
                      <w:szCs w:val="18"/>
                      <w:highlight w:val="none"/>
                      <w:lang w:bidi="ar"/>
                    </w:rPr>
                  </w:pPr>
                  <w:r>
                    <w:rPr>
                      <w:color w:val="auto"/>
                      <w:sz w:val="18"/>
                      <w:szCs w:val="18"/>
                      <w:highlight w:val="none"/>
                      <w:lang w:bidi="ar"/>
                    </w:rPr>
                    <w:t>符合</w:t>
                  </w:r>
                </w:p>
              </w:tc>
            </w:tr>
          </w:tbl>
          <w:p w14:paraId="3F3B1040">
            <w:pPr>
              <w:pStyle w:val="37"/>
              <w:spacing w:line="360" w:lineRule="auto"/>
              <w:ind w:firstLine="480" w:firstLineChars="200"/>
              <w:jc w:val="left"/>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综上，本项目建设不</w:t>
            </w:r>
            <w:r>
              <w:rPr>
                <w:rFonts w:hint="eastAsia" w:ascii="Times New Roman" w:hAnsi="Times New Roman" w:eastAsia="宋体" w:cs="Times New Roman"/>
                <w:b w:val="0"/>
                <w:bCs/>
                <w:color w:val="auto"/>
                <w:sz w:val="24"/>
                <w:szCs w:val="24"/>
                <w:highlight w:val="none"/>
                <w:lang w:val="en-US" w:eastAsia="zh-CN"/>
              </w:rPr>
              <w:t>涉及</w:t>
            </w:r>
            <w:r>
              <w:rPr>
                <w:rFonts w:hint="default" w:ascii="Times New Roman" w:hAnsi="Times New Roman" w:eastAsia="宋体" w:cs="Times New Roman"/>
                <w:b w:val="0"/>
                <w:bCs/>
                <w:color w:val="auto"/>
                <w:sz w:val="24"/>
                <w:szCs w:val="24"/>
                <w:highlight w:val="none"/>
                <w:lang w:eastAsia="zh-CN"/>
              </w:rPr>
              <w:t>生态</w:t>
            </w:r>
            <w:r>
              <w:rPr>
                <w:rFonts w:hint="eastAsia" w:ascii="Times New Roman" w:hAnsi="Times New Roman" w:eastAsia="宋体" w:cs="Times New Roman"/>
                <w:b w:val="0"/>
                <w:bCs/>
                <w:color w:val="auto"/>
                <w:sz w:val="24"/>
                <w:szCs w:val="24"/>
                <w:highlight w:val="none"/>
                <w:lang w:val="en-US" w:eastAsia="zh-CN"/>
              </w:rPr>
              <w:t>保护</w:t>
            </w:r>
            <w:r>
              <w:rPr>
                <w:rFonts w:hint="default" w:ascii="Times New Roman" w:hAnsi="Times New Roman" w:eastAsia="宋体" w:cs="Times New Roman"/>
                <w:b w:val="0"/>
                <w:bCs/>
                <w:color w:val="auto"/>
                <w:sz w:val="24"/>
                <w:szCs w:val="24"/>
                <w:highlight w:val="none"/>
                <w:lang w:eastAsia="zh-CN"/>
              </w:rPr>
              <w:t>红线，不会</w:t>
            </w:r>
            <w:r>
              <w:rPr>
                <w:rFonts w:hint="eastAsia" w:ascii="Times New Roman" w:hAnsi="Times New Roman" w:eastAsia="宋体" w:cs="Times New Roman"/>
                <w:b w:val="0"/>
                <w:bCs/>
                <w:color w:val="auto"/>
                <w:sz w:val="24"/>
                <w:szCs w:val="24"/>
                <w:highlight w:val="none"/>
                <w:lang w:val="en-US" w:eastAsia="zh-CN"/>
              </w:rPr>
              <w:t>突破</w:t>
            </w:r>
            <w:r>
              <w:rPr>
                <w:rFonts w:hint="default" w:ascii="Times New Roman" w:hAnsi="Times New Roman" w:eastAsia="宋体" w:cs="Times New Roman"/>
                <w:b w:val="0"/>
                <w:bCs/>
                <w:color w:val="auto"/>
                <w:sz w:val="24"/>
                <w:szCs w:val="24"/>
                <w:highlight w:val="none"/>
                <w:lang w:eastAsia="zh-CN"/>
              </w:rPr>
              <w:t>区域环境质量</w:t>
            </w:r>
            <w:r>
              <w:rPr>
                <w:rFonts w:hint="eastAsia" w:ascii="Times New Roman" w:hAnsi="Times New Roman" w:eastAsia="宋体" w:cs="Times New Roman"/>
                <w:b w:val="0"/>
                <w:bCs/>
                <w:color w:val="auto"/>
                <w:sz w:val="24"/>
                <w:szCs w:val="24"/>
                <w:highlight w:val="none"/>
                <w:lang w:val="en-US" w:eastAsia="zh-CN"/>
              </w:rPr>
              <w:t>底线</w:t>
            </w:r>
            <w:r>
              <w:rPr>
                <w:rFonts w:hint="default" w:ascii="Times New Roman" w:hAnsi="Times New Roman" w:eastAsia="宋体" w:cs="Times New Roman"/>
                <w:b w:val="0"/>
                <w:bCs/>
                <w:color w:val="auto"/>
                <w:sz w:val="24"/>
                <w:szCs w:val="24"/>
                <w:highlight w:val="none"/>
                <w:lang w:eastAsia="zh-CN"/>
              </w:rPr>
              <w:t>，满足自然资源利用上线</w:t>
            </w:r>
            <w:r>
              <w:rPr>
                <w:rFonts w:hint="eastAsia" w:ascii="Times New Roman" w:hAnsi="Times New Roman" w:eastAsia="宋体" w:cs="Times New Roman"/>
                <w:b w:val="0"/>
                <w:bCs/>
                <w:color w:val="auto"/>
                <w:sz w:val="24"/>
                <w:szCs w:val="24"/>
                <w:highlight w:val="none"/>
                <w:lang w:val="en-US" w:eastAsia="zh-CN"/>
              </w:rPr>
              <w:t>要求</w:t>
            </w:r>
            <w:r>
              <w:rPr>
                <w:rFonts w:hint="default" w:ascii="Times New Roman" w:hAnsi="Times New Roman" w:eastAsia="宋体" w:cs="Times New Roman"/>
                <w:b w:val="0"/>
                <w:bCs/>
                <w:color w:val="auto"/>
                <w:sz w:val="24"/>
                <w:szCs w:val="24"/>
                <w:highlight w:val="none"/>
                <w:lang w:eastAsia="zh-CN"/>
              </w:rPr>
              <w:t>，因此本项目的建设符合“三线一单”的要求。</w:t>
            </w:r>
          </w:p>
          <w:p w14:paraId="0C83D0AD">
            <w:pPr>
              <w:pStyle w:val="37"/>
              <w:spacing w:line="360" w:lineRule="auto"/>
              <w:ind w:firstLine="482" w:firstLineChars="200"/>
              <w:jc w:val="left"/>
              <w:rPr>
                <w:rFonts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5、</w:t>
            </w:r>
            <w:r>
              <w:rPr>
                <w:rFonts w:ascii="Times New Roman" w:hAnsi="Times New Roman" w:eastAsia="宋体" w:cs="Times New Roman"/>
                <w:color w:val="auto"/>
                <w:sz w:val="24"/>
                <w:szCs w:val="24"/>
                <w:highlight w:val="none"/>
                <w:lang w:eastAsia="zh-CN"/>
              </w:rPr>
              <w:t>与《关于</w:t>
            </w:r>
            <w:r>
              <w:rPr>
                <w:rFonts w:hint="eastAsia" w:ascii="Times New Roman" w:hAnsi="Times New Roman" w:eastAsia="宋体" w:cs="Times New Roman"/>
                <w:color w:val="auto"/>
                <w:sz w:val="24"/>
                <w:szCs w:val="24"/>
                <w:highlight w:val="none"/>
                <w:lang w:eastAsia="zh-CN"/>
              </w:rPr>
              <w:t>全面</w:t>
            </w:r>
            <w:r>
              <w:rPr>
                <w:rFonts w:ascii="Times New Roman" w:hAnsi="Times New Roman" w:eastAsia="宋体" w:cs="Times New Roman"/>
                <w:color w:val="auto"/>
                <w:sz w:val="24"/>
                <w:szCs w:val="24"/>
                <w:highlight w:val="none"/>
                <w:lang w:eastAsia="zh-CN"/>
              </w:rPr>
              <w:t>打造水清岸绿产业优美丽长江（安徽）经济带的实施意见》（升级版）（皖发</w:t>
            </w:r>
            <w:r>
              <w:rPr>
                <w:rFonts w:hint="eastAsia" w:cs="Times New Roman"/>
                <w:color w:val="auto"/>
                <w:sz w:val="24"/>
                <w:szCs w:val="24"/>
                <w:highlight w:val="none"/>
                <w:lang w:eastAsia="zh-CN"/>
              </w:rPr>
              <w:t>〔2021〕19号</w:t>
            </w:r>
            <w:r>
              <w:rPr>
                <w:rFonts w:ascii="Times New Roman" w:hAnsi="Times New Roman" w:eastAsia="宋体" w:cs="Times New Roman"/>
                <w:color w:val="auto"/>
                <w:sz w:val="24"/>
                <w:szCs w:val="24"/>
                <w:highlight w:val="none"/>
                <w:lang w:eastAsia="zh-CN"/>
              </w:rPr>
              <w:t>）相符性</w:t>
            </w:r>
          </w:p>
          <w:p w14:paraId="1DFD0949">
            <w:pPr>
              <w:widowControl/>
              <w:spacing w:line="360" w:lineRule="auto"/>
              <w:ind w:firstLine="480" w:firstLineChars="200"/>
              <w:jc w:val="left"/>
              <w:rPr>
                <w:color w:val="auto"/>
                <w:kern w:val="0"/>
                <w:sz w:val="21"/>
                <w:szCs w:val="21"/>
                <w:highlight w:val="none"/>
                <w:lang w:bidi="ar"/>
              </w:rPr>
            </w:pPr>
            <w:r>
              <w:rPr>
                <w:color w:val="auto"/>
                <w:kern w:val="0"/>
                <w:sz w:val="24"/>
                <w:szCs w:val="24"/>
                <w:highlight w:val="none"/>
                <w:lang w:bidi="ar"/>
              </w:rPr>
              <w:t>2021年8月9日，中共安徽省委、省政府印发了《关于</w:t>
            </w:r>
            <w:r>
              <w:rPr>
                <w:rFonts w:hint="eastAsia"/>
                <w:color w:val="auto"/>
                <w:kern w:val="0"/>
                <w:sz w:val="24"/>
                <w:szCs w:val="24"/>
                <w:highlight w:val="none"/>
                <w:lang w:eastAsia="zh-CN" w:bidi="ar"/>
              </w:rPr>
              <w:t>全面</w:t>
            </w:r>
            <w:r>
              <w:rPr>
                <w:color w:val="auto"/>
                <w:kern w:val="0"/>
                <w:sz w:val="24"/>
                <w:szCs w:val="24"/>
                <w:highlight w:val="none"/>
                <w:lang w:bidi="ar"/>
              </w:rPr>
              <w:t>打造水清岸绿产业优美丽长江(安徽)经济带的实施意见》（升级版）</w:t>
            </w:r>
            <w:r>
              <w:rPr>
                <w:rFonts w:hint="eastAsia"/>
                <w:color w:val="auto"/>
                <w:kern w:val="0"/>
                <w:sz w:val="24"/>
                <w:szCs w:val="24"/>
                <w:highlight w:val="none"/>
                <w:lang w:bidi="ar"/>
              </w:rPr>
              <w:t>（</w:t>
            </w:r>
            <w:r>
              <w:rPr>
                <w:color w:val="auto"/>
                <w:kern w:val="0"/>
                <w:sz w:val="24"/>
                <w:szCs w:val="24"/>
                <w:highlight w:val="none"/>
                <w:lang w:bidi="ar"/>
              </w:rPr>
              <w:t>皖发</w:t>
            </w:r>
            <w:r>
              <w:rPr>
                <w:rFonts w:hint="eastAsia"/>
                <w:color w:val="auto"/>
                <w:kern w:val="0"/>
                <w:sz w:val="24"/>
                <w:szCs w:val="24"/>
                <w:highlight w:val="none"/>
                <w:lang w:eastAsia="zh-CN" w:bidi="ar"/>
              </w:rPr>
              <w:t>〔2021〕19号</w:t>
            </w:r>
            <w:r>
              <w:rPr>
                <w:rFonts w:hint="eastAsia"/>
                <w:color w:val="auto"/>
                <w:kern w:val="0"/>
                <w:sz w:val="24"/>
                <w:szCs w:val="24"/>
                <w:highlight w:val="none"/>
                <w:lang w:bidi="ar"/>
              </w:rPr>
              <w:t>）</w:t>
            </w:r>
            <w:r>
              <w:rPr>
                <w:color w:val="auto"/>
                <w:kern w:val="0"/>
                <w:sz w:val="24"/>
                <w:szCs w:val="24"/>
                <w:highlight w:val="none"/>
                <w:lang w:bidi="ar"/>
              </w:rPr>
              <w:t>。</w:t>
            </w:r>
          </w:p>
          <w:p w14:paraId="690FBCBB">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表1-5</w:t>
            </w:r>
            <w:r>
              <w:rPr>
                <w:rFonts w:hint="eastAsia"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rPr>
              <w:t>与</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关于全面打造水清岸绿产业优美丽长江（安徽）经济带的实施意见》（升级版）相符性分析</w:t>
            </w:r>
          </w:p>
          <w:tbl>
            <w:tblPr>
              <w:tblStyle w:val="25"/>
              <w:tblW w:w="7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728"/>
              <w:gridCol w:w="3129"/>
              <w:gridCol w:w="2648"/>
              <w:gridCol w:w="766"/>
            </w:tblGrid>
            <w:tr w14:paraId="5E3B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noWrap w:val="0"/>
                  <w:vAlign w:val="center"/>
                </w:tcPr>
                <w:p w14:paraId="7E43253B">
                  <w:pPr>
                    <w:rPr>
                      <w:highlight w:val="none"/>
                    </w:rPr>
                  </w:pPr>
                  <w:r>
                    <w:rPr>
                      <w:highlight w:val="none"/>
                    </w:rPr>
                    <w:t>序号</w:t>
                  </w:r>
                </w:p>
              </w:tc>
              <w:tc>
                <w:tcPr>
                  <w:tcW w:w="2505" w:type="pct"/>
                  <w:gridSpan w:val="2"/>
                  <w:noWrap w:val="0"/>
                  <w:vAlign w:val="center"/>
                </w:tcPr>
                <w:p w14:paraId="50A03B0B">
                  <w:pPr>
                    <w:rPr>
                      <w:highlight w:val="none"/>
                    </w:rPr>
                  </w:pPr>
                  <w:r>
                    <w:rPr>
                      <w:highlight w:val="none"/>
                    </w:rPr>
                    <w:t>皖发</w:t>
                  </w:r>
                  <w:r>
                    <w:rPr>
                      <w:rFonts w:hint="eastAsia"/>
                      <w:highlight w:val="none"/>
                      <w:lang w:eastAsia="zh-CN"/>
                    </w:rPr>
                    <w:t>〔2021〕19号</w:t>
                  </w:r>
                  <w:r>
                    <w:rPr>
                      <w:highlight w:val="none"/>
                    </w:rPr>
                    <w:t>文件要求</w:t>
                  </w:r>
                </w:p>
              </w:tc>
              <w:tc>
                <w:tcPr>
                  <w:tcW w:w="1720" w:type="pct"/>
                  <w:noWrap w:val="0"/>
                  <w:vAlign w:val="center"/>
                </w:tcPr>
                <w:p w14:paraId="374BCD44">
                  <w:pPr>
                    <w:rPr>
                      <w:highlight w:val="none"/>
                    </w:rPr>
                  </w:pPr>
                  <w:r>
                    <w:rPr>
                      <w:highlight w:val="none"/>
                    </w:rPr>
                    <w:t>本项目情况</w:t>
                  </w:r>
                </w:p>
              </w:tc>
              <w:tc>
                <w:tcPr>
                  <w:tcW w:w="497" w:type="pct"/>
                  <w:noWrap w:val="0"/>
                  <w:vAlign w:val="center"/>
                </w:tcPr>
                <w:p w14:paraId="52C13FD2">
                  <w:pPr>
                    <w:rPr>
                      <w:highlight w:val="none"/>
                    </w:rPr>
                  </w:pPr>
                  <w:r>
                    <w:rPr>
                      <w:highlight w:val="none"/>
                    </w:rPr>
                    <w:t>相符性</w:t>
                  </w:r>
                </w:p>
              </w:tc>
            </w:tr>
            <w:tr w14:paraId="1A3C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vMerge w:val="restart"/>
                  <w:noWrap w:val="0"/>
                  <w:vAlign w:val="center"/>
                </w:tcPr>
                <w:p w14:paraId="01317215">
                  <w:pPr>
                    <w:rPr>
                      <w:highlight w:val="none"/>
                    </w:rPr>
                  </w:pPr>
                  <w:r>
                    <w:rPr>
                      <w:highlight w:val="none"/>
                    </w:rPr>
                    <w:t>1</w:t>
                  </w:r>
                </w:p>
              </w:tc>
              <w:tc>
                <w:tcPr>
                  <w:tcW w:w="473" w:type="pct"/>
                  <w:vMerge w:val="restart"/>
                  <w:noWrap w:val="0"/>
                  <w:vAlign w:val="center"/>
                </w:tcPr>
                <w:p w14:paraId="062E64B1">
                  <w:pPr>
                    <w:rPr>
                      <w:highlight w:val="none"/>
                    </w:rPr>
                  </w:pPr>
                  <w:r>
                    <w:rPr>
                      <w:highlight w:val="none"/>
                    </w:rPr>
                    <w:t>提升</w:t>
                  </w:r>
                  <w:r>
                    <w:rPr>
                      <w:highlight w:val="none"/>
                      <w:lang w:val="zh-CN"/>
                    </w:rPr>
                    <w:t>“禁</w:t>
                  </w:r>
                  <w:r>
                    <w:rPr>
                      <w:highlight w:val="none"/>
                    </w:rPr>
                    <w:t>新建”行动</w:t>
                  </w:r>
                </w:p>
              </w:tc>
              <w:tc>
                <w:tcPr>
                  <w:tcW w:w="2032" w:type="pct"/>
                  <w:noWrap w:val="0"/>
                  <w:vAlign w:val="center"/>
                </w:tcPr>
                <w:p w14:paraId="27CF5AF3">
                  <w:pPr>
                    <w:rPr>
                      <w:highlight w:val="none"/>
                    </w:rPr>
                  </w:pPr>
                  <w:r>
                    <w:rPr>
                      <w:highlight w:val="none"/>
                    </w:rPr>
                    <w:t>严禁1公里范围内新建化工项目。长江干支流岸线1公里范围内，严禁新建、扩建化工园区和化工项目。已批未开工的项目，依法停止建设，支持重新选址。已经开工建设的项目，严格进行检查评估，不符合岸线规划和环保、安全要求的。</w:t>
                  </w:r>
                </w:p>
              </w:tc>
              <w:tc>
                <w:tcPr>
                  <w:tcW w:w="1720" w:type="pct"/>
                  <w:noWrap w:val="0"/>
                  <w:vAlign w:val="center"/>
                </w:tcPr>
                <w:p w14:paraId="2E03BCD2">
                  <w:pPr>
                    <w:rPr>
                      <w:highlight w:val="none"/>
                    </w:rPr>
                  </w:pPr>
                  <w:r>
                    <w:rPr>
                      <w:highlight w:val="none"/>
                    </w:rPr>
                    <w:t>本项目距离长江干线直线距离约</w:t>
                  </w:r>
                  <w:r>
                    <w:rPr>
                      <w:rFonts w:hint="eastAsia"/>
                      <w:highlight w:val="none"/>
                      <w:lang w:val="en-US" w:eastAsia="zh-CN"/>
                    </w:rPr>
                    <w:t>1.045</w:t>
                  </w:r>
                  <w:r>
                    <w:rPr>
                      <w:highlight w:val="none"/>
                    </w:rPr>
                    <w:t>km，</w:t>
                  </w:r>
                  <w:r>
                    <w:rPr>
                      <w:rFonts w:hint="eastAsia"/>
                      <w:highlight w:val="none"/>
                      <w:lang w:val="en-US" w:eastAsia="zh-CN"/>
                    </w:rPr>
                    <w:t>项目属于C3974显示器件制造及C2929塑料零件及其他塑料制品制造，不属于化工项目，</w:t>
                  </w:r>
                  <w:r>
                    <w:rPr>
                      <w:highlight w:val="none"/>
                    </w:rPr>
                    <w:t>不在文件中规定的“严禁”范围之内</w:t>
                  </w:r>
                </w:p>
              </w:tc>
              <w:tc>
                <w:tcPr>
                  <w:tcW w:w="497" w:type="pct"/>
                  <w:noWrap w:val="0"/>
                  <w:vAlign w:val="center"/>
                </w:tcPr>
                <w:p w14:paraId="6E83C41C">
                  <w:pPr>
                    <w:rPr>
                      <w:highlight w:val="none"/>
                    </w:rPr>
                  </w:pPr>
                  <w:r>
                    <w:rPr>
                      <w:highlight w:val="none"/>
                    </w:rPr>
                    <w:t>符合</w:t>
                  </w:r>
                </w:p>
              </w:tc>
            </w:tr>
            <w:tr w14:paraId="350EF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vMerge w:val="continue"/>
                  <w:noWrap w:val="0"/>
                  <w:vAlign w:val="center"/>
                </w:tcPr>
                <w:p w14:paraId="6996E16D">
                  <w:pPr>
                    <w:rPr>
                      <w:highlight w:val="none"/>
                    </w:rPr>
                  </w:pPr>
                </w:p>
              </w:tc>
              <w:tc>
                <w:tcPr>
                  <w:tcW w:w="473" w:type="pct"/>
                  <w:vMerge w:val="continue"/>
                  <w:noWrap w:val="0"/>
                  <w:vAlign w:val="center"/>
                </w:tcPr>
                <w:p w14:paraId="43488C1D">
                  <w:pPr>
                    <w:rPr>
                      <w:highlight w:val="none"/>
                    </w:rPr>
                  </w:pPr>
                </w:p>
              </w:tc>
              <w:tc>
                <w:tcPr>
                  <w:tcW w:w="2032" w:type="pct"/>
                  <w:noWrap w:val="0"/>
                  <w:vAlign w:val="center"/>
                </w:tcPr>
                <w:p w14:paraId="60EFB54C">
                  <w:pPr>
                    <w:rPr>
                      <w:highlight w:val="none"/>
                    </w:rPr>
                  </w:pPr>
                  <w:r>
                    <w:rPr>
                      <w:highlight w:val="none"/>
                    </w:rPr>
                    <w:t>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1720" w:type="pct"/>
                  <w:noWrap w:val="0"/>
                  <w:vAlign w:val="center"/>
                </w:tcPr>
                <w:p w14:paraId="0E42D8BB">
                  <w:pPr>
                    <w:rPr>
                      <w:highlight w:val="none"/>
                    </w:rPr>
                  </w:pPr>
                  <w:r>
                    <w:rPr>
                      <w:highlight w:val="none"/>
                    </w:rPr>
                    <w:t>本项目距离长江干线直线距离约</w:t>
                  </w:r>
                  <w:r>
                    <w:rPr>
                      <w:rFonts w:hint="eastAsia"/>
                      <w:highlight w:val="none"/>
                      <w:lang w:val="en-US" w:eastAsia="zh-CN"/>
                    </w:rPr>
                    <w:t>1.045km</w:t>
                  </w:r>
                  <w:r>
                    <w:rPr>
                      <w:highlight w:val="none"/>
                    </w:rPr>
                    <w:t>，本项目为</w:t>
                  </w:r>
                  <w:r>
                    <w:rPr>
                      <w:rFonts w:hint="eastAsia"/>
                      <w:highlight w:val="none"/>
                    </w:rPr>
                    <w:t>C3974显示器件制造及C2929塑料零件及其他塑料制品制造</w:t>
                  </w:r>
                  <w:r>
                    <w:rPr>
                      <w:highlight w:val="none"/>
                    </w:rPr>
                    <w:t>。不属于新建石油化工和煤化工等重化工、重污染项目</w:t>
                  </w:r>
                </w:p>
              </w:tc>
              <w:tc>
                <w:tcPr>
                  <w:tcW w:w="497" w:type="pct"/>
                  <w:noWrap w:val="0"/>
                  <w:vAlign w:val="center"/>
                </w:tcPr>
                <w:p w14:paraId="4132C9F6">
                  <w:pPr>
                    <w:rPr>
                      <w:highlight w:val="none"/>
                    </w:rPr>
                  </w:pPr>
                  <w:r>
                    <w:rPr>
                      <w:highlight w:val="none"/>
                    </w:rPr>
                    <w:t>符合</w:t>
                  </w:r>
                </w:p>
              </w:tc>
            </w:tr>
            <w:tr w14:paraId="09186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vMerge w:val="continue"/>
                  <w:noWrap w:val="0"/>
                  <w:vAlign w:val="center"/>
                </w:tcPr>
                <w:p w14:paraId="5800FF7F">
                  <w:pPr>
                    <w:rPr>
                      <w:highlight w:val="none"/>
                    </w:rPr>
                  </w:pPr>
                </w:p>
              </w:tc>
              <w:tc>
                <w:tcPr>
                  <w:tcW w:w="473" w:type="pct"/>
                  <w:vMerge w:val="continue"/>
                  <w:noWrap w:val="0"/>
                  <w:vAlign w:val="center"/>
                </w:tcPr>
                <w:p w14:paraId="2A7A919A">
                  <w:pPr>
                    <w:rPr>
                      <w:highlight w:val="none"/>
                    </w:rPr>
                  </w:pPr>
                </w:p>
              </w:tc>
              <w:tc>
                <w:tcPr>
                  <w:tcW w:w="2032" w:type="pct"/>
                  <w:noWrap w:val="0"/>
                  <w:vAlign w:val="center"/>
                </w:tcPr>
                <w:p w14:paraId="504BCD70">
                  <w:pPr>
                    <w:rPr>
                      <w:highlight w:val="none"/>
                    </w:rPr>
                  </w:pPr>
                  <w:r>
                    <w:rPr>
                      <w:highlight w:val="none"/>
                    </w:rPr>
                    <w:t>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w:t>
                  </w:r>
                </w:p>
              </w:tc>
              <w:tc>
                <w:tcPr>
                  <w:tcW w:w="1720" w:type="pct"/>
                  <w:noWrap w:val="0"/>
                  <w:vAlign w:val="center"/>
                </w:tcPr>
                <w:p w14:paraId="5699140F">
                  <w:pPr>
                    <w:rPr>
                      <w:highlight w:val="none"/>
                    </w:rPr>
                  </w:pPr>
                  <w:r>
                    <w:rPr>
                      <w:highlight w:val="none"/>
                    </w:rPr>
                    <w:t>企业按照要求实施备案、环评、安评、能评等并联审批，落实生态环保、安全生产、能源节约要求。并按照环保要求进行总量申请</w:t>
                  </w:r>
                </w:p>
              </w:tc>
              <w:tc>
                <w:tcPr>
                  <w:tcW w:w="497" w:type="pct"/>
                  <w:noWrap w:val="0"/>
                  <w:vAlign w:val="center"/>
                </w:tcPr>
                <w:p w14:paraId="4F5B6BAD">
                  <w:pPr>
                    <w:rPr>
                      <w:highlight w:val="none"/>
                    </w:rPr>
                  </w:pPr>
                  <w:r>
                    <w:rPr>
                      <w:highlight w:val="none"/>
                    </w:rPr>
                    <w:t>符合</w:t>
                  </w:r>
                </w:p>
              </w:tc>
            </w:tr>
            <w:tr w14:paraId="71893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noWrap w:val="0"/>
                  <w:vAlign w:val="center"/>
                </w:tcPr>
                <w:p w14:paraId="1F8A814E">
                  <w:pPr>
                    <w:rPr>
                      <w:highlight w:val="none"/>
                    </w:rPr>
                  </w:pPr>
                  <w:r>
                    <w:rPr>
                      <w:highlight w:val="none"/>
                    </w:rPr>
                    <w:t>2</w:t>
                  </w:r>
                </w:p>
              </w:tc>
              <w:tc>
                <w:tcPr>
                  <w:tcW w:w="473" w:type="pct"/>
                  <w:noWrap w:val="0"/>
                  <w:vAlign w:val="center"/>
                </w:tcPr>
                <w:p w14:paraId="6069DC49">
                  <w:pPr>
                    <w:rPr>
                      <w:highlight w:val="none"/>
                    </w:rPr>
                  </w:pPr>
                  <w:r>
                    <w:rPr>
                      <w:highlight w:val="none"/>
                    </w:rPr>
                    <w:t>提升“减存量”行动</w:t>
                  </w:r>
                </w:p>
              </w:tc>
              <w:tc>
                <w:tcPr>
                  <w:tcW w:w="2032" w:type="pct"/>
                  <w:noWrap w:val="0"/>
                  <w:vAlign w:val="center"/>
                </w:tcPr>
                <w:p w14:paraId="33D224CD">
                  <w:pPr>
                    <w:rPr>
                      <w:highlight w:val="none"/>
                    </w:rPr>
                  </w:pPr>
                  <w:r>
                    <w:rPr>
                      <w:highlight w:val="none"/>
                    </w:rPr>
                    <w:t>深入开展大气污染防治。强化控煤、控气、控车、控尘、控烧措施，实行“</w:t>
                  </w:r>
                  <w:r>
                    <w:rPr>
                      <w:highlight w:val="none"/>
                      <w:lang w:val="zh-CN"/>
                    </w:rPr>
                    <w:t>一季一策”“一</w:t>
                  </w:r>
                  <w:r>
                    <w:rPr>
                      <w:highlight w:val="none"/>
                    </w:rPr>
                    <w:t>城一策</w:t>
                  </w:r>
                  <w:r>
                    <w:rPr>
                      <w:highlight w:val="none"/>
                      <w:lang w:val="zh-CN"/>
                    </w:rPr>
                    <w:t>”</w:t>
                  </w:r>
                  <w:r>
                    <w:rPr>
                      <w:highlight w:val="none"/>
                    </w:rPr>
                    <w:t>，推动大气主要污染物排放总量持续下降。加强重点行业脱硫、脱硝、除尘设施运行监管，鼓励企业通过技术改造实现超低排放。开展工业挥发性有机物专项整治行动。强化大规模城市建设地区扬尘污染防治管理。加强区域大气污染防治协作，深化重污染天气重点行业绩效分级、差异化管理措施。继续抓好农作物秸秆全面禁烧，大力推进秸秆综合利用，2025年年底前秸秆综合利用率达到95%以上。</w:t>
                  </w:r>
                </w:p>
              </w:tc>
              <w:tc>
                <w:tcPr>
                  <w:tcW w:w="1720" w:type="pct"/>
                  <w:noWrap w:val="0"/>
                  <w:vAlign w:val="center"/>
                </w:tcPr>
                <w:p w14:paraId="105CF3FB">
                  <w:pPr>
                    <w:rPr>
                      <w:rFonts w:hint="eastAsia"/>
                      <w:highlight w:val="none"/>
                      <w:lang w:eastAsia="zh-CN"/>
                    </w:rPr>
                  </w:pPr>
                  <w:r>
                    <w:rPr>
                      <w:highlight w:val="none"/>
                    </w:rPr>
                    <w:t>本项目位于</w:t>
                  </w:r>
                  <w:r>
                    <w:rPr>
                      <w:rFonts w:hint="eastAsia"/>
                      <w:highlight w:val="none"/>
                      <w:lang w:eastAsia="zh-CN"/>
                    </w:rPr>
                    <w:t>皖江江南新兴产业集中区</w:t>
                  </w:r>
                  <w:r>
                    <w:rPr>
                      <w:highlight w:val="none"/>
                    </w:rPr>
                    <w:t>，不属于“散乱污”企业；项目</w:t>
                  </w:r>
                  <w:r>
                    <w:rPr>
                      <w:rFonts w:hint="eastAsia"/>
                      <w:highlight w:val="none"/>
                      <w:lang w:eastAsia="zh-CN"/>
                    </w:rPr>
                    <w:t>废气经收集处理后，对</w:t>
                  </w:r>
                  <w:r>
                    <w:rPr>
                      <w:rFonts w:hint="default"/>
                      <w:highlight w:val="none"/>
                    </w:rPr>
                    <w:t>周围环境的影响在可接受范围内，不会改变当地的环境功能</w:t>
                  </w:r>
                </w:p>
              </w:tc>
              <w:tc>
                <w:tcPr>
                  <w:tcW w:w="497" w:type="pct"/>
                  <w:noWrap w:val="0"/>
                  <w:vAlign w:val="center"/>
                </w:tcPr>
                <w:p w14:paraId="465D3050">
                  <w:pPr>
                    <w:rPr>
                      <w:highlight w:val="none"/>
                    </w:rPr>
                  </w:pPr>
                  <w:r>
                    <w:rPr>
                      <w:highlight w:val="none"/>
                    </w:rPr>
                    <w:t>符合</w:t>
                  </w:r>
                </w:p>
              </w:tc>
            </w:tr>
            <w:tr w14:paraId="21282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noWrap w:val="0"/>
                  <w:vAlign w:val="center"/>
                </w:tcPr>
                <w:p w14:paraId="6088FE13">
                  <w:pPr>
                    <w:rPr>
                      <w:highlight w:val="none"/>
                    </w:rPr>
                  </w:pPr>
                  <w:r>
                    <w:rPr>
                      <w:highlight w:val="none"/>
                    </w:rPr>
                    <w:t>3</w:t>
                  </w:r>
                </w:p>
              </w:tc>
              <w:tc>
                <w:tcPr>
                  <w:tcW w:w="473" w:type="pct"/>
                  <w:noWrap w:val="0"/>
                  <w:vAlign w:val="center"/>
                </w:tcPr>
                <w:p w14:paraId="2F8B9F16">
                  <w:pPr>
                    <w:rPr>
                      <w:highlight w:val="none"/>
                    </w:rPr>
                  </w:pPr>
                  <w:r>
                    <w:rPr>
                      <w:highlight w:val="none"/>
                    </w:rPr>
                    <w:t>提升“关污源”行动</w:t>
                  </w:r>
                </w:p>
              </w:tc>
              <w:tc>
                <w:tcPr>
                  <w:tcW w:w="2032" w:type="pct"/>
                  <w:noWrap w:val="0"/>
                  <w:vAlign w:val="center"/>
                </w:tcPr>
                <w:p w14:paraId="5341AAD8">
                  <w:pPr>
                    <w:rPr>
                      <w:highlight w:val="none"/>
                    </w:rPr>
                  </w:pPr>
                  <w:r>
                    <w:rPr>
                      <w:highlight w:val="none"/>
                    </w:rPr>
                    <w:t>管住船舶港口污染；管住入河排污口；管住城镇污水垃圾；管住农村面源污染；管住固体废物污染。</w:t>
                  </w:r>
                </w:p>
              </w:tc>
              <w:tc>
                <w:tcPr>
                  <w:tcW w:w="1720" w:type="pct"/>
                  <w:noWrap w:val="0"/>
                  <w:vAlign w:val="center"/>
                </w:tcPr>
                <w:p w14:paraId="1A5A64DB">
                  <w:pPr>
                    <w:rPr>
                      <w:highlight w:val="none"/>
                    </w:rPr>
                  </w:pPr>
                  <w:r>
                    <w:rPr>
                      <w:highlight w:val="none"/>
                    </w:rPr>
                    <w:t>固体废物均资源化和无害处理(危险废物拟委托有相应危废处理资质的单位进行处理)</w:t>
                  </w:r>
                </w:p>
              </w:tc>
              <w:tc>
                <w:tcPr>
                  <w:tcW w:w="497" w:type="pct"/>
                  <w:noWrap w:val="0"/>
                  <w:vAlign w:val="center"/>
                </w:tcPr>
                <w:p w14:paraId="6AA27F36">
                  <w:pPr>
                    <w:rPr>
                      <w:highlight w:val="none"/>
                    </w:rPr>
                  </w:pPr>
                  <w:r>
                    <w:rPr>
                      <w:highlight w:val="none"/>
                    </w:rPr>
                    <w:t>符合</w:t>
                  </w:r>
                </w:p>
              </w:tc>
            </w:tr>
            <w:tr w14:paraId="3C934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noWrap w:val="0"/>
                  <w:vAlign w:val="center"/>
                </w:tcPr>
                <w:p w14:paraId="053CB797">
                  <w:pPr>
                    <w:rPr>
                      <w:highlight w:val="none"/>
                    </w:rPr>
                  </w:pPr>
                  <w:r>
                    <w:rPr>
                      <w:highlight w:val="none"/>
                    </w:rPr>
                    <w:t>4</w:t>
                  </w:r>
                </w:p>
              </w:tc>
              <w:tc>
                <w:tcPr>
                  <w:tcW w:w="473" w:type="pct"/>
                  <w:noWrap w:val="0"/>
                  <w:vAlign w:val="center"/>
                </w:tcPr>
                <w:p w14:paraId="1041E571">
                  <w:pPr>
                    <w:rPr>
                      <w:highlight w:val="none"/>
                    </w:rPr>
                  </w:pPr>
                  <w:r>
                    <w:rPr>
                      <w:highlight w:val="none"/>
                    </w:rPr>
                    <w:t>提升“进园区”行动</w:t>
                  </w:r>
                </w:p>
              </w:tc>
              <w:tc>
                <w:tcPr>
                  <w:tcW w:w="2032" w:type="pct"/>
                  <w:noWrap w:val="0"/>
                  <w:vAlign w:val="center"/>
                </w:tcPr>
                <w:p w14:paraId="5E19BE94">
                  <w:pPr>
                    <w:rPr>
                      <w:highlight w:val="none"/>
                    </w:rPr>
                  </w:pPr>
                  <w:r>
                    <w:rPr>
                      <w:highlight w:val="none"/>
                    </w:rPr>
                    <w:t>长江干支流岸线1公里范围内的在建化工项目，应当搬迁的全部依法依规搬入合规园区。长江干流岸线5公里范围内的在建重化工项目，难以整改达标必须搬迁的，全部依法依规搬入合规园区。长江干流岸线15公里范围内，新建工业项目（资源开采及配套加工项目除外）原则上全部进园区，其中化工项目进化工园区或主导产业为化工的开发区。</w:t>
                  </w:r>
                </w:p>
              </w:tc>
              <w:tc>
                <w:tcPr>
                  <w:tcW w:w="1720" w:type="pct"/>
                  <w:noWrap w:val="0"/>
                  <w:vAlign w:val="center"/>
                </w:tcPr>
                <w:p w14:paraId="3DC0BA10">
                  <w:pPr>
                    <w:rPr>
                      <w:rFonts w:hint="eastAsia"/>
                      <w:highlight w:val="none"/>
                      <w:lang w:eastAsia="zh-CN"/>
                    </w:rPr>
                  </w:pPr>
                  <w:r>
                    <w:rPr>
                      <w:highlight w:val="none"/>
                    </w:rPr>
                    <w:t>本项目距离长江干线直线距离约</w:t>
                  </w:r>
                  <w:r>
                    <w:rPr>
                      <w:rFonts w:hint="eastAsia"/>
                      <w:highlight w:val="none"/>
                      <w:lang w:val="en-US" w:eastAsia="zh-CN"/>
                    </w:rPr>
                    <w:t>1.045km</w:t>
                  </w:r>
                  <w:r>
                    <w:rPr>
                      <w:highlight w:val="none"/>
                    </w:rPr>
                    <w:t>，位于《意见》中“三道防线”在</w:t>
                  </w:r>
                  <w:r>
                    <w:rPr>
                      <w:rFonts w:hint="eastAsia"/>
                      <w:highlight w:val="none"/>
                      <w:lang w:val="en-US" w:eastAsia="zh-CN"/>
                    </w:rPr>
                    <w:t>5</w:t>
                  </w:r>
                  <w:r>
                    <w:rPr>
                      <w:highlight w:val="none"/>
                    </w:rPr>
                    <w:t>公里范围之内。本</w:t>
                  </w:r>
                  <w:r>
                    <w:rPr>
                      <w:rFonts w:hint="eastAsia"/>
                      <w:highlight w:val="none"/>
                      <w:lang w:eastAsia="zh-CN"/>
                    </w:rPr>
                    <w:t>项目</w:t>
                  </w:r>
                  <w:r>
                    <w:rPr>
                      <w:rFonts w:hint="eastAsia"/>
                      <w:highlight w:val="none"/>
                      <w:lang w:val="en-US" w:eastAsia="zh-CN"/>
                    </w:rPr>
                    <w:t>属于C3974显示器件制造及C2929塑料零件及其他塑料制品制造，</w:t>
                  </w:r>
                  <w:r>
                    <w:rPr>
                      <w:highlight w:val="none"/>
                    </w:rPr>
                    <w:t>不属于化工等重污染企业，且该项目位于</w:t>
                  </w:r>
                  <w:r>
                    <w:rPr>
                      <w:rFonts w:hint="eastAsia"/>
                      <w:highlight w:val="none"/>
                      <w:lang w:eastAsia="zh-CN"/>
                    </w:rPr>
                    <w:t>皖江江南新兴产业集中区，符合区域规划要求</w:t>
                  </w:r>
                </w:p>
              </w:tc>
              <w:tc>
                <w:tcPr>
                  <w:tcW w:w="497" w:type="pct"/>
                  <w:noWrap w:val="0"/>
                  <w:vAlign w:val="center"/>
                </w:tcPr>
                <w:p w14:paraId="603C8EA1">
                  <w:pPr>
                    <w:rPr>
                      <w:highlight w:val="none"/>
                    </w:rPr>
                  </w:pPr>
                  <w:r>
                    <w:rPr>
                      <w:highlight w:val="none"/>
                    </w:rPr>
                    <w:t>符合</w:t>
                  </w:r>
                </w:p>
              </w:tc>
            </w:tr>
            <w:tr w14:paraId="382EC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noWrap w:val="0"/>
                  <w:vAlign w:val="center"/>
                </w:tcPr>
                <w:p w14:paraId="62503930">
                  <w:pPr>
                    <w:rPr>
                      <w:highlight w:val="none"/>
                    </w:rPr>
                  </w:pPr>
                  <w:r>
                    <w:rPr>
                      <w:highlight w:val="none"/>
                    </w:rPr>
                    <w:t>5</w:t>
                  </w:r>
                </w:p>
              </w:tc>
              <w:tc>
                <w:tcPr>
                  <w:tcW w:w="473" w:type="pct"/>
                  <w:noWrap w:val="0"/>
                  <w:vAlign w:val="center"/>
                </w:tcPr>
                <w:p w14:paraId="35E78FFA">
                  <w:pPr>
                    <w:rPr>
                      <w:highlight w:val="none"/>
                    </w:rPr>
                  </w:pPr>
                  <w:r>
                    <w:rPr>
                      <w:highlight w:val="none"/>
                    </w:rPr>
                    <w:t>提升“新建绿”行动</w:t>
                  </w:r>
                </w:p>
              </w:tc>
              <w:tc>
                <w:tcPr>
                  <w:tcW w:w="2032" w:type="pct"/>
                  <w:noWrap w:val="0"/>
                  <w:vAlign w:val="center"/>
                </w:tcPr>
                <w:p w14:paraId="73621EE1">
                  <w:pPr>
                    <w:rPr>
                      <w:highlight w:val="none"/>
                    </w:rPr>
                  </w:pPr>
                  <w:r>
                    <w:rPr>
                      <w:highlight w:val="none"/>
                    </w:rPr>
                    <w:t>大力推行生态复绿补绿增绿；深入推进长江岸线保护修复；强化重点河湖湿地保护修复。</w:t>
                  </w:r>
                </w:p>
              </w:tc>
              <w:tc>
                <w:tcPr>
                  <w:tcW w:w="1720" w:type="pct"/>
                  <w:noWrap w:val="0"/>
                  <w:vAlign w:val="center"/>
                </w:tcPr>
                <w:p w14:paraId="3FB092BA">
                  <w:pPr>
                    <w:rPr>
                      <w:highlight w:val="none"/>
                    </w:rPr>
                  </w:pPr>
                  <w:r>
                    <w:rPr>
                      <w:highlight w:val="none"/>
                    </w:rPr>
                    <w:t>本项目位于</w:t>
                  </w:r>
                  <w:r>
                    <w:rPr>
                      <w:rFonts w:hint="eastAsia"/>
                      <w:highlight w:val="none"/>
                      <w:lang w:eastAsia="zh-CN"/>
                    </w:rPr>
                    <w:t>皖江江南新兴产业集中区</w:t>
                  </w:r>
                  <w:r>
                    <w:rPr>
                      <w:highlight w:val="none"/>
                    </w:rPr>
                    <w:t>，在生态红线范围之外</w:t>
                  </w:r>
                </w:p>
              </w:tc>
              <w:tc>
                <w:tcPr>
                  <w:tcW w:w="497" w:type="pct"/>
                  <w:noWrap w:val="0"/>
                  <w:vAlign w:val="center"/>
                </w:tcPr>
                <w:p w14:paraId="285F4C8C">
                  <w:pPr>
                    <w:rPr>
                      <w:highlight w:val="none"/>
                    </w:rPr>
                  </w:pPr>
                  <w:r>
                    <w:rPr>
                      <w:highlight w:val="none"/>
                    </w:rPr>
                    <w:t>符合</w:t>
                  </w:r>
                </w:p>
              </w:tc>
            </w:tr>
            <w:tr w14:paraId="4BBAC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noWrap w:val="0"/>
                  <w:vAlign w:val="center"/>
                </w:tcPr>
                <w:p w14:paraId="5F6618C7">
                  <w:pPr>
                    <w:rPr>
                      <w:highlight w:val="none"/>
                    </w:rPr>
                  </w:pPr>
                  <w:r>
                    <w:rPr>
                      <w:highlight w:val="none"/>
                    </w:rPr>
                    <w:t>6</w:t>
                  </w:r>
                </w:p>
              </w:tc>
              <w:tc>
                <w:tcPr>
                  <w:tcW w:w="473" w:type="pct"/>
                  <w:noWrap w:val="0"/>
                  <w:vAlign w:val="center"/>
                </w:tcPr>
                <w:p w14:paraId="71847B7A">
                  <w:pPr>
                    <w:rPr>
                      <w:highlight w:val="none"/>
                    </w:rPr>
                  </w:pPr>
                  <w:r>
                    <w:rPr>
                      <w:highlight w:val="none"/>
                    </w:rPr>
                    <w:t>提升“纳统管”行动</w:t>
                  </w:r>
                </w:p>
              </w:tc>
              <w:tc>
                <w:tcPr>
                  <w:tcW w:w="2032" w:type="pct"/>
                  <w:noWrap w:val="0"/>
                  <w:vAlign w:val="center"/>
                </w:tcPr>
                <w:p w14:paraId="5BBB1042">
                  <w:pPr>
                    <w:rPr>
                      <w:highlight w:val="none"/>
                    </w:rPr>
                  </w:pPr>
                  <w:r>
                    <w:rPr>
                      <w:highlight w:val="none"/>
                    </w:rPr>
                    <w:t>园区工业污水和生活污水全部纳入统一污水管网，实行统一处理、不留死角。企业工业废水在排入园区污水处理厂之前，必须经过预处理且达到园区污水处理厂纳管标准。园区污水集中处理设施和管网全部建成运行。鼓励有条件的园区实施化工企业</w:t>
                  </w:r>
                  <w:r>
                    <w:rPr>
                      <w:highlight w:val="none"/>
                      <w:lang w:val="zh-CN"/>
                    </w:rPr>
                    <w:t>“一</w:t>
                  </w:r>
                  <w:r>
                    <w:rPr>
                      <w:highlight w:val="none"/>
                    </w:rPr>
                    <w:t>企一管、明管输送、实时监测”，确保化工污水全收集、全处理。</w:t>
                  </w:r>
                </w:p>
              </w:tc>
              <w:tc>
                <w:tcPr>
                  <w:tcW w:w="1720" w:type="pct"/>
                  <w:noWrap w:val="0"/>
                  <w:vAlign w:val="center"/>
                </w:tcPr>
                <w:p w14:paraId="096599AE">
                  <w:pPr>
                    <w:rPr>
                      <w:highlight w:val="none"/>
                    </w:rPr>
                  </w:pPr>
                  <w:r>
                    <w:rPr>
                      <w:rFonts w:hint="eastAsia"/>
                      <w:highlight w:val="none"/>
                      <w:lang w:val="en-US" w:eastAsia="zh-CN"/>
                    </w:rPr>
                    <w:t>项目</w:t>
                  </w:r>
                  <w:r>
                    <w:rPr>
                      <w:rFonts w:hint="eastAsia"/>
                      <w:highlight w:val="none"/>
                      <w:lang w:eastAsia="zh-CN"/>
                    </w:rPr>
                    <w:t>采取雨、污</w:t>
                  </w:r>
                  <w:r>
                    <w:rPr>
                      <w:rFonts w:hint="default"/>
                      <w:highlight w:val="none"/>
                    </w:rPr>
                    <w:t>分流制</w:t>
                  </w:r>
                  <w:r>
                    <w:rPr>
                      <w:rFonts w:hint="eastAsia"/>
                      <w:highlight w:val="none"/>
                      <w:lang w:eastAsia="zh-CN"/>
                    </w:rPr>
                    <w:t>，生活污水经园区化粪池预处理后</w:t>
                  </w:r>
                  <w:r>
                    <w:rPr>
                      <w:rFonts w:hint="eastAsia"/>
                      <w:highlight w:val="none"/>
                      <w:lang w:val="en-US" w:eastAsia="zh-CN"/>
                    </w:rPr>
                    <w:t>与冷却循环外排水一并</w:t>
                  </w:r>
                  <w:r>
                    <w:rPr>
                      <w:rFonts w:hint="eastAsia"/>
                      <w:highlight w:val="none"/>
                      <w:lang w:eastAsia="zh-CN"/>
                    </w:rPr>
                    <w:t>排入皖江江南新兴产业集中区第一污水处理厂，处理达标后经九华河排入长江</w:t>
                  </w:r>
                </w:p>
              </w:tc>
              <w:tc>
                <w:tcPr>
                  <w:tcW w:w="497" w:type="pct"/>
                  <w:noWrap w:val="0"/>
                  <w:vAlign w:val="center"/>
                </w:tcPr>
                <w:p w14:paraId="74C62532">
                  <w:pPr>
                    <w:rPr>
                      <w:highlight w:val="none"/>
                    </w:rPr>
                  </w:pPr>
                  <w:r>
                    <w:rPr>
                      <w:highlight w:val="none"/>
                    </w:rPr>
                    <w:t>符合</w:t>
                  </w:r>
                </w:p>
              </w:tc>
            </w:tr>
          </w:tbl>
          <w:p w14:paraId="135359B8">
            <w:pPr>
              <w:widowControl/>
              <w:spacing w:line="360" w:lineRule="auto"/>
              <w:ind w:firstLine="480" w:firstLineChars="200"/>
              <w:jc w:val="left"/>
              <w:rPr>
                <w:rFonts w:ascii="Times New Roman" w:hAnsi="Times New Roman" w:eastAsia="宋体" w:cs="Times New Roman"/>
                <w:color w:val="auto"/>
                <w:kern w:val="0"/>
                <w:sz w:val="24"/>
                <w:szCs w:val="24"/>
                <w:highlight w:val="none"/>
                <w:lang w:eastAsia="zh-CN" w:bidi="ar"/>
              </w:rPr>
            </w:pPr>
            <w:r>
              <w:rPr>
                <w:rFonts w:ascii="Times New Roman" w:hAnsi="Times New Roman" w:eastAsia="宋体" w:cs="Times New Roman"/>
                <w:color w:val="auto"/>
                <w:kern w:val="0"/>
                <w:sz w:val="24"/>
                <w:szCs w:val="24"/>
                <w:highlight w:val="none"/>
                <w:lang w:eastAsia="zh-CN" w:bidi="ar"/>
              </w:rPr>
              <w:t>综上分析，本项目建设符合《关于</w:t>
            </w:r>
            <w:r>
              <w:rPr>
                <w:rFonts w:hint="eastAsia" w:ascii="Times New Roman" w:hAnsi="Times New Roman" w:eastAsia="宋体" w:cs="Times New Roman"/>
                <w:color w:val="auto"/>
                <w:kern w:val="0"/>
                <w:sz w:val="24"/>
                <w:szCs w:val="24"/>
                <w:highlight w:val="none"/>
                <w:lang w:eastAsia="zh-CN" w:bidi="ar"/>
              </w:rPr>
              <w:t>全面</w:t>
            </w:r>
            <w:r>
              <w:rPr>
                <w:rFonts w:ascii="Times New Roman" w:hAnsi="Times New Roman" w:eastAsia="宋体" w:cs="Times New Roman"/>
                <w:color w:val="auto"/>
                <w:kern w:val="0"/>
                <w:sz w:val="24"/>
                <w:szCs w:val="24"/>
                <w:highlight w:val="none"/>
                <w:lang w:eastAsia="zh-CN" w:bidi="ar"/>
              </w:rPr>
              <w:t>打造水清岸绿产业优美丽长江(安徽)经济带的实施意见》（升级版）要求。</w:t>
            </w:r>
          </w:p>
          <w:p w14:paraId="5530D267">
            <w:pPr>
              <w:spacing w:line="360" w:lineRule="auto"/>
              <w:ind w:left="420"/>
              <w:rPr>
                <w:b/>
                <w:bCs/>
                <w:color w:val="auto"/>
                <w:sz w:val="24"/>
                <w:szCs w:val="24"/>
                <w:highlight w:val="none"/>
                <w:shd w:val="clear" w:color="auto" w:fill="FFFFFF"/>
              </w:rPr>
            </w:pPr>
            <w:r>
              <w:rPr>
                <w:rFonts w:hint="eastAsia"/>
                <w:b/>
                <w:bCs/>
                <w:color w:val="auto"/>
                <w:sz w:val="24"/>
                <w:szCs w:val="24"/>
                <w:highlight w:val="none"/>
                <w:shd w:val="clear" w:color="auto" w:fill="FFFFFF"/>
                <w:lang w:val="en-US" w:eastAsia="zh-CN"/>
              </w:rPr>
              <w:t>6</w:t>
            </w:r>
            <w:r>
              <w:rPr>
                <w:rFonts w:hint="eastAsia"/>
                <w:b/>
                <w:bCs/>
                <w:color w:val="auto"/>
                <w:sz w:val="24"/>
                <w:szCs w:val="24"/>
                <w:highlight w:val="none"/>
                <w:shd w:val="clear" w:color="auto" w:fill="FFFFFF"/>
                <w:lang w:eastAsia="zh-CN"/>
              </w:rPr>
              <w:t>、</w:t>
            </w:r>
            <w:r>
              <w:rPr>
                <w:b/>
                <w:bCs/>
                <w:color w:val="auto"/>
                <w:sz w:val="24"/>
                <w:szCs w:val="24"/>
                <w:highlight w:val="none"/>
                <w:shd w:val="clear" w:color="auto" w:fill="FFFFFF"/>
              </w:rPr>
              <w:t>与中华人民共和国长江保护法的相符性分析</w:t>
            </w:r>
          </w:p>
          <w:p w14:paraId="170DD6E4">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b/>
                <w:bCs/>
                <w:color w:val="auto"/>
                <w:sz w:val="24"/>
                <w:szCs w:val="24"/>
                <w:highlight w:val="none"/>
              </w:rPr>
            </w:pPr>
            <w:r>
              <w:rPr>
                <w:rFonts w:hint="default" w:ascii="Times New Roman" w:hAnsi="Times New Roman" w:cs="Times New Roman"/>
                <w:b/>
                <w:bCs/>
                <w:color w:val="auto"/>
                <w:sz w:val="21"/>
                <w:szCs w:val="21"/>
                <w:highlight w:val="none"/>
                <w:shd w:val="clear" w:color="auto" w:fill="FFFFFF"/>
                <w:lang w:val="en-US" w:eastAsia="zh-CN"/>
              </w:rPr>
              <w:t>表1-6</w:t>
            </w:r>
            <w:r>
              <w:rPr>
                <w:rFonts w:hint="eastAsia" w:ascii="Times New Roman" w:hAnsi="Times New Roman" w:cs="Times New Roman"/>
                <w:b/>
                <w:bCs/>
                <w:color w:val="auto"/>
                <w:sz w:val="21"/>
                <w:szCs w:val="21"/>
                <w:highlight w:val="none"/>
                <w:shd w:val="clear" w:color="auto" w:fill="FFFFFF"/>
                <w:lang w:val="en-US" w:eastAsia="zh-CN"/>
              </w:rPr>
              <w:t xml:space="preserve">  </w:t>
            </w:r>
            <w:r>
              <w:rPr>
                <w:rFonts w:hint="default" w:ascii="Times New Roman" w:hAnsi="Times New Roman" w:cs="Times New Roman"/>
                <w:b/>
                <w:bCs/>
                <w:color w:val="auto"/>
                <w:sz w:val="21"/>
                <w:szCs w:val="21"/>
                <w:highlight w:val="none"/>
                <w:shd w:val="clear" w:color="auto" w:fill="FFFFFF"/>
              </w:rPr>
              <w:t>与中华人民共和国长江保护法的相符性分析</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4112"/>
              <w:gridCol w:w="1914"/>
              <w:gridCol w:w="748"/>
            </w:tblGrid>
            <w:tr w14:paraId="27BEE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31" w:type="pct"/>
                  <w:noWrap w:val="0"/>
                  <w:vAlign w:val="center"/>
                </w:tcPr>
                <w:p w14:paraId="68248035">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序号</w:t>
                  </w:r>
                </w:p>
              </w:tc>
              <w:tc>
                <w:tcPr>
                  <w:tcW w:w="2712" w:type="pct"/>
                  <w:noWrap w:val="0"/>
                  <w:vAlign w:val="center"/>
                </w:tcPr>
                <w:p w14:paraId="30E67EB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长江保护法要求</w:t>
                  </w:r>
                </w:p>
              </w:tc>
              <w:tc>
                <w:tcPr>
                  <w:tcW w:w="1262" w:type="pct"/>
                  <w:noWrap w:val="0"/>
                  <w:vAlign w:val="center"/>
                </w:tcPr>
                <w:p w14:paraId="08E94AF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本项目情况</w:t>
                  </w:r>
                </w:p>
              </w:tc>
              <w:tc>
                <w:tcPr>
                  <w:tcW w:w="493" w:type="pct"/>
                  <w:noWrap w:val="0"/>
                  <w:vAlign w:val="center"/>
                </w:tcPr>
                <w:p w14:paraId="4BFA146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auto"/>
                      <w:kern w:val="2"/>
                      <w:sz w:val="21"/>
                      <w:szCs w:val="21"/>
                      <w:highlight w:val="none"/>
                    </w:rPr>
                  </w:pPr>
                  <w:r>
                    <w:rPr>
                      <w:rFonts w:ascii="Times New Roman" w:hAnsi="Times New Roman"/>
                      <w:b/>
                      <w:bCs/>
                      <w:color w:val="auto"/>
                      <w:kern w:val="2"/>
                      <w:sz w:val="21"/>
                      <w:szCs w:val="21"/>
                      <w:highlight w:val="none"/>
                    </w:rPr>
                    <w:t>相符性</w:t>
                  </w:r>
                </w:p>
              </w:tc>
            </w:tr>
            <w:tr w14:paraId="469FD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531" w:type="pct"/>
                  <w:noWrap w:val="0"/>
                  <w:vAlign w:val="center"/>
                </w:tcPr>
                <w:p w14:paraId="50CC6D9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第二条</w:t>
                  </w:r>
                </w:p>
              </w:tc>
              <w:tc>
                <w:tcPr>
                  <w:tcW w:w="2712" w:type="pct"/>
                  <w:noWrap w:val="0"/>
                  <w:vAlign w:val="center"/>
                </w:tcPr>
                <w:p w14:paraId="138A257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法所称长江流域，是指由长江干流、支流和湖泊形成的集水区域所涉及的青海省、四川省、西藏自治区、云南省、重庆市、湖北省、湖南省、江西省、安徽省、江苏省、上海市，以及甘肃省、陕西省、河南省、贵州省、广西壮族自治区、广东省、浙江省、福建省的相关县级行政区域。</w:t>
                  </w:r>
                </w:p>
              </w:tc>
              <w:tc>
                <w:tcPr>
                  <w:tcW w:w="1262" w:type="pct"/>
                  <w:noWrap w:val="0"/>
                  <w:vAlign w:val="center"/>
                </w:tcPr>
                <w:p w14:paraId="4BB6F00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olor w:val="auto"/>
                      <w:kern w:val="2"/>
                      <w:sz w:val="21"/>
                      <w:szCs w:val="21"/>
                      <w:highlight w:val="none"/>
                      <w:lang w:eastAsia="zh-CN"/>
                    </w:rPr>
                  </w:pPr>
                  <w:r>
                    <w:rPr>
                      <w:rFonts w:ascii="Times New Roman" w:hAnsi="Times New Roman"/>
                      <w:color w:val="auto"/>
                      <w:kern w:val="2"/>
                      <w:sz w:val="21"/>
                      <w:szCs w:val="21"/>
                      <w:highlight w:val="none"/>
                    </w:rPr>
                    <w:t>本项目在安徽省</w:t>
                  </w:r>
                  <w:r>
                    <w:rPr>
                      <w:rFonts w:hint="eastAsia" w:ascii="Times New Roman" w:hAnsi="Times New Roman" w:cs="Times New Roman"/>
                      <w:color w:val="auto"/>
                      <w:kern w:val="2"/>
                      <w:sz w:val="21"/>
                      <w:szCs w:val="21"/>
                      <w:highlight w:val="none"/>
                      <w:lang w:val="en-US" w:eastAsia="zh-CN"/>
                    </w:rPr>
                    <w:t>池州市皖江江南新兴产业集中区科技孵化园A4厂房</w:t>
                  </w:r>
                  <w:r>
                    <w:rPr>
                      <w:rFonts w:hint="eastAsia" w:ascii="Times New Roman" w:hAnsi="Times New Roman" w:eastAsia="宋体" w:cs="Times New Roman"/>
                      <w:color w:val="auto"/>
                      <w:kern w:val="2"/>
                      <w:sz w:val="21"/>
                      <w:szCs w:val="21"/>
                      <w:highlight w:val="none"/>
                      <w:lang w:eastAsia="zh-CN"/>
                    </w:rPr>
                    <w:t>，属</w:t>
                  </w:r>
                  <w:r>
                    <w:rPr>
                      <w:rFonts w:hint="eastAsia" w:ascii="Times New Roman" w:hAnsi="Times New Roman"/>
                      <w:color w:val="auto"/>
                      <w:kern w:val="2"/>
                      <w:sz w:val="21"/>
                      <w:szCs w:val="21"/>
                      <w:highlight w:val="none"/>
                      <w:lang w:eastAsia="zh-CN"/>
                    </w:rPr>
                    <w:t>于长江流域</w:t>
                  </w:r>
                </w:p>
              </w:tc>
              <w:tc>
                <w:tcPr>
                  <w:tcW w:w="493" w:type="pct"/>
                  <w:noWrap w:val="0"/>
                  <w:vAlign w:val="center"/>
                </w:tcPr>
                <w:p w14:paraId="3DE1FAB7">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63A89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531" w:type="pct"/>
                  <w:noWrap w:val="0"/>
                  <w:vAlign w:val="center"/>
                </w:tcPr>
                <w:p w14:paraId="3045066E">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第二十一条</w:t>
                  </w:r>
                </w:p>
              </w:tc>
              <w:tc>
                <w:tcPr>
                  <w:tcW w:w="2712" w:type="pct"/>
                  <w:noWrap w:val="0"/>
                  <w:vAlign w:val="center"/>
                </w:tcPr>
                <w:p w14:paraId="6CAB0E3B">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国务院生态环境主管部门根据水环境质量改善目标和水污染防治要求，确定长江流域各省级行政区域重点污染物排放总量控制指标。长江流域水质超标的水功能区，应当实施更严格的污染物排放总量削减要求。企业事业单位应当按照要求，采取污染物排放总量控制措施。</w:t>
                  </w:r>
                </w:p>
              </w:tc>
              <w:tc>
                <w:tcPr>
                  <w:tcW w:w="1262" w:type="pct"/>
                  <w:noWrap w:val="0"/>
                  <w:vAlign w:val="center"/>
                </w:tcPr>
                <w:p w14:paraId="05EF352D">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auto"/>
                      <w:kern w:val="2"/>
                      <w:sz w:val="21"/>
                      <w:szCs w:val="21"/>
                      <w:highlight w:val="none"/>
                    </w:rPr>
                  </w:pPr>
                  <w:r>
                    <w:rPr>
                      <w:rFonts w:hint="eastAsia" w:ascii="Times New Roman" w:hAnsi="Times New Roman" w:eastAsia="宋体" w:cs="Times New Roman"/>
                      <w:color w:val="auto"/>
                      <w:kern w:val="2"/>
                      <w:sz w:val="21"/>
                      <w:szCs w:val="21"/>
                      <w:highlight w:val="none"/>
                      <w:lang w:val="en-US" w:eastAsia="zh-CN"/>
                    </w:rPr>
                    <w:t>项目</w:t>
                  </w:r>
                  <w:r>
                    <w:rPr>
                      <w:rFonts w:hint="eastAsia" w:ascii="Times New Roman" w:hAnsi="Times New Roman" w:cs="Times New Roman"/>
                      <w:color w:val="auto"/>
                      <w:kern w:val="2"/>
                      <w:sz w:val="21"/>
                      <w:szCs w:val="21"/>
                      <w:highlight w:val="none"/>
                      <w:lang w:eastAsia="zh-CN"/>
                    </w:rPr>
                    <w:t>采取雨、污</w:t>
                  </w:r>
                  <w:r>
                    <w:rPr>
                      <w:rFonts w:hint="default" w:ascii="Times New Roman" w:hAnsi="Times New Roman" w:eastAsia="宋体" w:cs="Times New Roman"/>
                      <w:color w:val="auto"/>
                      <w:kern w:val="2"/>
                      <w:sz w:val="21"/>
                      <w:szCs w:val="21"/>
                      <w:highlight w:val="none"/>
                    </w:rPr>
                    <w:t>分流制</w:t>
                  </w:r>
                  <w:r>
                    <w:rPr>
                      <w:rFonts w:hint="eastAsia" w:ascii="Times New Roman" w:hAnsi="Times New Roman" w:eastAsia="宋体" w:cs="Times New Roman"/>
                      <w:color w:val="auto"/>
                      <w:kern w:val="2"/>
                      <w:sz w:val="21"/>
                      <w:szCs w:val="21"/>
                      <w:highlight w:val="none"/>
                      <w:lang w:eastAsia="zh-CN"/>
                    </w:rPr>
                    <w:t>，生活污水经园区化粪池预处理后</w:t>
                  </w:r>
                  <w:r>
                    <w:rPr>
                      <w:rFonts w:hint="eastAsia" w:ascii="Times New Roman" w:hAnsi="Times New Roman" w:cs="Times New Roman"/>
                      <w:color w:val="auto"/>
                      <w:kern w:val="2"/>
                      <w:sz w:val="21"/>
                      <w:szCs w:val="21"/>
                      <w:highlight w:val="none"/>
                      <w:lang w:val="en-US" w:eastAsia="zh-CN"/>
                    </w:rPr>
                    <w:t>与冷却循环外排水一并</w:t>
                  </w:r>
                  <w:r>
                    <w:rPr>
                      <w:rFonts w:hint="eastAsia" w:ascii="Times New Roman" w:hAnsi="Times New Roman" w:eastAsia="宋体" w:cs="Times New Roman"/>
                      <w:color w:val="auto"/>
                      <w:kern w:val="2"/>
                      <w:sz w:val="21"/>
                      <w:szCs w:val="21"/>
                      <w:highlight w:val="none"/>
                      <w:lang w:eastAsia="zh-CN"/>
                    </w:rPr>
                    <w:t>排入</w:t>
                  </w:r>
                  <w:r>
                    <w:rPr>
                      <w:rFonts w:hint="eastAsia" w:ascii="Times New Roman" w:hAnsi="Times New Roman" w:cs="Times New Roman"/>
                      <w:color w:val="auto"/>
                      <w:kern w:val="2"/>
                      <w:sz w:val="21"/>
                      <w:szCs w:val="21"/>
                      <w:highlight w:val="none"/>
                      <w:lang w:eastAsia="zh-CN"/>
                    </w:rPr>
                    <w:t>皖江江南新兴产业集中区第一污水处理厂</w:t>
                  </w:r>
                  <w:r>
                    <w:rPr>
                      <w:rFonts w:hint="eastAsia" w:ascii="Times New Roman" w:hAnsi="Times New Roman" w:eastAsia="宋体" w:cs="Times New Roman"/>
                      <w:color w:val="auto"/>
                      <w:kern w:val="2"/>
                      <w:sz w:val="21"/>
                      <w:szCs w:val="21"/>
                      <w:highlight w:val="none"/>
                      <w:lang w:eastAsia="zh-CN"/>
                    </w:rPr>
                    <w:t>，处理达标后经九华河排入长江</w:t>
                  </w:r>
                </w:p>
              </w:tc>
              <w:tc>
                <w:tcPr>
                  <w:tcW w:w="493" w:type="pct"/>
                  <w:noWrap w:val="0"/>
                  <w:vAlign w:val="center"/>
                </w:tcPr>
                <w:p w14:paraId="5F665FC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40A0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531" w:type="pct"/>
                  <w:noWrap w:val="0"/>
                  <w:vAlign w:val="center"/>
                </w:tcPr>
                <w:p w14:paraId="5D7E9031">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第二十二条</w:t>
                  </w:r>
                </w:p>
              </w:tc>
              <w:tc>
                <w:tcPr>
                  <w:tcW w:w="2712" w:type="pct"/>
                  <w:noWrap w:val="0"/>
                  <w:vAlign w:val="center"/>
                </w:tcPr>
                <w:p w14:paraId="677B57E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长江流域产业结构和布局应当与长江流域生态系统和资源环境承载能力相适应。禁止在长江流域重点生态功能区布局对生态系统有严重影响的产业。禁止重污染企业和项目向长江中上游转移。</w:t>
                  </w:r>
                </w:p>
              </w:tc>
              <w:tc>
                <w:tcPr>
                  <w:tcW w:w="1262" w:type="pct"/>
                  <w:noWrap w:val="0"/>
                  <w:vAlign w:val="center"/>
                </w:tcPr>
                <w:p w14:paraId="41A221AB">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本项目不属于重污染项目</w:t>
                  </w:r>
                </w:p>
              </w:tc>
              <w:tc>
                <w:tcPr>
                  <w:tcW w:w="493" w:type="pct"/>
                  <w:noWrap w:val="0"/>
                  <w:vAlign w:val="center"/>
                </w:tcPr>
                <w:p w14:paraId="048757C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51E15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9" w:hRule="atLeast"/>
              </w:trPr>
              <w:tc>
                <w:tcPr>
                  <w:tcW w:w="531" w:type="pct"/>
                  <w:noWrap w:val="0"/>
                  <w:vAlign w:val="center"/>
                </w:tcPr>
                <w:p w14:paraId="677F9B2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第二十六条</w:t>
                  </w:r>
                </w:p>
              </w:tc>
              <w:tc>
                <w:tcPr>
                  <w:tcW w:w="2712" w:type="pct"/>
                  <w:noWrap w:val="0"/>
                  <w:vAlign w:val="center"/>
                </w:tcPr>
                <w:p w14:paraId="31F978BB">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1262" w:type="pct"/>
                  <w:noWrap w:val="0"/>
                  <w:vAlign w:val="center"/>
                </w:tcPr>
                <w:p w14:paraId="0926034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本项目距离长江岸线</w:t>
                  </w:r>
                  <w:r>
                    <w:rPr>
                      <w:rFonts w:hint="eastAsia" w:ascii="Times New Roman" w:hAnsi="Times New Roman"/>
                      <w:color w:val="auto"/>
                      <w:kern w:val="2"/>
                      <w:sz w:val="21"/>
                      <w:szCs w:val="21"/>
                      <w:highlight w:val="none"/>
                      <w:lang w:val="en-US" w:eastAsia="zh-CN"/>
                    </w:rPr>
                    <w:t>1.045km</w:t>
                  </w:r>
                  <w:r>
                    <w:rPr>
                      <w:rFonts w:ascii="Times New Roman" w:hAnsi="Times New Roman"/>
                      <w:color w:val="auto"/>
                      <w:kern w:val="2"/>
                      <w:sz w:val="21"/>
                      <w:szCs w:val="21"/>
                      <w:highlight w:val="none"/>
                    </w:rPr>
                    <w:t>，不属于尾矿库项目</w:t>
                  </w:r>
                </w:p>
              </w:tc>
              <w:tc>
                <w:tcPr>
                  <w:tcW w:w="493" w:type="pct"/>
                  <w:noWrap w:val="0"/>
                  <w:vAlign w:val="center"/>
                </w:tcPr>
                <w:p w14:paraId="59F936A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14464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3" w:hRule="atLeast"/>
              </w:trPr>
              <w:tc>
                <w:tcPr>
                  <w:tcW w:w="531" w:type="pct"/>
                  <w:noWrap w:val="0"/>
                  <w:vAlign w:val="center"/>
                </w:tcPr>
                <w:p w14:paraId="19296D4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第六十一条</w:t>
                  </w:r>
                </w:p>
              </w:tc>
              <w:tc>
                <w:tcPr>
                  <w:tcW w:w="2712" w:type="pct"/>
                  <w:noWrap w:val="0"/>
                  <w:vAlign w:val="center"/>
                </w:tcPr>
                <w:p w14:paraId="26A9E7E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长江流域水土流失重点预防区和重点治理区的县级以上地方人民政府应当采取措施，防治水土流失。生态保护红线范围内的水土流失地块，以自然恢复为主，按照规定有计划地实施退耕还林还草还湿</w:t>
                  </w:r>
                  <w:r>
                    <w:rPr>
                      <w:rFonts w:hint="eastAsia" w:ascii="Times New Roman" w:hAnsi="Times New Roman"/>
                      <w:color w:val="auto"/>
                      <w:kern w:val="2"/>
                      <w:sz w:val="21"/>
                      <w:szCs w:val="21"/>
                      <w:highlight w:val="none"/>
                      <w:lang w:eastAsia="zh-CN"/>
                    </w:rPr>
                    <w:t>；</w:t>
                  </w:r>
                  <w:r>
                    <w:rPr>
                      <w:rFonts w:ascii="Times New Roman" w:hAnsi="Times New Roman"/>
                      <w:color w:val="auto"/>
                      <w:kern w:val="2"/>
                      <w:sz w:val="21"/>
                      <w:szCs w:val="21"/>
                      <w:highlight w:val="none"/>
                    </w:rPr>
                    <w:t>划入自然保护地核心保护区的永久基本农田，依法有序退出并予以补划。</w:t>
                  </w:r>
                </w:p>
              </w:tc>
              <w:tc>
                <w:tcPr>
                  <w:tcW w:w="1262" w:type="pct"/>
                  <w:noWrap w:val="0"/>
                  <w:vAlign w:val="center"/>
                </w:tcPr>
                <w:p w14:paraId="7854A265">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本项目不在生态保护红线内</w:t>
                  </w:r>
                </w:p>
              </w:tc>
              <w:tc>
                <w:tcPr>
                  <w:tcW w:w="493" w:type="pct"/>
                  <w:noWrap w:val="0"/>
                  <w:vAlign w:val="center"/>
                </w:tcPr>
                <w:p w14:paraId="0EB2CB3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bl>
          <w:p w14:paraId="102F663A">
            <w:pPr>
              <w:widowControl/>
              <w:spacing w:line="360" w:lineRule="auto"/>
              <w:ind w:firstLine="480" w:firstLineChars="200"/>
              <w:jc w:val="left"/>
              <w:rPr>
                <w:rFonts w:ascii="Times New Roman" w:hAnsi="Times New Roman" w:eastAsia="宋体" w:cs="Times New Roman"/>
                <w:color w:val="auto"/>
                <w:kern w:val="0"/>
                <w:sz w:val="24"/>
                <w:szCs w:val="24"/>
                <w:highlight w:val="none"/>
                <w:lang w:eastAsia="zh-CN" w:bidi="ar"/>
              </w:rPr>
            </w:pPr>
            <w:r>
              <w:rPr>
                <w:rFonts w:ascii="Times New Roman" w:hAnsi="Times New Roman" w:eastAsia="宋体" w:cs="Times New Roman"/>
                <w:color w:val="auto"/>
                <w:kern w:val="0"/>
                <w:sz w:val="24"/>
                <w:szCs w:val="24"/>
                <w:highlight w:val="none"/>
                <w:lang w:eastAsia="zh-CN" w:bidi="ar"/>
              </w:rPr>
              <w:t>综上分析，本项目建设符合中华人民共和国长江保护法要求。</w:t>
            </w:r>
          </w:p>
          <w:p w14:paraId="275C05BC">
            <w:pPr>
              <w:spacing w:line="360" w:lineRule="auto"/>
              <w:ind w:firstLine="482" w:firstLineChars="200"/>
              <w:jc w:val="lef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7、</w:t>
            </w:r>
            <w:r>
              <w:rPr>
                <w:rFonts w:hint="eastAsia" w:ascii="Times New Roman" w:hAnsi="Times New Roman" w:eastAsia="宋体" w:cs="Times New Roman"/>
                <w:b/>
                <w:bCs/>
                <w:color w:val="auto"/>
                <w:sz w:val="24"/>
                <w:szCs w:val="24"/>
                <w:highlight w:val="none"/>
              </w:rPr>
              <w:t>与《长江经济带发展负面清单指南（试行，2022年版）》的通知（长江办</w:t>
            </w:r>
            <w:r>
              <w:rPr>
                <w:rFonts w:hint="eastAsia" w:cs="Times New Roman"/>
                <w:b/>
                <w:bCs/>
                <w:color w:val="auto"/>
                <w:sz w:val="24"/>
                <w:szCs w:val="24"/>
                <w:highlight w:val="none"/>
                <w:lang w:eastAsia="zh-CN"/>
              </w:rPr>
              <w:t>〔2022〕7号</w:t>
            </w:r>
            <w:r>
              <w:rPr>
                <w:rFonts w:hint="eastAsia" w:ascii="Times New Roman" w:hAnsi="Times New Roman" w:eastAsia="宋体" w:cs="Times New Roman"/>
                <w:b/>
                <w:bCs/>
                <w:color w:val="auto"/>
                <w:sz w:val="24"/>
                <w:szCs w:val="24"/>
                <w:highlight w:val="none"/>
              </w:rPr>
              <w:t>）相符性分析</w:t>
            </w:r>
          </w:p>
          <w:p w14:paraId="3CE4E1D5">
            <w:pPr>
              <w:widowControl/>
              <w:spacing w:line="360" w:lineRule="auto"/>
              <w:ind w:firstLine="480" w:firstLineChars="200"/>
              <w:jc w:val="left"/>
              <w:rPr>
                <w:rFonts w:hint="eastAsia" w:cs="Times New Roman"/>
                <w:color w:val="auto"/>
                <w:kern w:val="0"/>
                <w:sz w:val="24"/>
                <w:szCs w:val="24"/>
                <w:highlight w:val="none"/>
                <w:lang w:val="en-US" w:eastAsia="zh-CN" w:bidi="ar"/>
              </w:rPr>
            </w:pPr>
            <w:r>
              <w:rPr>
                <w:rFonts w:hint="eastAsia" w:ascii="Times New Roman" w:hAnsi="Times New Roman" w:eastAsia="宋体" w:cs="Times New Roman"/>
                <w:color w:val="auto"/>
                <w:kern w:val="0"/>
                <w:sz w:val="24"/>
                <w:szCs w:val="24"/>
                <w:highlight w:val="none"/>
                <w:lang w:eastAsia="zh-CN" w:bidi="ar"/>
              </w:rPr>
              <w:t>推动长江经济带发展领导小组办公室于2022年1月19日印发《长江经济带发展负面清单指南（试行，2022年版）》的通知（长江办</w:t>
            </w:r>
            <w:r>
              <w:rPr>
                <w:rFonts w:hint="eastAsia" w:cs="Times New Roman"/>
                <w:color w:val="auto"/>
                <w:kern w:val="0"/>
                <w:sz w:val="24"/>
                <w:szCs w:val="24"/>
                <w:highlight w:val="none"/>
                <w:lang w:eastAsia="zh-CN" w:bidi="ar"/>
              </w:rPr>
              <w:t>〔2022〕7号</w:t>
            </w:r>
            <w:r>
              <w:rPr>
                <w:rFonts w:hint="eastAsia" w:ascii="Times New Roman" w:hAnsi="Times New Roman" w:eastAsia="宋体" w:cs="Times New Roman"/>
                <w:color w:val="auto"/>
                <w:kern w:val="0"/>
                <w:sz w:val="24"/>
                <w:szCs w:val="24"/>
                <w:highlight w:val="none"/>
                <w:lang w:eastAsia="zh-CN" w:bidi="ar"/>
              </w:rPr>
              <w:t>），与负面清单相符性分析</w:t>
            </w:r>
            <w:r>
              <w:rPr>
                <w:rFonts w:hint="eastAsia" w:cs="Times New Roman"/>
                <w:color w:val="auto"/>
                <w:kern w:val="0"/>
                <w:sz w:val="24"/>
                <w:szCs w:val="24"/>
                <w:highlight w:val="none"/>
                <w:lang w:eastAsia="zh-CN" w:bidi="ar"/>
              </w:rPr>
              <w:t>如下</w:t>
            </w:r>
            <w:r>
              <w:rPr>
                <w:rFonts w:hint="eastAsia" w:cs="Times New Roman"/>
                <w:color w:val="auto"/>
                <w:kern w:val="0"/>
                <w:sz w:val="24"/>
                <w:szCs w:val="24"/>
                <w:highlight w:val="none"/>
                <w:lang w:val="en-US" w:eastAsia="zh-CN" w:bidi="ar"/>
              </w:rPr>
              <w:t>：</w:t>
            </w:r>
          </w:p>
          <w:p w14:paraId="718E1C23">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color w:val="auto"/>
                <w:sz w:val="24"/>
                <w:szCs w:val="24"/>
                <w:highlight w:val="none"/>
              </w:rPr>
            </w:pPr>
            <w:r>
              <w:rPr>
                <w:rFonts w:hint="default" w:ascii="Times New Roman" w:hAnsi="Times New Roman" w:cs="Times New Roman"/>
                <w:b/>
                <w:bCs/>
                <w:color w:val="auto"/>
                <w:sz w:val="21"/>
                <w:szCs w:val="21"/>
                <w:highlight w:val="none"/>
                <w:lang w:val="en-US" w:eastAsia="zh-CN"/>
              </w:rPr>
              <w:t>表1-7</w:t>
            </w:r>
            <w:r>
              <w:rPr>
                <w:rFonts w:hint="eastAsia" w:ascii="Times New Roman" w:hAnsi="Times New Roman" w:cs="Times New Roman"/>
                <w:b/>
                <w:bCs/>
                <w:color w:val="auto"/>
                <w:sz w:val="21"/>
                <w:szCs w:val="21"/>
                <w:highlight w:val="none"/>
                <w:lang w:val="en-US" w:eastAsia="zh-CN"/>
              </w:rPr>
              <w:t xml:space="preserve">  </w:t>
            </w:r>
            <w:r>
              <w:rPr>
                <w:rFonts w:hint="default" w:ascii="Times New Roman" w:hAnsi="Times New Roman" w:cs="Times New Roman"/>
                <w:b/>
                <w:bCs/>
                <w:color w:val="auto"/>
                <w:sz w:val="21"/>
                <w:szCs w:val="21"/>
                <w:highlight w:val="none"/>
              </w:rPr>
              <w:t>与长江经济带发展负面清单相符性分析</w:t>
            </w:r>
          </w:p>
          <w:tbl>
            <w:tblPr>
              <w:tblStyle w:val="26"/>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4152"/>
              <w:gridCol w:w="2155"/>
              <w:gridCol w:w="740"/>
            </w:tblGrid>
            <w:tr w14:paraId="0A44E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22EB5F4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b/>
                      <w:bCs/>
                      <w:color w:val="auto"/>
                      <w:kern w:val="2"/>
                      <w:sz w:val="21"/>
                      <w:szCs w:val="21"/>
                      <w:highlight w:val="none"/>
                      <w:lang w:eastAsia="zh-CN"/>
                    </w:rPr>
                    <w:t>序号</w:t>
                  </w:r>
                </w:p>
              </w:tc>
              <w:tc>
                <w:tcPr>
                  <w:tcW w:w="2738" w:type="pct"/>
                  <w:noWrap w:val="0"/>
                  <w:vAlign w:val="center"/>
                </w:tcPr>
                <w:p w14:paraId="43B972A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lang w:eastAsia="zh-CN"/>
                    </w:rPr>
                  </w:pPr>
                  <w:r>
                    <w:rPr>
                      <w:rFonts w:hint="eastAsia" w:ascii="Times New Roman" w:hAnsi="Times New Roman" w:eastAsia="宋体" w:cs="Times New Roman"/>
                      <w:b/>
                      <w:bCs/>
                      <w:color w:val="auto"/>
                      <w:kern w:val="2"/>
                      <w:sz w:val="21"/>
                      <w:szCs w:val="21"/>
                      <w:highlight w:val="none"/>
                    </w:rPr>
                    <w:t>长江经济带发展负面清单</w:t>
                  </w:r>
                </w:p>
              </w:tc>
              <w:tc>
                <w:tcPr>
                  <w:tcW w:w="1421" w:type="pct"/>
                  <w:noWrap w:val="0"/>
                  <w:vAlign w:val="center"/>
                </w:tcPr>
                <w:p w14:paraId="206264D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rPr>
                  </w:pPr>
                  <w:r>
                    <w:rPr>
                      <w:rFonts w:ascii="Times New Roman" w:hAnsi="Times New Roman" w:eastAsia="宋体" w:cs="Times New Roman"/>
                      <w:b/>
                      <w:bCs/>
                      <w:color w:val="auto"/>
                      <w:kern w:val="2"/>
                      <w:sz w:val="21"/>
                      <w:szCs w:val="21"/>
                      <w:highlight w:val="none"/>
                    </w:rPr>
                    <w:t>本项目情况</w:t>
                  </w:r>
                </w:p>
              </w:tc>
              <w:tc>
                <w:tcPr>
                  <w:tcW w:w="488" w:type="pct"/>
                  <w:noWrap w:val="0"/>
                  <w:vAlign w:val="center"/>
                </w:tcPr>
                <w:p w14:paraId="3DBF3786">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auto"/>
                      <w:kern w:val="2"/>
                      <w:sz w:val="21"/>
                      <w:szCs w:val="21"/>
                      <w:highlight w:val="none"/>
                    </w:rPr>
                  </w:pPr>
                  <w:r>
                    <w:rPr>
                      <w:rFonts w:ascii="Times New Roman" w:hAnsi="Times New Roman" w:eastAsia="宋体" w:cs="Times New Roman"/>
                      <w:b/>
                      <w:bCs/>
                      <w:color w:val="auto"/>
                      <w:kern w:val="2"/>
                      <w:sz w:val="21"/>
                      <w:szCs w:val="21"/>
                      <w:highlight w:val="none"/>
                    </w:rPr>
                    <w:t>相符性</w:t>
                  </w:r>
                </w:p>
              </w:tc>
            </w:tr>
            <w:tr w14:paraId="6B7F4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731B56D5">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1</w:t>
                  </w:r>
                </w:p>
              </w:tc>
              <w:tc>
                <w:tcPr>
                  <w:tcW w:w="2738" w:type="pct"/>
                  <w:noWrap w:val="0"/>
                  <w:vAlign w:val="center"/>
                </w:tcPr>
                <w:p w14:paraId="1FD33710">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zh-CN"/>
                    </w:rPr>
                  </w:pPr>
                  <w:r>
                    <w:rPr>
                      <w:rFonts w:ascii="Times New Roman" w:hAnsi="Times New Roman" w:eastAsia="宋体" w:cs="Times New Roman"/>
                      <w:color w:val="auto"/>
                      <w:kern w:val="2"/>
                      <w:sz w:val="21"/>
                      <w:szCs w:val="21"/>
                      <w:highlight w:val="none"/>
                    </w:rPr>
                    <w:t>禁止建设不符合全国和省级港口布局规划以及港口总体规划的码头项目，禁止建设不符合《长江干线过江通道布局规划》的过长江通道项目。</w:t>
                  </w:r>
                </w:p>
              </w:tc>
              <w:tc>
                <w:tcPr>
                  <w:tcW w:w="1421" w:type="pct"/>
                  <w:noWrap w:val="0"/>
                  <w:vAlign w:val="center"/>
                </w:tcPr>
                <w:p w14:paraId="3AEEF02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rPr>
                    <w:t>本项目不属于</w:t>
                  </w:r>
                  <w:r>
                    <w:rPr>
                      <w:rFonts w:hint="eastAsia" w:ascii="Times New Roman" w:hAnsi="Times New Roman" w:eastAsia="宋体" w:cs="Times New Roman"/>
                      <w:color w:val="auto"/>
                      <w:kern w:val="2"/>
                      <w:sz w:val="21"/>
                      <w:szCs w:val="21"/>
                      <w:highlight w:val="none"/>
                      <w:lang w:eastAsia="zh-CN"/>
                    </w:rPr>
                    <w:t>码头项目</w:t>
                  </w:r>
                  <w:r>
                    <w:rPr>
                      <w:rFonts w:ascii="Times New Roman" w:hAnsi="Times New Roman" w:eastAsia="宋体" w:cs="Times New Roman"/>
                      <w:color w:val="auto"/>
                      <w:kern w:val="2"/>
                      <w:sz w:val="21"/>
                      <w:szCs w:val="21"/>
                      <w:highlight w:val="none"/>
                    </w:rPr>
                    <w:t>，</w:t>
                  </w:r>
                  <w:r>
                    <w:rPr>
                      <w:rFonts w:hint="eastAsia" w:ascii="Times New Roman" w:hAnsi="Times New Roman" w:eastAsia="宋体" w:cs="Times New Roman"/>
                      <w:color w:val="auto"/>
                      <w:kern w:val="2"/>
                      <w:sz w:val="21"/>
                      <w:szCs w:val="21"/>
                      <w:highlight w:val="none"/>
                      <w:lang w:eastAsia="zh-CN"/>
                    </w:rPr>
                    <w:t>也不属于过长江通道项目</w:t>
                  </w:r>
                </w:p>
              </w:tc>
              <w:tc>
                <w:tcPr>
                  <w:tcW w:w="488" w:type="pct"/>
                  <w:noWrap w:val="0"/>
                  <w:vAlign w:val="center"/>
                </w:tcPr>
                <w:p w14:paraId="0B007534">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2C804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4A2BEC9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2</w:t>
                  </w:r>
                </w:p>
              </w:tc>
              <w:tc>
                <w:tcPr>
                  <w:tcW w:w="2738" w:type="pct"/>
                  <w:noWrap w:val="0"/>
                  <w:vAlign w:val="center"/>
                </w:tcPr>
                <w:p w14:paraId="0C1C03C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禁止在自然保护区核心区、缓冲区的岸线和河段范围内投资建设旅游和生产经营项目。禁止在风景名胜区核心景区的岸线和河段范围内投资建设与风景名胜资源保护无关的项目。</w:t>
                  </w:r>
                </w:p>
              </w:tc>
              <w:tc>
                <w:tcPr>
                  <w:tcW w:w="1421" w:type="pct"/>
                  <w:noWrap w:val="0"/>
                  <w:vAlign w:val="center"/>
                </w:tcPr>
                <w:p w14:paraId="5C0B912E">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rPr>
                  </w:pPr>
                  <w:r>
                    <w:rPr>
                      <w:rFonts w:ascii="Times New Roman" w:hAnsi="Times New Roman" w:eastAsia="宋体" w:cs="Times New Roman"/>
                      <w:color w:val="auto"/>
                      <w:kern w:val="2"/>
                      <w:sz w:val="21"/>
                      <w:szCs w:val="21"/>
                      <w:highlight w:val="none"/>
                      <w:lang w:eastAsia="zh-CN"/>
                    </w:rPr>
                    <w:t>本项目</w:t>
                  </w:r>
                  <w:r>
                    <w:rPr>
                      <w:rFonts w:hint="eastAsia" w:ascii="Times New Roman" w:hAnsi="Times New Roman" w:eastAsia="宋体" w:cs="Times New Roman"/>
                      <w:color w:val="auto"/>
                      <w:kern w:val="2"/>
                      <w:sz w:val="21"/>
                      <w:szCs w:val="21"/>
                      <w:highlight w:val="none"/>
                    </w:rPr>
                    <w:t>位于</w:t>
                  </w:r>
                  <w:r>
                    <w:rPr>
                      <w:rFonts w:hint="eastAsia" w:ascii="Times New Roman" w:hAnsi="Times New Roman" w:cs="Times New Roman"/>
                      <w:color w:val="auto"/>
                      <w:kern w:val="2"/>
                      <w:sz w:val="21"/>
                      <w:szCs w:val="21"/>
                      <w:highlight w:val="none"/>
                      <w:lang w:eastAsia="zh-CN"/>
                    </w:rPr>
                    <w:t>皖江江南新兴产业集中区</w:t>
                  </w:r>
                  <w:r>
                    <w:rPr>
                      <w:rFonts w:hint="eastAsia" w:ascii="Times New Roman" w:hAnsi="Times New Roman" w:eastAsia="宋体" w:cs="Times New Roman"/>
                      <w:color w:val="auto"/>
                      <w:kern w:val="2"/>
                      <w:sz w:val="21"/>
                      <w:szCs w:val="21"/>
                      <w:highlight w:val="none"/>
                    </w:rPr>
                    <w:t>规划范围内，不在自然保护区核心区、缓冲区的岸线和河段范围内</w:t>
                  </w:r>
                </w:p>
              </w:tc>
              <w:tc>
                <w:tcPr>
                  <w:tcW w:w="488" w:type="pct"/>
                  <w:noWrap w:val="0"/>
                  <w:vAlign w:val="center"/>
                </w:tcPr>
                <w:p w14:paraId="23368205">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1C22B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11035C4C">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3</w:t>
                  </w:r>
                </w:p>
              </w:tc>
              <w:tc>
                <w:tcPr>
                  <w:tcW w:w="2738" w:type="pct"/>
                  <w:noWrap w:val="0"/>
                  <w:vAlign w:val="center"/>
                </w:tcPr>
                <w:p w14:paraId="2AF53AFC">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w:t>
                  </w:r>
                </w:p>
              </w:tc>
              <w:tc>
                <w:tcPr>
                  <w:tcW w:w="1421" w:type="pct"/>
                  <w:noWrap w:val="0"/>
                  <w:vAlign w:val="center"/>
                </w:tcPr>
                <w:p w14:paraId="6CC15B3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eastAsia="zh-CN"/>
                    </w:rPr>
                  </w:pPr>
                  <w:r>
                    <w:rPr>
                      <w:rFonts w:ascii="Times New Roman" w:hAnsi="Times New Roman" w:eastAsia="宋体" w:cs="Times New Roman"/>
                      <w:color w:val="auto"/>
                      <w:kern w:val="2"/>
                      <w:sz w:val="21"/>
                      <w:szCs w:val="21"/>
                      <w:highlight w:val="none"/>
                      <w:lang w:eastAsia="zh-CN"/>
                    </w:rPr>
                    <w:t>本项目</w:t>
                  </w:r>
                  <w:r>
                    <w:rPr>
                      <w:rFonts w:hint="eastAsia" w:ascii="Times New Roman" w:hAnsi="Times New Roman" w:eastAsia="宋体" w:cs="Times New Roman"/>
                      <w:color w:val="auto"/>
                      <w:kern w:val="2"/>
                      <w:sz w:val="21"/>
                      <w:szCs w:val="21"/>
                      <w:highlight w:val="none"/>
                      <w:lang w:eastAsia="zh-CN"/>
                    </w:rPr>
                    <w:t>位于</w:t>
                  </w:r>
                  <w:r>
                    <w:rPr>
                      <w:rFonts w:hint="eastAsia" w:ascii="Times New Roman" w:hAnsi="Times New Roman" w:cs="Times New Roman"/>
                      <w:color w:val="auto"/>
                      <w:kern w:val="2"/>
                      <w:sz w:val="21"/>
                      <w:szCs w:val="21"/>
                      <w:highlight w:val="none"/>
                      <w:lang w:eastAsia="zh-CN"/>
                    </w:rPr>
                    <w:t>皖江江南新兴产业集中区</w:t>
                  </w:r>
                  <w:r>
                    <w:rPr>
                      <w:rFonts w:hint="eastAsia" w:ascii="Times New Roman" w:hAnsi="Times New Roman" w:eastAsia="宋体" w:cs="Times New Roman"/>
                      <w:color w:val="auto"/>
                      <w:kern w:val="2"/>
                      <w:sz w:val="21"/>
                      <w:szCs w:val="21"/>
                      <w:highlight w:val="none"/>
                      <w:lang w:eastAsia="zh-CN"/>
                    </w:rPr>
                    <w:t>规划范围内，不在饮用水水源一、二级保护区的岸线和河段范围内</w:t>
                  </w:r>
                </w:p>
              </w:tc>
              <w:tc>
                <w:tcPr>
                  <w:tcW w:w="488" w:type="pct"/>
                  <w:noWrap w:val="0"/>
                  <w:vAlign w:val="center"/>
                </w:tcPr>
                <w:p w14:paraId="76455632">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36BC6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2DCFF9D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4</w:t>
                  </w:r>
                </w:p>
              </w:tc>
              <w:tc>
                <w:tcPr>
                  <w:tcW w:w="2738" w:type="pct"/>
                  <w:noWrap w:val="0"/>
                  <w:vAlign w:val="center"/>
                </w:tcPr>
                <w:p w14:paraId="7AAB6F00">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禁止在水产种质资源保护区的岸线和河段范围内新建围湖造田、围海造地或围填海等投资建设项目。禁止在国家湿地公园的岸线和河段范围内挖沙、采矿，以及任何不符合主体功能定位的投资建设项目。</w:t>
                  </w:r>
                </w:p>
              </w:tc>
              <w:tc>
                <w:tcPr>
                  <w:tcW w:w="1421" w:type="pct"/>
                  <w:noWrap w:val="0"/>
                  <w:vAlign w:val="center"/>
                </w:tcPr>
                <w:p w14:paraId="731AC42B">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rPr>
                    <w:t>本项目不在水产种质资源保护区的岸线和河段范围内且不在国家湿地公园的岸线和河段范围内且不属于挖沙、采矿以及其他不符合主体功能定位的投资建设项目</w:t>
                  </w:r>
                </w:p>
              </w:tc>
              <w:tc>
                <w:tcPr>
                  <w:tcW w:w="488" w:type="pct"/>
                  <w:noWrap w:val="0"/>
                  <w:vAlign w:val="center"/>
                </w:tcPr>
                <w:p w14:paraId="43088FEF">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53D7D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40FA07A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auto"/>
                      <w:kern w:val="2"/>
                      <w:sz w:val="21"/>
                      <w:szCs w:val="21"/>
                      <w:highlight w:val="none"/>
                      <w:lang w:eastAsia="zh-CN"/>
                    </w:rPr>
                  </w:pPr>
                  <w:r>
                    <w:rPr>
                      <w:rFonts w:ascii="Times New Roman" w:hAnsi="Times New Roman"/>
                      <w:color w:val="auto"/>
                      <w:kern w:val="2"/>
                      <w:sz w:val="21"/>
                      <w:szCs w:val="21"/>
                      <w:highlight w:val="none"/>
                      <w:lang w:eastAsia="zh-CN"/>
                    </w:rPr>
                    <w:t>5</w:t>
                  </w:r>
                </w:p>
              </w:tc>
              <w:tc>
                <w:tcPr>
                  <w:tcW w:w="2738" w:type="pct"/>
                  <w:noWrap w:val="0"/>
                  <w:vAlign w:val="center"/>
                </w:tcPr>
                <w:p w14:paraId="28433F70">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tc>
              <w:tc>
                <w:tcPr>
                  <w:tcW w:w="1421" w:type="pct"/>
                  <w:noWrap w:val="0"/>
                  <w:vAlign w:val="center"/>
                </w:tcPr>
                <w:p w14:paraId="5845C055">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本项目不利用、占用长江流域河湖岸线，不在《长江岸线保护和开发利用总体规划》划定的岸线保护区和保留区内</w:t>
                  </w:r>
                </w:p>
              </w:tc>
              <w:tc>
                <w:tcPr>
                  <w:tcW w:w="488" w:type="pct"/>
                  <w:noWrap w:val="0"/>
                  <w:vAlign w:val="center"/>
                </w:tcPr>
                <w:p w14:paraId="50233B83">
                  <w:pPr>
                    <w:spacing w:line="240" w:lineRule="auto"/>
                    <w:ind w:firstLine="0" w:firstLineChars="0"/>
                    <w:jc w:val="center"/>
                    <w:rPr>
                      <w:color w:val="auto"/>
                      <w:sz w:val="21"/>
                      <w:szCs w:val="21"/>
                      <w:highlight w:val="none"/>
                      <w:lang w:eastAsia="zh-CN"/>
                    </w:rPr>
                  </w:pPr>
                  <w:r>
                    <w:rPr>
                      <w:rFonts w:ascii="Times New Roman" w:hAnsi="Times New Roman"/>
                      <w:color w:val="auto"/>
                      <w:kern w:val="2"/>
                      <w:sz w:val="21"/>
                      <w:szCs w:val="21"/>
                      <w:highlight w:val="none"/>
                    </w:rPr>
                    <w:t>符合</w:t>
                  </w:r>
                </w:p>
              </w:tc>
            </w:tr>
            <w:tr w14:paraId="3A2F2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4FE09F7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6</w:t>
                  </w:r>
                </w:p>
              </w:tc>
              <w:tc>
                <w:tcPr>
                  <w:tcW w:w="2738" w:type="pct"/>
                  <w:noWrap w:val="0"/>
                  <w:vAlign w:val="center"/>
                </w:tcPr>
                <w:p w14:paraId="3F6CE58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长江干支流、重要湖泊岸线一里范围内新建、扩建化工园区和化工项目。禁止在长江干流岸线三公里范围内和重要支流岸线一公里范围内新建、改建、扩建尾矿库、冶炼渣库和磷石膏库，以提升安全、生态环境保护水平为目的的改除外。</w:t>
                  </w:r>
                </w:p>
              </w:tc>
              <w:tc>
                <w:tcPr>
                  <w:tcW w:w="1421" w:type="pct"/>
                  <w:noWrap w:val="0"/>
                  <w:vAlign w:val="center"/>
                </w:tcPr>
                <w:p w14:paraId="0350437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本项目距离长江直线距离为</w:t>
                  </w:r>
                  <w:r>
                    <w:rPr>
                      <w:rFonts w:hint="eastAsia" w:ascii="Times New Roman" w:hAnsi="Times New Roman" w:cs="Times New Roman"/>
                      <w:color w:val="auto"/>
                      <w:kern w:val="2"/>
                      <w:sz w:val="21"/>
                      <w:szCs w:val="21"/>
                      <w:highlight w:val="none"/>
                      <w:lang w:val="en-US" w:eastAsia="zh-CN"/>
                    </w:rPr>
                    <w:t>1.045km</w:t>
                  </w:r>
                  <w:r>
                    <w:rPr>
                      <w:rFonts w:hint="eastAsia" w:ascii="Times New Roman" w:hAnsi="Times New Roman" w:eastAsia="宋体" w:cs="Times New Roman"/>
                      <w:color w:val="auto"/>
                      <w:kern w:val="2"/>
                      <w:sz w:val="21"/>
                      <w:szCs w:val="21"/>
                      <w:highlight w:val="none"/>
                      <w:lang w:eastAsia="zh-CN"/>
                    </w:rPr>
                    <w:t>，</w:t>
                  </w:r>
                  <w:r>
                    <w:rPr>
                      <w:rFonts w:hint="eastAsia" w:ascii="Times New Roman" w:hAnsi="Times New Roman" w:cs="Times New Roman"/>
                      <w:color w:val="auto"/>
                      <w:kern w:val="2"/>
                      <w:sz w:val="21"/>
                      <w:szCs w:val="21"/>
                      <w:highlight w:val="none"/>
                      <w:lang w:eastAsia="zh-CN"/>
                    </w:rPr>
                    <w:t>不属于</w:t>
                  </w:r>
                  <w:r>
                    <w:rPr>
                      <w:rFonts w:ascii="Times New Roman" w:hAnsi="Times New Roman" w:eastAsia="宋体" w:cs="Times New Roman"/>
                      <w:color w:val="auto"/>
                      <w:kern w:val="2"/>
                      <w:sz w:val="21"/>
                      <w:szCs w:val="21"/>
                      <w:highlight w:val="none"/>
                    </w:rPr>
                    <w:t>尾矿库、冶炼渣库和磷石膏库</w:t>
                  </w:r>
                  <w:r>
                    <w:rPr>
                      <w:rFonts w:hint="eastAsia" w:ascii="Times New Roman" w:hAnsi="Times New Roman" w:cs="Times New Roman"/>
                      <w:color w:val="auto"/>
                      <w:kern w:val="2"/>
                      <w:sz w:val="21"/>
                      <w:szCs w:val="21"/>
                      <w:highlight w:val="none"/>
                      <w:lang w:eastAsia="zh-CN"/>
                    </w:rPr>
                    <w:t>项目</w:t>
                  </w:r>
                </w:p>
              </w:tc>
              <w:tc>
                <w:tcPr>
                  <w:tcW w:w="488" w:type="pct"/>
                  <w:noWrap w:val="0"/>
                  <w:vAlign w:val="center"/>
                </w:tcPr>
                <w:p w14:paraId="69C5F053">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4D4E8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1989404B">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7</w:t>
                  </w:r>
                </w:p>
              </w:tc>
              <w:tc>
                <w:tcPr>
                  <w:tcW w:w="2738" w:type="pct"/>
                  <w:noWrap w:val="0"/>
                  <w:vAlign w:val="center"/>
                </w:tcPr>
                <w:p w14:paraId="7828A02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禁止在合规园区外新建、扩建钢铁、石化、化工、焦化、建材、有色、制浆造纸等高污染项目。</w:t>
                  </w:r>
                </w:p>
              </w:tc>
              <w:tc>
                <w:tcPr>
                  <w:tcW w:w="1421" w:type="pct"/>
                  <w:noWrap w:val="0"/>
                  <w:vAlign w:val="center"/>
                </w:tcPr>
                <w:p w14:paraId="12F3A0A0">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本项目属C3974显示器件制造及C2929塑料零件及其他塑料制品制造，不属于钢铁、石化、化工、焦化、建材、有色、制浆造纸等高污染项目</w:t>
                  </w:r>
                </w:p>
              </w:tc>
              <w:tc>
                <w:tcPr>
                  <w:tcW w:w="488" w:type="pct"/>
                  <w:noWrap w:val="0"/>
                  <w:vAlign w:val="center"/>
                </w:tcPr>
                <w:p w14:paraId="408766C2">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3C9C5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2126F89B">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8</w:t>
                  </w:r>
                </w:p>
              </w:tc>
              <w:tc>
                <w:tcPr>
                  <w:tcW w:w="2738" w:type="pct"/>
                  <w:noWrap w:val="0"/>
                  <w:vAlign w:val="center"/>
                </w:tcPr>
                <w:p w14:paraId="79C8B047">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禁止新建、扩建不符合国家石化、现代煤化工等产业布局规划的项目。</w:t>
                  </w:r>
                </w:p>
              </w:tc>
              <w:tc>
                <w:tcPr>
                  <w:tcW w:w="1421" w:type="pct"/>
                  <w:noWrap w:val="0"/>
                  <w:vAlign w:val="center"/>
                </w:tcPr>
                <w:p w14:paraId="71B4E521">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本项目不属于石化、现代煤化工项目</w:t>
                  </w:r>
                </w:p>
              </w:tc>
              <w:tc>
                <w:tcPr>
                  <w:tcW w:w="488" w:type="pct"/>
                  <w:noWrap w:val="0"/>
                  <w:vAlign w:val="center"/>
                </w:tcPr>
                <w:p w14:paraId="13797CD9">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r w14:paraId="51A3D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54EDC72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auto"/>
                      <w:kern w:val="2"/>
                      <w:sz w:val="21"/>
                      <w:szCs w:val="21"/>
                      <w:highlight w:val="none"/>
                      <w:lang w:val="en-US" w:eastAsia="zh-CN"/>
                    </w:rPr>
                  </w:pPr>
                  <w:r>
                    <w:rPr>
                      <w:rFonts w:hint="eastAsia" w:ascii="Times New Roman" w:hAnsi="Times New Roman"/>
                      <w:color w:val="auto"/>
                      <w:kern w:val="2"/>
                      <w:sz w:val="21"/>
                      <w:szCs w:val="21"/>
                      <w:highlight w:val="none"/>
                      <w:lang w:val="en-US" w:eastAsia="zh-CN"/>
                    </w:rPr>
                    <w:t>9</w:t>
                  </w:r>
                </w:p>
              </w:tc>
              <w:tc>
                <w:tcPr>
                  <w:tcW w:w="2738" w:type="pct"/>
                  <w:noWrap w:val="0"/>
                  <w:vAlign w:val="center"/>
                </w:tcPr>
                <w:p w14:paraId="21BE9B3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val="en-US" w:eastAsia="en-US"/>
                    </w:rPr>
                  </w:pPr>
                  <w:r>
                    <w:rPr>
                      <w:rFonts w:ascii="Times New Roman" w:hAnsi="Times New Roman" w:eastAsia="宋体" w:cs="Times New Roman"/>
                      <w:color w:val="auto"/>
                      <w:kern w:val="2"/>
                      <w:sz w:val="21"/>
                      <w:szCs w:val="21"/>
                      <w:highlight w:val="none"/>
                    </w:rPr>
                    <w:t>禁止新建、扩建法律法规和相关政策明令禁止的落后产能项目。禁止新建、扩建不符合国家产能置换要求的严重过剩产能行业的项目。禁止新建、扩建不符合要求的高耗能高排放项目。</w:t>
                  </w:r>
                </w:p>
              </w:tc>
              <w:tc>
                <w:tcPr>
                  <w:tcW w:w="1421" w:type="pct"/>
                  <w:noWrap w:val="0"/>
                  <w:vAlign w:val="center"/>
                </w:tcPr>
                <w:p w14:paraId="6211915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本项目不属于落后产能项目、过剩产能行业的项目、高耗能高排放项目</w:t>
                  </w:r>
                </w:p>
              </w:tc>
              <w:tc>
                <w:tcPr>
                  <w:tcW w:w="488" w:type="pct"/>
                  <w:noWrap w:val="0"/>
                  <w:vAlign w:val="center"/>
                </w:tcPr>
                <w:p w14:paraId="0D39980A">
                  <w:pPr>
                    <w:spacing w:line="240" w:lineRule="auto"/>
                    <w:ind w:firstLine="0" w:firstLineChars="0"/>
                    <w:jc w:val="center"/>
                    <w:rPr>
                      <w:rFonts w:ascii="Times New Roman" w:hAnsi="Times New Roman"/>
                      <w:color w:val="auto"/>
                      <w:kern w:val="2"/>
                      <w:sz w:val="21"/>
                      <w:szCs w:val="21"/>
                      <w:highlight w:val="none"/>
                    </w:rPr>
                  </w:pPr>
                  <w:r>
                    <w:rPr>
                      <w:rFonts w:ascii="Times New Roman" w:hAnsi="Times New Roman"/>
                      <w:color w:val="auto"/>
                      <w:kern w:val="2"/>
                      <w:sz w:val="21"/>
                      <w:szCs w:val="21"/>
                      <w:highlight w:val="none"/>
                    </w:rPr>
                    <w:t>符合</w:t>
                  </w:r>
                </w:p>
              </w:tc>
            </w:tr>
          </w:tbl>
          <w:p w14:paraId="2565F780">
            <w:pPr>
              <w:numPr>
                <w:ilvl w:val="0"/>
                <w:numId w:val="6"/>
              </w:numPr>
              <w:spacing w:line="360" w:lineRule="auto"/>
              <w:ind w:firstLine="482" w:firstLineChars="200"/>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与《安徽省挥发性有机物污染整治工作方案》相符性分析</w:t>
            </w:r>
          </w:p>
          <w:p w14:paraId="0A8F338C">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 xml:space="preserve">表1-8  </w:t>
            </w:r>
            <w:r>
              <w:rPr>
                <w:rFonts w:hint="default" w:ascii="Times New Roman" w:hAnsi="Times New Roman" w:cs="Times New Roman"/>
                <w:b/>
                <w:bCs/>
                <w:color w:val="auto"/>
                <w:sz w:val="21"/>
                <w:szCs w:val="21"/>
                <w:highlight w:val="none"/>
                <w:lang w:val="en-US" w:eastAsia="zh-CN"/>
              </w:rPr>
              <w:t>与《安徽省挥发性有机物污染整治工作方案》相符性分析</w:t>
            </w:r>
          </w:p>
          <w:tbl>
            <w:tblPr>
              <w:tblStyle w:val="26"/>
              <w:tblW w:w="77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3161"/>
              <w:gridCol w:w="2642"/>
              <w:gridCol w:w="1273"/>
            </w:tblGrid>
            <w:tr w14:paraId="4DC22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639" w:type="dxa"/>
                  <w:vAlign w:val="center"/>
                </w:tcPr>
                <w:p w14:paraId="6CC0679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b/>
                      <w:bCs/>
                      <w:color w:val="auto"/>
                      <w:kern w:val="2"/>
                      <w:sz w:val="21"/>
                      <w:szCs w:val="21"/>
                      <w:highlight w:val="none"/>
                      <w:lang w:eastAsia="zh-CN"/>
                    </w:rPr>
                    <w:t>序号</w:t>
                  </w:r>
                </w:p>
              </w:tc>
              <w:tc>
                <w:tcPr>
                  <w:tcW w:w="3161" w:type="dxa"/>
                  <w:vAlign w:val="center"/>
                </w:tcPr>
                <w:p w14:paraId="0C7D242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cs="Times New Roman"/>
                      <w:b/>
                      <w:bCs/>
                      <w:color w:val="auto"/>
                      <w:kern w:val="2"/>
                      <w:sz w:val="21"/>
                      <w:szCs w:val="21"/>
                      <w:highlight w:val="none"/>
                      <w:lang w:eastAsia="zh-CN"/>
                    </w:rPr>
                    <w:t>方案要求</w:t>
                  </w:r>
                </w:p>
              </w:tc>
              <w:tc>
                <w:tcPr>
                  <w:tcW w:w="2642" w:type="dxa"/>
                  <w:vAlign w:val="center"/>
                </w:tcPr>
                <w:p w14:paraId="3AF97F7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rPr>
                    <w:t>本项目情况</w:t>
                  </w:r>
                </w:p>
              </w:tc>
              <w:tc>
                <w:tcPr>
                  <w:tcW w:w="1273" w:type="dxa"/>
                  <w:vAlign w:val="center"/>
                </w:tcPr>
                <w:p w14:paraId="7CFF35DC">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rPr>
                    <w:t>相符性</w:t>
                  </w:r>
                </w:p>
              </w:tc>
            </w:tr>
            <w:tr w14:paraId="3903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4" w:hRule="atLeast"/>
              </w:trPr>
              <w:tc>
                <w:tcPr>
                  <w:tcW w:w="639" w:type="dxa"/>
                  <w:vAlign w:val="center"/>
                </w:tcPr>
                <w:p w14:paraId="536053ED">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1</w:t>
                  </w:r>
                </w:p>
              </w:tc>
              <w:tc>
                <w:tcPr>
                  <w:tcW w:w="3161" w:type="dxa"/>
                  <w:vAlign w:val="center"/>
                </w:tcPr>
                <w:p w14:paraId="13BEFAC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严格各类产业园区设立和布局，各类产业园区必须履行规划环评，通过规划环评和项目环评联动，促进产业布局调整优化。将控制挥发性有机物排放列入建设项目环境影响评价重要内容，严格环境准入，严控“两高”行业新增产能。</w:t>
                  </w:r>
                </w:p>
              </w:tc>
              <w:tc>
                <w:tcPr>
                  <w:tcW w:w="2642" w:type="dxa"/>
                  <w:vAlign w:val="center"/>
                </w:tcPr>
                <w:p w14:paraId="4E9DDA8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皖江江南新兴产业集中区已履行规划环评手续。本项目已委托开展环境影响评价工作，本次评价将VOCs纳入环境影响评价内。</w:t>
                  </w:r>
                </w:p>
              </w:tc>
              <w:tc>
                <w:tcPr>
                  <w:tcW w:w="1273" w:type="dxa"/>
                  <w:vAlign w:val="center"/>
                </w:tcPr>
                <w:p w14:paraId="150F8DF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rPr>
                    <w:t>符合</w:t>
                  </w:r>
                </w:p>
              </w:tc>
            </w:tr>
            <w:tr w14:paraId="2F5DB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atLeast"/>
              </w:trPr>
              <w:tc>
                <w:tcPr>
                  <w:tcW w:w="639" w:type="dxa"/>
                  <w:vAlign w:val="center"/>
                </w:tcPr>
                <w:p w14:paraId="3BCDF160">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2</w:t>
                  </w:r>
                </w:p>
              </w:tc>
              <w:tc>
                <w:tcPr>
                  <w:tcW w:w="3161" w:type="dxa"/>
                  <w:vAlign w:val="center"/>
                </w:tcPr>
                <w:p w14:paraId="17929B2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新建、迁建VOCs排放量大的企业应入工业园区并符合规划要求，必须建设挥发性有机物污染治理设施，安装废气收集、回收或净化装置，原则上总净化效率不得低于90%。建立VOCs排放总量控制制度。</w:t>
                  </w:r>
                </w:p>
              </w:tc>
              <w:tc>
                <w:tcPr>
                  <w:tcW w:w="2642" w:type="dxa"/>
                  <w:vAlign w:val="center"/>
                </w:tcPr>
                <w:p w14:paraId="6204269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项目不属于重点企业。项目加强废气收集，</w:t>
                  </w:r>
                  <w:r>
                    <w:rPr>
                      <w:rFonts w:hint="default" w:ascii="Times New Roman" w:hAnsi="Times New Roman" w:cs="Times New Roman"/>
                      <w:color w:val="auto"/>
                      <w:kern w:val="2"/>
                      <w:sz w:val="21"/>
                      <w:szCs w:val="21"/>
                      <w:highlight w:val="none"/>
                      <w:lang w:val="en-US" w:eastAsia="zh-CN"/>
                    </w:rPr>
                    <w:t>产生的</w:t>
                  </w:r>
                  <w:r>
                    <w:rPr>
                      <w:rFonts w:hint="default" w:ascii="Times New Roman" w:hAnsi="Times New Roman" w:eastAsia="宋体" w:cs="Times New Roman"/>
                      <w:color w:val="auto"/>
                      <w:kern w:val="2"/>
                      <w:sz w:val="21"/>
                      <w:szCs w:val="21"/>
                      <w:highlight w:val="none"/>
                      <w:lang w:val="en-US" w:eastAsia="zh-CN"/>
                    </w:rPr>
                    <w:t>废气通过前端</w:t>
                  </w:r>
                  <w:r>
                    <w:rPr>
                      <w:rFonts w:hint="default" w:ascii="Times New Roman" w:hAnsi="Times New Roman" w:cs="Times New Roman"/>
                      <w:color w:val="auto"/>
                      <w:sz w:val="21"/>
                      <w:szCs w:val="21"/>
                      <w:highlight w:val="none"/>
                      <w:lang w:val="en-US" w:eastAsia="zh-CN"/>
                    </w:rPr>
                    <w:t>集气罩/</w:t>
                  </w:r>
                  <w:r>
                    <w:rPr>
                      <w:rFonts w:hint="eastAsia" w:ascii="Times New Roman" w:hAnsi="Times New Roman" w:cs="Times New Roman"/>
                      <w:color w:val="auto"/>
                      <w:sz w:val="21"/>
                      <w:szCs w:val="21"/>
                      <w:highlight w:val="none"/>
                      <w:lang w:val="en-US" w:eastAsia="zh-CN"/>
                    </w:rPr>
                    <w:t>管道</w:t>
                  </w:r>
                  <w:r>
                    <w:rPr>
                      <w:rFonts w:hint="default" w:ascii="Times New Roman" w:hAnsi="Times New Roman" w:cs="Times New Roman"/>
                      <w:color w:val="auto"/>
                      <w:sz w:val="21"/>
                      <w:szCs w:val="21"/>
                      <w:highlight w:val="none"/>
                      <w:lang w:val="en-US" w:eastAsia="zh-CN"/>
                    </w:rPr>
                    <w:t>收集</w:t>
                  </w:r>
                  <w:r>
                    <w:rPr>
                      <w:rFonts w:hint="default" w:ascii="Times New Roman" w:hAnsi="Times New Roman" w:eastAsia="宋体" w:cs="Times New Roman"/>
                      <w:color w:val="auto"/>
                      <w:kern w:val="2"/>
                      <w:sz w:val="21"/>
                      <w:szCs w:val="21"/>
                      <w:highlight w:val="none"/>
                      <w:lang w:val="en-US" w:eastAsia="zh-CN"/>
                    </w:rPr>
                    <w:t>后，引入</w:t>
                  </w:r>
                  <w:r>
                    <w:rPr>
                      <w:rFonts w:hint="default" w:ascii="Times New Roman" w:hAnsi="Times New Roman" w:cs="Times New Roman"/>
                      <w:color w:val="auto"/>
                      <w:kern w:val="2"/>
                      <w:sz w:val="21"/>
                      <w:szCs w:val="21"/>
                      <w:highlight w:val="none"/>
                      <w:lang w:val="en-US" w:eastAsia="zh-CN"/>
                    </w:rPr>
                    <w:t>干式过滤器+</w:t>
                  </w:r>
                  <w:r>
                    <w:rPr>
                      <w:rFonts w:hint="default" w:ascii="Times New Roman" w:hAnsi="Times New Roman" w:eastAsia="宋体" w:cs="Times New Roman"/>
                      <w:color w:val="auto"/>
                      <w:kern w:val="2"/>
                      <w:sz w:val="21"/>
                      <w:szCs w:val="21"/>
                      <w:highlight w:val="none"/>
                      <w:lang w:val="en-US" w:eastAsia="zh-CN"/>
                    </w:rPr>
                    <w:t>二级活性炭吸附装置处理，最后经</w:t>
                  </w:r>
                  <w:r>
                    <w:rPr>
                      <w:rFonts w:hint="default" w:ascii="Times New Roman" w:hAnsi="Times New Roman" w:cs="Times New Roman"/>
                      <w:color w:val="auto"/>
                      <w:sz w:val="21"/>
                      <w:szCs w:val="21"/>
                      <w:highlight w:val="none"/>
                      <w:lang w:val="en-US" w:eastAsia="zh-CN"/>
                    </w:rPr>
                    <w:t>楼顶</w:t>
                  </w:r>
                  <w:r>
                    <w:rPr>
                      <w:rFonts w:hint="eastAsia" w:ascii="Times New Roman" w:hAnsi="Times New Roman" w:cs="Times New Roman"/>
                      <w:color w:val="auto"/>
                      <w:sz w:val="21"/>
                      <w:szCs w:val="21"/>
                      <w:highlight w:val="none"/>
                      <w:lang w:val="en-US" w:eastAsia="zh-CN"/>
                    </w:rPr>
                    <w:t>23m高</w:t>
                  </w:r>
                  <w:r>
                    <w:rPr>
                      <w:rFonts w:hint="default" w:ascii="Times New Roman" w:hAnsi="Times New Roman" w:cs="Times New Roman"/>
                      <w:color w:val="auto"/>
                      <w:sz w:val="21"/>
                      <w:szCs w:val="21"/>
                      <w:highlight w:val="none"/>
                      <w:lang w:val="en-US" w:eastAsia="zh-CN"/>
                    </w:rPr>
                    <w:t>排气筒</w:t>
                  </w:r>
                  <w:r>
                    <w:rPr>
                      <w:rFonts w:hint="default" w:ascii="Times New Roman" w:hAnsi="Times New Roman" w:eastAsia="宋体" w:cs="Times New Roman"/>
                      <w:color w:val="auto"/>
                      <w:kern w:val="2"/>
                      <w:sz w:val="21"/>
                      <w:szCs w:val="21"/>
                      <w:highlight w:val="none"/>
                      <w:lang w:val="en-US" w:eastAsia="zh-CN"/>
                    </w:rPr>
                    <w:t>排放</w:t>
                  </w:r>
                </w:p>
              </w:tc>
              <w:tc>
                <w:tcPr>
                  <w:tcW w:w="1273" w:type="dxa"/>
                  <w:vAlign w:val="center"/>
                </w:tcPr>
                <w:p w14:paraId="309730D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rPr>
                    <w:t>符合</w:t>
                  </w:r>
                </w:p>
              </w:tc>
            </w:tr>
          </w:tbl>
          <w:p w14:paraId="2EA37CA3">
            <w:pPr>
              <w:widowControl/>
              <w:spacing w:line="360" w:lineRule="auto"/>
              <w:ind w:firstLine="482" w:firstLineChars="200"/>
              <w:jc w:val="left"/>
              <w:rPr>
                <w:rFonts w:hint="default" w:ascii="Times New Roman" w:hAnsi="Times New Roman" w:eastAsia="宋体" w:cs="Times New Roman"/>
                <w:b/>
                <w:bCs/>
                <w:color w:val="auto"/>
                <w:kern w:val="0"/>
                <w:sz w:val="24"/>
                <w:szCs w:val="24"/>
                <w:highlight w:val="none"/>
                <w:lang w:val="en-US" w:eastAsia="zh-CN" w:bidi="ar"/>
              </w:rPr>
            </w:pPr>
            <w:r>
              <w:rPr>
                <w:rFonts w:hint="eastAsia" w:cs="Times New Roman"/>
                <w:b/>
                <w:bCs/>
                <w:color w:val="auto"/>
                <w:kern w:val="0"/>
                <w:sz w:val="24"/>
                <w:szCs w:val="24"/>
                <w:highlight w:val="none"/>
                <w:lang w:val="en-US" w:eastAsia="zh-CN" w:bidi="ar"/>
              </w:rPr>
              <w:t>9、与《挥发性有机物无组织排放控制标准》(GB 37822—2019)相符性分析</w:t>
            </w:r>
          </w:p>
          <w:p w14:paraId="06C03866">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default" w:ascii="Times New Roman" w:hAnsi="Times New Roman" w:cs="Times New Roman"/>
                <w:b/>
                <w:bCs/>
                <w:color w:val="auto"/>
                <w:kern w:val="0"/>
                <w:sz w:val="21"/>
                <w:szCs w:val="21"/>
                <w:highlight w:val="none"/>
                <w:lang w:val="en-US" w:eastAsia="zh-CN" w:bidi="ar"/>
              </w:rPr>
              <w:t>表1-9</w:t>
            </w:r>
            <w:r>
              <w:rPr>
                <w:rFonts w:hint="eastAsia" w:ascii="Times New Roman" w:hAnsi="Times New Roman" w:cs="Times New Roman"/>
                <w:b/>
                <w:bCs/>
                <w:color w:val="auto"/>
                <w:kern w:val="0"/>
                <w:sz w:val="21"/>
                <w:szCs w:val="21"/>
                <w:highlight w:val="none"/>
                <w:lang w:val="en-US" w:eastAsia="zh-CN" w:bidi="ar"/>
              </w:rPr>
              <w:t xml:space="preserve">  </w:t>
            </w:r>
            <w:r>
              <w:rPr>
                <w:rFonts w:hint="default" w:ascii="Times New Roman" w:hAnsi="Times New Roman" w:cs="Times New Roman"/>
                <w:b/>
                <w:bCs/>
                <w:color w:val="auto"/>
                <w:kern w:val="0"/>
                <w:sz w:val="21"/>
                <w:szCs w:val="21"/>
                <w:highlight w:val="none"/>
                <w:lang w:val="en-US" w:eastAsia="zh-CN" w:bidi="ar"/>
              </w:rPr>
              <w:t>与《挥发性有机物无组织排放控制标准》相符性分析</w:t>
            </w:r>
          </w:p>
          <w:tbl>
            <w:tblPr>
              <w:tblStyle w:val="26"/>
              <w:tblW w:w="77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115"/>
              <w:gridCol w:w="2915"/>
              <w:gridCol w:w="999"/>
            </w:tblGrid>
            <w:tr w14:paraId="3FD99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Align w:val="center"/>
                </w:tcPr>
                <w:p w14:paraId="409737D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b/>
                      <w:bCs/>
                      <w:color w:val="auto"/>
                      <w:kern w:val="2"/>
                      <w:sz w:val="21"/>
                      <w:szCs w:val="21"/>
                      <w:highlight w:val="none"/>
                      <w:lang w:eastAsia="zh-CN"/>
                    </w:rPr>
                    <w:t>序号</w:t>
                  </w:r>
                </w:p>
              </w:tc>
              <w:tc>
                <w:tcPr>
                  <w:tcW w:w="3115" w:type="dxa"/>
                  <w:vAlign w:val="center"/>
                </w:tcPr>
                <w:p w14:paraId="56037E67">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cs="Times New Roman"/>
                      <w:b/>
                      <w:bCs/>
                      <w:color w:val="auto"/>
                      <w:kern w:val="2"/>
                      <w:sz w:val="21"/>
                      <w:szCs w:val="21"/>
                      <w:highlight w:val="none"/>
                      <w:lang w:eastAsia="zh-CN"/>
                    </w:rPr>
                    <w:t>标准要求</w:t>
                  </w:r>
                </w:p>
              </w:tc>
              <w:tc>
                <w:tcPr>
                  <w:tcW w:w="2915" w:type="dxa"/>
                  <w:vAlign w:val="center"/>
                </w:tcPr>
                <w:p w14:paraId="512352D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rPr>
                    <w:t>本项目情况</w:t>
                  </w:r>
                </w:p>
              </w:tc>
              <w:tc>
                <w:tcPr>
                  <w:tcW w:w="999" w:type="dxa"/>
                  <w:vAlign w:val="center"/>
                </w:tcPr>
                <w:p w14:paraId="25BD94F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rPr>
                    <w:t>相符性</w:t>
                  </w:r>
                </w:p>
              </w:tc>
            </w:tr>
            <w:tr w14:paraId="5D945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Align w:val="center"/>
                </w:tcPr>
                <w:p w14:paraId="5236F8F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1</w:t>
                  </w:r>
                </w:p>
              </w:tc>
              <w:tc>
                <w:tcPr>
                  <w:tcW w:w="3115" w:type="dxa"/>
                  <w:vAlign w:val="center"/>
                </w:tcPr>
                <w:p w14:paraId="195F43F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p>
              </w:tc>
              <w:tc>
                <w:tcPr>
                  <w:tcW w:w="2915" w:type="dxa"/>
                  <w:vAlign w:val="center"/>
                </w:tcPr>
                <w:p w14:paraId="7EE610D0">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p>
              </w:tc>
              <w:tc>
                <w:tcPr>
                  <w:tcW w:w="999" w:type="dxa"/>
                  <w:vAlign w:val="center"/>
                </w:tcPr>
                <w:p w14:paraId="6FE4A385">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rPr>
                    <w:t>符合</w:t>
                  </w:r>
                </w:p>
              </w:tc>
            </w:tr>
            <w:tr w14:paraId="4DE9A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Align w:val="center"/>
                </w:tcPr>
                <w:p w14:paraId="6D3E009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2</w:t>
                  </w:r>
                </w:p>
              </w:tc>
              <w:tc>
                <w:tcPr>
                  <w:tcW w:w="3115" w:type="dxa"/>
                  <w:shd w:val="clear" w:color="auto" w:fill="auto"/>
                  <w:vAlign w:val="center"/>
                </w:tcPr>
                <w:p w14:paraId="2C3670C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rPr>
                    <w:t>VOCs物料应储存于密闭的容器、包装袋、储罐、储库、料仓中；盛装VOCs物料的容器或包装袋应存放于室内，或存放于设置有雨棚、遮阳和防渗设施的专用场地。非取用状态时应加盖、封口，保持密闭。</w:t>
                  </w:r>
                </w:p>
              </w:tc>
              <w:tc>
                <w:tcPr>
                  <w:tcW w:w="2915" w:type="dxa"/>
                  <w:shd w:val="clear" w:color="auto" w:fill="auto"/>
                  <w:vAlign w:val="center"/>
                </w:tcPr>
                <w:p w14:paraId="21414E71">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rPr>
                    <w:t>本项目挥发性有机物原料贮存于密闭容器里，室内贮存</w:t>
                  </w:r>
                </w:p>
              </w:tc>
              <w:tc>
                <w:tcPr>
                  <w:tcW w:w="999" w:type="dxa"/>
                  <w:vAlign w:val="center"/>
                </w:tcPr>
                <w:p w14:paraId="325B4C0B">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rPr>
                    <w:t>符合</w:t>
                  </w:r>
                </w:p>
              </w:tc>
            </w:tr>
            <w:tr w14:paraId="2B7BD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Align w:val="center"/>
                </w:tcPr>
                <w:p w14:paraId="02090E76">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3</w:t>
                  </w:r>
                </w:p>
              </w:tc>
              <w:tc>
                <w:tcPr>
                  <w:tcW w:w="3115" w:type="dxa"/>
                  <w:vAlign w:val="center"/>
                </w:tcPr>
                <w:p w14:paraId="29A8193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液态VOCs物料应采用密闭管道输送或高位槽(罐)、桶泵等给料方式密闭投加，无法密闭的应在密闭室内操作，或进行局部气体收集，废气应排至VOCs废气收集处理系统。</w:t>
                  </w:r>
                </w:p>
              </w:tc>
              <w:tc>
                <w:tcPr>
                  <w:tcW w:w="2915" w:type="dxa"/>
                  <w:vAlign w:val="center"/>
                </w:tcPr>
                <w:p w14:paraId="56715A67">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项目液态挥发性有机物（酒精）使用位于密闭生产车间，产生的</w:t>
                  </w:r>
                  <w:r>
                    <w:rPr>
                      <w:rFonts w:hint="default" w:ascii="Times New Roman" w:hAnsi="Times New Roman" w:eastAsia="宋体" w:cs="Times New Roman"/>
                      <w:color w:val="auto"/>
                      <w:kern w:val="2"/>
                      <w:sz w:val="21"/>
                      <w:szCs w:val="21"/>
                      <w:highlight w:val="none"/>
                      <w:lang w:val="en-US" w:eastAsia="zh-CN"/>
                    </w:rPr>
                    <w:t>废气通过前端</w:t>
                  </w:r>
                  <w:r>
                    <w:rPr>
                      <w:rFonts w:hint="default" w:ascii="Times New Roman" w:hAnsi="Times New Roman" w:cs="Times New Roman"/>
                      <w:color w:val="auto"/>
                      <w:sz w:val="21"/>
                      <w:szCs w:val="21"/>
                      <w:highlight w:val="none"/>
                      <w:lang w:val="en-US" w:eastAsia="zh-CN"/>
                    </w:rPr>
                    <w:t>集气罩/负</w:t>
                  </w:r>
                  <w:r>
                    <w:rPr>
                      <w:rFonts w:hint="eastAsia" w:ascii="Times New Roman" w:hAnsi="Times New Roman" w:cs="Times New Roman"/>
                      <w:color w:val="auto"/>
                      <w:sz w:val="21"/>
                      <w:szCs w:val="21"/>
                      <w:highlight w:val="none"/>
                      <w:lang w:val="en-US" w:eastAsia="zh-CN"/>
                    </w:rPr>
                    <w:t>管道</w:t>
                  </w:r>
                  <w:r>
                    <w:rPr>
                      <w:rFonts w:hint="default" w:ascii="Times New Roman" w:hAnsi="Times New Roman" w:cs="Times New Roman"/>
                      <w:color w:val="auto"/>
                      <w:sz w:val="21"/>
                      <w:szCs w:val="21"/>
                      <w:highlight w:val="none"/>
                      <w:lang w:val="en-US" w:eastAsia="zh-CN"/>
                    </w:rPr>
                    <w:t>收集</w:t>
                  </w:r>
                  <w:r>
                    <w:rPr>
                      <w:rFonts w:hint="default" w:ascii="Times New Roman" w:hAnsi="Times New Roman" w:eastAsia="宋体" w:cs="Times New Roman"/>
                      <w:color w:val="auto"/>
                      <w:kern w:val="2"/>
                      <w:sz w:val="21"/>
                      <w:szCs w:val="21"/>
                      <w:highlight w:val="none"/>
                      <w:lang w:val="en-US" w:eastAsia="zh-CN"/>
                    </w:rPr>
                    <w:t>后，引入</w:t>
                  </w:r>
                  <w:r>
                    <w:rPr>
                      <w:rFonts w:hint="default" w:ascii="Times New Roman" w:hAnsi="Times New Roman" w:cs="Times New Roman"/>
                      <w:color w:val="auto"/>
                      <w:kern w:val="2"/>
                      <w:sz w:val="21"/>
                      <w:szCs w:val="21"/>
                      <w:highlight w:val="none"/>
                      <w:lang w:val="en-US" w:eastAsia="zh-CN"/>
                    </w:rPr>
                    <w:t>干式过滤器+</w:t>
                  </w:r>
                  <w:r>
                    <w:rPr>
                      <w:rFonts w:hint="default" w:ascii="Times New Roman" w:hAnsi="Times New Roman" w:eastAsia="宋体" w:cs="Times New Roman"/>
                      <w:color w:val="auto"/>
                      <w:kern w:val="2"/>
                      <w:sz w:val="21"/>
                      <w:szCs w:val="21"/>
                      <w:highlight w:val="none"/>
                      <w:lang w:val="en-US" w:eastAsia="zh-CN"/>
                    </w:rPr>
                    <w:t>二级活性炭吸附装置处理，最后经</w:t>
                  </w:r>
                  <w:r>
                    <w:rPr>
                      <w:rFonts w:hint="eastAsia" w:ascii="Times New Roman" w:hAnsi="Times New Roman" w:cs="Times New Roman"/>
                      <w:color w:val="auto"/>
                      <w:kern w:val="2"/>
                      <w:sz w:val="21"/>
                      <w:szCs w:val="21"/>
                      <w:highlight w:val="none"/>
                      <w:lang w:val="en-US" w:eastAsia="zh-CN"/>
                    </w:rPr>
                    <w:t>一根23m高</w:t>
                  </w:r>
                  <w:r>
                    <w:rPr>
                      <w:rFonts w:hint="default" w:ascii="Times New Roman" w:hAnsi="Times New Roman" w:cs="Times New Roman"/>
                      <w:color w:val="auto"/>
                      <w:sz w:val="21"/>
                      <w:szCs w:val="21"/>
                      <w:highlight w:val="none"/>
                      <w:lang w:val="en-US" w:eastAsia="zh-CN"/>
                    </w:rPr>
                    <w:t>排气筒</w:t>
                  </w:r>
                  <w:r>
                    <w:rPr>
                      <w:rFonts w:hint="default" w:ascii="Times New Roman" w:hAnsi="Times New Roman" w:eastAsia="宋体" w:cs="Times New Roman"/>
                      <w:color w:val="auto"/>
                      <w:kern w:val="2"/>
                      <w:sz w:val="21"/>
                      <w:szCs w:val="21"/>
                      <w:highlight w:val="none"/>
                      <w:lang w:val="en-US" w:eastAsia="zh-CN"/>
                    </w:rPr>
                    <w:t>排放</w:t>
                  </w:r>
                </w:p>
              </w:tc>
              <w:tc>
                <w:tcPr>
                  <w:tcW w:w="999" w:type="dxa"/>
                  <w:vAlign w:val="center"/>
                </w:tcPr>
                <w:p w14:paraId="2D3217A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rPr>
                    <w:t>符合</w:t>
                  </w:r>
                </w:p>
              </w:tc>
            </w:tr>
          </w:tbl>
          <w:p w14:paraId="1F23151D">
            <w:pPr>
              <w:autoSpaceDE w:val="0"/>
              <w:autoSpaceDN w:val="0"/>
              <w:adjustRightInd w:val="0"/>
              <w:snapToGrid w:val="0"/>
              <w:spacing w:line="360" w:lineRule="auto"/>
              <w:ind w:firstLine="482" w:firstLineChars="200"/>
              <w:jc w:val="left"/>
              <w:rPr>
                <w:rFonts w:hint="eastAsia"/>
                <w:b/>
                <w:bCs/>
                <w:color w:val="auto"/>
                <w:kern w:val="0"/>
                <w:sz w:val="24"/>
                <w:szCs w:val="24"/>
                <w:highlight w:val="none"/>
              </w:rPr>
            </w:pPr>
            <w:r>
              <w:rPr>
                <w:rFonts w:hint="eastAsia"/>
                <w:b/>
                <w:bCs/>
                <w:color w:val="auto"/>
                <w:kern w:val="0"/>
                <w:sz w:val="24"/>
                <w:szCs w:val="24"/>
                <w:highlight w:val="none"/>
                <w:lang w:val="en-US" w:eastAsia="zh-CN"/>
              </w:rPr>
              <w:t>10、</w:t>
            </w:r>
            <w:r>
              <w:rPr>
                <w:rFonts w:hint="eastAsia"/>
                <w:b/>
                <w:bCs/>
                <w:color w:val="auto"/>
                <w:kern w:val="0"/>
                <w:sz w:val="24"/>
                <w:szCs w:val="24"/>
                <w:highlight w:val="none"/>
              </w:rPr>
              <w:t>与关于印发《安徽省低挥发性有机物含量原辅材料替代工作方案》的通知</w:t>
            </w:r>
            <w:r>
              <w:rPr>
                <w:rFonts w:hint="eastAsia"/>
                <w:b/>
                <w:bCs/>
                <w:color w:val="auto"/>
                <w:kern w:val="0"/>
                <w:sz w:val="24"/>
                <w:szCs w:val="24"/>
                <w:highlight w:val="none"/>
                <w:lang w:eastAsia="zh-CN"/>
              </w:rPr>
              <w:t>（皖环发〔2024〕1号）</w:t>
            </w:r>
            <w:r>
              <w:rPr>
                <w:rFonts w:hint="eastAsia"/>
                <w:b/>
                <w:bCs/>
                <w:color w:val="auto"/>
                <w:sz w:val="24"/>
                <w:szCs w:val="24"/>
                <w:highlight w:val="none"/>
              </w:rPr>
              <w:t>相符性分析</w:t>
            </w:r>
          </w:p>
          <w:p w14:paraId="7CB1AB62">
            <w:pPr>
              <w:autoSpaceDE w:val="0"/>
              <w:autoSpaceDN w:val="0"/>
              <w:adjustRightInd w:val="0"/>
              <w:snapToGrid w:val="0"/>
              <w:spacing w:line="240" w:lineRule="auto"/>
              <w:ind w:firstLine="422" w:firstLineChars="200"/>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表1-</w:t>
            </w:r>
            <w:r>
              <w:rPr>
                <w:rFonts w:hint="eastAsia" w:cs="Times New Roman"/>
                <w:b/>
                <w:color w:val="auto"/>
                <w:highlight w:val="none"/>
                <w:lang w:val="en-US" w:eastAsia="zh-CN"/>
              </w:rPr>
              <w:t xml:space="preserve">10  </w:t>
            </w:r>
            <w:r>
              <w:rPr>
                <w:rFonts w:hint="default" w:ascii="Times New Roman" w:hAnsi="Times New Roman" w:cs="Times New Roman"/>
                <w:b/>
                <w:color w:val="auto"/>
                <w:highlight w:val="none"/>
              </w:rPr>
              <w:t>本项目与《安徽省低挥发性有机物含量原辅材料替代工作方案》的通知</w:t>
            </w:r>
            <w:r>
              <w:rPr>
                <w:rFonts w:hint="default" w:ascii="Times New Roman" w:hAnsi="Times New Roman" w:cs="Times New Roman"/>
                <w:b/>
                <w:color w:val="auto"/>
                <w:highlight w:val="none"/>
                <w:lang w:eastAsia="zh-CN"/>
              </w:rPr>
              <w:t>（皖环发〔2024〕1号）</w:t>
            </w:r>
            <w:r>
              <w:rPr>
                <w:rFonts w:hint="default" w:ascii="Times New Roman" w:hAnsi="Times New Roman" w:cs="Times New Roman"/>
                <w:b/>
                <w:color w:val="auto"/>
                <w:highlight w:val="none"/>
              </w:rPr>
              <w:t>相符性分析</w:t>
            </w:r>
          </w:p>
          <w:tbl>
            <w:tblPr>
              <w:tblStyle w:val="25"/>
              <w:tblW w:w="499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8"/>
              <w:gridCol w:w="3243"/>
              <w:gridCol w:w="678"/>
            </w:tblGrid>
            <w:tr w14:paraId="278C5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2413" w:type="pct"/>
                  <w:noWrap w:val="0"/>
                  <w:vAlign w:val="center"/>
                </w:tcPr>
                <w:p w14:paraId="71A739DE">
                  <w:pPr>
                    <w:snapToGrid w:val="0"/>
                    <w:jc w:val="center"/>
                    <w:rPr>
                      <w:rFonts w:ascii="Times New Roman" w:hAnsi="Times New Roman" w:eastAsia="宋体" w:cs="Times New Roman"/>
                      <w:color w:val="auto"/>
                      <w:szCs w:val="18"/>
                      <w:highlight w:val="none"/>
                    </w:rPr>
                  </w:pPr>
                  <w:r>
                    <w:rPr>
                      <w:rFonts w:hint="eastAsia" w:ascii="Times New Roman" w:hAnsi="Times New Roman" w:eastAsia="宋体" w:cs="Times New Roman"/>
                      <w:color w:val="auto"/>
                      <w:szCs w:val="18"/>
                      <w:highlight w:val="none"/>
                    </w:rPr>
                    <w:t>《安徽省低挥发性有机物含量原辅材料替代工作方案》相关要求</w:t>
                  </w:r>
                </w:p>
              </w:tc>
              <w:tc>
                <w:tcPr>
                  <w:tcW w:w="2139" w:type="pct"/>
                  <w:noWrap w:val="0"/>
                  <w:vAlign w:val="center"/>
                </w:tcPr>
                <w:p w14:paraId="0FD4202F">
                  <w:pPr>
                    <w:snapToGrid w:val="0"/>
                    <w:jc w:val="center"/>
                    <w:rPr>
                      <w:rFonts w:hint="eastAsia" w:ascii="Times New Roman" w:hAnsi="Times New Roman" w:eastAsia="宋体" w:cs="Times New Roman"/>
                      <w:color w:val="auto"/>
                      <w:szCs w:val="18"/>
                      <w:highlight w:val="none"/>
                    </w:rPr>
                  </w:pPr>
                  <w:r>
                    <w:rPr>
                      <w:rFonts w:hint="eastAsia" w:ascii="Times New Roman" w:hAnsi="Times New Roman" w:eastAsia="宋体" w:cs="Times New Roman"/>
                      <w:color w:val="auto"/>
                      <w:szCs w:val="18"/>
                      <w:highlight w:val="none"/>
                    </w:rPr>
                    <w:t>本项目情况</w:t>
                  </w:r>
                </w:p>
              </w:tc>
              <w:tc>
                <w:tcPr>
                  <w:tcW w:w="447" w:type="pct"/>
                  <w:noWrap w:val="0"/>
                  <w:vAlign w:val="center"/>
                </w:tcPr>
                <w:p w14:paraId="14393BA3">
                  <w:pPr>
                    <w:snapToGrid w:val="0"/>
                    <w:jc w:val="center"/>
                    <w:rPr>
                      <w:rFonts w:hint="eastAsia" w:ascii="Times New Roman" w:hAnsi="Times New Roman" w:eastAsia="宋体" w:cs="Times New Roman"/>
                      <w:color w:val="auto"/>
                      <w:szCs w:val="18"/>
                      <w:highlight w:val="none"/>
                      <w:lang w:val="en-US" w:eastAsia="zh-CN"/>
                    </w:rPr>
                  </w:pPr>
                  <w:r>
                    <w:rPr>
                      <w:rFonts w:hint="eastAsia" w:ascii="Times New Roman" w:hAnsi="Times New Roman" w:eastAsia="宋体" w:cs="Times New Roman"/>
                      <w:color w:val="auto"/>
                      <w:szCs w:val="18"/>
                      <w:highlight w:val="none"/>
                    </w:rPr>
                    <w:t>相符</w:t>
                  </w:r>
                  <w:r>
                    <w:rPr>
                      <w:rFonts w:hint="eastAsia" w:ascii="Times New Roman" w:hAnsi="Times New Roman" w:eastAsia="宋体" w:cs="Times New Roman"/>
                      <w:color w:val="auto"/>
                      <w:szCs w:val="18"/>
                      <w:highlight w:val="none"/>
                      <w:lang w:val="en-US" w:eastAsia="zh-CN"/>
                    </w:rPr>
                    <w:t>性</w:t>
                  </w:r>
                </w:p>
              </w:tc>
            </w:tr>
            <w:tr w14:paraId="15D61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2413" w:type="pct"/>
                  <w:noWrap w:val="0"/>
                  <w:vAlign w:val="center"/>
                </w:tcPr>
                <w:p w14:paraId="6A9DA267">
                  <w:pPr>
                    <w:snapToGrid w:val="0"/>
                    <w:jc w:val="both"/>
                    <w:rPr>
                      <w:rFonts w:ascii="Times New Roman" w:hAnsi="Times New Roman" w:eastAsia="宋体" w:cs="Times New Roman"/>
                      <w:color w:val="auto"/>
                      <w:szCs w:val="18"/>
                      <w:highlight w:val="none"/>
                    </w:rPr>
                  </w:pPr>
                  <w:r>
                    <w:rPr>
                      <w:rFonts w:ascii="Times New Roman" w:hAnsi="Times New Roman" w:eastAsia="宋体" w:cs="Times New Roman"/>
                      <w:color w:val="auto"/>
                      <w:szCs w:val="18"/>
                      <w:highlight w:val="none"/>
                    </w:rPr>
                    <w:t>全面排查使用溶剂型涂料、油墨、胶粘剂、清洗剂以及涉及有机化工生产的产业集群，2025年底前基本实现溶剂型工业涂料、油墨、胶粘剂“能替则替”。在房屋建筑和市政工程领域，全面推广使用低VOCs含量涂料和胶粘剂，除特殊功能要求外的室内地坪施工、室外构筑物防护和城市道路交通标志基本使用低VOCs含量涂料。</w:t>
                  </w:r>
                </w:p>
              </w:tc>
              <w:tc>
                <w:tcPr>
                  <w:tcW w:w="2139" w:type="pct"/>
                  <w:noWrap w:val="0"/>
                  <w:vAlign w:val="center"/>
                </w:tcPr>
                <w:p w14:paraId="32F76B44">
                  <w:pPr>
                    <w:snapToGrid w:val="0"/>
                    <w:jc w:val="both"/>
                    <w:rPr>
                      <w:rFonts w:hint="eastAsia" w:ascii="Times New Roman" w:hAnsi="Times New Roman" w:eastAsia="宋体" w:cs="Times New Roman"/>
                      <w:color w:val="auto"/>
                      <w:szCs w:val="18"/>
                      <w:highlight w:val="none"/>
                      <w:lang w:val="en-US" w:eastAsia="zh-CN"/>
                    </w:rPr>
                  </w:pPr>
                  <w:r>
                    <w:rPr>
                      <w:rFonts w:hint="eastAsia" w:ascii="Times New Roman" w:hAnsi="Times New Roman" w:eastAsia="宋体" w:cs="Times New Roman"/>
                      <w:color w:val="auto"/>
                      <w:szCs w:val="18"/>
                      <w:highlight w:val="none"/>
                      <w:lang w:val="en-US" w:eastAsia="zh-CN"/>
                    </w:rPr>
                    <w:t>项目涉及VOCs的原辅料为锡膏和酒精，其中锡膏采用钢网印刷在电路</w:t>
                  </w:r>
                  <w:r>
                    <w:rPr>
                      <w:rFonts w:hint="eastAsia" w:cs="Times New Roman"/>
                      <w:color w:val="auto"/>
                      <w:szCs w:val="18"/>
                      <w:highlight w:val="none"/>
                      <w:lang w:val="en-US" w:eastAsia="zh-CN"/>
                    </w:rPr>
                    <w:t>板</w:t>
                  </w:r>
                  <w:r>
                    <w:rPr>
                      <w:rFonts w:hint="eastAsia" w:ascii="Times New Roman" w:hAnsi="Times New Roman" w:eastAsia="宋体" w:cs="Times New Roman"/>
                      <w:color w:val="auto"/>
                      <w:szCs w:val="18"/>
                      <w:highlight w:val="none"/>
                      <w:lang w:val="en-US" w:eastAsia="zh-CN"/>
                    </w:rPr>
                    <w:t>上然后用锡膏进行焊接，钢网再定期采用酒精进行擦拭去除锡膏残渣。</w:t>
                  </w:r>
                </w:p>
                <w:p w14:paraId="6938E48D">
                  <w:pPr>
                    <w:snapToGrid w:val="0"/>
                    <w:jc w:val="both"/>
                    <w:rPr>
                      <w:rFonts w:hint="default" w:ascii="Times New Roman" w:hAnsi="Times New Roman" w:eastAsia="宋体" w:cs="Times New Roman"/>
                      <w:color w:val="auto"/>
                      <w:szCs w:val="18"/>
                      <w:highlight w:val="none"/>
                      <w:lang w:val="en-US" w:eastAsia="zh-CN"/>
                    </w:rPr>
                  </w:pPr>
                  <w:r>
                    <w:rPr>
                      <w:rFonts w:hint="eastAsia" w:ascii="Times New Roman" w:hAnsi="Times New Roman" w:eastAsia="宋体" w:cs="Times New Roman"/>
                      <w:color w:val="auto"/>
                      <w:szCs w:val="18"/>
                      <w:highlight w:val="none"/>
                      <w:lang w:val="en-US" w:eastAsia="zh-CN"/>
                    </w:rPr>
                    <w:t>项目锡膏和酒精，</w:t>
                  </w:r>
                  <w:r>
                    <w:rPr>
                      <w:rFonts w:hint="eastAsia" w:ascii="Times New Roman" w:hAnsi="Times New Roman" w:eastAsia="宋体" w:cs="Times New Roman"/>
                      <w:color w:val="auto"/>
                      <w:szCs w:val="18"/>
                      <w:highlight w:val="none"/>
                      <w:lang w:eastAsia="zh-CN"/>
                    </w:rPr>
                    <w:t>不</w:t>
                  </w:r>
                  <w:r>
                    <w:rPr>
                      <w:rFonts w:hint="eastAsia" w:ascii="Times New Roman" w:hAnsi="Times New Roman" w:eastAsia="宋体" w:cs="Times New Roman"/>
                      <w:color w:val="auto"/>
                      <w:szCs w:val="18"/>
                      <w:highlight w:val="none"/>
                      <w:lang w:val="en-US" w:eastAsia="zh-CN"/>
                    </w:rPr>
                    <w:t>属于</w:t>
                  </w:r>
                  <w:r>
                    <w:rPr>
                      <w:rFonts w:hint="eastAsia" w:ascii="Times New Roman" w:hAnsi="Times New Roman" w:eastAsia="宋体" w:cs="Times New Roman"/>
                      <w:color w:val="auto"/>
                      <w:szCs w:val="18"/>
                      <w:highlight w:val="none"/>
                      <w:lang w:eastAsia="zh-CN"/>
                    </w:rPr>
                    <w:t>涂料，</w:t>
                  </w:r>
                  <w:r>
                    <w:rPr>
                      <w:rFonts w:ascii="Times New Roman" w:hAnsi="Times New Roman" w:eastAsia="宋体" w:cs="Times New Roman"/>
                      <w:color w:val="auto"/>
                      <w:szCs w:val="18"/>
                      <w:highlight w:val="none"/>
                    </w:rPr>
                    <w:t>油墨、胶粘剂、清洗剂</w:t>
                  </w:r>
                  <w:r>
                    <w:rPr>
                      <w:rFonts w:hint="eastAsia" w:ascii="Times New Roman" w:hAnsi="Times New Roman" w:eastAsia="宋体" w:cs="Times New Roman"/>
                      <w:color w:val="auto"/>
                      <w:szCs w:val="18"/>
                      <w:highlight w:val="none"/>
                      <w:lang w:val="en-US" w:eastAsia="zh-CN"/>
                    </w:rPr>
                    <w:t>类别</w:t>
                  </w:r>
                  <w:r>
                    <w:rPr>
                      <w:rFonts w:hint="eastAsia" w:ascii="Times New Roman" w:hAnsi="Times New Roman" w:eastAsia="宋体" w:cs="Times New Roman"/>
                      <w:color w:val="auto"/>
                      <w:szCs w:val="18"/>
                      <w:highlight w:val="none"/>
                      <w:lang w:eastAsia="zh-CN"/>
                    </w:rPr>
                    <w:t>，</w:t>
                  </w:r>
                  <w:r>
                    <w:rPr>
                      <w:rFonts w:hint="eastAsia" w:ascii="Times New Roman" w:hAnsi="Times New Roman" w:eastAsia="宋体" w:cs="Times New Roman"/>
                      <w:color w:val="auto"/>
                      <w:szCs w:val="18"/>
                      <w:highlight w:val="none"/>
                      <w:lang w:val="en-US" w:eastAsia="zh-CN"/>
                    </w:rPr>
                    <w:t>项目也不属于</w:t>
                  </w:r>
                  <w:r>
                    <w:rPr>
                      <w:rFonts w:ascii="Times New Roman" w:hAnsi="Times New Roman" w:eastAsia="宋体" w:cs="Times New Roman"/>
                      <w:color w:val="auto"/>
                      <w:szCs w:val="18"/>
                      <w:highlight w:val="none"/>
                    </w:rPr>
                    <w:t>涉及有机化工生产的产业集群</w:t>
                  </w:r>
                  <w:r>
                    <w:rPr>
                      <w:rFonts w:hint="eastAsia" w:ascii="Times New Roman" w:hAnsi="Times New Roman" w:eastAsia="宋体" w:cs="Times New Roman"/>
                      <w:color w:val="auto"/>
                      <w:szCs w:val="18"/>
                      <w:highlight w:val="none"/>
                      <w:lang w:eastAsia="zh-CN"/>
                    </w:rPr>
                    <w:t>。</w:t>
                  </w:r>
                </w:p>
              </w:tc>
              <w:tc>
                <w:tcPr>
                  <w:tcW w:w="447" w:type="pct"/>
                  <w:noWrap w:val="0"/>
                  <w:vAlign w:val="center"/>
                </w:tcPr>
                <w:p w14:paraId="2C2B3EB0">
                  <w:pPr>
                    <w:snapToGrid w:val="0"/>
                    <w:jc w:val="center"/>
                    <w:rPr>
                      <w:rFonts w:hint="eastAsia" w:ascii="Times New Roman" w:hAnsi="Times New Roman" w:eastAsia="宋体" w:cs="Times New Roman"/>
                      <w:color w:val="auto"/>
                      <w:szCs w:val="18"/>
                      <w:highlight w:val="none"/>
                      <w:lang w:eastAsia="zh-CN"/>
                    </w:rPr>
                  </w:pPr>
                  <w:r>
                    <w:rPr>
                      <w:rFonts w:hint="eastAsia" w:ascii="Times New Roman" w:hAnsi="Times New Roman" w:eastAsia="宋体" w:cs="Times New Roman"/>
                      <w:color w:val="auto"/>
                      <w:szCs w:val="18"/>
                      <w:highlight w:val="none"/>
                      <w:lang w:eastAsia="zh-CN"/>
                    </w:rPr>
                    <w:t>符合</w:t>
                  </w:r>
                </w:p>
              </w:tc>
            </w:tr>
          </w:tbl>
          <w:p w14:paraId="36EEF08D">
            <w:pPr>
              <w:autoSpaceDE w:val="0"/>
              <w:autoSpaceDN w:val="0"/>
              <w:adjustRightInd w:val="0"/>
              <w:snapToGrid w:val="0"/>
              <w:spacing w:line="240" w:lineRule="auto"/>
              <w:ind w:firstLine="422" w:firstLineChars="200"/>
              <w:jc w:val="center"/>
              <w:rPr>
                <w:rFonts w:hint="default" w:ascii="Times New Roman" w:hAnsi="Times New Roman" w:cs="Times New Roman"/>
                <w:b/>
                <w:color w:val="auto"/>
                <w:highlight w:val="none"/>
              </w:rPr>
            </w:pPr>
          </w:p>
          <w:p w14:paraId="71D4037D">
            <w:pPr>
              <w:autoSpaceDE w:val="0"/>
              <w:autoSpaceDN w:val="0"/>
              <w:adjustRightInd w:val="0"/>
              <w:snapToGrid w:val="0"/>
              <w:spacing w:line="240" w:lineRule="auto"/>
              <w:ind w:firstLine="422" w:firstLineChars="200"/>
              <w:jc w:val="center"/>
              <w:rPr>
                <w:rFonts w:hint="default" w:ascii="Times New Roman" w:hAnsi="Times New Roman" w:cs="Times New Roman"/>
                <w:b/>
                <w:color w:val="auto"/>
                <w:highlight w:val="none"/>
              </w:rPr>
            </w:pPr>
          </w:p>
          <w:p w14:paraId="1DF7D496">
            <w:pPr>
              <w:autoSpaceDE w:val="0"/>
              <w:autoSpaceDN w:val="0"/>
              <w:adjustRightInd w:val="0"/>
              <w:snapToGrid w:val="0"/>
              <w:spacing w:line="240" w:lineRule="auto"/>
              <w:ind w:firstLine="422" w:firstLineChars="200"/>
              <w:jc w:val="center"/>
              <w:rPr>
                <w:rFonts w:hint="default" w:ascii="Times New Roman" w:hAnsi="Times New Roman" w:cs="Times New Roman"/>
                <w:b/>
                <w:color w:val="auto"/>
                <w:highlight w:val="none"/>
              </w:rPr>
            </w:pPr>
          </w:p>
          <w:p w14:paraId="5285B3CC">
            <w:pPr>
              <w:autoSpaceDE w:val="0"/>
              <w:autoSpaceDN w:val="0"/>
              <w:adjustRightInd w:val="0"/>
              <w:snapToGrid w:val="0"/>
              <w:spacing w:line="240" w:lineRule="auto"/>
              <w:ind w:firstLine="422" w:firstLineChars="200"/>
              <w:jc w:val="center"/>
              <w:rPr>
                <w:rFonts w:hint="default" w:ascii="Times New Roman" w:hAnsi="Times New Roman" w:cs="Times New Roman"/>
                <w:b/>
                <w:color w:val="auto"/>
                <w:highlight w:val="none"/>
              </w:rPr>
            </w:pPr>
          </w:p>
          <w:p w14:paraId="7DA41393">
            <w:pPr>
              <w:autoSpaceDE w:val="0"/>
              <w:autoSpaceDN w:val="0"/>
              <w:adjustRightInd w:val="0"/>
              <w:snapToGrid w:val="0"/>
              <w:spacing w:line="240" w:lineRule="auto"/>
              <w:ind w:firstLine="422" w:firstLineChars="200"/>
              <w:jc w:val="center"/>
              <w:rPr>
                <w:rFonts w:hint="default" w:ascii="Times New Roman" w:hAnsi="Times New Roman" w:cs="Times New Roman"/>
                <w:b/>
                <w:color w:val="auto"/>
                <w:highlight w:val="none"/>
              </w:rPr>
            </w:pPr>
          </w:p>
          <w:p w14:paraId="4C488B0F">
            <w:pPr>
              <w:autoSpaceDE w:val="0"/>
              <w:autoSpaceDN w:val="0"/>
              <w:adjustRightInd w:val="0"/>
              <w:snapToGrid w:val="0"/>
              <w:spacing w:line="240" w:lineRule="auto"/>
              <w:ind w:firstLine="422" w:firstLineChars="200"/>
              <w:jc w:val="center"/>
              <w:rPr>
                <w:rFonts w:hint="default" w:ascii="Times New Roman" w:hAnsi="Times New Roman" w:cs="Times New Roman"/>
                <w:b/>
                <w:color w:val="auto"/>
                <w:highlight w:val="none"/>
              </w:rPr>
            </w:pPr>
          </w:p>
          <w:p w14:paraId="0E3F5B21">
            <w:pPr>
              <w:autoSpaceDE w:val="0"/>
              <w:autoSpaceDN w:val="0"/>
              <w:adjustRightInd w:val="0"/>
              <w:snapToGrid w:val="0"/>
              <w:spacing w:line="240" w:lineRule="auto"/>
              <w:ind w:firstLine="422" w:firstLineChars="200"/>
              <w:jc w:val="center"/>
              <w:rPr>
                <w:rFonts w:hint="default" w:ascii="Times New Roman" w:hAnsi="Times New Roman" w:cs="Times New Roman"/>
                <w:b/>
                <w:color w:val="auto"/>
                <w:highlight w:val="none"/>
              </w:rPr>
            </w:pPr>
          </w:p>
          <w:p w14:paraId="6398F630">
            <w:pPr>
              <w:autoSpaceDE w:val="0"/>
              <w:autoSpaceDN w:val="0"/>
              <w:adjustRightInd w:val="0"/>
              <w:snapToGrid w:val="0"/>
              <w:spacing w:line="240" w:lineRule="auto"/>
              <w:ind w:firstLine="422" w:firstLineChars="200"/>
              <w:jc w:val="center"/>
              <w:rPr>
                <w:rFonts w:hint="default" w:ascii="Times New Roman" w:hAnsi="Times New Roman" w:cs="Times New Roman"/>
                <w:b/>
                <w:color w:val="auto"/>
                <w:highlight w:val="none"/>
              </w:rPr>
            </w:pPr>
          </w:p>
          <w:p w14:paraId="1738343D">
            <w:pPr>
              <w:autoSpaceDE w:val="0"/>
              <w:autoSpaceDN w:val="0"/>
              <w:adjustRightInd w:val="0"/>
              <w:snapToGrid w:val="0"/>
              <w:spacing w:line="240" w:lineRule="auto"/>
              <w:ind w:firstLine="422" w:firstLineChars="200"/>
              <w:jc w:val="center"/>
              <w:rPr>
                <w:rFonts w:hint="default" w:ascii="Times New Roman" w:hAnsi="Times New Roman" w:cs="Times New Roman"/>
                <w:b/>
                <w:color w:val="auto"/>
                <w:highlight w:val="none"/>
              </w:rPr>
            </w:pPr>
          </w:p>
          <w:p w14:paraId="1B324C1D">
            <w:pPr>
              <w:autoSpaceDE w:val="0"/>
              <w:autoSpaceDN w:val="0"/>
              <w:adjustRightInd w:val="0"/>
              <w:snapToGrid w:val="0"/>
              <w:spacing w:line="240" w:lineRule="auto"/>
              <w:ind w:firstLine="422" w:firstLineChars="200"/>
              <w:jc w:val="center"/>
              <w:rPr>
                <w:rFonts w:hint="default" w:ascii="Times New Roman" w:hAnsi="Times New Roman" w:cs="Times New Roman"/>
                <w:b/>
                <w:color w:val="auto"/>
                <w:highlight w:val="none"/>
              </w:rPr>
            </w:pPr>
          </w:p>
          <w:p w14:paraId="5263E7E8">
            <w:pPr>
              <w:autoSpaceDE w:val="0"/>
              <w:autoSpaceDN w:val="0"/>
              <w:adjustRightInd w:val="0"/>
              <w:snapToGrid w:val="0"/>
              <w:spacing w:line="240" w:lineRule="auto"/>
              <w:ind w:firstLine="422" w:firstLineChars="200"/>
              <w:jc w:val="center"/>
              <w:rPr>
                <w:rFonts w:hint="default" w:ascii="Times New Roman" w:hAnsi="Times New Roman" w:cs="Times New Roman"/>
                <w:b/>
                <w:color w:val="auto"/>
                <w:highlight w:val="none"/>
              </w:rPr>
            </w:pPr>
          </w:p>
          <w:p w14:paraId="1A52FDB9">
            <w:pPr>
              <w:autoSpaceDE w:val="0"/>
              <w:autoSpaceDN w:val="0"/>
              <w:adjustRightInd w:val="0"/>
              <w:snapToGrid w:val="0"/>
              <w:spacing w:line="240" w:lineRule="auto"/>
              <w:jc w:val="both"/>
              <w:rPr>
                <w:rFonts w:hint="default" w:ascii="Times New Roman" w:hAnsi="Times New Roman" w:cs="Times New Roman"/>
                <w:b/>
                <w:color w:val="auto"/>
                <w:highlight w:val="none"/>
              </w:rPr>
            </w:pPr>
          </w:p>
          <w:p w14:paraId="6B0CE4BF">
            <w:pPr>
              <w:autoSpaceDE w:val="0"/>
              <w:autoSpaceDN w:val="0"/>
              <w:adjustRightInd w:val="0"/>
              <w:snapToGrid w:val="0"/>
              <w:spacing w:line="240" w:lineRule="auto"/>
              <w:ind w:firstLine="422" w:firstLineChars="200"/>
              <w:jc w:val="center"/>
              <w:rPr>
                <w:rFonts w:hint="default" w:ascii="Times New Roman" w:hAnsi="Times New Roman" w:cs="Times New Roman"/>
                <w:b/>
                <w:color w:val="auto"/>
                <w:highlight w:val="none"/>
              </w:rPr>
            </w:pPr>
          </w:p>
          <w:p w14:paraId="5048909A">
            <w:pPr>
              <w:rPr>
                <w:rFonts w:hint="default" w:eastAsia="宋体"/>
                <w:color w:val="auto"/>
                <w:sz w:val="24"/>
                <w:szCs w:val="24"/>
                <w:highlight w:val="none"/>
                <w:lang w:val="en-US" w:eastAsia="zh-CN"/>
              </w:rPr>
            </w:pPr>
          </w:p>
        </w:tc>
      </w:tr>
    </w:tbl>
    <w:p w14:paraId="0422CE9B">
      <w:pPr>
        <w:spacing w:line="360" w:lineRule="auto"/>
        <w:outlineLvl w:val="0"/>
        <w:rPr>
          <w:rFonts w:hint="default" w:ascii="Times New Roman" w:hAnsi="Times New Roman" w:eastAsia="黑体" w:cs="Times New Roman"/>
          <w:color w:val="auto"/>
          <w:sz w:val="30"/>
          <w:highlight w:val="none"/>
        </w:rPr>
        <w:sectPr>
          <w:footerReference r:id="rId5" w:type="default"/>
          <w:pgSz w:w="11850" w:h="16783"/>
          <w:pgMar w:top="1701" w:right="1531" w:bottom="1701" w:left="1531" w:header="851" w:footer="1077" w:gutter="0"/>
          <w:pgBorders>
            <w:top w:val="none" w:sz="0" w:space="0"/>
            <w:left w:val="none" w:sz="0" w:space="0"/>
            <w:bottom w:val="none" w:sz="0" w:space="0"/>
            <w:right w:val="none" w:sz="0" w:space="0"/>
          </w:pgBorders>
          <w:pgNumType w:start="1"/>
          <w:cols w:space="720" w:num="1"/>
          <w:docGrid w:linePitch="312" w:charSpace="0"/>
        </w:sectPr>
      </w:pPr>
    </w:p>
    <w:p w14:paraId="5306E0DB">
      <w:pPr>
        <w:pStyle w:val="23"/>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二、建设项目工程分析</w:t>
      </w:r>
    </w:p>
    <w:tbl>
      <w:tblPr>
        <w:tblStyle w:val="25"/>
        <w:tblW w:w="900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46"/>
        <w:gridCol w:w="8614"/>
      </w:tblGrid>
      <w:tr w14:paraId="34177A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864" w:hRule="atLeast"/>
          <w:jc w:val="center"/>
        </w:trPr>
        <w:tc>
          <w:tcPr>
            <w:tcW w:w="471" w:type="dxa"/>
            <w:noWrap w:val="0"/>
            <w:vAlign w:val="center"/>
          </w:tcPr>
          <w:p w14:paraId="029FA18E">
            <w:pPr>
              <w:pStyle w:val="23"/>
              <w:adjustRightInd w:val="0"/>
              <w:snapToGrid w:val="0"/>
              <w:spacing w:before="0" w:beforeAutospacing="0" w:after="0" w:afterAutospacing="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4"/>
                <w:szCs w:val="24"/>
                <w:highlight w:val="none"/>
              </w:rPr>
              <w:t>建设内容</w:t>
            </w:r>
          </w:p>
        </w:tc>
        <w:tc>
          <w:tcPr>
            <w:tcW w:w="8537" w:type="dxa"/>
            <w:noWrap w:val="0"/>
            <w:vAlign w:val="top"/>
          </w:tcPr>
          <w:p w14:paraId="7B38CA12">
            <w:pPr>
              <w:adjustRightInd w:val="0"/>
              <w:snapToGrid w:val="0"/>
              <w:spacing w:line="360" w:lineRule="auto"/>
              <w:ind w:firstLine="482" w:firstLineChars="200"/>
              <w:jc w:val="left"/>
              <w:rPr>
                <w:rFonts w:hint="default" w:ascii="Times New Roman" w:hAnsi="Times New Roman" w:cs="Times New Roman"/>
                <w:b/>
                <w:bCs/>
                <w:color w:val="auto"/>
                <w:sz w:val="24"/>
                <w:szCs w:val="32"/>
                <w:highlight w:val="none"/>
              </w:rPr>
            </w:pPr>
            <w:r>
              <w:rPr>
                <w:rFonts w:hint="default" w:ascii="Times New Roman" w:hAnsi="Times New Roman" w:cs="Times New Roman"/>
                <w:b/>
                <w:bCs/>
                <w:color w:val="auto"/>
                <w:sz w:val="24"/>
                <w:szCs w:val="32"/>
                <w:highlight w:val="none"/>
              </w:rPr>
              <w:t>1、项目概况</w:t>
            </w:r>
          </w:p>
          <w:p w14:paraId="3054EEB2">
            <w:pPr>
              <w:adjustRightInd w:val="0"/>
              <w:snapToGrid w:val="0"/>
              <w:spacing w:line="360" w:lineRule="auto"/>
              <w:ind w:firstLine="480" w:firstLineChars="200"/>
              <w:jc w:val="both"/>
              <w:rPr>
                <w:rFonts w:hint="eastAsia" w:cs="Times New Roman"/>
                <w:color w:val="auto"/>
                <w:sz w:val="24"/>
                <w:szCs w:val="24"/>
                <w:highlight w:val="none"/>
                <w:lang w:val="en-US" w:eastAsia="zh-CN"/>
              </w:rPr>
            </w:pPr>
            <w:r>
              <w:rPr>
                <w:rFonts w:hint="eastAsia" w:cs="Times New Roman"/>
                <w:color w:val="auto"/>
                <w:sz w:val="24"/>
                <w:szCs w:val="32"/>
                <w:highlight w:val="none"/>
                <w:lang w:val="en-US" w:eastAsia="zh-CN"/>
              </w:rPr>
              <w:t>安徽神州半导体有限公司</w:t>
            </w:r>
            <w:r>
              <w:rPr>
                <w:rFonts w:hint="eastAsia" w:ascii="Times New Roman" w:hAnsi="Times New Roman" w:eastAsia="宋体" w:cs="Times New Roman"/>
                <w:color w:val="auto"/>
                <w:sz w:val="24"/>
                <w:szCs w:val="32"/>
                <w:highlight w:val="none"/>
                <w:lang w:val="en-US" w:eastAsia="zh-CN"/>
              </w:rPr>
              <w:t>拟投资</w:t>
            </w:r>
            <w:r>
              <w:rPr>
                <w:rFonts w:hint="eastAsia" w:cs="Times New Roman"/>
                <w:color w:val="auto"/>
                <w:sz w:val="24"/>
                <w:szCs w:val="32"/>
                <w:highlight w:val="none"/>
                <w:lang w:val="en-US" w:eastAsia="zh-CN"/>
              </w:rPr>
              <w:t>35000</w:t>
            </w:r>
            <w:r>
              <w:rPr>
                <w:rFonts w:hint="eastAsia" w:ascii="Times New Roman" w:hAnsi="Times New Roman" w:cs="Times New Roman"/>
                <w:color w:val="auto"/>
                <w:sz w:val="24"/>
                <w:szCs w:val="32"/>
                <w:highlight w:val="none"/>
                <w:lang w:eastAsia="zh-CN"/>
              </w:rPr>
              <w:t>万元</w:t>
            </w:r>
            <w:r>
              <w:rPr>
                <w:rFonts w:hint="eastAsia" w:cs="Times New Roman"/>
                <w:color w:val="auto"/>
                <w:sz w:val="24"/>
                <w:szCs w:val="32"/>
                <w:highlight w:val="none"/>
                <w:lang w:eastAsia="zh-CN"/>
              </w:rPr>
              <w:t>在</w:t>
            </w:r>
            <w:r>
              <w:rPr>
                <w:rFonts w:hint="eastAsia" w:cs="Times New Roman"/>
                <w:color w:val="auto"/>
                <w:sz w:val="24"/>
                <w:szCs w:val="24"/>
                <w:highlight w:val="none"/>
                <w:lang w:val="en-US" w:eastAsia="zh-CN"/>
              </w:rPr>
              <w:t>池州市皖江江南新兴产业集中区</w:t>
            </w:r>
            <w:r>
              <w:rPr>
                <w:rFonts w:hint="eastAsia" w:cs="Times New Roman"/>
                <w:color w:val="auto"/>
                <w:sz w:val="24"/>
                <w:szCs w:val="32"/>
                <w:highlight w:val="none"/>
                <w:lang w:eastAsia="zh-CN"/>
              </w:rPr>
              <w:t>建设</w:t>
            </w:r>
            <w:r>
              <w:rPr>
                <w:rFonts w:hint="eastAsia" w:cs="Times New Roman" w:eastAsiaTheme="minorEastAsia"/>
                <w:b w:val="0"/>
                <w:bCs w:val="0"/>
                <w:color w:val="auto"/>
                <w:sz w:val="24"/>
                <w:szCs w:val="24"/>
                <w:highlight w:val="none"/>
                <w:u w:val="none"/>
                <w:vertAlign w:val="baseline"/>
                <w:lang w:eastAsia="zh-CN"/>
              </w:rPr>
              <w:t>年产7000万件LED显示屏模组、2000万个显示屏模组器件项目</w:t>
            </w:r>
            <w:r>
              <w:rPr>
                <w:rFonts w:hint="eastAsia" w:cs="Times New Roman"/>
                <w:color w:val="auto"/>
                <w:sz w:val="24"/>
                <w:szCs w:val="24"/>
                <w:highlight w:val="none"/>
                <w:lang w:val="en-US" w:eastAsia="zh-CN"/>
              </w:rPr>
              <w:t>。</w:t>
            </w:r>
          </w:p>
          <w:p w14:paraId="2AB33F51">
            <w:pPr>
              <w:adjustRightInd w:val="0"/>
              <w:snapToGrid w:val="0"/>
              <w:spacing w:line="360" w:lineRule="auto"/>
              <w:ind w:firstLine="480" w:firstLineChars="200"/>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32"/>
                <w:highlight w:val="none"/>
                <w:lang w:eastAsia="zh-CN"/>
              </w:rPr>
              <w:t>项目租用江南产业集中区科技孵化园A</w:t>
            </w:r>
            <w:r>
              <w:rPr>
                <w:rFonts w:hint="eastAsia" w:cs="Times New Roman"/>
                <w:color w:val="auto"/>
                <w:sz w:val="24"/>
                <w:szCs w:val="32"/>
                <w:highlight w:val="none"/>
                <w:lang w:val="en-US" w:eastAsia="zh-CN"/>
              </w:rPr>
              <w:t>4</w:t>
            </w:r>
            <w:r>
              <w:rPr>
                <w:rFonts w:hint="eastAsia" w:cs="Times New Roman"/>
                <w:color w:val="auto"/>
                <w:sz w:val="24"/>
                <w:szCs w:val="32"/>
                <w:highlight w:val="none"/>
                <w:lang w:eastAsia="zh-CN"/>
              </w:rPr>
              <w:t>号厂房，建筑面积约</w:t>
            </w:r>
            <w:r>
              <w:rPr>
                <w:rFonts w:hint="eastAsia" w:cs="Times New Roman"/>
                <w:color w:val="auto"/>
                <w:sz w:val="24"/>
                <w:szCs w:val="24"/>
                <w:highlight w:val="none"/>
                <w:lang w:val="en-US" w:eastAsia="zh-CN"/>
              </w:rPr>
              <w:t>6544.11</w:t>
            </w:r>
            <w:r>
              <w:rPr>
                <w:rFonts w:hint="eastAsia" w:cs="Times New Roman"/>
                <w:color w:val="auto"/>
                <w:sz w:val="24"/>
                <w:szCs w:val="32"/>
                <w:highlight w:val="none"/>
                <w:lang w:eastAsia="zh-CN"/>
              </w:rPr>
              <w:t>平方米。购置</w:t>
            </w:r>
            <w:r>
              <w:rPr>
                <w:rFonts w:hint="eastAsia" w:cs="Times New Roman"/>
                <w:color w:val="auto"/>
                <w:sz w:val="24"/>
                <w:szCs w:val="32"/>
                <w:highlight w:val="none"/>
                <w:lang w:val="en-US" w:eastAsia="zh-CN"/>
              </w:rPr>
              <w:t>LED显示屏模组加工设备</w:t>
            </w:r>
            <w:r>
              <w:rPr>
                <w:rFonts w:hint="eastAsia" w:cs="Times New Roman"/>
                <w:color w:val="auto"/>
                <w:sz w:val="24"/>
                <w:szCs w:val="32"/>
                <w:highlight w:val="none"/>
                <w:lang w:eastAsia="zh-CN"/>
              </w:rPr>
              <w:t>，</w:t>
            </w:r>
            <w:r>
              <w:rPr>
                <w:rFonts w:hint="eastAsia" w:cs="Times New Roman"/>
                <w:color w:val="auto"/>
                <w:sz w:val="24"/>
                <w:szCs w:val="32"/>
                <w:highlight w:val="none"/>
                <w:lang w:val="en-US" w:eastAsia="zh-CN"/>
              </w:rPr>
              <w:t>主要从事LED显示屏模组及</w:t>
            </w:r>
            <w:r>
              <w:rPr>
                <w:rFonts w:hint="eastAsia" w:cs="Times New Roman" w:eastAsiaTheme="minorEastAsia"/>
                <w:b w:val="0"/>
                <w:bCs w:val="0"/>
                <w:color w:val="auto"/>
                <w:sz w:val="24"/>
                <w:szCs w:val="24"/>
                <w:highlight w:val="none"/>
                <w:u w:val="none"/>
                <w:vertAlign w:val="baseline"/>
                <w:lang w:eastAsia="zh-CN"/>
              </w:rPr>
              <w:t>显示屏模组器件</w:t>
            </w:r>
            <w:r>
              <w:rPr>
                <w:rFonts w:hint="eastAsia" w:cs="Times New Roman" w:eastAsiaTheme="minorEastAsia"/>
                <w:b w:val="0"/>
                <w:bCs w:val="0"/>
                <w:color w:val="auto"/>
                <w:sz w:val="24"/>
                <w:szCs w:val="24"/>
                <w:highlight w:val="none"/>
                <w:u w:val="none"/>
                <w:vertAlign w:val="baseline"/>
                <w:lang w:val="en-US" w:eastAsia="zh-CN"/>
              </w:rPr>
              <w:t>的生产，</w:t>
            </w:r>
            <w:r>
              <w:rPr>
                <w:rFonts w:hint="eastAsia" w:cs="Times New Roman"/>
                <w:color w:val="auto"/>
                <w:sz w:val="24"/>
                <w:szCs w:val="32"/>
                <w:highlight w:val="none"/>
                <w:lang w:val="en-US" w:eastAsia="zh-CN"/>
              </w:rPr>
              <w:t>项目建成后可形成年产7000万件</w:t>
            </w:r>
            <w:r>
              <w:rPr>
                <w:rFonts w:hint="eastAsia" w:cs="Times New Roman" w:eastAsiaTheme="minorEastAsia"/>
                <w:b w:val="0"/>
                <w:bCs w:val="0"/>
                <w:color w:val="auto"/>
                <w:sz w:val="24"/>
                <w:szCs w:val="24"/>
                <w:highlight w:val="none"/>
                <w:u w:val="none"/>
                <w:vertAlign w:val="baseline"/>
                <w:lang w:eastAsia="zh-CN"/>
              </w:rPr>
              <w:t>LED显示屏模组、2000万个显示屏模组器件</w:t>
            </w:r>
            <w:r>
              <w:rPr>
                <w:rFonts w:hint="eastAsia" w:cs="Times New Roman" w:eastAsiaTheme="minorEastAsia"/>
                <w:b w:val="0"/>
                <w:bCs w:val="0"/>
                <w:color w:val="auto"/>
                <w:sz w:val="24"/>
                <w:szCs w:val="24"/>
                <w:highlight w:val="none"/>
                <w:u w:val="none"/>
                <w:vertAlign w:val="baseline"/>
                <w:lang w:val="en-US" w:eastAsia="zh-CN"/>
              </w:rPr>
              <w:t>的生产能力</w:t>
            </w:r>
            <w:r>
              <w:rPr>
                <w:rFonts w:hint="eastAsia" w:cs="Times New Roman"/>
                <w:color w:val="auto"/>
                <w:sz w:val="24"/>
                <w:szCs w:val="24"/>
                <w:highlight w:val="none"/>
                <w:lang w:val="en-US" w:eastAsia="zh-CN"/>
              </w:rPr>
              <w:t>。</w:t>
            </w:r>
          </w:p>
          <w:p w14:paraId="4FDF09D5">
            <w:pPr>
              <w:adjustRightInd w:val="0"/>
              <w:snapToGrid w:val="0"/>
              <w:spacing w:line="360" w:lineRule="auto"/>
              <w:ind w:firstLine="480" w:firstLineChars="200"/>
              <w:jc w:val="left"/>
              <w:rPr>
                <w:rFonts w:hint="eastAsia" w:ascii="Times New Roman" w:hAnsi="Times New Roman" w:cs="Times New Roman"/>
                <w:color w:val="auto"/>
                <w:sz w:val="24"/>
                <w:szCs w:val="32"/>
                <w:highlight w:val="none"/>
                <w:lang w:eastAsia="zh-CN"/>
              </w:rPr>
            </w:pPr>
            <w:r>
              <w:rPr>
                <w:rFonts w:hint="eastAsia" w:ascii="Times New Roman" w:hAnsi="Times New Roman" w:cs="Times New Roman"/>
                <w:color w:val="auto"/>
                <w:sz w:val="24"/>
                <w:szCs w:val="32"/>
                <w:highlight w:val="none"/>
                <w:lang w:eastAsia="zh-CN"/>
              </w:rPr>
              <w:t>项目已于202</w:t>
            </w:r>
            <w:r>
              <w:rPr>
                <w:rFonts w:hint="eastAsia" w:cs="Times New Roman"/>
                <w:color w:val="auto"/>
                <w:sz w:val="24"/>
                <w:szCs w:val="32"/>
                <w:highlight w:val="none"/>
                <w:lang w:val="en-US" w:eastAsia="zh-CN"/>
              </w:rPr>
              <w:t>5</w:t>
            </w:r>
            <w:r>
              <w:rPr>
                <w:rFonts w:hint="eastAsia" w:ascii="Times New Roman" w:hAnsi="Times New Roman" w:cs="Times New Roman"/>
                <w:color w:val="auto"/>
                <w:sz w:val="24"/>
                <w:szCs w:val="32"/>
                <w:highlight w:val="none"/>
                <w:lang w:eastAsia="zh-CN"/>
              </w:rPr>
              <w:t>年</w:t>
            </w:r>
            <w:r>
              <w:rPr>
                <w:rFonts w:hint="eastAsia" w:cs="Times New Roman"/>
                <w:color w:val="auto"/>
                <w:sz w:val="24"/>
                <w:szCs w:val="32"/>
                <w:highlight w:val="none"/>
                <w:lang w:val="en-US" w:eastAsia="zh-CN"/>
              </w:rPr>
              <w:t>8月11日</w:t>
            </w:r>
            <w:r>
              <w:rPr>
                <w:rFonts w:hint="eastAsia" w:ascii="Times New Roman" w:hAnsi="Times New Roman" w:cs="Times New Roman"/>
                <w:color w:val="auto"/>
                <w:sz w:val="24"/>
                <w:szCs w:val="32"/>
                <w:highlight w:val="none"/>
                <w:lang w:eastAsia="zh-CN"/>
              </w:rPr>
              <w:t>通过</w:t>
            </w:r>
            <w:r>
              <w:rPr>
                <w:rFonts w:hint="eastAsia" w:ascii="Times New Roman" w:hAnsi="Times New Roman" w:eastAsia="宋体" w:cs="Times New Roman"/>
                <w:color w:val="auto"/>
                <w:sz w:val="24"/>
                <w:szCs w:val="24"/>
                <w:highlight w:val="none"/>
                <w:lang w:eastAsia="zh-CN"/>
              </w:rPr>
              <w:t>皖江江南产业集中区管委会产业发展部</w:t>
            </w:r>
            <w:r>
              <w:rPr>
                <w:rFonts w:hint="eastAsia" w:ascii="Times New Roman" w:hAnsi="Times New Roman" w:cs="Times New Roman"/>
                <w:color w:val="auto"/>
                <w:sz w:val="24"/>
                <w:szCs w:val="32"/>
                <w:highlight w:val="none"/>
                <w:lang w:eastAsia="zh-CN"/>
              </w:rPr>
              <w:t>备案，备案代码为</w:t>
            </w:r>
            <w:r>
              <w:rPr>
                <w:rFonts w:hint="eastAsia" w:cs="Times New Roman"/>
                <w:color w:val="auto"/>
                <w:sz w:val="24"/>
                <w:szCs w:val="24"/>
                <w:highlight w:val="none"/>
                <w:lang w:val="en-US" w:eastAsia="zh-CN"/>
              </w:rPr>
              <w:t>2508-341763-04-01-552874</w:t>
            </w:r>
            <w:r>
              <w:rPr>
                <w:rFonts w:hint="eastAsia" w:ascii="Times New Roman" w:hAnsi="Times New Roman" w:cs="Times New Roman"/>
                <w:color w:val="auto"/>
                <w:sz w:val="24"/>
                <w:szCs w:val="32"/>
                <w:highlight w:val="none"/>
                <w:lang w:eastAsia="zh-CN"/>
              </w:rPr>
              <w:t>。</w:t>
            </w:r>
          </w:p>
          <w:p w14:paraId="1820939A">
            <w:pPr>
              <w:adjustRightInd w:val="0"/>
              <w:snapToGrid w:val="0"/>
              <w:spacing w:line="360" w:lineRule="auto"/>
              <w:ind w:firstLine="480" w:firstLineChars="200"/>
              <w:jc w:val="left"/>
              <w:rPr>
                <w:rFonts w:hint="default" w:ascii="Times New Roman" w:hAnsi="Times New Roman" w:cs="Times New Roman"/>
                <w:color w:val="auto"/>
                <w:sz w:val="24"/>
                <w:szCs w:val="32"/>
                <w:highlight w:val="none"/>
                <w:lang w:val="en-US" w:eastAsia="zh-CN"/>
              </w:rPr>
            </w:pPr>
            <w:r>
              <w:rPr>
                <w:rFonts w:hint="eastAsia" w:ascii="Times New Roman" w:hAnsi="Times New Roman" w:cs="Times New Roman"/>
                <w:color w:val="auto"/>
                <w:sz w:val="24"/>
                <w:szCs w:val="32"/>
                <w:highlight w:val="none"/>
                <w:lang w:eastAsia="zh-CN"/>
              </w:rPr>
              <w:t>根据《中华人民共和国环境影响评价法》及中华人民共和国国务院第682号令《建设项目环境保护管理条例》中有关规定，本项目应进行环境影响评价。依据《建设项目环境影响评价分类管理名录》（2021版），环评行业类别为“</w:t>
            </w:r>
            <w:r>
              <w:rPr>
                <w:rFonts w:hint="eastAsia" w:ascii="Times New Roman" w:hAnsi="Times New Roman" w:cs="Times New Roman"/>
                <w:color w:val="auto"/>
                <w:sz w:val="24"/>
                <w:szCs w:val="24"/>
                <w:highlight w:val="none"/>
                <w:lang w:val="en-US" w:eastAsia="zh-CN"/>
              </w:rPr>
              <w:t>三十六、计算机、通信和其他电子设备制造业39：80电子器件制造397</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显示器件制造；集成电路制造；使用有机溶剂的；有酸洗的以上均不含仅分割、焊接、组装的</w:t>
            </w:r>
            <w:r>
              <w:rPr>
                <w:rFonts w:hint="eastAsia" w:ascii="Times New Roman" w:hAnsi="Times New Roman" w:cs="Times New Roman"/>
                <w:color w:val="auto"/>
                <w:sz w:val="24"/>
                <w:szCs w:val="32"/>
                <w:highlight w:val="none"/>
                <w:lang w:eastAsia="zh-CN"/>
              </w:rPr>
              <w:t>”，环评类别为“环境影响报告表”</w:t>
            </w:r>
            <w:r>
              <w:rPr>
                <w:rFonts w:hint="eastAsia" w:cs="Times New Roman"/>
                <w:color w:val="auto"/>
                <w:sz w:val="24"/>
                <w:szCs w:val="32"/>
                <w:highlight w:val="none"/>
                <w:lang w:eastAsia="zh-CN"/>
              </w:rPr>
              <w:t>；“</w:t>
            </w:r>
            <w:r>
              <w:rPr>
                <w:rFonts w:hint="eastAsia" w:cs="Times New Roman"/>
                <w:color w:val="auto"/>
                <w:sz w:val="24"/>
                <w:szCs w:val="24"/>
                <w:highlight w:val="none"/>
                <w:lang w:val="en-US" w:eastAsia="zh-CN"/>
              </w:rPr>
              <w:t>二十六、橡胶和塑料制品业29-53塑料制品业292-其他（年用非溶剂型低VOCs含量涂料10吨以下的除外）</w:t>
            </w:r>
            <w:r>
              <w:rPr>
                <w:rFonts w:hint="eastAsia" w:cs="Times New Roman"/>
                <w:color w:val="auto"/>
                <w:sz w:val="24"/>
                <w:szCs w:val="32"/>
                <w:highlight w:val="none"/>
                <w:lang w:eastAsia="zh-CN"/>
              </w:rPr>
              <w:t>”，</w:t>
            </w:r>
            <w:r>
              <w:rPr>
                <w:rFonts w:hint="eastAsia" w:cs="Times New Roman"/>
                <w:color w:val="auto"/>
                <w:sz w:val="24"/>
                <w:szCs w:val="32"/>
                <w:highlight w:val="none"/>
                <w:lang w:val="en-US" w:eastAsia="zh-CN"/>
              </w:rPr>
              <w:t>环评类别为“环境影响报告表”</w:t>
            </w:r>
            <w:r>
              <w:rPr>
                <w:rFonts w:hint="eastAsia" w:ascii="Times New Roman" w:hAnsi="Times New Roman" w:cs="Times New Roman"/>
                <w:color w:val="auto"/>
                <w:sz w:val="24"/>
                <w:szCs w:val="32"/>
                <w:highlight w:val="none"/>
                <w:lang w:eastAsia="zh-CN"/>
              </w:rPr>
              <w:t>。</w:t>
            </w:r>
            <w:r>
              <w:rPr>
                <w:rFonts w:hint="eastAsia" w:cs="Times New Roman"/>
                <w:color w:val="auto"/>
                <w:sz w:val="24"/>
                <w:szCs w:val="32"/>
                <w:highlight w:val="none"/>
                <w:lang w:val="en-US" w:eastAsia="zh-CN"/>
              </w:rPr>
              <w:t>综上所述，项目环评类别为“环境影响报告表”。</w:t>
            </w:r>
          </w:p>
          <w:p w14:paraId="1CD2A709">
            <w:pPr>
              <w:adjustRightInd w:val="0"/>
              <w:snapToGrid w:val="0"/>
              <w:spacing w:line="360" w:lineRule="auto"/>
              <w:ind w:firstLine="480" w:firstLineChars="200"/>
              <w:jc w:val="left"/>
              <w:rPr>
                <w:rFonts w:hint="eastAsia" w:ascii="Times New Roman" w:hAnsi="Times New Roman" w:cs="Times New Roman"/>
                <w:color w:val="auto"/>
                <w:sz w:val="24"/>
                <w:szCs w:val="32"/>
                <w:highlight w:val="none"/>
                <w:lang w:eastAsia="zh-CN"/>
              </w:rPr>
            </w:pPr>
            <w:r>
              <w:rPr>
                <w:rFonts w:hint="eastAsia" w:ascii="Times New Roman" w:hAnsi="Times New Roman" w:cs="Times New Roman"/>
                <w:color w:val="auto"/>
                <w:sz w:val="24"/>
                <w:szCs w:val="32"/>
                <w:highlight w:val="none"/>
                <w:lang w:eastAsia="zh-CN"/>
              </w:rPr>
              <w:t>为此，</w:t>
            </w:r>
            <w:r>
              <w:rPr>
                <w:rFonts w:hint="eastAsia" w:cs="Times New Roman"/>
                <w:color w:val="auto"/>
                <w:sz w:val="24"/>
                <w:szCs w:val="32"/>
                <w:highlight w:val="none"/>
                <w:lang w:eastAsia="zh-CN"/>
              </w:rPr>
              <w:t>安徽神州半导体有限公司</w:t>
            </w:r>
            <w:r>
              <w:rPr>
                <w:rFonts w:hint="eastAsia" w:ascii="Times New Roman" w:hAnsi="Times New Roman" w:cs="Times New Roman"/>
                <w:color w:val="auto"/>
                <w:sz w:val="24"/>
                <w:szCs w:val="32"/>
                <w:highlight w:val="none"/>
                <w:lang w:eastAsia="zh-CN"/>
              </w:rPr>
              <w:t>委托我公司对该项目进行环境影响评价。我公司接受委托后，</w:t>
            </w:r>
            <w:r>
              <w:rPr>
                <w:rFonts w:hint="eastAsia" w:cs="Times New Roman"/>
                <w:color w:val="auto"/>
                <w:sz w:val="24"/>
                <w:szCs w:val="32"/>
                <w:highlight w:val="none"/>
                <w:lang w:eastAsia="zh-CN"/>
              </w:rPr>
              <w:t>立</w:t>
            </w:r>
            <w:r>
              <w:rPr>
                <w:rFonts w:hint="eastAsia" w:ascii="Times New Roman" w:hAnsi="Times New Roman" w:cs="Times New Roman"/>
                <w:color w:val="auto"/>
                <w:sz w:val="24"/>
                <w:szCs w:val="32"/>
                <w:highlight w:val="none"/>
                <w:lang w:eastAsia="zh-CN"/>
              </w:rPr>
              <w:t>即组织有关人员赴现场进行踏勘、对周围环境进行了调查，并收集有关资料，在此基础上根据相关技术导则和规范要求，编制了本环境影响报告表，报请审批。</w:t>
            </w:r>
          </w:p>
          <w:p w14:paraId="321537B9">
            <w:pPr>
              <w:numPr>
                <w:ilvl w:val="0"/>
                <w:numId w:val="0"/>
              </w:numPr>
              <w:adjustRightInd w:val="0"/>
              <w:snapToGrid w:val="0"/>
              <w:spacing w:line="360" w:lineRule="auto"/>
              <w:ind w:left="0" w:leftChars="0" w:firstLine="482" w:firstLineChars="200"/>
              <w:jc w:val="left"/>
              <w:rPr>
                <w:rFonts w:hint="default" w:ascii="Times New Roman" w:hAnsi="Times New Roman" w:cs="Times New Roman"/>
                <w:b/>
                <w:bCs/>
                <w:color w:val="auto"/>
                <w:sz w:val="24"/>
                <w:szCs w:val="32"/>
                <w:highlight w:val="none"/>
              </w:rPr>
            </w:pPr>
            <w:r>
              <w:rPr>
                <w:rFonts w:hint="default" w:ascii="Times New Roman" w:hAnsi="Times New Roman" w:eastAsia="宋体" w:cs="Times New Roman"/>
                <w:b/>
                <w:bCs/>
                <w:color w:val="auto"/>
                <w:kern w:val="2"/>
                <w:sz w:val="24"/>
                <w:szCs w:val="32"/>
                <w:highlight w:val="none"/>
                <w:lang w:val="en-US" w:eastAsia="zh-CN" w:bidi="ar-SA"/>
              </w:rPr>
              <w:t>2、</w:t>
            </w:r>
            <w:r>
              <w:rPr>
                <w:rFonts w:hint="default" w:ascii="Times New Roman" w:hAnsi="Times New Roman" w:cs="Times New Roman"/>
                <w:b/>
                <w:bCs/>
                <w:color w:val="auto"/>
                <w:sz w:val="24"/>
                <w:szCs w:val="32"/>
                <w:highlight w:val="none"/>
              </w:rPr>
              <w:t>建设内容及规模</w:t>
            </w:r>
          </w:p>
          <w:p w14:paraId="5FEC0C12">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32"/>
                <w:highlight w:val="none"/>
                <w:lang w:eastAsia="zh-CN"/>
              </w:rPr>
              <w:t>项目租赁</w:t>
            </w:r>
            <w:r>
              <w:rPr>
                <w:rFonts w:hint="eastAsia" w:cs="Times New Roman"/>
                <w:color w:val="auto"/>
                <w:sz w:val="24"/>
                <w:szCs w:val="24"/>
                <w:highlight w:val="none"/>
                <w:lang w:val="en-US" w:eastAsia="zh-CN"/>
              </w:rPr>
              <w:t>池州市皖江江南新兴产业集中区孵化园A4厂房1层部分区域、2层、3层全部区域</w:t>
            </w:r>
            <w:r>
              <w:rPr>
                <w:rFonts w:hint="eastAsia" w:cs="Times New Roman"/>
                <w:color w:val="auto"/>
                <w:sz w:val="24"/>
                <w:szCs w:val="32"/>
                <w:highlight w:val="none"/>
                <w:vertAlign w:val="baseline"/>
                <w:lang w:val="en-US" w:eastAsia="zh-CN"/>
              </w:rPr>
              <w:t>，购置相关生产设备进行生产，</w:t>
            </w:r>
            <w:r>
              <w:rPr>
                <w:rFonts w:hint="eastAsia" w:cs="Times New Roman"/>
                <w:color w:val="auto"/>
                <w:sz w:val="24"/>
                <w:szCs w:val="24"/>
                <w:highlight w:val="none"/>
                <w:lang w:val="en-US" w:eastAsia="zh-CN"/>
              </w:rPr>
              <w:t>预计项目建成后能够形成年产</w:t>
            </w:r>
            <w:r>
              <w:rPr>
                <w:rFonts w:hint="eastAsia" w:cs="Times New Roman" w:eastAsiaTheme="minorEastAsia"/>
                <w:b w:val="0"/>
                <w:bCs w:val="0"/>
                <w:color w:val="auto"/>
                <w:sz w:val="24"/>
                <w:szCs w:val="24"/>
                <w:highlight w:val="none"/>
                <w:u w:val="none"/>
                <w:vertAlign w:val="baseline"/>
                <w:lang w:eastAsia="zh-CN"/>
              </w:rPr>
              <w:t>7000万件LED显示屏模组、2000万个显示屏模组器件</w:t>
            </w:r>
            <w:r>
              <w:rPr>
                <w:rFonts w:hint="eastAsia" w:cs="Times New Roman"/>
                <w:color w:val="auto"/>
                <w:sz w:val="24"/>
                <w:szCs w:val="24"/>
                <w:highlight w:val="none"/>
                <w:lang w:val="en-US" w:eastAsia="zh-CN"/>
              </w:rPr>
              <w:t>的生产能力。</w:t>
            </w:r>
          </w:p>
          <w:p w14:paraId="18A6396D">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拟建项目具体建设内容如下：</w:t>
            </w:r>
          </w:p>
          <w:p w14:paraId="19759E7E">
            <w:pPr>
              <w:rPr>
                <w:rFonts w:hint="eastAsia" w:cs="Times New Roman"/>
                <w:color w:val="auto"/>
                <w:sz w:val="24"/>
                <w:szCs w:val="24"/>
                <w:highlight w:val="none"/>
                <w:lang w:val="en-US" w:eastAsia="zh-CN"/>
              </w:rPr>
            </w:pPr>
          </w:p>
          <w:p w14:paraId="0C4C77C0">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eastAsia="宋体" w:cs="Times New Roman"/>
                <w:b/>
                <w:bCs/>
                <w:i w:val="0"/>
                <w:color w:val="auto"/>
                <w:kern w:val="2"/>
                <w:sz w:val="21"/>
                <w:szCs w:val="21"/>
                <w:highlight w:val="none"/>
                <w:lang w:val="en-US" w:eastAsia="zh-CN" w:bidi="ar-SA"/>
              </w:rPr>
              <w:t>表2-1</w:t>
            </w:r>
            <w:r>
              <w:rPr>
                <w:rFonts w:hint="eastAsia" w:ascii="Times New Roman" w:hAnsi="Times New Roman" w:cs="Times New Roman"/>
                <w:b/>
                <w:bCs/>
                <w:i w:val="0"/>
                <w:color w:val="auto"/>
                <w:kern w:val="2"/>
                <w:sz w:val="21"/>
                <w:szCs w:val="21"/>
                <w:highlight w:val="none"/>
                <w:lang w:val="en-US" w:eastAsia="zh-CN" w:bidi="ar-SA"/>
              </w:rPr>
              <w:t xml:space="preserve">  </w:t>
            </w:r>
            <w:r>
              <w:rPr>
                <w:rFonts w:hint="default" w:ascii="Times New Roman" w:hAnsi="Times New Roman" w:cs="Times New Roman"/>
                <w:b/>
                <w:bCs/>
                <w:color w:val="auto"/>
                <w:sz w:val="21"/>
                <w:szCs w:val="21"/>
                <w:highlight w:val="none"/>
              </w:rPr>
              <w:t>拟建项目</w:t>
            </w:r>
            <w:r>
              <w:rPr>
                <w:rFonts w:hint="eastAsia" w:ascii="Times New Roman" w:hAnsi="Times New Roman" w:cs="Times New Roman"/>
                <w:b/>
                <w:bCs/>
                <w:color w:val="auto"/>
                <w:sz w:val="21"/>
                <w:szCs w:val="21"/>
                <w:highlight w:val="none"/>
                <w:lang w:eastAsia="zh-CN"/>
              </w:rPr>
              <w:t>工程</w:t>
            </w:r>
            <w:r>
              <w:rPr>
                <w:rFonts w:hint="default" w:ascii="Times New Roman" w:hAnsi="Times New Roman" w:cs="Times New Roman"/>
                <w:b/>
                <w:bCs/>
                <w:color w:val="auto"/>
                <w:sz w:val="21"/>
                <w:szCs w:val="21"/>
                <w:highlight w:val="none"/>
              </w:rPr>
              <w:t>建设内容及组成一览表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86"/>
              <w:gridCol w:w="1362"/>
              <w:gridCol w:w="1619"/>
              <w:gridCol w:w="2927"/>
              <w:gridCol w:w="319"/>
              <w:gridCol w:w="1572"/>
            </w:tblGrid>
            <w:tr w14:paraId="1CE8F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noWrap w:val="0"/>
                  <w:vAlign w:val="center"/>
                </w:tcPr>
                <w:p w14:paraId="76316E5A">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工程类别</w:t>
                  </w:r>
                </w:p>
              </w:tc>
              <w:tc>
                <w:tcPr>
                  <w:tcW w:w="812" w:type="pct"/>
                  <w:noWrap w:val="0"/>
                  <w:vAlign w:val="center"/>
                </w:tcPr>
                <w:p w14:paraId="377EBF98">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单项工程名称</w:t>
                  </w:r>
                </w:p>
              </w:tc>
              <w:tc>
                <w:tcPr>
                  <w:tcW w:w="2900" w:type="pct"/>
                  <w:gridSpan w:val="3"/>
                  <w:noWrap w:val="0"/>
                  <w:vAlign w:val="center"/>
                </w:tcPr>
                <w:p w14:paraId="47FD8AE0">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工程内容</w:t>
                  </w:r>
                </w:p>
              </w:tc>
              <w:tc>
                <w:tcPr>
                  <w:tcW w:w="936" w:type="pct"/>
                  <w:noWrap w:val="0"/>
                  <w:vAlign w:val="center"/>
                </w:tcPr>
                <w:p w14:paraId="52FD188A">
                  <w:pPr>
                    <w:spacing w:line="240" w:lineRule="auto"/>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工程规模</w:t>
                  </w:r>
                </w:p>
              </w:tc>
            </w:tr>
            <w:tr w14:paraId="1277A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restart"/>
                  <w:noWrap w:val="0"/>
                  <w:vAlign w:val="center"/>
                </w:tcPr>
                <w:p w14:paraId="4EC52EB5">
                  <w:pPr>
                    <w:spacing w:line="240" w:lineRule="auto"/>
                    <w:jc w:val="center"/>
                    <w:rPr>
                      <w:rFonts w:hint="eastAsia"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主体工程</w:t>
                  </w:r>
                </w:p>
              </w:tc>
              <w:tc>
                <w:tcPr>
                  <w:tcW w:w="812" w:type="pct"/>
                  <w:noWrap w:val="0"/>
                  <w:vAlign w:val="center"/>
                </w:tcPr>
                <w:p w14:paraId="43E45708">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显示模组生产车间</w:t>
                  </w:r>
                </w:p>
              </w:tc>
              <w:tc>
                <w:tcPr>
                  <w:tcW w:w="2900" w:type="pct"/>
                  <w:gridSpan w:val="3"/>
                  <w:noWrap w:val="0"/>
                  <w:vAlign w:val="center"/>
                </w:tcPr>
                <w:p w14:paraId="12DCF567">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位于A4厂房2F，建筑面积约2612.04m</w:t>
                  </w:r>
                  <w:r>
                    <w:rPr>
                      <w:rFonts w:hint="eastAsia" w:cs="Times New Roman"/>
                      <w:color w:val="auto"/>
                      <w:sz w:val="21"/>
                      <w:szCs w:val="21"/>
                      <w:highlight w:val="none"/>
                      <w:vertAlign w:val="superscript"/>
                      <w:lang w:val="en-US" w:eastAsia="zh-CN"/>
                    </w:rPr>
                    <w:t>2</w:t>
                  </w:r>
                  <w:r>
                    <w:rPr>
                      <w:rFonts w:hint="eastAsia" w:cs="Times New Roman"/>
                      <w:color w:val="auto"/>
                      <w:sz w:val="21"/>
                      <w:szCs w:val="21"/>
                      <w:highlight w:val="none"/>
                      <w:lang w:val="en-US" w:eastAsia="zh-CN"/>
                    </w:rPr>
                    <w:t>，主要作为LED显示屏模组生产场所</w:t>
                  </w:r>
                </w:p>
              </w:tc>
              <w:tc>
                <w:tcPr>
                  <w:tcW w:w="936" w:type="pct"/>
                  <w:vMerge w:val="restart"/>
                  <w:noWrap w:val="0"/>
                  <w:vAlign w:val="center"/>
                </w:tcPr>
                <w:p w14:paraId="74B90FCA">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年产7000万件LED显示屏模组、2000万个显示屏模组器件</w:t>
                  </w:r>
                </w:p>
              </w:tc>
            </w:tr>
            <w:tr w14:paraId="13880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continue"/>
                  <w:noWrap w:val="0"/>
                  <w:vAlign w:val="center"/>
                </w:tcPr>
                <w:p w14:paraId="4151E97D">
                  <w:pPr>
                    <w:spacing w:line="240" w:lineRule="auto"/>
                    <w:jc w:val="center"/>
                    <w:rPr>
                      <w:rFonts w:hint="default" w:ascii="Times New Roman" w:hAnsi="Times New Roman" w:cs="Times New Roman"/>
                      <w:color w:val="auto"/>
                      <w:sz w:val="21"/>
                      <w:szCs w:val="21"/>
                      <w:highlight w:val="none"/>
                    </w:rPr>
                  </w:pPr>
                </w:p>
              </w:tc>
              <w:tc>
                <w:tcPr>
                  <w:tcW w:w="812" w:type="pct"/>
                  <w:noWrap w:val="0"/>
                  <w:vAlign w:val="center"/>
                </w:tcPr>
                <w:p w14:paraId="2E4AD4EB">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显示屏模组器件生产车间</w:t>
                  </w:r>
                </w:p>
              </w:tc>
              <w:tc>
                <w:tcPr>
                  <w:tcW w:w="2900" w:type="pct"/>
                  <w:gridSpan w:val="3"/>
                  <w:noWrap w:val="0"/>
                  <w:vAlign w:val="center"/>
                </w:tcPr>
                <w:p w14:paraId="694810B0">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位于A4厂房3F，建筑面积约2612.04m</w:t>
                  </w:r>
                  <w:r>
                    <w:rPr>
                      <w:rFonts w:hint="eastAsia" w:cs="Times New Roman"/>
                      <w:color w:val="auto"/>
                      <w:sz w:val="21"/>
                      <w:szCs w:val="21"/>
                      <w:highlight w:val="none"/>
                      <w:vertAlign w:val="superscript"/>
                      <w:lang w:val="en-US" w:eastAsia="zh-CN"/>
                    </w:rPr>
                    <w:t>2</w:t>
                  </w:r>
                  <w:r>
                    <w:rPr>
                      <w:rFonts w:hint="eastAsia" w:cs="Times New Roman"/>
                      <w:color w:val="auto"/>
                      <w:sz w:val="21"/>
                      <w:szCs w:val="21"/>
                      <w:highlight w:val="none"/>
                      <w:lang w:val="en-US" w:eastAsia="zh-CN"/>
                    </w:rPr>
                    <w:t>，主要作为显示屏模组器件生产场所</w:t>
                  </w:r>
                </w:p>
              </w:tc>
              <w:tc>
                <w:tcPr>
                  <w:tcW w:w="936" w:type="pct"/>
                  <w:vMerge w:val="continue"/>
                  <w:noWrap w:val="0"/>
                  <w:vAlign w:val="center"/>
                </w:tcPr>
                <w:p w14:paraId="22139F74">
                  <w:pPr>
                    <w:spacing w:line="240" w:lineRule="auto"/>
                    <w:jc w:val="center"/>
                    <w:rPr>
                      <w:rFonts w:hint="eastAsia" w:cs="Times New Roman"/>
                      <w:color w:val="auto"/>
                      <w:sz w:val="21"/>
                      <w:szCs w:val="21"/>
                      <w:highlight w:val="none"/>
                      <w:lang w:val="en-US" w:eastAsia="zh-CN"/>
                    </w:rPr>
                  </w:pPr>
                </w:p>
              </w:tc>
            </w:tr>
            <w:tr w14:paraId="72A7E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90" w:hRule="atLeast"/>
                <w:jc w:val="center"/>
              </w:trPr>
              <w:tc>
                <w:tcPr>
                  <w:tcW w:w="350" w:type="pct"/>
                  <w:noWrap w:val="0"/>
                  <w:vAlign w:val="center"/>
                </w:tcPr>
                <w:p w14:paraId="4DEAA442">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辅助工程</w:t>
                  </w:r>
                </w:p>
              </w:tc>
              <w:tc>
                <w:tcPr>
                  <w:tcW w:w="812" w:type="pct"/>
                  <w:noWrap w:val="0"/>
                  <w:vAlign w:val="center"/>
                </w:tcPr>
                <w:p w14:paraId="3062B679">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综合办公区</w:t>
                  </w:r>
                </w:p>
              </w:tc>
              <w:tc>
                <w:tcPr>
                  <w:tcW w:w="2900" w:type="pct"/>
                  <w:gridSpan w:val="3"/>
                  <w:noWrap w:val="0"/>
                  <w:vAlign w:val="center"/>
                </w:tcPr>
                <w:p w14:paraId="0D3523B5">
                  <w:pPr>
                    <w:spacing w:line="240" w:lineRule="auto"/>
                    <w:jc w:val="both"/>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位于A4厂房1层，包括包含大厅、会议室、办公室、产品展示厅、产品演示厅、微型消防站、办公储物间等功能区，主要用于员工办公、客户招待等</w:t>
                  </w:r>
                </w:p>
              </w:tc>
              <w:tc>
                <w:tcPr>
                  <w:tcW w:w="936" w:type="pct"/>
                  <w:noWrap w:val="0"/>
                  <w:vAlign w:val="center"/>
                </w:tcPr>
                <w:p w14:paraId="679BF3B6">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建筑面积约1225.02</w:t>
                  </w:r>
                  <w:r>
                    <w:rPr>
                      <w:rFonts w:hint="eastAsia" w:ascii="Times New Roman" w:hAnsi="Times New Roman" w:cs="Times New Roman"/>
                      <w:color w:val="auto"/>
                      <w:sz w:val="21"/>
                      <w:szCs w:val="21"/>
                      <w:highlight w:val="none"/>
                      <w:lang w:val="en-US" w:eastAsia="zh-CN"/>
                    </w:rPr>
                    <w:t>m</w:t>
                  </w:r>
                  <w:r>
                    <w:rPr>
                      <w:rFonts w:hint="eastAsia" w:ascii="Times New Roman" w:hAnsi="Times New Roman" w:cs="Times New Roman"/>
                      <w:color w:val="auto"/>
                      <w:sz w:val="21"/>
                      <w:szCs w:val="21"/>
                      <w:highlight w:val="none"/>
                      <w:vertAlign w:val="superscript"/>
                      <w:lang w:val="en-US" w:eastAsia="zh-CN"/>
                    </w:rPr>
                    <w:t>2</w:t>
                  </w:r>
                </w:p>
              </w:tc>
            </w:tr>
            <w:tr w14:paraId="75E1F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restart"/>
                  <w:noWrap w:val="0"/>
                  <w:vAlign w:val="center"/>
                </w:tcPr>
                <w:p w14:paraId="23C1D685">
                  <w:pPr>
                    <w:spacing w:line="240" w:lineRule="auto"/>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储运工程</w:t>
                  </w:r>
                </w:p>
              </w:tc>
              <w:tc>
                <w:tcPr>
                  <w:tcW w:w="812" w:type="pct"/>
                  <w:noWrap w:val="0"/>
                  <w:vAlign w:val="center"/>
                </w:tcPr>
                <w:p w14:paraId="516D191B">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原料仓库1</w:t>
                  </w:r>
                </w:p>
              </w:tc>
              <w:tc>
                <w:tcPr>
                  <w:tcW w:w="2900" w:type="pct"/>
                  <w:gridSpan w:val="3"/>
                  <w:noWrap w:val="0"/>
                  <w:vAlign w:val="center"/>
                </w:tcPr>
                <w:p w14:paraId="170BEF9F">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位于A4厂房2层北部，用于项目原辅料</w:t>
                  </w:r>
                  <w:r>
                    <w:rPr>
                      <w:rFonts w:hint="eastAsia" w:cs="Times New Roman"/>
                      <w:color w:val="auto"/>
                      <w:sz w:val="21"/>
                      <w:szCs w:val="21"/>
                      <w:highlight w:val="none"/>
                      <w:vertAlign w:val="baseline"/>
                      <w:lang w:val="en-US" w:eastAsia="zh-CN"/>
                    </w:rPr>
                    <w:t>PCB板、LED灯、电阻、电容、IC、电源座、排针、底壳、面罩、电解电容、磁铁、电源线、排线、珍珠棉、纸箱原辅</w:t>
                  </w:r>
                  <w:r>
                    <w:rPr>
                      <w:rFonts w:hint="eastAsia" w:ascii="Times New Roman" w:hAnsi="Times New Roman" w:eastAsia="宋体" w:cs="Times New Roman"/>
                      <w:color w:val="auto"/>
                      <w:sz w:val="21"/>
                      <w:szCs w:val="21"/>
                      <w:highlight w:val="none"/>
                      <w:vertAlign w:val="baseline"/>
                      <w:lang w:val="en-US" w:eastAsia="zh-CN"/>
                    </w:rPr>
                    <w:t>材料</w:t>
                  </w:r>
                  <w:r>
                    <w:rPr>
                      <w:rFonts w:hint="eastAsia" w:cs="Times New Roman"/>
                      <w:color w:val="auto"/>
                      <w:sz w:val="21"/>
                      <w:szCs w:val="21"/>
                      <w:highlight w:val="none"/>
                      <w:vertAlign w:val="baseline"/>
                      <w:lang w:val="en-US" w:eastAsia="zh-CN"/>
                    </w:rPr>
                    <w:t>的临时储存</w:t>
                  </w:r>
                </w:p>
              </w:tc>
              <w:tc>
                <w:tcPr>
                  <w:tcW w:w="936" w:type="pct"/>
                  <w:noWrap w:val="0"/>
                  <w:vAlign w:val="center"/>
                </w:tcPr>
                <w:p w14:paraId="3609399B">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建筑</w:t>
                  </w:r>
                  <w:r>
                    <w:rPr>
                      <w:rFonts w:hint="eastAsia" w:ascii="Times New Roman" w:hAnsi="Times New Roman" w:eastAsia="宋体" w:cs="Times New Roman"/>
                      <w:color w:val="auto"/>
                      <w:sz w:val="21"/>
                      <w:szCs w:val="21"/>
                      <w:highlight w:val="none"/>
                      <w:lang w:val="en-US" w:eastAsia="zh-CN"/>
                    </w:rPr>
                    <w:t>面积约</w:t>
                  </w:r>
                  <w:r>
                    <w:rPr>
                      <w:rFonts w:hint="eastAsia" w:cs="Times New Roman"/>
                      <w:color w:val="auto"/>
                      <w:sz w:val="21"/>
                      <w:szCs w:val="21"/>
                      <w:highlight w:val="none"/>
                      <w:lang w:val="en-US" w:eastAsia="zh-CN"/>
                    </w:rPr>
                    <w:t>80</w:t>
                  </w:r>
                  <w:r>
                    <w:rPr>
                      <w:rFonts w:hint="eastAsia" w:ascii="Times New Roman" w:hAnsi="Times New Roman" w:eastAsia="宋体" w:cs="Times New Roman"/>
                      <w:color w:val="auto"/>
                      <w:sz w:val="21"/>
                      <w:szCs w:val="21"/>
                      <w:highlight w:val="none"/>
                      <w:lang w:val="en-US" w:eastAsia="zh-CN"/>
                    </w:rPr>
                    <w:t>m</w:t>
                  </w:r>
                  <w:r>
                    <w:rPr>
                      <w:rFonts w:hint="eastAsia" w:cs="Times New Roman"/>
                      <w:color w:val="auto"/>
                      <w:sz w:val="21"/>
                      <w:szCs w:val="21"/>
                      <w:highlight w:val="none"/>
                      <w:vertAlign w:val="superscript"/>
                      <w:lang w:val="en-US" w:eastAsia="zh-CN"/>
                    </w:rPr>
                    <w:t>2</w:t>
                  </w:r>
                </w:p>
              </w:tc>
            </w:tr>
            <w:tr w14:paraId="078C5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continue"/>
                  <w:noWrap w:val="0"/>
                  <w:vAlign w:val="center"/>
                </w:tcPr>
                <w:p w14:paraId="72AB5820">
                  <w:pPr>
                    <w:spacing w:line="240" w:lineRule="auto"/>
                    <w:jc w:val="center"/>
                    <w:rPr>
                      <w:rFonts w:hint="default" w:ascii="Times New Roman" w:hAnsi="Times New Roman" w:cs="Times New Roman"/>
                      <w:color w:val="auto"/>
                      <w:sz w:val="21"/>
                      <w:szCs w:val="21"/>
                      <w:highlight w:val="none"/>
                    </w:rPr>
                  </w:pPr>
                </w:p>
              </w:tc>
              <w:tc>
                <w:tcPr>
                  <w:tcW w:w="812" w:type="pct"/>
                  <w:noWrap w:val="0"/>
                  <w:vAlign w:val="center"/>
                </w:tcPr>
                <w:p w14:paraId="4BAB558E">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原料</w:t>
                  </w:r>
                  <w:r>
                    <w:rPr>
                      <w:rFonts w:hint="eastAsia" w:cs="Times New Roman"/>
                      <w:color w:val="auto"/>
                      <w:sz w:val="21"/>
                      <w:szCs w:val="21"/>
                      <w:highlight w:val="none"/>
                      <w:lang w:eastAsia="zh-CN"/>
                    </w:rPr>
                    <w:t>仓库</w:t>
                  </w:r>
                  <w:r>
                    <w:rPr>
                      <w:rFonts w:hint="eastAsia" w:cs="Times New Roman"/>
                      <w:color w:val="auto"/>
                      <w:sz w:val="21"/>
                      <w:szCs w:val="21"/>
                      <w:highlight w:val="none"/>
                      <w:vertAlign w:val="baseline"/>
                      <w:lang w:val="en-US" w:eastAsia="zh-CN"/>
                    </w:rPr>
                    <w:t>2</w:t>
                  </w:r>
                </w:p>
              </w:tc>
              <w:tc>
                <w:tcPr>
                  <w:tcW w:w="2900" w:type="pct"/>
                  <w:gridSpan w:val="3"/>
                  <w:noWrap w:val="0"/>
                  <w:vAlign w:val="center"/>
                </w:tcPr>
                <w:p w14:paraId="7342EB43">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位于A4厂房2层北部，用于</w:t>
                  </w:r>
                  <w:r>
                    <w:rPr>
                      <w:rFonts w:hint="eastAsia" w:cs="Times New Roman"/>
                      <w:color w:val="auto"/>
                      <w:sz w:val="21"/>
                      <w:szCs w:val="21"/>
                      <w:highlight w:val="none"/>
                      <w:vertAlign w:val="baseline"/>
                      <w:lang w:val="en-US" w:eastAsia="zh-CN"/>
                    </w:rPr>
                    <w:t>无铅锡膏、无铅锡丝、酒精（98%）、无尘擦拭纸、机油、PS等原辅</w:t>
                  </w:r>
                  <w:r>
                    <w:rPr>
                      <w:rFonts w:hint="eastAsia" w:ascii="Times New Roman" w:hAnsi="Times New Roman" w:eastAsia="宋体" w:cs="Times New Roman"/>
                      <w:color w:val="auto"/>
                      <w:sz w:val="21"/>
                      <w:szCs w:val="21"/>
                      <w:highlight w:val="none"/>
                      <w:vertAlign w:val="baseline"/>
                      <w:lang w:val="en-US" w:eastAsia="zh-CN"/>
                    </w:rPr>
                    <w:t>材料</w:t>
                  </w:r>
                  <w:r>
                    <w:rPr>
                      <w:rFonts w:hint="eastAsia" w:cs="Times New Roman"/>
                      <w:color w:val="auto"/>
                      <w:sz w:val="21"/>
                      <w:szCs w:val="21"/>
                      <w:highlight w:val="none"/>
                      <w:vertAlign w:val="baseline"/>
                      <w:lang w:val="en-US" w:eastAsia="zh-CN"/>
                    </w:rPr>
                    <w:t>的临时储存</w:t>
                  </w:r>
                </w:p>
              </w:tc>
              <w:tc>
                <w:tcPr>
                  <w:tcW w:w="936" w:type="pct"/>
                  <w:noWrap w:val="0"/>
                  <w:vAlign w:val="center"/>
                </w:tcPr>
                <w:p w14:paraId="1B788436">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建筑</w:t>
                  </w:r>
                  <w:r>
                    <w:rPr>
                      <w:rFonts w:hint="eastAsia" w:ascii="Times New Roman" w:hAnsi="Times New Roman" w:eastAsia="宋体" w:cs="Times New Roman"/>
                      <w:color w:val="auto"/>
                      <w:sz w:val="21"/>
                      <w:szCs w:val="21"/>
                      <w:highlight w:val="none"/>
                      <w:lang w:val="en-US" w:eastAsia="zh-CN"/>
                    </w:rPr>
                    <w:t>面积约</w:t>
                  </w:r>
                  <w:r>
                    <w:rPr>
                      <w:rFonts w:hint="eastAsia" w:cs="Times New Roman"/>
                      <w:color w:val="auto"/>
                      <w:sz w:val="21"/>
                      <w:szCs w:val="21"/>
                      <w:highlight w:val="none"/>
                      <w:lang w:val="en-US" w:eastAsia="zh-CN"/>
                    </w:rPr>
                    <w:t>60</w:t>
                  </w:r>
                  <w:r>
                    <w:rPr>
                      <w:rFonts w:hint="eastAsia" w:ascii="Times New Roman" w:hAnsi="Times New Roman" w:eastAsia="宋体" w:cs="Times New Roman"/>
                      <w:color w:val="auto"/>
                      <w:sz w:val="21"/>
                      <w:szCs w:val="21"/>
                      <w:highlight w:val="none"/>
                      <w:lang w:val="en-US" w:eastAsia="zh-CN"/>
                    </w:rPr>
                    <w:t>m</w:t>
                  </w:r>
                  <w:r>
                    <w:rPr>
                      <w:rFonts w:hint="eastAsia" w:cs="Times New Roman"/>
                      <w:color w:val="auto"/>
                      <w:sz w:val="21"/>
                      <w:szCs w:val="21"/>
                      <w:highlight w:val="none"/>
                      <w:vertAlign w:val="superscript"/>
                      <w:lang w:val="en-US" w:eastAsia="zh-CN"/>
                    </w:rPr>
                    <w:t>2</w:t>
                  </w:r>
                </w:p>
              </w:tc>
            </w:tr>
            <w:tr w14:paraId="359AA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restart"/>
                  <w:noWrap w:val="0"/>
                  <w:vAlign w:val="center"/>
                </w:tcPr>
                <w:p w14:paraId="77DF1089">
                  <w:pPr>
                    <w:spacing w:line="240" w:lineRule="auto"/>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公用工程</w:t>
                  </w:r>
                </w:p>
              </w:tc>
              <w:tc>
                <w:tcPr>
                  <w:tcW w:w="812" w:type="pct"/>
                  <w:noWrap w:val="0"/>
                  <w:vAlign w:val="center"/>
                </w:tcPr>
                <w:p w14:paraId="611731F6">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供水</w:t>
                  </w:r>
                </w:p>
              </w:tc>
              <w:tc>
                <w:tcPr>
                  <w:tcW w:w="2900" w:type="pct"/>
                  <w:gridSpan w:val="3"/>
                  <w:noWrap w:val="0"/>
                  <w:vAlign w:val="center"/>
                </w:tcPr>
                <w:p w14:paraId="3C8236C2">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市政管网供水</w:t>
                  </w:r>
                </w:p>
              </w:tc>
              <w:tc>
                <w:tcPr>
                  <w:tcW w:w="936" w:type="pct"/>
                  <w:noWrap w:val="0"/>
                  <w:vAlign w:val="center"/>
                </w:tcPr>
                <w:p w14:paraId="049FAFB9">
                  <w:pPr>
                    <w:spacing w:line="240" w:lineRule="auto"/>
                    <w:jc w:val="center"/>
                    <w:rPr>
                      <w:rFonts w:hint="eastAsia"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年用水量</w:t>
                  </w:r>
                  <w:r>
                    <w:rPr>
                      <w:rFonts w:hint="eastAsia" w:cs="Times New Roman"/>
                      <w:color w:val="auto"/>
                      <w:sz w:val="21"/>
                      <w:szCs w:val="21"/>
                      <w:highlight w:val="none"/>
                      <w:lang w:val="en-US" w:eastAsia="zh-CN"/>
                    </w:rPr>
                    <w:t>3449.7</w:t>
                  </w:r>
                  <w:r>
                    <w:rPr>
                      <w:rFonts w:hint="default" w:ascii="Times New Roman" w:hAnsi="Times New Roman" w:cs="Times New Roman"/>
                      <w:color w:val="auto"/>
                      <w:sz w:val="21"/>
                      <w:szCs w:val="21"/>
                      <w:highlight w:val="none"/>
                    </w:rPr>
                    <w:t>t</w:t>
                  </w:r>
                </w:p>
              </w:tc>
            </w:tr>
            <w:tr w14:paraId="25D1B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continue"/>
                  <w:noWrap w:val="0"/>
                  <w:vAlign w:val="center"/>
                </w:tcPr>
                <w:p w14:paraId="081D9641">
                  <w:pPr>
                    <w:spacing w:line="240" w:lineRule="auto"/>
                    <w:jc w:val="center"/>
                    <w:rPr>
                      <w:rFonts w:hint="eastAsia" w:ascii="Times New Roman" w:hAnsi="Times New Roman" w:eastAsia="宋体" w:cs="Times New Roman"/>
                      <w:color w:val="auto"/>
                      <w:sz w:val="21"/>
                      <w:szCs w:val="21"/>
                      <w:highlight w:val="none"/>
                      <w:lang w:eastAsia="zh-CN"/>
                    </w:rPr>
                  </w:pPr>
                </w:p>
              </w:tc>
              <w:tc>
                <w:tcPr>
                  <w:tcW w:w="812" w:type="pct"/>
                  <w:noWrap w:val="0"/>
                  <w:vAlign w:val="center"/>
                </w:tcPr>
                <w:p w14:paraId="04A021E4">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排水</w:t>
                  </w:r>
                </w:p>
              </w:tc>
              <w:tc>
                <w:tcPr>
                  <w:tcW w:w="2900" w:type="pct"/>
                  <w:gridSpan w:val="3"/>
                  <w:noWrap w:val="0"/>
                  <w:vAlign w:val="center"/>
                </w:tcPr>
                <w:p w14:paraId="0B0A3868">
                  <w:pPr>
                    <w:spacing w:line="240" w:lineRule="auto"/>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vertAlign w:val="baseline"/>
                      <w:lang w:val="en-US" w:eastAsia="zh-CN"/>
                    </w:rPr>
                    <w:t>厂区</w:t>
                  </w:r>
                  <w:r>
                    <w:rPr>
                      <w:rFonts w:hint="eastAsia" w:cs="Times New Roman"/>
                      <w:color w:val="auto"/>
                      <w:sz w:val="21"/>
                      <w:szCs w:val="21"/>
                      <w:highlight w:val="none"/>
                      <w:lang w:eastAsia="zh-CN"/>
                    </w:rPr>
                    <w:t>采取雨、污</w:t>
                  </w:r>
                  <w:r>
                    <w:rPr>
                      <w:rFonts w:hint="default" w:ascii="Times New Roman" w:hAnsi="Times New Roman" w:cs="Times New Roman"/>
                      <w:color w:val="auto"/>
                      <w:sz w:val="21"/>
                      <w:szCs w:val="21"/>
                      <w:highlight w:val="none"/>
                    </w:rPr>
                    <w:t>分流制</w:t>
                  </w:r>
                  <w:r>
                    <w:rPr>
                      <w:rFonts w:hint="eastAsia" w:ascii="Times New Roman" w:hAnsi="Times New Roman" w:cs="Times New Roman"/>
                      <w:color w:val="auto"/>
                      <w:sz w:val="21"/>
                      <w:szCs w:val="21"/>
                      <w:highlight w:val="none"/>
                      <w:lang w:eastAsia="zh-CN"/>
                    </w:rPr>
                    <w:t>，生活污水</w:t>
                  </w:r>
                  <w:r>
                    <w:rPr>
                      <w:rFonts w:hint="eastAsia" w:cs="Times New Roman"/>
                      <w:color w:val="auto"/>
                      <w:sz w:val="21"/>
                      <w:szCs w:val="21"/>
                      <w:highlight w:val="none"/>
                      <w:lang w:eastAsia="zh-CN"/>
                    </w:rPr>
                    <w:t>依托</w:t>
                  </w:r>
                  <w:r>
                    <w:rPr>
                      <w:rFonts w:hint="eastAsia" w:ascii="Times New Roman" w:hAnsi="Times New Roman" w:cs="Times New Roman"/>
                      <w:color w:val="auto"/>
                      <w:sz w:val="21"/>
                      <w:szCs w:val="21"/>
                      <w:highlight w:val="none"/>
                      <w:lang w:eastAsia="zh-CN"/>
                    </w:rPr>
                    <w:t>园区化粪</w:t>
                  </w:r>
                  <w:r>
                    <w:rPr>
                      <w:rFonts w:hint="eastAsia" w:cs="Times New Roman"/>
                      <w:color w:val="auto"/>
                      <w:sz w:val="21"/>
                      <w:szCs w:val="21"/>
                      <w:highlight w:val="none"/>
                      <w:lang w:eastAsia="zh-CN"/>
                    </w:rPr>
                    <w:t>池</w:t>
                  </w:r>
                  <w:r>
                    <w:rPr>
                      <w:rFonts w:hint="eastAsia" w:ascii="Times New Roman" w:hAnsi="Times New Roman" w:cs="Times New Roman"/>
                      <w:color w:val="auto"/>
                      <w:sz w:val="21"/>
                      <w:szCs w:val="21"/>
                      <w:highlight w:val="none"/>
                      <w:lang w:eastAsia="zh-CN"/>
                    </w:rPr>
                    <w:t>预处理后</w:t>
                  </w:r>
                  <w:r>
                    <w:rPr>
                      <w:rFonts w:hint="eastAsia" w:cs="Times New Roman"/>
                      <w:color w:val="auto"/>
                      <w:sz w:val="21"/>
                      <w:szCs w:val="21"/>
                      <w:highlight w:val="none"/>
                      <w:lang w:val="en-US" w:eastAsia="zh-CN"/>
                    </w:rPr>
                    <w:t>与冷却循环外排水一并</w:t>
                  </w:r>
                  <w:r>
                    <w:rPr>
                      <w:rFonts w:hint="eastAsia" w:cs="Times New Roman"/>
                      <w:color w:val="auto"/>
                      <w:sz w:val="21"/>
                      <w:szCs w:val="21"/>
                      <w:highlight w:val="none"/>
                      <w:lang w:eastAsia="zh-CN"/>
                    </w:rPr>
                    <w:t>通过市政污水管网</w:t>
                  </w:r>
                  <w:r>
                    <w:rPr>
                      <w:rFonts w:hint="eastAsia" w:ascii="Times New Roman" w:hAnsi="Times New Roman" w:cs="Times New Roman"/>
                      <w:color w:val="auto"/>
                      <w:sz w:val="21"/>
                      <w:szCs w:val="21"/>
                      <w:highlight w:val="none"/>
                      <w:lang w:eastAsia="zh-CN"/>
                    </w:rPr>
                    <w:t>排入</w:t>
                  </w:r>
                  <w:r>
                    <w:rPr>
                      <w:rFonts w:hint="eastAsia" w:cs="Times New Roman"/>
                      <w:color w:val="auto"/>
                      <w:sz w:val="21"/>
                      <w:szCs w:val="21"/>
                      <w:highlight w:val="none"/>
                      <w:lang w:eastAsia="zh-CN"/>
                    </w:rPr>
                    <w:t>皖江江南新兴产业集中区第一污水处理厂</w:t>
                  </w:r>
                  <w:r>
                    <w:rPr>
                      <w:rFonts w:hint="eastAsia" w:ascii="Times New Roman" w:hAnsi="Times New Roman" w:cs="Times New Roman"/>
                      <w:color w:val="auto"/>
                      <w:sz w:val="21"/>
                      <w:szCs w:val="21"/>
                      <w:highlight w:val="none"/>
                      <w:lang w:eastAsia="zh-CN"/>
                    </w:rPr>
                    <w:t>，处理达标后经九华河排入长江</w:t>
                  </w:r>
                </w:p>
              </w:tc>
              <w:tc>
                <w:tcPr>
                  <w:tcW w:w="936" w:type="pct"/>
                  <w:noWrap w:val="0"/>
                  <w:vAlign w:val="center"/>
                </w:tcPr>
                <w:p w14:paraId="1A7F07CC">
                  <w:pPr>
                    <w:spacing w:line="240" w:lineRule="auto"/>
                    <w:jc w:val="center"/>
                    <w:rPr>
                      <w:rFonts w:hint="eastAsia"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rPr>
                    <w:t>年排水量</w:t>
                  </w:r>
                  <w:r>
                    <w:rPr>
                      <w:rFonts w:hint="eastAsia" w:cs="Times New Roman"/>
                      <w:color w:val="auto"/>
                      <w:sz w:val="21"/>
                      <w:szCs w:val="21"/>
                      <w:highlight w:val="none"/>
                      <w:lang w:val="en-US" w:eastAsia="zh-CN"/>
                    </w:rPr>
                    <w:t>2482.5</w:t>
                  </w:r>
                  <w:r>
                    <w:rPr>
                      <w:rFonts w:hint="eastAsia" w:ascii="Times New Roman" w:hAnsi="Times New Roman" w:cs="Times New Roman"/>
                      <w:color w:val="auto"/>
                      <w:sz w:val="21"/>
                      <w:szCs w:val="21"/>
                      <w:highlight w:val="none"/>
                      <w:vertAlign w:val="baseline"/>
                      <w:lang w:val="en-US" w:eastAsia="zh-CN"/>
                    </w:rPr>
                    <w:t>t</w:t>
                  </w:r>
                </w:p>
              </w:tc>
            </w:tr>
            <w:tr w14:paraId="090F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continue"/>
                  <w:noWrap w:val="0"/>
                  <w:vAlign w:val="center"/>
                </w:tcPr>
                <w:p w14:paraId="58E52FE1">
                  <w:pPr>
                    <w:spacing w:line="240" w:lineRule="auto"/>
                    <w:jc w:val="center"/>
                    <w:rPr>
                      <w:rFonts w:hint="eastAsia" w:ascii="Times New Roman" w:hAnsi="Times New Roman" w:eastAsia="宋体" w:cs="Times New Roman"/>
                      <w:color w:val="auto"/>
                      <w:sz w:val="21"/>
                      <w:szCs w:val="21"/>
                      <w:highlight w:val="none"/>
                      <w:lang w:eastAsia="zh-CN"/>
                    </w:rPr>
                  </w:pPr>
                </w:p>
              </w:tc>
              <w:tc>
                <w:tcPr>
                  <w:tcW w:w="812" w:type="pct"/>
                  <w:noWrap w:val="0"/>
                  <w:vAlign w:val="center"/>
                </w:tcPr>
                <w:p w14:paraId="54DEEF69">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供电</w:t>
                  </w:r>
                </w:p>
              </w:tc>
              <w:tc>
                <w:tcPr>
                  <w:tcW w:w="2900" w:type="pct"/>
                  <w:gridSpan w:val="3"/>
                  <w:noWrap w:val="0"/>
                  <w:vAlign w:val="center"/>
                </w:tcPr>
                <w:p w14:paraId="59B34D03">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市政电网供</w:t>
                  </w:r>
                  <w:r>
                    <w:rPr>
                      <w:rFonts w:hint="eastAsia" w:ascii="Times New Roman" w:hAnsi="Times New Roman" w:cs="Times New Roman"/>
                      <w:color w:val="auto"/>
                      <w:sz w:val="21"/>
                      <w:szCs w:val="21"/>
                      <w:highlight w:val="none"/>
                      <w:lang w:eastAsia="zh-CN"/>
                    </w:rPr>
                    <w:t>电</w:t>
                  </w:r>
                </w:p>
              </w:tc>
              <w:tc>
                <w:tcPr>
                  <w:tcW w:w="936" w:type="pct"/>
                  <w:noWrap w:val="0"/>
                  <w:vAlign w:val="center"/>
                </w:tcPr>
                <w:p w14:paraId="5C5FAA65">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年用电量</w:t>
                  </w:r>
                  <w:r>
                    <w:rPr>
                      <w:rFonts w:hint="eastAsia" w:cs="Times New Roman"/>
                      <w:color w:val="auto"/>
                      <w:sz w:val="21"/>
                      <w:szCs w:val="21"/>
                      <w:highlight w:val="none"/>
                      <w:lang w:val="en-US" w:eastAsia="zh-CN"/>
                    </w:rPr>
                    <w:t>3000</w:t>
                  </w:r>
                  <w:r>
                    <w:rPr>
                      <w:rFonts w:hint="default" w:ascii="Times New Roman" w:hAnsi="Times New Roman" w:cs="Times New Roman"/>
                      <w:color w:val="auto"/>
                      <w:sz w:val="21"/>
                      <w:szCs w:val="21"/>
                      <w:highlight w:val="none"/>
                    </w:rPr>
                    <w:t>万</w:t>
                  </w:r>
                </w:p>
              </w:tc>
            </w:tr>
            <w:tr w14:paraId="3999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restart"/>
                  <w:noWrap w:val="0"/>
                  <w:vAlign w:val="center"/>
                </w:tcPr>
                <w:p w14:paraId="0DCE9B12">
                  <w:pPr>
                    <w:spacing w:line="240" w:lineRule="auto"/>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环保工程</w:t>
                  </w:r>
                </w:p>
              </w:tc>
              <w:tc>
                <w:tcPr>
                  <w:tcW w:w="812" w:type="pct"/>
                  <w:noWrap w:val="0"/>
                  <w:vAlign w:val="center"/>
                </w:tcPr>
                <w:p w14:paraId="10AFA6ED">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废水治理</w:t>
                  </w:r>
                </w:p>
              </w:tc>
              <w:tc>
                <w:tcPr>
                  <w:tcW w:w="3837" w:type="pct"/>
                  <w:gridSpan w:val="4"/>
                  <w:noWrap w:val="0"/>
                  <w:vAlign w:val="center"/>
                </w:tcPr>
                <w:p w14:paraId="337F5299">
                  <w:pPr>
                    <w:spacing w:line="240" w:lineRule="auto"/>
                    <w:jc w:val="both"/>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vertAlign w:val="baseline"/>
                      <w:lang w:val="en-US" w:eastAsia="zh-CN"/>
                    </w:rPr>
                    <w:t>厂区</w:t>
                  </w:r>
                  <w:r>
                    <w:rPr>
                      <w:rFonts w:hint="eastAsia" w:cs="Times New Roman"/>
                      <w:color w:val="auto"/>
                      <w:sz w:val="21"/>
                      <w:szCs w:val="21"/>
                      <w:highlight w:val="none"/>
                      <w:lang w:eastAsia="zh-CN"/>
                    </w:rPr>
                    <w:t>采取雨、污</w:t>
                  </w:r>
                  <w:r>
                    <w:rPr>
                      <w:rFonts w:hint="default" w:ascii="Times New Roman" w:hAnsi="Times New Roman" w:cs="Times New Roman"/>
                      <w:color w:val="auto"/>
                      <w:sz w:val="21"/>
                      <w:szCs w:val="21"/>
                      <w:highlight w:val="none"/>
                    </w:rPr>
                    <w:t>分流制</w:t>
                  </w:r>
                  <w:r>
                    <w:rPr>
                      <w:rFonts w:hint="eastAsia"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依托园区</w:t>
                  </w:r>
                  <w:r>
                    <w:rPr>
                      <w:rFonts w:hint="default" w:ascii="Times New Roman" w:hAnsi="Times New Roman" w:cs="Times New Roman"/>
                      <w:color w:val="auto"/>
                      <w:sz w:val="21"/>
                      <w:szCs w:val="21"/>
                      <w:highlight w:val="none"/>
                    </w:rPr>
                    <w:t>雨污水管网</w:t>
                  </w:r>
                  <w:r>
                    <w:rPr>
                      <w:rFonts w:hint="eastAsia" w:cs="Times New Roman"/>
                      <w:color w:val="auto"/>
                      <w:sz w:val="21"/>
                      <w:szCs w:val="21"/>
                      <w:highlight w:val="none"/>
                      <w:lang w:eastAsia="zh-CN"/>
                    </w:rPr>
                    <w:t>；运营期</w:t>
                  </w:r>
                  <w:r>
                    <w:rPr>
                      <w:rFonts w:hint="eastAsia" w:cs="Times New Roman"/>
                      <w:color w:val="auto"/>
                      <w:sz w:val="21"/>
                      <w:szCs w:val="21"/>
                      <w:highlight w:val="none"/>
                      <w:lang w:val="en-US" w:eastAsia="zh-CN"/>
                    </w:rPr>
                    <w:t>生活污水</w:t>
                  </w:r>
                  <w:r>
                    <w:rPr>
                      <w:rFonts w:hint="eastAsia" w:ascii="Times New Roman" w:hAnsi="Times New Roman" w:cs="Times New Roman"/>
                      <w:color w:val="auto"/>
                      <w:sz w:val="21"/>
                      <w:szCs w:val="21"/>
                      <w:highlight w:val="none"/>
                      <w:lang w:val="en-US" w:eastAsia="zh-CN"/>
                    </w:rPr>
                    <w:t>依托园区</w:t>
                  </w:r>
                  <w:r>
                    <w:rPr>
                      <w:rFonts w:hint="default" w:ascii="Times New Roman" w:hAnsi="Times New Roman" w:cs="Times New Roman"/>
                      <w:color w:val="auto"/>
                      <w:sz w:val="21"/>
                      <w:szCs w:val="21"/>
                      <w:highlight w:val="none"/>
                    </w:rPr>
                    <w:t>化粪池</w:t>
                  </w:r>
                  <w:r>
                    <w:rPr>
                      <w:rFonts w:hint="eastAsia" w:cs="Times New Roman"/>
                      <w:color w:val="auto"/>
                      <w:sz w:val="21"/>
                      <w:szCs w:val="21"/>
                      <w:highlight w:val="none"/>
                      <w:lang w:eastAsia="zh-CN"/>
                    </w:rPr>
                    <w:t>预处理后</w:t>
                  </w:r>
                  <w:r>
                    <w:rPr>
                      <w:rFonts w:hint="eastAsia" w:cs="Times New Roman"/>
                      <w:color w:val="auto"/>
                      <w:sz w:val="21"/>
                      <w:szCs w:val="21"/>
                      <w:highlight w:val="none"/>
                      <w:lang w:val="en-US" w:eastAsia="zh-CN"/>
                    </w:rPr>
                    <w:t>与冷却循环外排水一并通过市政污水管网排</w:t>
                  </w:r>
                  <w:r>
                    <w:rPr>
                      <w:rFonts w:hint="eastAsia" w:cs="Times New Roman"/>
                      <w:color w:val="auto"/>
                      <w:sz w:val="21"/>
                      <w:szCs w:val="21"/>
                      <w:highlight w:val="none"/>
                      <w:lang w:eastAsia="zh-CN"/>
                    </w:rPr>
                    <w:t>至皖江江南新兴产业集中区第一污水处理厂</w:t>
                  </w:r>
                </w:p>
              </w:tc>
            </w:tr>
            <w:tr w14:paraId="5B24D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continue"/>
                  <w:noWrap w:val="0"/>
                  <w:vAlign w:val="center"/>
                </w:tcPr>
                <w:p w14:paraId="7C112A22">
                  <w:pPr>
                    <w:spacing w:line="240" w:lineRule="auto"/>
                    <w:jc w:val="center"/>
                    <w:rPr>
                      <w:rFonts w:hint="eastAsia" w:ascii="Times New Roman" w:hAnsi="Times New Roman" w:eastAsia="宋体" w:cs="Times New Roman"/>
                      <w:color w:val="auto"/>
                      <w:sz w:val="21"/>
                      <w:szCs w:val="21"/>
                      <w:highlight w:val="none"/>
                      <w:lang w:eastAsia="zh-CN"/>
                    </w:rPr>
                  </w:pPr>
                </w:p>
              </w:tc>
              <w:tc>
                <w:tcPr>
                  <w:tcW w:w="812" w:type="pct"/>
                  <w:vMerge w:val="restart"/>
                  <w:noWrap w:val="0"/>
                  <w:vAlign w:val="center"/>
                </w:tcPr>
                <w:p w14:paraId="1F1EB499">
                  <w:pPr>
                    <w:spacing w:line="240" w:lineRule="auto"/>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废气治理</w:t>
                  </w:r>
                </w:p>
              </w:tc>
              <w:tc>
                <w:tcPr>
                  <w:tcW w:w="965" w:type="pct"/>
                  <w:noWrap w:val="0"/>
                  <w:vAlign w:val="center"/>
                </w:tcPr>
                <w:p w14:paraId="6D7D155E">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锡膏印刷废气</w:t>
                  </w:r>
                </w:p>
              </w:tc>
              <w:tc>
                <w:tcPr>
                  <w:tcW w:w="1745" w:type="pct"/>
                  <w:shd w:val="clear" w:color="auto" w:fill="auto"/>
                  <w:noWrap w:val="0"/>
                  <w:vAlign w:val="center"/>
                </w:tcPr>
                <w:p w14:paraId="32A0FCBE">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集气罩+干式过滤器+二级活性炭吸附装置+23m高排气筒</w:t>
                  </w:r>
                </w:p>
              </w:tc>
              <w:tc>
                <w:tcPr>
                  <w:tcW w:w="1126" w:type="pct"/>
                  <w:gridSpan w:val="2"/>
                  <w:vMerge w:val="restart"/>
                  <w:shd w:val="clear" w:color="auto" w:fill="auto"/>
                  <w:noWrap w:val="0"/>
                  <w:vAlign w:val="center"/>
                </w:tcPr>
                <w:p w14:paraId="19A14235">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共用一套干式过滤器+二级活性炭吸附装置及1根23米高排气筒</w:t>
                  </w:r>
                </w:p>
              </w:tc>
            </w:tr>
            <w:tr w14:paraId="7A132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continue"/>
                  <w:noWrap w:val="0"/>
                  <w:vAlign w:val="center"/>
                </w:tcPr>
                <w:p w14:paraId="63BA68B9">
                  <w:pPr>
                    <w:spacing w:line="240" w:lineRule="auto"/>
                    <w:jc w:val="center"/>
                    <w:rPr>
                      <w:rFonts w:hint="eastAsia" w:ascii="Times New Roman" w:hAnsi="Times New Roman" w:eastAsia="宋体" w:cs="Times New Roman"/>
                      <w:color w:val="auto"/>
                      <w:sz w:val="21"/>
                      <w:szCs w:val="21"/>
                      <w:highlight w:val="none"/>
                      <w:lang w:eastAsia="zh-CN"/>
                    </w:rPr>
                  </w:pPr>
                </w:p>
              </w:tc>
              <w:tc>
                <w:tcPr>
                  <w:tcW w:w="812" w:type="pct"/>
                  <w:vMerge w:val="continue"/>
                  <w:noWrap w:val="0"/>
                  <w:vAlign w:val="center"/>
                </w:tcPr>
                <w:p w14:paraId="0291BA81">
                  <w:pPr>
                    <w:spacing w:line="240" w:lineRule="auto"/>
                    <w:jc w:val="center"/>
                    <w:rPr>
                      <w:rFonts w:hint="default" w:ascii="Times New Roman" w:hAnsi="Times New Roman" w:cs="Times New Roman"/>
                      <w:color w:val="auto"/>
                      <w:sz w:val="21"/>
                      <w:szCs w:val="21"/>
                      <w:highlight w:val="none"/>
                    </w:rPr>
                  </w:pPr>
                </w:p>
              </w:tc>
              <w:tc>
                <w:tcPr>
                  <w:tcW w:w="965" w:type="pct"/>
                  <w:noWrap w:val="0"/>
                  <w:vAlign w:val="center"/>
                </w:tcPr>
                <w:p w14:paraId="663FE56B">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钢网擦拭废气</w:t>
                  </w:r>
                </w:p>
              </w:tc>
              <w:tc>
                <w:tcPr>
                  <w:tcW w:w="1745" w:type="pct"/>
                  <w:shd w:val="clear" w:color="auto" w:fill="auto"/>
                  <w:noWrap w:val="0"/>
                  <w:vAlign w:val="center"/>
                </w:tcPr>
                <w:p w14:paraId="56A074CE">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集气罩+干式过滤器+二级活性炭吸附装置+23m高排气筒</w:t>
                  </w:r>
                </w:p>
              </w:tc>
              <w:tc>
                <w:tcPr>
                  <w:tcW w:w="1126" w:type="pct"/>
                  <w:gridSpan w:val="2"/>
                  <w:vMerge w:val="continue"/>
                  <w:shd w:val="clear" w:color="auto" w:fill="auto"/>
                  <w:noWrap w:val="0"/>
                  <w:vAlign w:val="center"/>
                </w:tcPr>
                <w:p w14:paraId="622AADDD">
                  <w:pPr>
                    <w:spacing w:line="240" w:lineRule="auto"/>
                    <w:jc w:val="center"/>
                    <w:rPr>
                      <w:rFonts w:hint="eastAsia" w:cs="Times New Roman"/>
                      <w:color w:val="auto"/>
                      <w:kern w:val="2"/>
                      <w:sz w:val="21"/>
                      <w:szCs w:val="21"/>
                      <w:highlight w:val="none"/>
                      <w:lang w:val="en-US" w:eastAsia="zh-CN" w:bidi="ar-SA"/>
                    </w:rPr>
                  </w:pPr>
                </w:p>
              </w:tc>
            </w:tr>
            <w:tr w14:paraId="03F4F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continue"/>
                  <w:noWrap w:val="0"/>
                  <w:vAlign w:val="center"/>
                </w:tcPr>
                <w:p w14:paraId="0B0797D8">
                  <w:pPr>
                    <w:spacing w:line="240" w:lineRule="auto"/>
                    <w:jc w:val="center"/>
                    <w:rPr>
                      <w:rFonts w:hint="eastAsia" w:ascii="Times New Roman" w:hAnsi="Times New Roman" w:eastAsia="宋体" w:cs="Times New Roman"/>
                      <w:color w:val="auto"/>
                      <w:sz w:val="21"/>
                      <w:szCs w:val="21"/>
                      <w:highlight w:val="none"/>
                      <w:lang w:eastAsia="zh-CN"/>
                    </w:rPr>
                  </w:pPr>
                </w:p>
              </w:tc>
              <w:tc>
                <w:tcPr>
                  <w:tcW w:w="812" w:type="pct"/>
                  <w:vMerge w:val="continue"/>
                  <w:noWrap w:val="0"/>
                  <w:vAlign w:val="center"/>
                </w:tcPr>
                <w:p w14:paraId="45CC4618">
                  <w:pPr>
                    <w:spacing w:line="240" w:lineRule="auto"/>
                    <w:jc w:val="center"/>
                    <w:rPr>
                      <w:rFonts w:hint="default" w:ascii="Times New Roman" w:hAnsi="Times New Roman" w:cs="Times New Roman"/>
                      <w:color w:val="auto"/>
                      <w:sz w:val="21"/>
                      <w:szCs w:val="21"/>
                      <w:highlight w:val="none"/>
                    </w:rPr>
                  </w:pPr>
                </w:p>
              </w:tc>
              <w:tc>
                <w:tcPr>
                  <w:tcW w:w="965" w:type="pct"/>
                  <w:noWrap w:val="0"/>
                  <w:vAlign w:val="center"/>
                </w:tcPr>
                <w:p w14:paraId="082169FB">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回流焊焊接废气</w:t>
                  </w:r>
                </w:p>
              </w:tc>
              <w:tc>
                <w:tcPr>
                  <w:tcW w:w="1745" w:type="pct"/>
                  <w:shd w:val="clear" w:color="auto" w:fill="auto"/>
                  <w:noWrap w:val="0"/>
                  <w:vAlign w:val="center"/>
                </w:tcPr>
                <w:p w14:paraId="6357C9DB">
                  <w:pPr>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管道+干式过滤器+二级活性炭吸附装置+23m高排气筒</w:t>
                  </w:r>
                </w:p>
              </w:tc>
              <w:tc>
                <w:tcPr>
                  <w:tcW w:w="1126" w:type="pct"/>
                  <w:gridSpan w:val="2"/>
                  <w:vMerge w:val="continue"/>
                  <w:shd w:val="clear" w:color="auto" w:fill="auto"/>
                  <w:noWrap w:val="0"/>
                  <w:vAlign w:val="center"/>
                </w:tcPr>
                <w:p w14:paraId="293E5FC3">
                  <w:pPr>
                    <w:spacing w:line="240" w:lineRule="auto"/>
                    <w:jc w:val="center"/>
                    <w:rPr>
                      <w:rFonts w:hint="eastAsia" w:cs="Times New Roman"/>
                      <w:color w:val="auto"/>
                      <w:kern w:val="2"/>
                      <w:sz w:val="21"/>
                      <w:szCs w:val="21"/>
                      <w:highlight w:val="none"/>
                      <w:lang w:val="en-US" w:eastAsia="zh-CN" w:bidi="ar-SA"/>
                    </w:rPr>
                  </w:pPr>
                </w:p>
              </w:tc>
            </w:tr>
            <w:tr w14:paraId="5D736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continue"/>
                  <w:noWrap w:val="0"/>
                  <w:vAlign w:val="center"/>
                </w:tcPr>
                <w:p w14:paraId="3AD646D8">
                  <w:pPr>
                    <w:spacing w:line="240" w:lineRule="auto"/>
                    <w:jc w:val="center"/>
                    <w:rPr>
                      <w:rFonts w:hint="eastAsia" w:ascii="Times New Roman" w:hAnsi="Times New Roman" w:eastAsia="宋体" w:cs="Times New Roman"/>
                      <w:color w:val="auto"/>
                      <w:sz w:val="21"/>
                      <w:szCs w:val="21"/>
                      <w:highlight w:val="none"/>
                      <w:lang w:eastAsia="zh-CN"/>
                    </w:rPr>
                  </w:pPr>
                </w:p>
              </w:tc>
              <w:tc>
                <w:tcPr>
                  <w:tcW w:w="812" w:type="pct"/>
                  <w:vMerge w:val="continue"/>
                  <w:noWrap w:val="0"/>
                  <w:vAlign w:val="center"/>
                </w:tcPr>
                <w:p w14:paraId="374CC4EB">
                  <w:pPr>
                    <w:spacing w:line="240" w:lineRule="auto"/>
                    <w:jc w:val="center"/>
                    <w:rPr>
                      <w:rFonts w:hint="default" w:ascii="Times New Roman" w:hAnsi="Times New Roman" w:cs="Times New Roman"/>
                      <w:color w:val="auto"/>
                      <w:sz w:val="21"/>
                      <w:szCs w:val="21"/>
                      <w:highlight w:val="none"/>
                    </w:rPr>
                  </w:pPr>
                </w:p>
              </w:tc>
              <w:tc>
                <w:tcPr>
                  <w:tcW w:w="965" w:type="pct"/>
                  <w:noWrap w:val="0"/>
                  <w:vAlign w:val="center"/>
                </w:tcPr>
                <w:p w14:paraId="5A33F522">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挤出成型废气</w:t>
                  </w:r>
                </w:p>
              </w:tc>
              <w:tc>
                <w:tcPr>
                  <w:tcW w:w="1745" w:type="pct"/>
                  <w:shd w:val="clear" w:color="auto" w:fill="auto"/>
                  <w:noWrap w:val="0"/>
                  <w:vAlign w:val="center"/>
                </w:tcPr>
                <w:p w14:paraId="0932F90C">
                  <w:pPr>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集气罩+干式过滤器+二级活性炭吸附装置+23m高排气筒</w:t>
                  </w:r>
                </w:p>
              </w:tc>
              <w:tc>
                <w:tcPr>
                  <w:tcW w:w="1126" w:type="pct"/>
                  <w:gridSpan w:val="2"/>
                  <w:vMerge w:val="continue"/>
                  <w:shd w:val="clear" w:color="auto" w:fill="auto"/>
                  <w:noWrap w:val="0"/>
                  <w:vAlign w:val="center"/>
                </w:tcPr>
                <w:p w14:paraId="0223485E">
                  <w:pPr>
                    <w:spacing w:line="240" w:lineRule="auto"/>
                    <w:jc w:val="center"/>
                    <w:rPr>
                      <w:rFonts w:hint="eastAsia" w:cs="Times New Roman"/>
                      <w:color w:val="auto"/>
                      <w:kern w:val="2"/>
                      <w:sz w:val="21"/>
                      <w:szCs w:val="21"/>
                      <w:highlight w:val="none"/>
                      <w:lang w:val="en-US" w:eastAsia="zh-CN" w:bidi="ar-SA"/>
                    </w:rPr>
                  </w:pPr>
                </w:p>
              </w:tc>
            </w:tr>
            <w:tr w14:paraId="619E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continue"/>
                  <w:noWrap w:val="0"/>
                  <w:vAlign w:val="center"/>
                </w:tcPr>
                <w:p w14:paraId="5F0D31FF">
                  <w:pPr>
                    <w:spacing w:line="240" w:lineRule="auto"/>
                    <w:jc w:val="center"/>
                    <w:rPr>
                      <w:rFonts w:hint="eastAsia" w:ascii="Times New Roman" w:hAnsi="Times New Roman" w:eastAsia="宋体" w:cs="Times New Roman"/>
                      <w:color w:val="auto"/>
                      <w:sz w:val="21"/>
                      <w:szCs w:val="21"/>
                      <w:highlight w:val="none"/>
                      <w:lang w:eastAsia="zh-CN"/>
                    </w:rPr>
                  </w:pPr>
                </w:p>
              </w:tc>
              <w:tc>
                <w:tcPr>
                  <w:tcW w:w="812" w:type="pct"/>
                  <w:vMerge w:val="continue"/>
                  <w:noWrap w:val="0"/>
                  <w:vAlign w:val="center"/>
                </w:tcPr>
                <w:p w14:paraId="15E04A56">
                  <w:pPr>
                    <w:spacing w:line="240" w:lineRule="auto"/>
                    <w:jc w:val="center"/>
                    <w:rPr>
                      <w:rFonts w:hint="default" w:ascii="Times New Roman" w:hAnsi="Times New Roman" w:cs="Times New Roman"/>
                      <w:color w:val="auto"/>
                      <w:sz w:val="21"/>
                      <w:szCs w:val="21"/>
                      <w:highlight w:val="none"/>
                    </w:rPr>
                  </w:pPr>
                </w:p>
              </w:tc>
              <w:tc>
                <w:tcPr>
                  <w:tcW w:w="965" w:type="pct"/>
                  <w:noWrap w:val="0"/>
                  <w:vAlign w:val="center"/>
                </w:tcPr>
                <w:p w14:paraId="254BDF7F">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手工焊接废气</w:t>
                  </w:r>
                </w:p>
              </w:tc>
              <w:tc>
                <w:tcPr>
                  <w:tcW w:w="2871" w:type="pct"/>
                  <w:gridSpan w:val="3"/>
                  <w:shd w:val="clear" w:color="auto" w:fill="auto"/>
                  <w:noWrap w:val="0"/>
                  <w:vAlign w:val="center"/>
                </w:tcPr>
                <w:p w14:paraId="782A6FA1">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少量手工焊接废气无组织排放</w:t>
                  </w:r>
                </w:p>
              </w:tc>
            </w:tr>
            <w:tr w14:paraId="433C3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continue"/>
                  <w:noWrap w:val="0"/>
                  <w:vAlign w:val="center"/>
                </w:tcPr>
                <w:p w14:paraId="5C8A4AA8">
                  <w:pPr>
                    <w:spacing w:line="240" w:lineRule="auto"/>
                    <w:jc w:val="center"/>
                    <w:rPr>
                      <w:rFonts w:hint="eastAsia" w:ascii="Times New Roman" w:hAnsi="Times New Roman" w:eastAsia="宋体" w:cs="Times New Roman"/>
                      <w:color w:val="auto"/>
                      <w:sz w:val="21"/>
                      <w:szCs w:val="21"/>
                      <w:highlight w:val="none"/>
                      <w:lang w:eastAsia="zh-CN"/>
                    </w:rPr>
                  </w:pPr>
                </w:p>
              </w:tc>
              <w:tc>
                <w:tcPr>
                  <w:tcW w:w="812" w:type="pct"/>
                  <w:vMerge w:val="continue"/>
                  <w:noWrap w:val="0"/>
                  <w:vAlign w:val="center"/>
                </w:tcPr>
                <w:p w14:paraId="6332CABD">
                  <w:pPr>
                    <w:spacing w:line="240" w:lineRule="auto"/>
                    <w:jc w:val="center"/>
                    <w:rPr>
                      <w:rFonts w:hint="default" w:ascii="Times New Roman" w:hAnsi="Times New Roman" w:cs="Times New Roman"/>
                      <w:color w:val="auto"/>
                      <w:sz w:val="21"/>
                      <w:szCs w:val="21"/>
                      <w:highlight w:val="none"/>
                    </w:rPr>
                  </w:pPr>
                </w:p>
              </w:tc>
              <w:tc>
                <w:tcPr>
                  <w:tcW w:w="965" w:type="pct"/>
                  <w:noWrap w:val="0"/>
                  <w:vAlign w:val="center"/>
                </w:tcPr>
                <w:p w14:paraId="53E27623">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打孔粉尘</w:t>
                  </w:r>
                </w:p>
              </w:tc>
              <w:tc>
                <w:tcPr>
                  <w:tcW w:w="2871" w:type="pct"/>
                  <w:gridSpan w:val="3"/>
                  <w:shd w:val="clear" w:color="auto" w:fill="auto"/>
                  <w:noWrap w:val="0"/>
                  <w:vAlign w:val="center"/>
                </w:tcPr>
                <w:p w14:paraId="4281258F">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少量打孔粉尘无组织排放</w:t>
                  </w:r>
                </w:p>
              </w:tc>
            </w:tr>
            <w:tr w14:paraId="0673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continue"/>
                  <w:noWrap w:val="0"/>
                  <w:vAlign w:val="center"/>
                </w:tcPr>
                <w:p w14:paraId="437C04F8">
                  <w:pPr>
                    <w:spacing w:line="240" w:lineRule="auto"/>
                    <w:jc w:val="center"/>
                    <w:rPr>
                      <w:rFonts w:hint="default" w:ascii="Times New Roman" w:hAnsi="Times New Roman" w:cs="Times New Roman"/>
                      <w:color w:val="auto"/>
                      <w:sz w:val="21"/>
                      <w:szCs w:val="21"/>
                      <w:highlight w:val="none"/>
                    </w:rPr>
                  </w:pPr>
                </w:p>
              </w:tc>
              <w:tc>
                <w:tcPr>
                  <w:tcW w:w="812" w:type="pct"/>
                  <w:noWrap w:val="0"/>
                  <w:vAlign w:val="center"/>
                </w:tcPr>
                <w:p w14:paraId="3DECE1C2">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噪声治理</w:t>
                  </w:r>
                </w:p>
              </w:tc>
              <w:tc>
                <w:tcPr>
                  <w:tcW w:w="3837" w:type="pct"/>
                  <w:gridSpan w:val="4"/>
                  <w:tcBorders>
                    <w:bottom w:val="single" w:color="000000" w:sz="4" w:space="0"/>
                  </w:tcBorders>
                  <w:noWrap w:val="0"/>
                  <w:vAlign w:val="center"/>
                </w:tcPr>
                <w:p w14:paraId="116EE7F2">
                  <w:pPr>
                    <w:spacing w:line="240" w:lineRule="auto"/>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eastAsia="zh-CN"/>
                    </w:rPr>
                    <w:t>合理布局、</w:t>
                  </w:r>
                  <w:r>
                    <w:rPr>
                      <w:rFonts w:hint="default" w:ascii="Times New Roman" w:hAnsi="Times New Roman" w:cs="Times New Roman"/>
                      <w:color w:val="auto"/>
                      <w:sz w:val="21"/>
                      <w:szCs w:val="21"/>
                      <w:highlight w:val="none"/>
                    </w:rPr>
                    <w:t>减振基座、建筑隔声和距离衰减等措施</w:t>
                  </w:r>
                </w:p>
              </w:tc>
            </w:tr>
            <w:tr w14:paraId="6D609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continue"/>
                  <w:noWrap w:val="0"/>
                  <w:vAlign w:val="center"/>
                </w:tcPr>
                <w:p w14:paraId="5D1B8FA3">
                  <w:pPr>
                    <w:spacing w:line="240" w:lineRule="auto"/>
                    <w:jc w:val="center"/>
                    <w:rPr>
                      <w:rFonts w:hint="default" w:ascii="Times New Roman" w:hAnsi="Times New Roman" w:cs="Times New Roman"/>
                      <w:color w:val="auto"/>
                      <w:sz w:val="21"/>
                      <w:szCs w:val="21"/>
                      <w:highlight w:val="none"/>
                    </w:rPr>
                  </w:pPr>
                </w:p>
              </w:tc>
              <w:tc>
                <w:tcPr>
                  <w:tcW w:w="812" w:type="pct"/>
                  <w:vMerge w:val="restart"/>
                  <w:noWrap w:val="0"/>
                  <w:vAlign w:val="center"/>
                </w:tcPr>
                <w:p w14:paraId="482DEF73">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固废治理</w:t>
                  </w:r>
                </w:p>
              </w:tc>
              <w:tc>
                <w:tcPr>
                  <w:tcW w:w="965" w:type="pct"/>
                  <w:tcBorders>
                    <w:bottom w:val="single" w:color="000000" w:sz="4" w:space="0"/>
                  </w:tcBorders>
                  <w:noWrap w:val="0"/>
                  <w:vAlign w:val="center"/>
                </w:tcPr>
                <w:p w14:paraId="4CD6A4DD">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生活垃圾</w:t>
                  </w:r>
                </w:p>
              </w:tc>
              <w:tc>
                <w:tcPr>
                  <w:tcW w:w="2871" w:type="pct"/>
                  <w:gridSpan w:val="3"/>
                  <w:tcBorders>
                    <w:bottom w:val="single" w:color="000000" w:sz="4" w:space="0"/>
                  </w:tcBorders>
                  <w:noWrap w:val="0"/>
                  <w:vAlign w:val="center"/>
                </w:tcPr>
                <w:p w14:paraId="3495F08E">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企业收集后委托</w:t>
                  </w:r>
                  <w:r>
                    <w:rPr>
                      <w:rFonts w:hint="eastAsia" w:ascii="Times New Roman" w:hAnsi="Times New Roman" w:cs="Times New Roman"/>
                      <w:color w:val="auto"/>
                      <w:sz w:val="21"/>
                      <w:szCs w:val="21"/>
                      <w:highlight w:val="none"/>
                      <w:lang w:eastAsia="zh-CN"/>
                    </w:rPr>
                    <w:t>市政</w:t>
                  </w:r>
                  <w:r>
                    <w:rPr>
                      <w:rFonts w:hint="default" w:ascii="Times New Roman" w:hAnsi="Times New Roman" w:cs="Times New Roman"/>
                      <w:color w:val="auto"/>
                      <w:sz w:val="21"/>
                      <w:szCs w:val="21"/>
                      <w:highlight w:val="none"/>
                    </w:rPr>
                    <w:t>环卫部门清运</w:t>
                  </w:r>
                </w:p>
              </w:tc>
            </w:tr>
            <w:tr w14:paraId="1259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continue"/>
                  <w:noWrap w:val="0"/>
                  <w:vAlign w:val="center"/>
                </w:tcPr>
                <w:p w14:paraId="3C11DB08">
                  <w:pPr>
                    <w:spacing w:line="240" w:lineRule="auto"/>
                    <w:jc w:val="center"/>
                    <w:rPr>
                      <w:rFonts w:hint="eastAsia" w:ascii="Times New Roman" w:hAnsi="Times New Roman" w:eastAsia="宋体" w:cs="Times New Roman"/>
                      <w:color w:val="auto"/>
                      <w:sz w:val="21"/>
                      <w:szCs w:val="21"/>
                      <w:highlight w:val="none"/>
                      <w:lang w:eastAsia="zh-CN"/>
                    </w:rPr>
                  </w:pPr>
                </w:p>
              </w:tc>
              <w:tc>
                <w:tcPr>
                  <w:tcW w:w="812" w:type="pct"/>
                  <w:vMerge w:val="continue"/>
                  <w:noWrap w:val="0"/>
                  <w:vAlign w:val="center"/>
                </w:tcPr>
                <w:p w14:paraId="151E9C85">
                  <w:pPr>
                    <w:spacing w:line="240" w:lineRule="auto"/>
                    <w:jc w:val="center"/>
                    <w:rPr>
                      <w:rFonts w:hint="default" w:ascii="Times New Roman" w:hAnsi="Times New Roman" w:cs="Times New Roman"/>
                      <w:color w:val="auto"/>
                      <w:sz w:val="21"/>
                      <w:szCs w:val="21"/>
                      <w:highlight w:val="none"/>
                    </w:rPr>
                  </w:pPr>
                </w:p>
              </w:tc>
              <w:tc>
                <w:tcPr>
                  <w:tcW w:w="965" w:type="pct"/>
                  <w:tcBorders>
                    <w:top w:val="single" w:color="000000" w:sz="4" w:space="0"/>
                  </w:tcBorders>
                  <w:noWrap w:val="0"/>
                  <w:vAlign w:val="center"/>
                </w:tcPr>
                <w:p w14:paraId="59DF7313">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一般固废</w:t>
                  </w:r>
                </w:p>
              </w:tc>
              <w:tc>
                <w:tcPr>
                  <w:tcW w:w="2871" w:type="pct"/>
                  <w:gridSpan w:val="3"/>
                  <w:tcBorders>
                    <w:top w:val="single" w:color="000000" w:sz="4" w:space="0"/>
                  </w:tcBorders>
                  <w:noWrap w:val="0"/>
                  <w:vAlign w:val="center"/>
                </w:tcPr>
                <w:p w14:paraId="5900219B">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一般固废暂存间，厂房2层北侧区域，面积约40m</w:t>
                  </w:r>
                  <w:r>
                    <w:rPr>
                      <w:rFonts w:hint="eastAsia" w:cs="Times New Roman"/>
                      <w:color w:val="auto"/>
                      <w:sz w:val="21"/>
                      <w:szCs w:val="21"/>
                      <w:highlight w:val="none"/>
                      <w:vertAlign w:val="superscript"/>
                      <w:lang w:val="en-US" w:eastAsia="zh-CN"/>
                    </w:rPr>
                    <w:t>2</w:t>
                  </w:r>
                </w:p>
              </w:tc>
            </w:tr>
            <w:tr w14:paraId="3CB37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50" w:type="pct"/>
                  <w:vMerge w:val="continue"/>
                  <w:noWrap w:val="0"/>
                  <w:vAlign w:val="center"/>
                </w:tcPr>
                <w:p w14:paraId="7467FA10">
                  <w:pPr>
                    <w:spacing w:line="240" w:lineRule="auto"/>
                    <w:jc w:val="center"/>
                    <w:rPr>
                      <w:rFonts w:hint="eastAsia" w:ascii="Times New Roman" w:hAnsi="Times New Roman" w:eastAsia="宋体" w:cs="Times New Roman"/>
                      <w:color w:val="auto"/>
                      <w:sz w:val="21"/>
                      <w:szCs w:val="21"/>
                      <w:highlight w:val="none"/>
                      <w:lang w:eastAsia="zh-CN"/>
                    </w:rPr>
                  </w:pPr>
                </w:p>
              </w:tc>
              <w:tc>
                <w:tcPr>
                  <w:tcW w:w="812" w:type="pct"/>
                  <w:vMerge w:val="continue"/>
                  <w:noWrap w:val="0"/>
                  <w:vAlign w:val="center"/>
                </w:tcPr>
                <w:p w14:paraId="6746025C">
                  <w:pPr>
                    <w:spacing w:line="240" w:lineRule="auto"/>
                    <w:jc w:val="center"/>
                    <w:rPr>
                      <w:rFonts w:hint="default" w:ascii="Times New Roman" w:hAnsi="Times New Roman" w:cs="Times New Roman"/>
                      <w:color w:val="auto"/>
                      <w:sz w:val="21"/>
                      <w:szCs w:val="21"/>
                      <w:highlight w:val="none"/>
                    </w:rPr>
                  </w:pPr>
                </w:p>
              </w:tc>
              <w:tc>
                <w:tcPr>
                  <w:tcW w:w="965" w:type="pct"/>
                  <w:tcBorders>
                    <w:top w:val="single" w:color="000000" w:sz="4" w:space="0"/>
                  </w:tcBorders>
                  <w:noWrap w:val="0"/>
                  <w:vAlign w:val="center"/>
                </w:tcPr>
                <w:p w14:paraId="68CB8623">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危险废物</w:t>
                  </w:r>
                </w:p>
              </w:tc>
              <w:tc>
                <w:tcPr>
                  <w:tcW w:w="2871" w:type="pct"/>
                  <w:gridSpan w:val="3"/>
                  <w:tcBorders>
                    <w:top w:val="single" w:color="000000" w:sz="4" w:space="0"/>
                  </w:tcBorders>
                  <w:noWrap w:val="0"/>
                  <w:vAlign w:val="center"/>
                </w:tcPr>
                <w:p w14:paraId="64902054">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危废</w:t>
                  </w:r>
                  <w:r>
                    <w:rPr>
                      <w:rFonts w:hint="eastAsia" w:cs="Times New Roman"/>
                      <w:color w:val="auto"/>
                      <w:sz w:val="21"/>
                      <w:szCs w:val="21"/>
                      <w:highlight w:val="none"/>
                      <w:lang w:val="en-US" w:eastAsia="zh-CN"/>
                    </w:rPr>
                    <w:t>暂存间</w:t>
                  </w:r>
                  <w:r>
                    <w:rPr>
                      <w:rFonts w:hint="eastAsia" w:ascii="Times New Roman" w:hAnsi="Times New Roman" w:cs="Times New Roman"/>
                      <w:color w:val="auto"/>
                      <w:sz w:val="21"/>
                      <w:szCs w:val="21"/>
                      <w:highlight w:val="none"/>
                      <w:lang w:eastAsia="zh-CN"/>
                    </w:rPr>
                    <w:t>，位于</w:t>
                  </w:r>
                  <w:r>
                    <w:rPr>
                      <w:rFonts w:hint="eastAsia" w:cs="Times New Roman"/>
                      <w:color w:val="auto"/>
                      <w:sz w:val="21"/>
                      <w:szCs w:val="21"/>
                      <w:highlight w:val="none"/>
                      <w:lang w:val="en-US" w:eastAsia="zh-CN"/>
                    </w:rPr>
                    <w:t>厂房2层西侧区域</w:t>
                  </w:r>
                  <w:r>
                    <w:rPr>
                      <w:rFonts w:hint="eastAsia"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eastAsia="zh-CN"/>
                    </w:rPr>
                    <w:t>建筑面积</w:t>
                  </w:r>
                  <w:r>
                    <w:rPr>
                      <w:rFonts w:hint="eastAsia" w:cs="Times New Roman"/>
                      <w:color w:val="auto"/>
                      <w:sz w:val="21"/>
                      <w:szCs w:val="21"/>
                      <w:highlight w:val="none"/>
                      <w:lang w:val="en-US" w:eastAsia="zh-CN"/>
                    </w:rPr>
                    <w:t>30</w:t>
                  </w:r>
                  <w:r>
                    <w:rPr>
                      <w:rFonts w:hint="eastAsia" w:ascii="Times New Roman" w:hAnsi="Times New Roman" w:cs="Times New Roman"/>
                      <w:color w:val="auto"/>
                      <w:sz w:val="21"/>
                      <w:szCs w:val="21"/>
                      <w:highlight w:val="none"/>
                      <w:lang w:val="en-US" w:eastAsia="zh-CN"/>
                    </w:rPr>
                    <w:t>m</w:t>
                  </w:r>
                  <w:r>
                    <w:rPr>
                      <w:rFonts w:hint="eastAsia" w:ascii="Times New Roman" w:hAnsi="Times New Roman" w:cs="Times New Roman"/>
                      <w:color w:val="auto"/>
                      <w:sz w:val="21"/>
                      <w:szCs w:val="21"/>
                      <w:highlight w:val="none"/>
                      <w:vertAlign w:val="superscript"/>
                      <w:lang w:val="en-US" w:eastAsia="zh-CN"/>
                    </w:rPr>
                    <w:t>2</w:t>
                  </w:r>
                </w:p>
              </w:tc>
            </w:tr>
          </w:tbl>
          <w:p w14:paraId="5E8DB1C6">
            <w:pPr>
              <w:numPr>
                <w:ilvl w:val="0"/>
                <w:numId w:val="0"/>
              </w:numPr>
              <w:spacing w:line="360" w:lineRule="auto"/>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注：废气引至厂房楼顶（</w:t>
            </w:r>
            <w:r>
              <w:rPr>
                <w:rFonts w:hint="eastAsia" w:cs="Times New Roman"/>
                <w:b w:val="0"/>
                <w:bCs w:val="0"/>
                <w:color w:val="auto"/>
                <w:sz w:val="21"/>
                <w:szCs w:val="21"/>
                <w:highlight w:val="none"/>
                <w:lang w:val="en-US" w:eastAsia="zh-CN"/>
              </w:rPr>
              <w:t>5层，高度约22.5m</w:t>
            </w:r>
            <w:r>
              <w:rPr>
                <w:rFonts w:hint="eastAsia" w:cs="Times New Roman"/>
                <w:b w:val="0"/>
                <w:bCs w:val="0"/>
                <w:color w:val="auto"/>
                <w:sz w:val="21"/>
                <w:szCs w:val="21"/>
                <w:highlight w:val="none"/>
                <w:lang w:val="en-US" w:eastAsia="zh-CN"/>
              </w:rPr>
              <w:t>）废气处理装置处理后排放，排放高度约23m。</w:t>
            </w:r>
          </w:p>
          <w:p w14:paraId="698932AC">
            <w:pPr>
              <w:numPr>
                <w:ilvl w:val="0"/>
                <w:numId w:val="0"/>
              </w:numPr>
              <w:spacing w:line="360" w:lineRule="auto"/>
              <w:ind w:left="0" w:leftChars="0"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bidi="ar-SA"/>
              </w:rPr>
              <w:t>3、</w:t>
            </w:r>
            <w:r>
              <w:rPr>
                <w:rFonts w:hint="eastAsia" w:ascii="Times New Roman" w:hAnsi="Times New Roman" w:eastAsia="宋体" w:cs="Times New Roman"/>
                <w:b/>
                <w:bCs/>
                <w:color w:val="auto"/>
                <w:sz w:val="24"/>
                <w:szCs w:val="24"/>
                <w:highlight w:val="none"/>
                <w:lang w:val="en-US" w:eastAsia="zh-CN"/>
              </w:rPr>
              <w:t>产品方案</w:t>
            </w:r>
          </w:p>
          <w:p w14:paraId="7A42DAA8">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cs="Times New Roman"/>
                <w:color w:val="auto"/>
                <w:sz w:val="24"/>
                <w:szCs w:val="24"/>
                <w:highlight w:val="none"/>
                <w:lang w:val="en-US" w:eastAsia="zh-CN"/>
              </w:rPr>
            </w:pPr>
            <w:r>
              <w:rPr>
                <w:rFonts w:hint="eastAsia"/>
                <w:color w:val="auto"/>
                <w:sz w:val="24"/>
                <w:szCs w:val="24"/>
                <w:highlight w:val="none"/>
                <w:lang w:val="en-US" w:eastAsia="zh-CN"/>
              </w:rPr>
              <w:t>拟建项目主要产品为7000万件LED显示屏模组、2000万个显示屏模组器件</w:t>
            </w:r>
            <w:r>
              <w:rPr>
                <w:rFonts w:hint="eastAsia" w:cs="Times New Roman"/>
                <w:color w:val="auto"/>
                <w:sz w:val="24"/>
                <w:szCs w:val="24"/>
                <w:highlight w:val="none"/>
                <w:lang w:val="en-US" w:eastAsia="zh-CN"/>
              </w:rPr>
              <w:t>，具体产品方案如下：</w:t>
            </w:r>
          </w:p>
          <w:p w14:paraId="7B71FB1C">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i w:val="0"/>
                <w:color w:val="auto"/>
                <w:kern w:val="2"/>
                <w:sz w:val="21"/>
                <w:szCs w:val="21"/>
                <w:highlight w:val="none"/>
                <w:lang w:val="en-US" w:eastAsia="zh-CN" w:bidi="ar-SA"/>
              </w:rPr>
              <w:t>表2-2</w:t>
            </w:r>
            <w:r>
              <w:rPr>
                <w:rFonts w:hint="eastAsia" w:ascii="Times New Roman" w:hAnsi="Times New Roman" w:cs="Times New Roman"/>
                <w:b/>
                <w:bCs/>
                <w:i w:val="0"/>
                <w:color w:val="auto"/>
                <w:kern w:val="2"/>
                <w:sz w:val="21"/>
                <w:szCs w:val="21"/>
                <w:highlight w:val="none"/>
                <w:lang w:val="en-US" w:eastAsia="zh-CN" w:bidi="ar-SA"/>
              </w:rPr>
              <w:t xml:space="preserve">  </w:t>
            </w:r>
            <w:r>
              <w:rPr>
                <w:rFonts w:hint="default" w:ascii="Times New Roman" w:hAnsi="Times New Roman" w:cs="Times New Roman"/>
                <w:b/>
                <w:bCs/>
                <w:color w:val="auto"/>
                <w:szCs w:val="21"/>
                <w:highlight w:val="none"/>
              </w:rPr>
              <w:t>项目产品方案一览表</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4"/>
              <w:gridCol w:w="2015"/>
              <w:gridCol w:w="2244"/>
              <w:gridCol w:w="1842"/>
            </w:tblGrid>
            <w:tr w14:paraId="7AFB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362" w:type="pct"/>
                  <w:noWrap w:val="0"/>
                  <w:vAlign w:val="center"/>
                </w:tcPr>
                <w:p w14:paraId="132C8CFC">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产品名称</w:t>
                  </w:r>
                </w:p>
              </w:tc>
              <w:tc>
                <w:tcPr>
                  <w:tcW w:w="2538" w:type="pct"/>
                  <w:gridSpan w:val="2"/>
                  <w:noWrap w:val="0"/>
                  <w:vAlign w:val="center"/>
                </w:tcPr>
                <w:p w14:paraId="70B23B50">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cs="Times New Roman"/>
                      <w:b/>
                      <w:bCs/>
                      <w:color w:val="auto"/>
                      <w:szCs w:val="21"/>
                      <w:highlight w:val="none"/>
                      <w:vertAlign w:val="baseline"/>
                      <w:lang w:eastAsia="zh-CN"/>
                    </w:rPr>
                    <w:t>规格</w:t>
                  </w:r>
                </w:p>
              </w:tc>
              <w:tc>
                <w:tcPr>
                  <w:tcW w:w="1098" w:type="pct"/>
                  <w:noWrap w:val="0"/>
                  <w:vAlign w:val="center"/>
                </w:tcPr>
                <w:p w14:paraId="730C1FF0">
                  <w:pPr>
                    <w:spacing w:line="240" w:lineRule="auto"/>
                    <w:jc w:val="center"/>
                    <w:rPr>
                      <w:rFonts w:hint="eastAsia" w:ascii="Times New Roman" w:hAnsi="Times New Roman" w:eastAsia="宋体" w:cs="Times New Roman"/>
                      <w:b/>
                      <w:bCs/>
                      <w:color w:val="auto"/>
                      <w:szCs w:val="21"/>
                      <w:highlight w:val="none"/>
                      <w:vertAlign w:val="baseline"/>
                      <w:lang w:eastAsia="zh-CN"/>
                    </w:rPr>
                  </w:pPr>
                  <w:r>
                    <w:rPr>
                      <w:rFonts w:hint="eastAsia" w:cs="Times New Roman"/>
                      <w:b/>
                      <w:bCs/>
                      <w:color w:val="auto"/>
                      <w:szCs w:val="21"/>
                      <w:highlight w:val="none"/>
                      <w:vertAlign w:val="baseline"/>
                      <w:lang w:eastAsia="zh-CN"/>
                    </w:rPr>
                    <w:t>年产量</w:t>
                  </w:r>
                </w:p>
              </w:tc>
            </w:tr>
            <w:tr w14:paraId="37B75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362" w:type="pct"/>
                  <w:vMerge w:val="restart"/>
                  <w:noWrap w:val="0"/>
                  <w:vAlign w:val="center"/>
                </w:tcPr>
                <w:p w14:paraId="71D2B999">
                  <w:pPr>
                    <w:spacing w:line="240" w:lineRule="auto"/>
                    <w:jc w:val="center"/>
                    <w:rPr>
                      <w:rFonts w:hint="default" w:ascii="Times New Roman" w:hAnsi="Times New Roman" w:eastAsia="宋体" w:cs="Times New Roman"/>
                      <w:b w:val="0"/>
                      <w:bCs w:val="0"/>
                      <w:color w:val="auto"/>
                      <w:szCs w:val="21"/>
                      <w:highlight w:val="none"/>
                      <w:vertAlign w:val="baseline"/>
                      <w:lang w:val="en-US"/>
                    </w:rPr>
                  </w:pPr>
                  <w:r>
                    <w:rPr>
                      <w:rFonts w:hint="default" w:ascii="Times New Roman" w:hAnsi="Times New Roman" w:eastAsia="宋体" w:cs="Times New Roman"/>
                      <w:b w:val="0"/>
                      <w:bCs w:val="0"/>
                      <w:color w:val="auto"/>
                      <w:szCs w:val="21"/>
                      <w:highlight w:val="none"/>
                      <w:vertAlign w:val="baseline"/>
                      <w:lang w:val="en-US"/>
                    </w:rPr>
                    <w:t>LED显示屏模组</w:t>
                  </w:r>
                </w:p>
              </w:tc>
              <w:tc>
                <w:tcPr>
                  <w:tcW w:w="1201" w:type="pct"/>
                  <w:tcBorders>
                    <w:right w:val="single" w:color="auto" w:sz="4" w:space="0"/>
                  </w:tcBorders>
                  <w:noWrap w:val="0"/>
                  <w:vAlign w:val="center"/>
                </w:tcPr>
                <w:p w14:paraId="489E29C9">
                  <w:pPr>
                    <w:spacing w:line="240" w:lineRule="auto"/>
                    <w:jc w:val="center"/>
                    <w:rPr>
                      <w:rFonts w:hint="default" w:ascii="Times New Roman" w:hAnsi="Times New Roman" w:eastAsia="宋体" w:cs="Times New Roman"/>
                      <w:b w:val="0"/>
                      <w:bCs w:val="0"/>
                      <w:color w:val="auto"/>
                      <w:szCs w:val="21"/>
                      <w:highlight w:val="none"/>
                      <w:vertAlign w:val="baseline"/>
                      <w:lang w:val="en-US" w:eastAsia="zh-CN"/>
                    </w:rPr>
                  </w:pPr>
                  <w:r>
                    <w:rPr>
                      <w:b w:val="0"/>
                      <w:bCs w:val="0"/>
                      <w:color w:val="auto"/>
                      <w:highlight w:val="none"/>
                      <w:u w:val="none"/>
                    </w:rPr>
                    <w:t>P3</w:t>
                  </w:r>
                  <w:r>
                    <w:rPr>
                      <w:rFonts w:hint="eastAsia" w:cs="Times New Roman"/>
                      <w:b w:val="0"/>
                      <w:bCs w:val="0"/>
                      <w:color w:val="auto"/>
                      <w:highlight w:val="none"/>
                      <w:lang w:val="en-US" w:eastAsia="zh-CN"/>
                    </w:rPr>
                    <w:t>显示模组</w:t>
                  </w:r>
                </w:p>
              </w:tc>
              <w:tc>
                <w:tcPr>
                  <w:tcW w:w="1337" w:type="pct"/>
                  <w:tcBorders>
                    <w:left w:val="single" w:color="auto" w:sz="4" w:space="0"/>
                  </w:tcBorders>
                  <w:noWrap w:val="0"/>
                  <w:vAlign w:val="center"/>
                </w:tcPr>
                <w:p w14:paraId="21A6A72F">
                  <w:pPr>
                    <w:spacing w:line="240" w:lineRule="auto"/>
                    <w:jc w:val="center"/>
                    <w:rPr>
                      <w:b w:val="0"/>
                      <w:bCs w:val="0"/>
                      <w:color w:val="auto"/>
                      <w:highlight w:val="none"/>
                      <w:u w:val="none"/>
                    </w:rPr>
                  </w:pPr>
                  <w:r>
                    <w:rPr>
                      <w:rFonts w:hint="eastAsia"/>
                      <w:b w:val="0"/>
                      <w:bCs w:val="0"/>
                      <w:color w:val="auto"/>
                      <w:highlight w:val="none"/>
                      <w:u w:val="none"/>
                      <w:lang w:val="en-US" w:eastAsia="zh-CN"/>
                    </w:rPr>
                    <w:t>192mm</w:t>
                  </w:r>
                  <w:r>
                    <w:rPr>
                      <w:rFonts w:hint="eastAsia"/>
                      <w:b w:val="0"/>
                      <w:bCs w:val="0"/>
                      <w:color w:val="auto"/>
                      <w:highlight w:val="none"/>
                      <w:u w:val="none"/>
                    </w:rPr>
                    <w:t>*</w:t>
                  </w:r>
                  <w:r>
                    <w:rPr>
                      <w:rFonts w:hint="eastAsia"/>
                      <w:b w:val="0"/>
                      <w:bCs w:val="0"/>
                      <w:color w:val="auto"/>
                      <w:highlight w:val="none"/>
                      <w:u w:val="none"/>
                      <w:lang w:val="en-US" w:eastAsia="zh-CN"/>
                    </w:rPr>
                    <w:t>192mm</w:t>
                  </w:r>
                </w:p>
              </w:tc>
              <w:tc>
                <w:tcPr>
                  <w:tcW w:w="1098" w:type="pct"/>
                  <w:noWrap w:val="0"/>
                  <w:vAlign w:val="center"/>
                </w:tcPr>
                <w:p w14:paraId="0A3E66FE">
                  <w:pPr>
                    <w:spacing w:line="240" w:lineRule="auto"/>
                    <w:jc w:val="center"/>
                    <w:rPr>
                      <w:rFonts w:hint="default" w:ascii="Times New Roman" w:hAnsi="Times New Roman" w:eastAsia="宋体" w:cs="Times New Roman"/>
                      <w:b w:val="0"/>
                      <w:bCs w:val="0"/>
                      <w:color w:val="auto"/>
                      <w:szCs w:val="21"/>
                      <w:highlight w:val="none"/>
                      <w:vertAlign w:val="baseline"/>
                      <w:lang w:val="en-US" w:eastAsia="zh-CN"/>
                    </w:rPr>
                  </w:pPr>
                  <w:r>
                    <w:rPr>
                      <w:rFonts w:hint="eastAsia" w:ascii="Times New Roman" w:hAnsi="Times New Roman" w:eastAsia="宋体" w:cs="Times New Roman"/>
                      <w:b w:val="0"/>
                      <w:bCs w:val="0"/>
                      <w:color w:val="auto"/>
                      <w:szCs w:val="21"/>
                      <w:highlight w:val="none"/>
                      <w:vertAlign w:val="baseline"/>
                      <w:lang w:val="en-US" w:eastAsia="zh-CN"/>
                    </w:rPr>
                    <w:t>5000万件</w:t>
                  </w:r>
                </w:p>
              </w:tc>
            </w:tr>
            <w:tr w14:paraId="4E0E4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362" w:type="pct"/>
                  <w:vMerge w:val="continue"/>
                  <w:noWrap w:val="0"/>
                  <w:vAlign w:val="center"/>
                </w:tcPr>
                <w:p w14:paraId="3D9F0ADF">
                  <w:pPr>
                    <w:spacing w:line="240" w:lineRule="auto"/>
                    <w:jc w:val="center"/>
                    <w:rPr>
                      <w:rFonts w:hint="eastAsia" w:cs="Times New Roman"/>
                      <w:b w:val="0"/>
                      <w:bCs w:val="0"/>
                      <w:color w:val="auto"/>
                      <w:highlight w:val="none"/>
                      <w:lang w:val="en-US" w:eastAsia="zh-CN"/>
                    </w:rPr>
                  </w:pPr>
                </w:p>
              </w:tc>
              <w:tc>
                <w:tcPr>
                  <w:tcW w:w="1201" w:type="pct"/>
                  <w:tcBorders>
                    <w:right w:val="single" w:color="auto" w:sz="4" w:space="0"/>
                  </w:tcBorders>
                  <w:noWrap w:val="0"/>
                  <w:vAlign w:val="center"/>
                </w:tcPr>
                <w:p w14:paraId="3BCA3A87">
                  <w:pPr>
                    <w:spacing w:line="240" w:lineRule="auto"/>
                    <w:jc w:val="center"/>
                    <w:rPr>
                      <w:b w:val="0"/>
                      <w:bCs w:val="0"/>
                      <w:color w:val="auto"/>
                      <w:highlight w:val="none"/>
                      <w:u w:val="none"/>
                    </w:rPr>
                  </w:pPr>
                  <w:r>
                    <w:rPr>
                      <w:b w:val="0"/>
                      <w:bCs w:val="0"/>
                      <w:color w:val="auto"/>
                      <w:highlight w:val="none"/>
                      <w:u w:val="none"/>
                    </w:rPr>
                    <w:t>P4</w:t>
                  </w:r>
                  <w:r>
                    <w:rPr>
                      <w:rFonts w:hint="eastAsia" w:cs="Times New Roman"/>
                      <w:b w:val="0"/>
                      <w:bCs w:val="0"/>
                      <w:color w:val="auto"/>
                      <w:highlight w:val="none"/>
                      <w:lang w:val="en-US" w:eastAsia="zh-CN"/>
                    </w:rPr>
                    <w:t>显示模组</w:t>
                  </w:r>
                </w:p>
              </w:tc>
              <w:tc>
                <w:tcPr>
                  <w:tcW w:w="1337" w:type="pct"/>
                  <w:tcBorders>
                    <w:left w:val="single" w:color="auto" w:sz="4" w:space="0"/>
                  </w:tcBorders>
                  <w:noWrap w:val="0"/>
                  <w:vAlign w:val="center"/>
                </w:tcPr>
                <w:p w14:paraId="18B01E26">
                  <w:pPr>
                    <w:spacing w:line="240" w:lineRule="auto"/>
                    <w:jc w:val="center"/>
                    <w:rPr>
                      <w:b w:val="0"/>
                      <w:bCs w:val="0"/>
                      <w:color w:val="auto"/>
                      <w:highlight w:val="none"/>
                      <w:u w:val="none"/>
                    </w:rPr>
                  </w:pPr>
                  <w:r>
                    <w:rPr>
                      <w:rFonts w:hint="eastAsia"/>
                      <w:b w:val="0"/>
                      <w:bCs w:val="0"/>
                      <w:color w:val="auto"/>
                      <w:highlight w:val="none"/>
                      <w:u w:val="none"/>
                      <w:lang w:val="en-US" w:eastAsia="zh-CN"/>
                    </w:rPr>
                    <w:t>256mm</w:t>
                  </w:r>
                  <w:r>
                    <w:rPr>
                      <w:rFonts w:hint="eastAsia"/>
                      <w:b w:val="0"/>
                      <w:bCs w:val="0"/>
                      <w:color w:val="auto"/>
                      <w:highlight w:val="none"/>
                      <w:u w:val="none"/>
                    </w:rPr>
                    <w:t>*</w:t>
                  </w:r>
                  <w:r>
                    <w:rPr>
                      <w:rFonts w:hint="eastAsia"/>
                      <w:b w:val="0"/>
                      <w:bCs w:val="0"/>
                      <w:color w:val="auto"/>
                      <w:highlight w:val="none"/>
                      <w:u w:val="none"/>
                      <w:lang w:val="en-US" w:eastAsia="zh-CN"/>
                    </w:rPr>
                    <w:t>256mm</w:t>
                  </w:r>
                </w:p>
              </w:tc>
              <w:tc>
                <w:tcPr>
                  <w:tcW w:w="1098" w:type="pct"/>
                  <w:noWrap w:val="0"/>
                  <w:vAlign w:val="center"/>
                </w:tcPr>
                <w:p w14:paraId="2CE4C9D9">
                  <w:pPr>
                    <w:spacing w:line="240" w:lineRule="auto"/>
                    <w:jc w:val="center"/>
                    <w:rPr>
                      <w:rFonts w:hint="eastAsia" w:ascii="Times New Roman" w:hAnsi="Times New Roman" w:eastAsia="宋体" w:cs="Times New Roman"/>
                      <w:b w:val="0"/>
                      <w:bCs w:val="0"/>
                      <w:color w:val="auto"/>
                      <w:szCs w:val="21"/>
                      <w:highlight w:val="none"/>
                      <w:vertAlign w:val="baseline"/>
                      <w:lang w:val="en-US" w:eastAsia="zh-CN"/>
                    </w:rPr>
                  </w:pPr>
                  <w:r>
                    <w:rPr>
                      <w:rFonts w:hint="eastAsia" w:ascii="Times New Roman" w:hAnsi="Times New Roman" w:eastAsia="宋体" w:cs="Times New Roman"/>
                      <w:b w:val="0"/>
                      <w:bCs w:val="0"/>
                      <w:color w:val="auto"/>
                      <w:szCs w:val="21"/>
                      <w:highlight w:val="none"/>
                      <w:vertAlign w:val="baseline"/>
                      <w:lang w:val="en-US" w:eastAsia="zh-CN"/>
                    </w:rPr>
                    <w:t>2000万件</w:t>
                  </w:r>
                </w:p>
              </w:tc>
            </w:tr>
            <w:tr w14:paraId="702A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3901" w:type="pct"/>
                  <w:gridSpan w:val="3"/>
                  <w:noWrap w:val="0"/>
                  <w:vAlign w:val="center"/>
                </w:tcPr>
                <w:p w14:paraId="66086987">
                  <w:pPr>
                    <w:spacing w:line="240" w:lineRule="auto"/>
                    <w:jc w:val="center"/>
                    <w:rPr>
                      <w:rFonts w:hint="default"/>
                      <w:b w:val="0"/>
                      <w:bCs w:val="0"/>
                      <w:color w:val="auto"/>
                      <w:highlight w:val="none"/>
                      <w:u w:val="none"/>
                      <w:lang w:val="en-US" w:eastAsia="zh-CN"/>
                    </w:rPr>
                  </w:pPr>
                  <w:r>
                    <w:rPr>
                      <w:rFonts w:hint="eastAsia"/>
                      <w:b w:val="0"/>
                      <w:bCs w:val="0"/>
                      <w:color w:val="auto"/>
                      <w:highlight w:val="none"/>
                      <w:u w:val="none"/>
                      <w:lang w:val="en-US" w:eastAsia="zh-CN"/>
                    </w:rPr>
                    <w:t>合计</w:t>
                  </w:r>
                </w:p>
              </w:tc>
              <w:tc>
                <w:tcPr>
                  <w:tcW w:w="1098" w:type="pct"/>
                  <w:noWrap w:val="0"/>
                  <w:vAlign w:val="center"/>
                </w:tcPr>
                <w:p w14:paraId="6C485638">
                  <w:pPr>
                    <w:spacing w:line="240" w:lineRule="auto"/>
                    <w:jc w:val="center"/>
                    <w:rPr>
                      <w:rFonts w:hint="eastAsia" w:ascii="Times New Roman" w:hAnsi="Times New Roman" w:eastAsia="宋体" w:cs="Times New Roman"/>
                      <w:b w:val="0"/>
                      <w:bCs w:val="0"/>
                      <w:color w:val="auto"/>
                      <w:szCs w:val="21"/>
                      <w:highlight w:val="none"/>
                      <w:vertAlign w:val="baseline"/>
                      <w:lang w:val="en-US" w:eastAsia="zh-CN"/>
                    </w:rPr>
                  </w:pPr>
                  <w:r>
                    <w:rPr>
                      <w:rFonts w:hint="eastAsia" w:ascii="Times New Roman" w:hAnsi="Times New Roman" w:eastAsia="宋体" w:cs="Times New Roman"/>
                      <w:b w:val="0"/>
                      <w:bCs w:val="0"/>
                      <w:color w:val="auto"/>
                      <w:szCs w:val="21"/>
                      <w:highlight w:val="none"/>
                      <w:vertAlign w:val="baseline"/>
                      <w:lang w:val="en-US" w:eastAsia="zh-CN"/>
                    </w:rPr>
                    <w:t>7000万件</w:t>
                  </w:r>
                </w:p>
              </w:tc>
            </w:tr>
            <w:tr w14:paraId="7BEC7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362" w:type="pct"/>
                  <w:vMerge w:val="restart"/>
                  <w:noWrap w:val="0"/>
                  <w:vAlign w:val="center"/>
                </w:tcPr>
                <w:p w14:paraId="2BBC621D">
                  <w:pPr>
                    <w:spacing w:line="240" w:lineRule="auto"/>
                    <w:jc w:val="center"/>
                    <w:rPr>
                      <w:rFonts w:hint="eastAsia" w:ascii="Times New Roman" w:hAnsi="Times New Roman" w:eastAsia="宋体" w:cs="Times New Roman"/>
                      <w:b w:val="0"/>
                      <w:bCs w:val="0"/>
                      <w:color w:val="auto"/>
                      <w:szCs w:val="21"/>
                      <w:highlight w:val="none"/>
                      <w:vertAlign w:val="baseline"/>
                      <w:lang w:val="en-US" w:eastAsia="zh-CN"/>
                    </w:rPr>
                  </w:pPr>
                  <w:r>
                    <w:rPr>
                      <w:rFonts w:hint="eastAsia" w:ascii="Times New Roman" w:hAnsi="Times New Roman" w:eastAsia="宋体" w:cs="Times New Roman"/>
                      <w:b w:val="0"/>
                      <w:bCs w:val="0"/>
                      <w:color w:val="auto"/>
                      <w:szCs w:val="21"/>
                      <w:highlight w:val="none"/>
                      <w:vertAlign w:val="baseline"/>
                      <w:lang w:val="en-US" w:eastAsia="zh-CN"/>
                    </w:rPr>
                    <w:t>显示屏模组器件</w:t>
                  </w:r>
                </w:p>
              </w:tc>
              <w:tc>
                <w:tcPr>
                  <w:tcW w:w="1201" w:type="pct"/>
                  <w:tcBorders>
                    <w:right w:val="single" w:color="auto" w:sz="4" w:space="0"/>
                  </w:tcBorders>
                  <w:shd w:val="clear" w:color="auto" w:fill="auto"/>
                  <w:noWrap w:val="0"/>
                  <w:vAlign w:val="center"/>
                </w:tcPr>
                <w:p w14:paraId="517854E2">
                  <w:pPr>
                    <w:widowControl/>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2020灯珠载带</w:t>
                  </w:r>
                </w:p>
              </w:tc>
              <w:tc>
                <w:tcPr>
                  <w:tcW w:w="1337" w:type="pct"/>
                  <w:tcBorders>
                    <w:left w:val="single" w:color="auto" w:sz="4" w:space="0"/>
                  </w:tcBorders>
                  <w:shd w:val="clear" w:color="auto" w:fill="auto"/>
                  <w:noWrap w:val="0"/>
                  <w:vAlign w:val="center"/>
                </w:tcPr>
                <w:p w14:paraId="0B31B0B9">
                  <w:pPr>
                    <w:jc w:val="center"/>
                    <w:rPr>
                      <w:rFonts w:hint="eastAsia" w:ascii="Times New Roman" w:hAnsi="Times New Roman" w:eastAsia="宋体" w:cs="Times New Roman"/>
                      <w:b w:val="0"/>
                      <w:bCs w:val="0"/>
                      <w:color w:val="auto"/>
                      <w:kern w:val="2"/>
                      <w:sz w:val="21"/>
                      <w:szCs w:val="24"/>
                      <w:highlight w:val="none"/>
                      <w:u w:val="none"/>
                      <w:lang w:val="en-US" w:eastAsia="zh-CN" w:bidi="ar-SA"/>
                    </w:rPr>
                  </w:pPr>
                  <w:r>
                    <w:rPr>
                      <w:rFonts w:hint="eastAsia" w:cs="Times New Roman"/>
                      <w:b w:val="0"/>
                      <w:bCs w:val="0"/>
                      <w:color w:val="auto"/>
                      <w:kern w:val="2"/>
                      <w:sz w:val="21"/>
                      <w:highlight w:val="none"/>
                      <w:u w:val="none"/>
                      <w:lang w:val="en-US" w:eastAsia="zh-CN" w:bidi="ar-SA"/>
                    </w:rPr>
                    <w:t>8mm</w:t>
                  </w:r>
                </w:p>
              </w:tc>
              <w:tc>
                <w:tcPr>
                  <w:tcW w:w="1098" w:type="pct"/>
                  <w:shd w:val="clear" w:color="auto" w:fill="auto"/>
                  <w:noWrap w:val="0"/>
                  <w:vAlign w:val="center"/>
                </w:tcPr>
                <w:p w14:paraId="1DAFE4A3">
                  <w:pPr>
                    <w:spacing w:line="240" w:lineRule="auto"/>
                    <w:jc w:val="center"/>
                    <w:rPr>
                      <w:rFonts w:hint="eastAsia" w:ascii="Times New Roman" w:hAnsi="Times New Roman" w:eastAsia="宋体" w:cs="Times New Roman"/>
                      <w:b w:val="0"/>
                      <w:bCs w:val="0"/>
                      <w:color w:val="auto"/>
                      <w:szCs w:val="21"/>
                      <w:highlight w:val="none"/>
                      <w:vertAlign w:val="baseline"/>
                      <w:lang w:val="en-US" w:eastAsia="zh-CN"/>
                    </w:rPr>
                  </w:pPr>
                  <w:r>
                    <w:rPr>
                      <w:rFonts w:hint="eastAsia" w:ascii="Times New Roman" w:hAnsi="Times New Roman" w:eastAsia="宋体" w:cs="Times New Roman"/>
                      <w:b w:val="0"/>
                      <w:bCs w:val="0"/>
                      <w:color w:val="auto"/>
                      <w:szCs w:val="21"/>
                      <w:highlight w:val="none"/>
                      <w:vertAlign w:val="baseline"/>
                      <w:lang w:val="en-US" w:eastAsia="zh-CN"/>
                    </w:rPr>
                    <w:t>1000万个</w:t>
                  </w:r>
                </w:p>
              </w:tc>
            </w:tr>
            <w:tr w14:paraId="7C1A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362" w:type="pct"/>
                  <w:vMerge w:val="continue"/>
                  <w:noWrap w:val="0"/>
                  <w:vAlign w:val="center"/>
                </w:tcPr>
                <w:p w14:paraId="7420A6C1">
                  <w:pPr>
                    <w:spacing w:line="240" w:lineRule="auto"/>
                    <w:jc w:val="center"/>
                    <w:rPr>
                      <w:rFonts w:hint="eastAsia" w:cs="Times New Roman"/>
                      <w:b w:val="0"/>
                      <w:bCs w:val="0"/>
                      <w:color w:val="auto"/>
                      <w:highlight w:val="none"/>
                      <w:lang w:val="en-US" w:eastAsia="zh-CN"/>
                    </w:rPr>
                  </w:pPr>
                </w:p>
              </w:tc>
              <w:tc>
                <w:tcPr>
                  <w:tcW w:w="1201" w:type="pct"/>
                  <w:tcBorders>
                    <w:right w:val="single" w:color="auto" w:sz="4" w:space="0"/>
                  </w:tcBorders>
                  <w:shd w:val="clear" w:color="auto" w:fill="auto"/>
                  <w:noWrap w:val="0"/>
                  <w:vAlign w:val="center"/>
                </w:tcPr>
                <w:p w14:paraId="1F98A56B">
                  <w:pPr>
                    <w:widowControl/>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kern w:val="2"/>
                      <w:sz w:val="21"/>
                      <w:szCs w:val="21"/>
                      <w:highlight w:val="none"/>
                      <w:lang w:val="en-US" w:eastAsia="zh-CN" w:bidi="ar-SA"/>
                    </w:rPr>
                    <w:t>1515灯珠载带</w:t>
                  </w:r>
                </w:p>
              </w:tc>
              <w:tc>
                <w:tcPr>
                  <w:tcW w:w="1337" w:type="pct"/>
                  <w:tcBorders>
                    <w:left w:val="single" w:color="auto" w:sz="4" w:space="0"/>
                  </w:tcBorders>
                  <w:shd w:val="clear" w:color="auto" w:fill="auto"/>
                  <w:noWrap w:val="0"/>
                  <w:vAlign w:val="center"/>
                </w:tcPr>
                <w:p w14:paraId="696B8DDA">
                  <w:pPr>
                    <w:jc w:val="center"/>
                    <w:rPr>
                      <w:rFonts w:hint="eastAsia" w:ascii="Times New Roman" w:hAnsi="Times New Roman" w:eastAsia="宋体" w:cs="Times New Roman"/>
                      <w:b w:val="0"/>
                      <w:bCs w:val="0"/>
                      <w:color w:val="auto"/>
                      <w:kern w:val="2"/>
                      <w:sz w:val="21"/>
                      <w:szCs w:val="24"/>
                      <w:highlight w:val="none"/>
                      <w:u w:val="none"/>
                      <w:lang w:val="en-US" w:eastAsia="zh-CN" w:bidi="ar-SA"/>
                    </w:rPr>
                  </w:pPr>
                  <w:r>
                    <w:rPr>
                      <w:rFonts w:hint="eastAsia"/>
                      <w:b w:val="0"/>
                      <w:bCs w:val="0"/>
                      <w:color w:val="auto"/>
                      <w:highlight w:val="none"/>
                      <w:u w:val="none"/>
                      <w:lang w:val="en-US" w:eastAsia="zh-CN"/>
                    </w:rPr>
                    <w:t>8mm</w:t>
                  </w:r>
                </w:p>
              </w:tc>
              <w:tc>
                <w:tcPr>
                  <w:tcW w:w="1098" w:type="pct"/>
                  <w:shd w:val="clear" w:color="auto" w:fill="auto"/>
                  <w:noWrap w:val="0"/>
                  <w:vAlign w:val="center"/>
                </w:tcPr>
                <w:p w14:paraId="16C61E9C">
                  <w:pPr>
                    <w:spacing w:line="240" w:lineRule="auto"/>
                    <w:jc w:val="center"/>
                    <w:rPr>
                      <w:rFonts w:hint="eastAsia" w:ascii="Times New Roman" w:hAnsi="Times New Roman" w:eastAsia="宋体" w:cs="Times New Roman"/>
                      <w:b w:val="0"/>
                      <w:bCs w:val="0"/>
                      <w:color w:val="auto"/>
                      <w:szCs w:val="21"/>
                      <w:highlight w:val="none"/>
                      <w:vertAlign w:val="baseline"/>
                      <w:lang w:val="en-US" w:eastAsia="zh-CN"/>
                    </w:rPr>
                  </w:pPr>
                  <w:r>
                    <w:rPr>
                      <w:rFonts w:hint="eastAsia" w:ascii="Times New Roman" w:hAnsi="Times New Roman" w:eastAsia="宋体" w:cs="Times New Roman"/>
                      <w:b w:val="0"/>
                      <w:bCs w:val="0"/>
                      <w:color w:val="auto"/>
                      <w:szCs w:val="21"/>
                      <w:highlight w:val="none"/>
                      <w:vertAlign w:val="baseline"/>
                      <w:lang w:val="en-US" w:eastAsia="zh-CN"/>
                    </w:rPr>
                    <w:t>1000万个</w:t>
                  </w:r>
                </w:p>
              </w:tc>
            </w:tr>
            <w:tr w14:paraId="2FCFF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3901" w:type="pct"/>
                  <w:gridSpan w:val="3"/>
                  <w:noWrap w:val="0"/>
                  <w:vAlign w:val="center"/>
                </w:tcPr>
                <w:p w14:paraId="16E687F2">
                  <w:pPr>
                    <w:spacing w:line="240" w:lineRule="auto"/>
                    <w:jc w:val="center"/>
                    <w:rPr>
                      <w:rFonts w:hint="eastAsia" w:eastAsia="宋体"/>
                      <w:b w:val="0"/>
                      <w:bCs w:val="0"/>
                      <w:color w:val="auto"/>
                      <w:highlight w:val="none"/>
                      <w:lang w:eastAsia="zh-CN"/>
                    </w:rPr>
                  </w:pPr>
                  <w:r>
                    <w:rPr>
                      <w:rFonts w:hint="eastAsia"/>
                      <w:b w:val="0"/>
                      <w:bCs w:val="0"/>
                      <w:color w:val="auto"/>
                      <w:highlight w:val="none"/>
                      <w:lang w:eastAsia="zh-CN"/>
                    </w:rPr>
                    <w:t>合计</w:t>
                  </w:r>
                </w:p>
              </w:tc>
              <w:tc>
                <w:tcPr>
                  <w:tcW w:w="1098" w:type="pct"/>
                  <w:noWrap w:val="0"/>
                  <w:vAlign w:val="center"/>
                </w:tcPr>
                <w:p w14:paraId="05548274">
                  <w:pPr>
                    <w:spacing w:line="240" w:lineRule="auto"/>
                    <w:jc w:val="center"/>
                    <w:rPr>
                      <w:rFonts w:hint="eastAsia" w:ascii="Times New Roman" w:hAnsi="Times New Roman" w:eastAsia="宋体" w:cs="Times New Roman"/>
                      <w:b w:val="0"/>
                      <w:bCs w:val="0"/>
                      <w:color w:val="auto"/>
                      <w:szCs w:val="21"/>
                      <w:highlight w:val="none"/>
                      <w:vertAlign w:val="baseline"/>
                      <w:lang w:val="en-US" w:eastAsia="zh-CN"/>
                    </w:rPr>
                  </w:pPr>
                  <w:r>
                    <w:rPr>
                      <w:rFonts w:hint="eastAsia" w:ascii="Times New Roman" w:hAnsi="Times New Roman" w:eastAsia="宋体" w:cs="Times New Roman"/>
                      <w:b w:val="0"/>
                      <w:bCs w:val="0"/>
                      <w:color w:val="auto"/>
                      <w:szCs w:val="21"/>
                      <w:highlight w:val="none"/>
                      <w:vertAlign w:val="baseline"/>
                      <w:lang w:val="en-US" w:eastAsia="zh-CN"/>
                    </w:rPr>
                    <w:t>2000万个</w:t>
                  </w:r>
                </w:p>
              </w:tc>
            </w:tr>
          </w:tbl>
          <w:p w14:paraId="6271126B">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说明：本项目生产的显示器件产品均为室内使用，因此生产过程不含防水工序，不使用密封胶等防水材料。</w:t>
            </w:r>
          </w:p>
          <w:p w14:paraId="6E9B9FA2">
            <w:pPr>
              <w:numPr>
                <w:ilvl w:val="0"/>
                <w:numId w:val="0"/>
              </w:numPr>
              <w:spacing w:line="360" w:lineRule="auto"/>
              <w:ind w:left="0" w:leftChars="0" w:firstLine="482" w:firstLineChars="200"/>
              <w:rPr>
                <w:rFonts w:hint="eastAsia" w:cs="Times New Roman"/>
                <w:b w:val="0"/>
                <w:bCs w:val="0"/>
                <w:color w:val="auto"/>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bidi="ar-SA"/>
              </w:rPr>
              <w:t>4、</w:t>
            </w:r>
            <w:r>
              <w:rPr>
                <w:rFonts w:hint="eastAsia" w:ascii="Times New Roman" w:hAnsi="Times New Roman" w:eastAsia="宋体" w:cs="Times New Roman"/>
                <w:b/>
                <w:bCs/>
                <w:color w:val="auto"/>
                <w:sz w:val="24"/>
                <w:szCs w:val="24"/>
                <w:highlight w:val="none"/>
                <w:lang w:val="en-US" w:eastAsia="zh-CN"/>
              </w:rPr>
              <w:t>主要生产设备</w:t>
            </w:r>
          </w:p>
          <w:p w14:paraId="602A94E8">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i w:val="0"/>
                <w:color w:val="auto"/>
                <w:kern w:val="2"/>
                <w:sz w:val="21"/>
                <w:szCs w:val="21"/>
                <w:highlight w:val="none"/>
                <w:lang w:val="en-US" w:eastAsia="zh-CN" w:bidi="ar-SA"/>
              </w:rPr>
              <w:t>表2-3</w:t>
            </w:r>
            <w:r>
              <w:rPr>
                <w:rFonts w:hint="eastAsia" w:ascii="Times New Roman" w:hAnsi="Times New Roman" w:cs="Times New Roman"/>
                <w:b/>
                <w:bCs/>
                <w:i w:val="0"/>
                <w:color w:val="auto"/>
                <w:kern w:val="2"/>
                <w:sz w:val="21"/>
                <w:szCs w:val="21"/>
                <w:highlight w:val="none"/>
                <w:lang w:val="en-US" w:eastAsia="zh-CN" w:bidi="ar-SA"/>
              </w:rPr>
              <w:t xml:space="preserve">  </w:t>
            </w:r>
            <w:r>
              <w:rPr>
                <w:rFonts w:hint="eastAsia" w:cs="Times New Roman"/>
                <w:b/>
                <w:bCs/>
                <w:color w:val="auto"/>
                <w:szCs w:val="21"/>
                <w:highlight w:val="none"/>
                <w:lang w:val="en-US" w:eastAsia="zh-CN"/>
              </w:rPr>
              <w:t>拟建项目</w:t>
            </w:r>
            <w:r>
              <w:rPr>
                <w:rFonts w:hint="eastAsia" w:ascii="Times New Roman" w:hAnsi="Times New Roman" w:eastAsia="宋体" w:cs="Times New Roman"/>
                <w:b/>
                <w:bCs/>
                <w:color w:val="auto"/>
                <w:szCs w:val="21"/>
                <w:highlight w:val="none"/>
                <w:lang w:val="en-US" w:eastAsia="zh-CN"/>
              </w:rPr>
              <w:t>主要设备清单</w:t>
            </w:r>
          </w:p>
          <w:tbl>
            <w:tblPr>
              <w:tblStyle w:val="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5"/>
              <w:gridCol w:w="1605"/>
              <w:gridCol w:w="2795"/>
              <w:gridCol w:w="2019"/>
              <w:gridCol w:w="514"/>
              <w:gridCol w:w="615"/>
              <w:gridCol w:w="415"/>
            </w:tblGrid>
            <w:tr w14:paraId="7343C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tcBorders>
                    <w:tl2br w:val="nil"/>
                    <w:tr2bl w:val="nil"/>
                  </w:tcBorders>
                  <w:noWrap w:val="0"/>
                  <w:vAlign w:val="center"/>
                </w:tcPr>
                <w:p w14:paraId="27C31E46">
                  <w:pPr>
                    <w:pStyle w:val="69"/>
                    <w:bidi w:val="0"/>
                    <w:spacing w:line="240" w:lineRule="auto"/>
                    <w:rPr>
                      <w:rFonts w:hint="default"/>
                      <w:b/>
                      <w:bCs/>
                      <w:color w:val="auto"/>
                      <w:highlight w:val="none"/>
                      <w:lang w:val="en-US" w:eastAsia="zh-CN"/>
                    </w:rPr>
                  </w:pPr>
                  <w:r>
                    <w:rPr>
                      <w:rFonts w:hint="eastAsia"/>
                      <w:b/>
                      <w:bCs/>
                      <w:color w:val="auto"/>
                      <w:highlight w:val="none"/>
                      <w:lang w:val="en-US" w:eastAsia="zh-CN"/>
                    </w:rPr>
                    <w:t>位置</w:t>
                  </w:r>
                </w:p>
              </w:tc>
              <w:tc>
                <w:tcPr>
                  <w:tcW w:w="956" w:type="pct"/>
                  <w:tcBorders>
                    <w:tl2br w:val="nil"/>
                    <w:tr2bl w:val="nil"/>
                  </w:tcBorders>
                  <w:noWrap w:val="0"/>
                  <w:vAlign w:val="center"/>
                </w:tcPr>
                <w:p w14:paraId="603A42B7">
                  <w:pPr>
                    <w:pStyle w:val="69"/>
                    <w:bidi w:val="0"/>
                    <w:spacing w:line="240" w:lineRule="auto"/>
                    <w:rPr>
                      <w:rFonts w:hint="eastAsia"/>
                      <w:b/>
                      <w:bCs/>
                      <w:color w:val="auto"/>
                      <w:highlight w:val="none"/>
                    </w:rPr>
                  </w:pPr>
                  <w:r>
                    <w:rPr>
                      <w:rFonts w:hint="eastAsia"/>
                      <w:b/>
                      <w:bCs/>
                      <w:color w:val="auto"/>
                      <w:highlight w:val="none"/>
                      <w:lang w:val="en-US" w:eastAsia="zh-CN"/>
                    </w:rPr>
                    <w:t>对应工序</w:t>
                  </w:r>
                </w:p>
              </w:tc>
              <w:tc>
                <w:tcPr>
                  <w:tcW w:w="1310" w:type="pct"/>
                  <w:tcBorders>
                    <w:tl2br w:val="nil"/>
                    <w:tr2bl w:val="nil"/>
                  </w:tcBorders>
                  <w:noWrap w:val="0"/>
                  <w:vAlign w:val="center"/>
                </w:tcPr>
                <w:p w14:paraId="4321137A">
                  <w:pPr>
                    <w:pStyle w:val="69"/>
                    <w:bidi w:val="0"/>
                    <w:spacing w:line="240" w:lineRule="auto"/>
                    <w:rPr>
                      <w:rFonts w:hint="eastAsia"/>
                      <w:b/>
                      <w:bCs/>
                      <w:color w:val="auto"/>
                      <w:highlight w:val="none"/>
                    </w:rPr>
                  </w:pPr>
                  <w:r>
                    <w:rPr>
                      <w:rFonts w:hint="eastAsia"/>
                      <w:b/>
                      <w:bCs/>
                      <w:color w:val="auto"/>
                      <w:highlight w:val="none"/>
                      <w:lang w:val="en-US" w:eastAsia="zh-CN"/>
                    </w:rPr>
                    <w:t>设备名称</w:t>
                  </w:r>
                </w:p>
              </w:tc>
              <w:tc>
                <w:tcPr>
                  <w:tcW w:w="1236" w:type="pct"/>
                  <w:tcBorders>
                    <w:tl2br w:val="nil"/>
                    <w:tr2bl w:val="nil"/>
                  </w:tcBorders>
                  <w:noWrap w:val="0"/>
                  <w:vAlign w:val="center"/>
                </w:tcPr>
                <w:p w14:paraId="5C5AD743">
                  <w:pPr>
                    <w:pStyle w:val="69"/>
                    <w:bidi w:val="0"/>
                    <w:spacing w:line="240" w:lineRule="auto"/>
                    <w:rPr>
                      <w:rFonts w:hint="eastAsia"/>
                      <w:b/>
                      <w:bCs/>
                      <w:color w:val="auto"/>
                      <w:highlight w:val="none"/>
                    </w:rPr>
                  </w:pPr>
                  <w:r>
                    <w:rPr>
                      <w:rFonts w:hint="eastAsia"/>
                      <w:b/>
                      <w:bCs/>
                      <w:color w:val="auto"/>
                      <w:highlight w:val="none"/>
                      <w:lang w:val="en-US" w:eastAsia="zh-CN"/>
                    </w:rPr>
                    <w:t>规格型号</w:t>
                  </w:r>
                </w:p>
              </w:tc>
              <w:tc>
                <w:tcPr>
                  <w:tcW w:w="487" w:type="pct"/>
                  <w:tcBorders>
                    <w:tl2br w:val="nil"/>
                    <w:tr2bl w:val="nil"/>
                  </w:tcBorders>
                  <w:noWrap w:val="0"/>
                  <w:vAlign w:val="center"/>
                </w:tcPr>
                <w:p w14:paraId="4D6ECA98">
                  <w:pPr>
                    <w:pStyle w:val="69"/>
                    <w:bidi w:val="0"/>
                    <w:spacing w:line="240" w:lineRule="auto"/>
                    <w:rPr>
                      <w:rFonts w:hint="eastAsia"/>
                      <w:b/>
                      <w:bCs/>
                      <w:color w:val="auto"/>
                      <w:highlight w:val="none"/>
                    </w:rPr>
                  </w:pPr>
                  <w:r>
                    <w:rPr>
                      <w:rFonts w:hint="eastAsia"/>
                      <w:b/>
                      <w:bCs/>
                      <w:color w:val="auto"/>
                      <w:highlight w:val="none"/>
                      <w:lang w:val="en-US" w:eastAsia="zh-CN"/>
                    </w:rPr>
                    <w:t>数量</w:t>
                  </w:r>
                </w:p>
              </w:tc>
              <w:tc>
                <w:tcPr>
                  <w:tcW w:w="315" w:type="pct"/>
                  <w:tcBorders>
                    <w:tl2br w:val="nil"/>
                    <w:tr2bl w:val="nil"/>
                  </w:tcBorders>
                  <w:noWrap/>
                  <w:vAlign w:val="center"/>
                </w:tcPr>
                <w:p w14:paraId="035E3A2B">
                  <w:pPr>
                    <w:pStyle w:val="69"/>
                    <w:bidi w:val="0"/>
                    <w:spacing w:line="240" w:lineRule="auto"/>
                    <w:rPr>
                      <w:rFonts w:hint="eastAsia"/>
                      <w:b/>
                      <w:bCs/>
                      <w:color w:val="auto"/>
                      <w:highlight w:val="none"/>
                    </w:rPr>
                  </w:pPr>
                  <w:r>
                    <w:rPr>
                      <w:rFonts w:hint="eastAsia"/>
                      <w:b/>
                      <w:bCs/>
                      <w:color w:val="auto"/>
                      <w:highlight w:val="none"/>
                      <w:lang w:val="en-US" w:eastAsia="zh-CN"/>
                    </w:rPr>
                    <w:t>单位</w:t>
                  </w:r>
                </w:p>
              </w:tc>
              <w:tc>
                <w:tcPr>
                  <w:tcW w:w="440" w:type="pct"/>
                  <w:tcBorders>
                    <w:tl2br w:val="nil"/>
                    <w:tr2bl w:val="nil"/>
                  </w:tcBorders>
                  <w:noWrap w:val="0"/>
                  <w:vAlign w:val="center"/>
                </w:tcPr>
                <w:p w14:paraId="179B0D51">
                  <w:pPr>
                    <w:pStyle w:val="69"/>
                    <w:bidi w:val="0"/>
                    <w:spacing w:line="240" w:lineRule="auto"/>
                    <w:rPr>
                      <w:rFonts w:hint="eastAsia"/>
                      <w:b/>
                      <w:bCs/>
                      <w:color w:val="auto"/>
                      <w:highlight w:val="none"/>
                    </w:rPr>
                  </w:pPr>
                  <w:r>
                    <w:rPr>
                      <w:rFonts w:hint="eastAsia"/>
                      <w:b/>
                      <w:bCs/>
                      <w:color w:val="auto"/>
                      <w:highlight w:val="none"/>
                      <w:lang w:val="en-US" w:eastAsia="zh-CN"/>
                    </w:rPr>
                    <w:t>备注</w:t>
                  </w:r>
                </w:p>
              </w:tc>
            </w:tr>
            <w:tr w14:paraId="72CED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restart"/>
                  <w:tcBorders>
                    <w:tl2br w:val="nil"/>
                    <w:tr2bl w:val="nil"/>
                  </w:tcBorders>
                  <w:noWrap/>
                  <w:vAlign w:val="center"/>
                </w:tcPr>
                <w:p w14:paraId="3247BC1A">
                  <w:pPr>
                    <w:pStyle w:val="69"/>
                    <w:bidi w:val="0"/>
                    <w:spacing w:line="240" w:lineRule="auto"/>
                    <w:rPr>
                      <w:rFonts w:hint="default"/>
                      <w:color w:val="auto"/>
                      <w:highlight w:val="none"/>
                      <w:lang w:val="en-US" w:eastAsia="zh-CN"/>
                    </w:rPr>
                  </w:pPr>
                  <w:r>
                    <w:rPr>
                      <w:rFonts w:hint="eastAsia"/>
                      <w:color w:val="auto"/>
                      <w:highlight w:val="none"/>
                      <w:lang w:val="en-US" w:eastAsia="zh-CN"/>
                    </w:rPr>
                    <w:t>2F</w:t>
                  </w:r>
                </w:p>
              </w:tc>
              <w:tc>
                <w:tcPr>
                  <w:tcW w:w="956" w:type="pct"/>
                  <w:vMerge w:val="restart"/>
                  <w:tcBorders>
                    <w:tl2br w:val="nil"/>
                    <w:tr2bl w:val="nil"/>
                  </w:tcBorders>
                  <w:noWrap/>
                  <w:vAlign w:val="center"/>
                </w:tcPr>
                <w:p w14:paraId="6CF92BAC">
                  <w:pPr>
                    <w:pStyle w:val="69"/>
                    <w:bidi w:val="0"/>
                    <w:spacing w:line="240" w:lineRule="auto"/>
                    <w:rPr>
                      <w:rFonts w:hint="default"/>
                      <w:color w:val="auto"/>
                      <w:highlight w:val="none"/>
                      <w:lang w:val="en-US" w:eastAsia="zh-CN"/>
                    </w:rPr>
                  </w:pPr>
                  <w:r>
                    <w:rPr>
                      <w:rFonts w:hint="eastAsia"/>
                      <w:color w:val="auto"/>
                      <w:highlight w:val="none"/>
                      <w:lang w:val="en-US" w:eastAsia="zh-CN"/>
                    </w:rPr>
                    <w:t>烘料</w:t>
                  </w:r>
                </w:p>
              </w:tc>
              <w:tc>
                <w:tcPr>
                  <w:tcW w:w="1310" w:type="pct"/>
                  <w:tcBorders>
                    <w:tl2br w:val="nil"/>
                    <w:tr2bl w:val="nil"/>
                  </w:tcBorders>
                  <w:shd w:val="clear" w:color="auto" w:fill="auto"/>
                  <w:noWrap/>
                  <w:vAlign w:val="center"/>
                </w:tcPr>
                <w:p w14:paraId="5D5F0132">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烘箱</w:t>
                  </w:r>
                </w:p>
              </w:tc>
              <w:tc>
                <w:tcPr>
                  <w:tcW w:w="1236" w:type="pct"/>
                  <w:tcBorders>
                    <w:tl2br w:val="nil"/>
                    <w:tr2bl w:val="nil"/>
                  </w:tcBorders>
                  <w:shd w:val="clear" w:color="auto" w:fill="auto"/>
                  <w:noWrap w:val="0"/>
                  <w:vAlign w:val="center"/>
                </w:tcPr>
                <w:p w14:paraId="43F6FA88">
                  <w:pPr>
                    <w:pStyle w:val="69"/>
                    <w:bidi w:val="0"/>
                    <w:spacing w:line="240" w:lineRule="auto"/>
                    <w:ind w:firstLine="0" w:firstLineChars="0"/>
                    <w:rPr>
                      <w:rFonts w:hint="default" w:ascii="Times New Roman" w:hAnsi="Times New Roman" w:eastAsia="宋体" w:cs="Times New Roman"/>
                      <w:b w:val="0"/>
                      <w:color w:val="auto"/>
                      <w:kern w:val="2"/>
                      <w:sz w:val="21"/>
                      <w:szCs w:val="21"/>
                      <w:highlight w:val="none"/>
                      <w:lang w:val="en-US" w:eastAsia="zh-CN" w:bidi="ar-SA"/>
                    </w:rPr>
                  </w:pPr>
                  <w:r>
                    <w:rPr>
                      <w:rFonts w:hint="default"/>
                      <w:color w:val="auto"/>
                      <w:highlight w:val="none"/>
                      <w:lang w:val="en-US" w:eastAsia="zh-CN"/>
                    </w:rPr>
                    <w:t>QY-KX-1200</w:t>
                  </w:r>
                </w:p>
              </w:tc>
              <w:tc>
                <w:tcPr>
                  <w:tcW w:w="487" w:type="pct"/>
                  <w:tcBorders>
                    <w:tl2br w:val="nil"/>
                    <w:tr2bl w:val="nil"/>
                  </w:tcBorders>
                  <w:shd w:val="clear" w:color="auto" w:fill="auto"/>
                  <w:noWrap/>
                  <w:vAlign w:val="center"/>
                </w:tcPr>
                <w:p w14:paraId="33C004EE">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4</w:t>
                  </w:r>
                </w:p>
              </w:tc>
              <w:tc>
                <w:tcPr>
                  <w:tcW w:w="315" w:type="pct"/>
                  <w:tcBorders>
                    <w:tl2br w:val="nil"/>
                    <w:tr2bl w:val="nil"/>
                  </w:tcBorders>
                  <w:shd w:val="clear" w:color="auto" w:fill="auto"/>
                  <w:noWrap/>
                  <w:vAlign w:val="center"/>
                </w:tcPr>
                <w:p w14:paraId="3707A961">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台</w:t>
                  </w:r>
                </w:p>
              </w:tc>
              <w:tc>
                <w:tcPr>
                  <w:tcW w:w="440" w:type="pct"/>
                  <w:tcBorders>
                    <w:tl2br w:val="nil"/>
                    <w:tr2bl w:val="nil"/>
                  </w:tcBorders>
                  <w:shd w:val="clear" w:color="auto" w:fill="auto"/>
                  <w:noWrap w:val="0"/>
                  <w:vAlign w:val="center"/>
                </w:tcPr>
                <w:p w14:paraId="74F920B2">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电加热</w:t>
                  </w:r>
                </w:p>
              </w:tc>
            </w:tr>
            <w:tr w14:paraId="102D8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78CE260D">
                  <w:pPr>
                    <w:pStyle w:val="69"/>
                    <w:bidi w:val="0"/>
                    <w:spacing w:line="240" w:lineRule="auto"/>
                    <w:rPr>
                      <w:rFonts w:hint="eastAsia"/>
                      <w:color w:val="auto"/>
                      <w:highlight w:val="none"/>
                      <w:lang w:val="en-US" w:eastAsia="zh-CN"/>
                    </w:rPr>
                  </w:pPr>
                </w:p>
              </w:tc>
              <w:tc>
                <w:tcPr>
                  <w:tcW w:w="956" w:type="pct"/>
                  <w:vMerge w:val="continue"/>
                  <w:tcBorders>
                    <w:tl2br w:val="nil"/>
                    <w:tr2bl w:val="nil"/>
                  </w:tcBorders>
                  <w:noWrap/>
                  <w:vAlign w:val="center"/>
                </w:tcPr>
                <w:p w14:paraId="686276A1">
                  <w:pPr>
                    <w:pStyle w:val="69"/>
                    <w:bidi w:val="0"/>
                    <w:spacing w:line="240" w:lineRule="auto"/>
                    <w:rPr>
                      <w:rFonts w:hint="eastAsia"/>
                      <w:color w:val="auto"/>
                      <w:highlight w:val="none"/>
                      <w:lang w:val="en-US" w:eastAsia="zh-CN"/>
                    </w:rPr>
                  </w:pPr>
                </w:p>
              </w:tc>
              <w:tc>
                <w:tcPr>
                  <w:tcW w:w="1310" w:type="pct"/>
                  <w:tcBorders>
                    <w:tl2br w:val="nil"/>
                    <w:tr2bl w:val="nil"/>
                  </w:tcBorders>
                  <w:shd w:val="clear" w:color="auto" w:fill="auto"/>
                  <w:noWrap/>
                  <w:vAlign w:val="center"/>
                </w:tcPr>
                <w:p w14:paraId="2EEDF1AB">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收板机</w:t>
                  </w:r>
                </w:p>
              </w:tc>
              <w:tc>
                <w:tcPr>
                  <w:tcW w:w="1236" w:type="pct"/>
                  <w:tcBorders>
                    <w:tl2br w:val="nil"/>
                    <w:tr2bl w:val="nil"/>
                  </w:tcBorders>
                  <w:shd w:val="clear" w:color="auto" w:fill="auto"/>
                  <w:noWrap w:val="0"/>
                  <w:vAlign w:val="bottom"/>
                </w:tcPr>
                <w:p w14:paraId="24589921">
                  <w:pPr>
                    <w:pStyle w:val="69"/>
                    <w:bidi w:val="0"/>
                    <w:spacing w:line="240" w:lineRule="auto"/>
                    <w:ind w:firstLine="0" w:firstLineChars="0"/>
                    <w:rPr>
                      <w:rFonts w:hint="default" w:ascii="Times New Roman" w:hAnsi="Times New Roman" w:eastAsia="宋体" w:cs="Times New Roman"/>
                      <w:b w:val="0"/>
                      <w:color w:val="auto"/>
                      <w:kern w:val="2"/>
                      <w:sz w:val="21"/>
                      <w:szCs w:val="21"/>
                      <w:highlight w:val="none"/>
                      <w:lang w:val="en-US" w:eastAsia="zh-CN" w:bidi="ar-SA"/>
                    </w:rPr>
                  </w:pPr>
                  <w:r>
                    <w:rPr>
                      <w:rFonts w:hint="default"/>
                      <w:color w:val="auto"/>
                      <w:highlight w:val="none"/>
                      <w:lang w:val="en-US" w:eastAsia="zh-CN"/>
                    </w:rPr>
                    <w:t>QY-D350</w:t>
                  </w:r>
                </w:p>
              </w:tc>
              <w:tc>
                <w:tcPr>
                  <w:tcW w:w="487" w:type="pct"/>
                  <w:tcBorders>
                    <w:tl2br w:val="nil"/>
                    <w:tr2bl w:val="nil"/>
                  </w:tcBorders>
                  <w:shd w:val="clear" w:color="auto" w:fill="auto"/>
                  <w:noWrap/>
                  <w:vAlign w:val="center"/>
                </w:tcPr>
                <w:p w14:paraId="1036C89C">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4</w:t>
                  </w:r>
                </w:p>
              </w:tc>
              <w:tc>
                <w:tcPr>
                  <w:tcW w:w="315" w:type="pct"/>
                  <w:tcBorders>
                    <w:tl2br w:val="nil"/>
                    <w:tr2bl w:val="nil"/>
                  </w:tcBorders>
                  <w:shd w:val="clear" w:color="auto" w:fill="auto"/>
                  <w:noWrap/>
                  <w:vAlign w:val="center"/>
                </w:tcPr>
                <w:p w14:paraId="5BA22440">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台</w:t>
                  </w:r>
                </w:p>
              </w:tc>
              <w:tc>
                <w:tcPr>
                  <w:tcW w:w="440" w:type="pct"/>
                  <w:tcBorders>
                    <w:tl2br w:val="nil"/>
                    <w:tr2bl w:val="nil"/>
                  </w:tcBorders>
                  <w:shd w:val="clear" w:color="auto" w:fill="auto"/>
                  <w:noWrap w:val="0"/>
                  <w:vAlign w:val="center"/>
                </w:tcPr>
                <w:p w14:paraId="55A83B3B">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w:t>
                  </w:r>
                </w:p>
              </w:tc>
            </w:tr>
            <w:tr w14:paraId="53402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4E91E369">
                  <w:pPr>
                    <w:pStyle w:val="69"/>
                    <w:bidi w:val="0"/>
                    <w:spacing w:line="240" w:lineRule="auto"/>
                    <w:rPr>
                      <w:rFonts w:hint="eastAsia"/>
                      <w:color w:val="auto"/>
                      <w:highlight w:val="none"/>
                      <w:lang w:val="en-US" w:eastAsia="zh-CN"/>
                    </w:rPr>
                  </w:pPr>
                </w:p>
              </w:tc>
              <w:tc>
                <w:tcPr>
                  <w:tcW w:w="956" w:type="pct"/>
                  <w:vMerge w:val="restart"/>
                  <w:tcBorders>
                    <w:tl2br w:val="nil"/>
                    <w:tr2bl w:val="nil"/>
                  </w:tcBorders>
                  <w:noWrap/>
                  <w:vAlign w:val="center"/>
                </w:tcPr>
                <w:p w14:paraId="7CE99680">
                  <w:pPr>
                    <w:pStyle w:val="69"/>
                    <w:bidi w:val="0"/>
                    <w:spacing w:line="240" w:lineRule="auto"/>
                    <w:rPr>
                      <w:rFonts w:hint="eastAsia"/>
                      <w:color w:val="auto"/>
                      <w:highlight w:val="none"/>
                      <w:lang w:val="en-US" w:eastAsia="zh-CN"/>
                    </w:rPr>
                  </w:pPr>
                  <w:r>
                    <w:rPr>
                      <w:rFonts w:hint="eastAsia"/>
                      <w:color w:val="auto"/>
                      <w:highlight w:val="none"/>
                      <w:lang w:val="en-US" w:eastAsia="zh-CN"/>
                    </w:rPr>
                    <w:t>锡膏印刷</w:t>
                  </w:r>
                </w:p>
              </w:tc>
              <w:tc>
                <w:tcPr>
                  <w:tcW w:w="1310" w:type="pct"/>
                  <w:tcBorders>
                    <w:tl2br w:val="nil"/>
                    <w:tr2bl w:val="nil"/>
                  </w:tcBorders>
                  <w:shd w:val="clear" w:color="auto" w:fill="auto"/>
                  <w:noWrap/>
                  <w:vAlign w:val="center"/>
                </w:tcPr>
                <w:p w14:paraId="01429C8C">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印刷机</w:t>
                  </w:r>
                </w:p>
              </w:tc>
              <w:tc>
                <w:tcPr>
                  <w:tcW w:w="1236" w:type="pct"/>
                  <w:tcBorders>
                    <w:tl2br w:val="nil"/>
                    <w:tr2bl w:val="nil"/>
                  </w:tcBorders>
                  <w:shd w:val="clear" w:color="auto" w:fill="auto"/>
                  <w:noWrap w:val="0"/>
                  <w:vAlign w:val="center"/>
                </w:tcPr>
                <w:p w14:paraId="05D145DA">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default"/>
                      <w:color w:val="auto"/>
                      <w:highlight w:val="none"/>
                      <w:lang w:val="en-US" w:eastAsia="zh-CN"/>
                    </w:rPr>
                    <w:t>MYCRONIC</w:t>
                  </w:r>
                </w:p>
              </w:tc>
              <w:tc>
                <w:tcPr>
                  <w:tcW w:w="487" w:type="pct"/>
                  <w:tcBorders>
                    <w:tl2br w:val="nil"/>
                    <w:tr2bl w:val="nil"/>
                  </w:tcBorders>
                  <w:shd w:val="clear" w:color="auto" w:fill="auto"/>
                  <w:noWrap/>
                  <w:vAlign w:val="center"/>
                </w:tcPr>
                <w:p w14:paraId="2FAF3622">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8</w:t>
                  </w:r>
                </w:p>
              </w:tc>
              <w:tc>
                <w:tcPr>
                  <w:tcW w:w="315" w:type="pct"/>
                  <w:tcBorders>
                    <w:tl2br w:val="nil"/>
                    <w:tr2bl w:val="nil"/>
                  </w:tcBorders>
                  <w:shd w:val="clear" w:color="auto" w:fill="auto"/>
                  <w:noWrap/>
                  <w:vAlign w:val="center"/>
                </w:tcPr>
                <w:p w14:paraId="03A64466">
                  <w:pPr>
                    <w:pStyle w:val="69"/>
                    <w:bidi w:val="0"/>
                    <w:spacing w:line="240" w:lineRule="auto"/>
                    <w:ind w:firstLine="0" w:firstLineChars="0"/>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olor w:val="auto"/>
                      <w:highlight w:val="none"/>
                      <w:lang w:val="en-US" w:eastAsia="zh-CN"/>
                    </w:rPr>
                    <w:t>台</w:t>
                  </w:r>
                </w:p>
              </w:tc>
              <w:tc>
                <w:tcPr>
                  <w:tcW w:w="440" w:type="pct"/>
                  <w:tcBorders>
                    <w:tl2br w:val="nil"/>
                    <w:tr2bl w:val="nil"/>
                  </w:tcBorders>
                  <w:noWrap w:val="0"/>
                  <w:vAlign w:val="center"/>
                </w:tcPr>
                <w:p w14:paraId="3AA98F5E">
                  <w:pPr>
                    <w:pStyle w:val="69"/>
                    <w:bidi w:val="0"/>
                    <w:spacing w:line="240" w:lineRule="auto"/>
                    <w:rPr>
                      <w:rFonts w:hint="eastAsia"/>
                      <w:color w:val="auto"/>
                      <w:highlight w:val="none"/>
                      <w:lang w:val="en-US" w:eastAsia="zh-CN"/>
                    </w:rPr>
                  </w:pPr>
                </w:p>
              </w:tc>
            </w:tr>
            <w:tr w14:paraId="15A27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227B63C2">
                  <w:pPr>
                    <w:pStyle w:val="69"/>
                    <w:bidi w:val="0"/>
                    <w:spacing w:line="240" w:lineRule="auto"/>
                    <w:rPr>
                      <w:rFonts w:hint="eastAsia"/>
                      <w:color w:val="auto"/>
                      <w:highlight w:val="none"/>
                      <w:lang w:val="en-US" w:eastAsia="zh-CN"/>
                    </w:rPr>
                  </w:pPr>
                </w:p>
              </w:tc>
              <w:tc>
                <w:tcPr>
                  <w:tcW w:w="956" w:type="pct"/>
                  <w:vMerge w:val="continue"/>
                  <w:tcBorders>
                    <w:tl2br w:val="nil"/>
                    <w:tr2bl w:val="nil"/>
                  </w:tcBorders>
                  <w:noWrap/>
                  <w:vAlign w:val="center"/>
                </w:tcPr>
                <w:p w14:paraId="0C13B56B">
                  <w:pPr>
                    <w:pStyle w:val="69"/>
                    <w:bidi w:val="0"/>
                    <w:spacing w:line="240" w:lineRule="auto"/>
                    <w:rPr>
                      <w:rFonts w:hint="eastAsia"/>
                      <w:color w:val="auto"/>
                      <w:highlight w:val="none"/>
                      <w:lang w:val="en-US" w:eastAsia="zh-CN"/>
                    </w:rPr>
                  </w:pPr>
                </w:p>
              </w:tc>
              <w:tc>
                <w:tcPr>
                  <w:tcW w:w="1310" w:type="pct"/>
                  <w:tcBorders>
                    <w:tl2br w:val="nil"/>
                    <w:tr2bl w:val="nil"/>
                  </w:tcBorders>
                  <w:shd w:val="clear" w:color="auto" w:fill="auto"/>
                  <w:noWrap/>
                  <w:vAlign w:val="center"/>
                </w:tcPr>
                <w:p w14:paraId="73B514D0">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ascii="Times New Roman" w:hAnsi="Times New Roman" w:eastAsia="宋体" w:cs="Times New Roman"/>
                      <w:color w:val="auto"/>
                      <w:highlight w:val="none"/>
                      <w:u w:val="none"/>
                      <w:lang w:val="en-US" w:eastAsia="zh-CN"/>
                    </w:rPr>
                    <w:t>真空吸板机</w:t>
                  </w:r>
                </w:p>
              </w:tc>
              <w:tc>
                <w:tcPr>
                  <w:tcW w:w="1236" w:type="pct"/>
                  <w:tcBorders>
                    <w:tl2br w:val="nil"/>
                    <w:tr2bl w:val="nil"/>
                  </w:tcBorders>
                  <w:shd w:val="clear" w:color="auto" w:fill="auto"/>
                  <w:noWrap w:val="0"/>
                  <w:vAlign w:val="center"/>
                </w:tcPr>
                <w:p w14:paraId="789C8DE8">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highlight w:val="none"/>
                      <w:u w:val="none"/>
                      <w:lang w:val="en-US" w:eastAsia="zh-CN"/>
                    </w:rPr>
                    <w:t>NLT-810</w:t>
                  </w:r>
                </w:p>
              </w:tc>
              <w:tc>
                <w:tcPr>
                  <w:tcW w:w="487" w:type="pct"/>
                  <w:tcBorders>
                    <w:tl2br w:val="nil"/>
                    <w:tr2bl w:val="nil"/>
                  </w:tcBorders>
                  <w:shd w:val="clear" w:color="auto" w:fill="auto"/>
                  <w:noWrap/>
                  <w:vAlign w:val="center"/>
                </w:tcPr>
                <w:p w14:paraId="007BDB1C">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8</w:t>
                  </w:r>
                </w:p>
              </w:tc>
              <w:tc>
                <w:tcPr>
                  <w:tcW w:w="315" w:type="pct"/>
                  <w:tcBorders>
                    <w:tl2br w:val="nil"/>
                    <w:tr2bl w:val="nil"/>
                  </w:tcBorders>
                  <w:shd w:val="clear" w:color="auto" w:fill="auto"/>
                  <w:noWrap/>
                  <w:vAlign w:val="center"/>
                </w:tcPr>
                <w:p w14:paraId="083A7442">
                  <w:pPr>
                    <w:pStyle w:val="69"/>
                    <w:bidi w:val="0"/>
                    <w:spacing w:line="240" w:lineRule="auto"/>
                    <w:ind w:firstLine="0" w:firstLineChars="0"/>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olor w:val="auto"/>
                      <w:highlight w:val="none"/>
                      <w:lang w:val="en-US" w:eastAsia="zh-CN"/>
                    </w:rPr>
                    <w:t>台</w:t>
                  </w:r>
                </w:p>
              </w:tc>
              <w:tc>
                <w:tcPr>
                  <w:tcW w:w="440" w:type="pct"/>
                  <w:tcBorders>
                    <w:tl2br w:val="nil"/>
                    <w:tr2bl w:val="nil"/>
                  </w:tcBorders>
                  <w:noWrap w:val="0"/>
                  <w:vAlign w:val="center"/>
                </w:tcPr>
                <w:p w14:paraId="20C25D7C">
                  <w:pPr>
                    <w:pStyle w:val="69"/>
                    <w:bidi w:val="0"/>
                    <w:spacing w:line="240" w:lineRule="auto"/>
                    <w:rPr>
                      <w:rFonts w:hint="eastAsia"/>
                      <w:color w:val="auto"/>
                      <w:highlight w:val="none"/>
                      <w:lang w:val="en-US" w:eastAsia="zh-CN"/>
                    </w:rPr>
                  </w:pPr>
                </w:p>
              </w:tc>
            </w:tr>
            <w:tr w14:paraId="2D246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43314241">
                  <w:pPr>
                    <w:pStyle w:val="69"/>
                    <w:bidi w:val="0"/>
                    <w:spacing w:line="240" w:lineRule="auto"/>
                    <w:rPr>
                      <w:rFonts w:hint="eastAsia"/>
                      <w:color w:val="auto"/>
                      <w:highlight w:val="none"/>
                      <w:lang w:val="en-US" w:eastAsia="zh-CN"/>
                    </w:rPr>
                  </w:pPr>
                </w:p>
              </w:tc>
              <w:tc>
                <w:tcPr>
                  <w:tcW w:w="956" w:type="pct"/>
                  <w:vMerge w:val="continue"/>
                  <w:tcBorders>
                    <w:tl2br w:val="nil"/>
                    <w:tr2bl w:val="nil"/>
                  </w:tcBorders>
                  <w:noWrap/>
                  <w:vAlign w:val="center"/>
                </w:tcPr>
                <w:p w14:paraId="6266F0C4">
                  <w:pPr>
                    <w:pStyle w:val="69"/>
                    <w:bidi w:val="0"/>
                    <w:spacing w:line="240" w:lineRule="auto"/>
                    <w:rPr>
                      <w:rFonts w:hint="eastAsia"/>
                      <w:color w:val="auto"/>
                      <w:highlight w:val="none"/>
                      <w:lang w:val="en-US" w:eastAsia="zh-CN"/>
                    </w:rPr>
                  </w:pPr>
                </w:p>
              </w:tc>
              <w:tc>
                <w:tcPr>
                  <w:tcW w:w="1310" w:type="pct"/>
                  <w:tcBorders>
                    <w:tl2br w:val="nil"/>
                    <w:tr2bl w:val="nil"/>
                  </w:tcBorders>
                  <w:shd w:val="clear" w:color="auto" w:fill="auto"/>
                  <w:noWrap/>
                  <w:vAlign w:val="center"/>
                </w:tcPr>
                <w:p w14:paraId="75C47C76">
                  <w:pPr>
                    <w:spacing w:line="240" w:lineRule="auto"/>
                    <w:jc w:val="center"/>
                    <w:rPr>
                      <w:rFonts w:hint="eastAsia" w:ascii="Times New Roman" w:hAnsi="Times New Roman" w:eastAsia="宋体" w:cs="Times New Roman"/>
                      <w:color w:val="auto"/>
                      <w:kern w:val="2"/>
                      <w:sz w:val="21"/>
                      <w:szCs w:val="24"/>
                      <w:highlight w:val="none"/>
                      <w:u w:val="none"/>
                      <w:lang w:val="en-US" w:eastAsia="zh-CN" w:bidi="ar-SA"/>
                    </w:rPr>
                  </w:pPr>
                  <w:r>
                    <w:rPr>
                      <w:rFonts w:hint="eastAsia" w:ascii="Times New Roman" w:hAnsi="Times New Roman" w:eastAsia="宋体" w:cs="Times New Roman"/>
                      <w:color w:val="auto"/>
                      <w:highlight w:val="none"/>
                      <w:u w:val="none"/>
                      <w:lang w:val="en-US" w:eastAsia="zh-CN"/>
                    </w:rPr>
                    <w:t>锡膏检测仪</w:t>
                  </w:r>
                </w:p>
              </w:tc>
              <w:tc>
                <w:tcPr>
                  <w:tcW w:w="1236" w:type="pct"/>
                  <w:tcBorders>
                    <w:tl2br w:val="nil"/>
                    <w:tr2bl w:val="nil"/>
                  </w:tcBorders>
                  <w:shd w:val="clear" w:color="auto" w:fill="auto"/>
                  <w:noWrap w:val="0"/>
                  <w:vAlign w:val="center"/>
                </w:tcPr>
                <w:p w14:paraId="3224E4C8">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highlight w:val="none"/>
                      <w:u w:val="none"/>
                      <w:lang w:val="en-US" w:eastAsia="zh-CN"/>
                    </w:rPr>
                    <w:t>VCTA-V850</w:t>
                  </w:r>
                </w:p>
              </w:tc>
              <w:tc>
                <w:tcPr>
                  <w:tcW w:w="487" w:type="pct"/>
                  <w:tcBorders>
                    <w:tl2br w:val="nil"/>
                    <w:tr2bl w:val="nil"/>
                  </w:tcBorders>
                  <w:shd w:val="clear" w:color="auto" w:fill="auto"/>
                  <w:noWrap/>
                  <w:vAlign w:val="center"/>
                </w:tcPr>
                <w:p w14:paraId="6C8863E6">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8</w:t>
                  </w:r>
                </w:p>
              </w:tc>
              <w:tc>
                <w:tcPr>
                  <w:tcW w:w="315" w:type="pct"/>
                  <w:tcBorders>
                    <w:tl2br w:val="nil"/>
                    <w:tr2bl w:val="nil"/>
                  </w:tcBorders>
                  <w:shd w:val="clear" w:color="auto" w:fill="auto"/>
                  <w:noWrap/>
                  <w:vAlign w:val="center"/>
                </w:tcPr>
                <w:p w14:paraId="5EEAD6E3">
                  <w:pPr>
                    <w:pStyle w:val="69"/>
                    <w:bidi w:val="0"/>
                    <w:spacing w:line="240" w:lineRule="auto"/>
                    <w:ind w:firstLine="0" w:firstLineChars="0"/>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olor w:val="auto"/>
                      <w:highlight w:val="none"/>
                      <w:lang w:val="en-US" w:eastAsia="zh-CN"/>
                    </w:rPr>
                    <w:t>台</w:t>
                  </w:r>
                </w:p>
              </w:tc>
              <w:tc>
                <w:tcPr>
                  <w:tcW w:w="440" w:type="pct"/>
                  <w:tcBorders>
                    <w:tl2br w:val="nil"/>
                    <w:tr2bl w:val="nil"/>
                  </w:tcBorders>
                  <w:noWrap w:val="0"/>
                  <w:vAlign w:val="center"/>
                </w:tcPr>
                <w:p w14:paraId="2CEEE13E">
                  <w:pPr>
                    <w:pStyle w:val="69"/>
                    <w:bidi w:val="0"/>
                    <w:spacing w:line="240" w:lineRule="auto"/>
                    <w:rPr>
                      <w:rFonts w:hint="eastAsia"/>
                      <w:color w:val="auto"/>
                      <w:highlight w:val="none"/>
                      <w:lang w:val="en-US" w:eastAsia="zh-CN"/>
                    </w:rPr>
                  </w:pPr>
                </w:p>
              </w:tc>
            </w:tr>
            <w:tr w14:paraId="14690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571AB113">
                  <w:pPr>
                    <w:pStyle w:val="69"/>
                    <w:bidi w:val="0"/>
                    <w:spacing w:line="240" w:lineRule="auto"/>
                    <w:rPr>
                      <w:rFonts w:hint="eastAsia"/>
                      <w:color w:val="auto"/>
                      <w:highlight w:val="none"/>
                      <w:lang w:val="en-US" w:eastAsia="zh-CN"/>
                    </w:rPr>
                  </w:pPr>
                </w:p>
              </w:tc>
              <w:tc>
                <w:tcPr>
                  <w:tcW w:w="956" w:type="pct"/>
                  <w:vMerge w:val="restart"/>
                  <w:tcBorders>
                    <w:tl2br w:val="nil"/>
                    <w:tr2bl w:val="nil"/>
                  </w:tcBorders>
                  <w:noWrap/>
                  <w:vAlign w:val="center"/>
                </w:tcPr>
                <w:p w14:paraId="43C15268">
                  <w:pPr>
                    <w:pStyle w:val="69"/>
                    <w:bidi w:val="0"/>
                    <w:spacing w:line="240" w:lineRule="auto"/>
                    <w:rPr>
                      <w:rFonts w:hint="default"/>
                      <w:color w:val="auto"/>
                      <w:highlight w:val="none"/>
                      <w:lang w:val="en-US" w:eastAsia="zh-CN"/>
                    </w:rPr>
                  </w:pPr>
                  <w:r>
                    <w:rPr>
                      <w:rFonts w:hint="eastAsia"/>
                      <w:color w:val="auto"/>
                      <w:highlight w:val="none"/>
                      <w:lang w:val="en-US" w:eastAsia="zh-CN"/>
                    </w:rPr>
                    <w:t>贴片</w:t>
                  </w:r>
                </w:p>
              </w:tc>
              <w:tc>
                <w:tcPr>
                  <w:tcW w:w="1310" w:type="pct"/>
                  <w:tcBorders>
                    <w:tl2br w:val="nil"/>
                    <w:tr2bl w:val="nil"/>
                  </w:tcBorders>
                  <w:shd w:val="clear" w:color="auto" w:fill="auto"/>
                  <w:noWrap/>
                  <w:vAlign w:val="center"/>
                </w:tcPr>
                <w:p w14:paraId="2C481914">
                  <w:pPr>
                    <w:spacing w:line="240" w:lineRule="auto"/>
                    <w:jc w:val="center"/>
                    <w:rPr>
                      <w:rFonts w:hint="eastAsia" w:ascii="Times New Roman" w:hAnsi="Times New Roman" w:eastAsia="宋体" w:cs="Times New Roman"/>
                      <w:kern w:val="2"/>
                      <w:sz w:val="21"/>
                      <w:szCs w:val="24"/>
                      <w:highlight w:val="none"/>
                      <w:lang w:val="en-US" w:eastAsia="zh-CN" w:bidi="ar-SA"/>
                    </w:rPr>
                  </w:pPr>
                  <w:r>
                    <w:rPr>
                      <w:rFonts w:hint="eastAsia"/>
                      <w:b w:val="0"/>
                      <w:bCs w:val="0"/>
                      <w:color w:val="000000"/>
                      <w:kern w:val="2"/>
                      <w:sz w:val="21"/>
                      <w:szCs w:val="21"/>
                      <w:highlight w:val="none"/>
                      <w:vertAlign w:val="baseline"/>
                      <w:lang w:val="en-US" w:eastAsia="zh-CN" w:bidi="ar-SA"/>
                    </w:rPr>
                    <w:t>贴片机</w:t>
                  </w:r>
                </w:p>
              </w:tc>
              <w:tc>
                <w:tcPr>
                  <w:tcW w:w="1236" w:type="pct"/>
                  <w:tcBorders>
                    <w:tl2br w:val="nil"/>
                    <w:tr2bl w:val="nil"/>
                  </w:tcBorders>
                  <w:shd w:val="clear" w:color="auto" w:fill="auto"/>
                  <w:noWrap w:val="0"/>
                  <w:vAlign w:val="center"/>
                </w:tcPr>
                <w:p w14:paraId="0797DF52">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ascii="Times New Roman" w:hAnsi="Times New Roman" w:eastAsia="宋体" w:cs="Times New Roman"/>
                      <w:color w:val="auto"/>
                      <w:highlight w:val="none"/>
                      <w:u w:val="none"/>
                      <w:lang w:val="en-US" w:eastAsia="zh-CN"/>
                    </w:rPr>
                    <w:t>SAMSUNG 471</w:t>
                  </w:r>
                </w:p>
              </w:tc>
              <w:tc>
                <w:tcPr>
                  <w:tcW w:w="487" w:type="pct"/>
                  <w:tcBorders>
                    <w:tl2br w:val="nil"/>
                    <w:tr2bl w:val="nil"/>
                  </w:tcBorders>
                  <w:shd w:val="clear" w:color="auto" w:fill="auto"/>
                  <w:noWrap/>
                  <w:vAlign w:val="center"/>
                </w:tcPr>
                <w:p w14:paraId="3DEBD309">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10</w:t>
                  </w:r>
                </w:p>
              </w:tc>
              <w:tc>
                <w:tcPr>
                  <w:tcW w:w="315" w:type="pct"/>
                  <w:tcBorders>
                    <w:tl2br w:val="nil"/>
                    <w:tr2bl w:val="nil"/>
                  </w:tcBorders>
                  <w:noWrap/>
                  <w:vAlign w:val="center"/>
                </w:tcPr>
                <w:p w14:paraId="156F4099">
                  <w:pPr>
                    <w:bidi w:val="0"/>
                    <w:spacing w:line="240" w:lineRule="auto"/>
                    <w:jc w:val="center"/>
                    <w:rPr>
                      <w:rFonts w:hint="eastAsia"/>
                      <w:color w:val="auto"/>
                      <w:highlight w:val="none"/>
                      <w:lang w:val="en-US" w:eastAsia="zh-CN"/>
                    </w:rPr>
                  </w:pPr>
                  <w:r>
                    <w:rPr>
                      <w:rFonts w:hint="eastAsia"/>
                      <w:color w:val="auto"/>
                      <w:highlight w:val="none"/>
                      <w:lang w:val="en-US" w:eastAsia="zh-CN"/>
                    </w:rPr>
                    <w:t>台</w:t>
                  </w:r>
                </w:p>
              </w:tc>
              <w:tc>
                <w:tcPr>
                  <w:tcW w:w="440" w:type="pct"/>
                  <w:tcBorders>
                    <w:tl2br w:val="nil"/>
                    <w:tr2bl w:val="nil"/>
                  </w:tcBorders>
                  <w:noWrap w:val="0"/>
                  <w:vAlign w:val="center"/>
                </w:tcPr>
                <w:p w14:paraId="7E0F9E43">
                  <w:pPr>
                    <w:pStyle w:val="69"/>
                    <w:bidi w:val="0"/>
                    <w:spacing w:line="240" w:lineRule="auto"/>
                    <w:rPr>
                      <w:rFonts w:hint="eastAsia"/>
                      <w:color w:val="auto"/>
                      <w:highlight w:val="none"/>
                      <w:lang w:val="en-US" w:eastAsia="zh-CN"/>
                    </w:rPr>
                  </w:pPr>
                </w:p>
              </w:tc>
            </w:tr>
            <w:tr w14:paraId="2E113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450ADF1F">
                  <w:pPr>
                    <w:pStyle w:val="69"/>
                    <w:bidi w:val="0"/>
                    <w:spacing w:line="240" w:lineRule="auto"/>
                    <w:rPr>
                      <w:rFonts w:hint="default"/>
                      <w:color w:val="auto"/>
                      <w:highlight w:val="none"/>
                      <w:lang w:val="en-US" w:eastAsia="zh-CN"/>
                    </w:rPr>
                  </w:pPr>
                </w:p>
              </w:tc>
              <w:tc>
                <w:tcPr>
                  <w:tcW w:w="956" w:type="pct"/>
                  <w:vMerge w:val="continue"/>
                  <w:tcBorders>
                    <w:tl2br w:val="nil"/>
                    <w:tr2bl w:val="nil"/>
                  </w:tcBorders>
                  <w:noWrap/>
                  <w:vAlign w:val="center"/>
                </w:tcPr>
                <w:p w14:paraId="35603676">
                  <w:pPr>
                    <w:pStyle w:val="69"/>
                    <w:bidi w:val="0"/>
                    <w:spacing w:line="240" w:lineRule="auto"/>
                    <w:rPr>
                      <w:rFonts w:hint="eastAsia"/>
                      <w:color w:val="auto"/>
                      <w:highlight w:val="none"/>
                    </w:rPr>
                  </w:pPr>
                </w:p>
              </w:tc>
              <w:tc>
                <w:tcPr>
                  <w:tcW w:w="1310" w:type="pct"/>
                  <w:tcBorders>
                    <w:tl2br w:val="nil"/>
                    <w:tr2bl w:val="nil"/>
                  </w:tcBorders>
                  <w:shd w:val="clear" w:color="auto" w:fill="auto"/>
                  <w:noWrap/>
                  <w:vAlign w:val="center"/>
                </w:tcPr>
                <w:p w14:paraId="4A105E41">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ascii="Times New Roman" w:hAnsi="Times New Roman" w:eastAsia="宋体" w:cs="Times New Roman"/>
                      <w:color w:val="auto"/>
                      <w:highlight w:val="none"/>
                      <w:u w:val="none"/>
                      <w:lang w:val="en-US" w:eastAsia="zh-CN"/>
                    </w:rPr>
                    <w:t>双头高速贴片机</w:t>
                  </w:r>
                </w:p>
              </w:tc>
              <w:tc>
                <w:tcPr>
                  <w:tcW w:w="1236" w:type="pct"/>
                  <w:tcBorders>
                    <w:tl2br w:val="nil"/>
                    <w:tr2bl w:val="nil"/>
                  </w:tcBorders>
                  <w:shd w:val="clear" w:color="auto" w:fill="auto"/>
                  <w:noWrap w:val="0"/>
                  <w:vAlign w:val="center"/>
                </w:tcPr>
                <w:p w14:paraId="5DDD6312">
                  <w:pPr>
                    <w:spacing w:line="240" w:lineRule="auto"/>
                    <w:jc w:val="center"/>
                    <w:rPr>
                      <w:rFonts w:hint="default" w:ascii="Times New Roman" w:hAnsi="Times New Roman" w:eastAsia="宋体" w:cs="Times New Roman"/>
                      <w:color w:val="auto"/>
                      <w:kern w:val="2"/>
                      <w:sz w:val="21"/>
                      <w:szCs w:val="24"/>
                      <w:highlight w:val="none"/>
                      <w:u w:val="none"/>
                      <w:lang w:val="en-US" w:eastAsia="zh-CN" w:bidi="ar-SA"/>
                    </w:rPr>
                  </w:pPr>
                  <w:r>
                    <w:rPr>
                      <w:rFonts w:hint="eastAsia" w:cs="Times New Roman"/>
                      <w:color w:val="auto"/>
                      <w:highlight w:val="none"/>
                      <w:u w:val="none"/>
                      <w:lang w:val="en-US" w:eastAsia="zh-CN"/>
                    </w:rPr>
                    <w:t>DWSL-4000R</w:t>
                  </w:r>
                </w:p>
              </w:tc>
              <w:tc>
                <w:tcPr>
                  <w:tcW w:w="487" w:type="pct"/>
                  <w:tcBorders>
                    <w:tl2br w:val="nil"/>
                    <w:tr2bl w:val="nil"/>
                  </w:tcBorders>
                  <w:shd w:val="clear" w:color="auto" w:fill="auto"/>
                  <w:noWrap/>
                  <w:vAlign w:val="center"/>
                </w:tcPr>
                <w:p w14:paraId="3AF1E2E2">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20</w:t>
                  </w:r>
                </w:p>
              </w:tc>
              <w:tc>
                <w:tcPr>
                  <w:tcW w:w="315" w:type="pct"/>
                  <w:tcBorders>
                    <w:tl2br w:val="nil"/>
                    <w:tr2bl w:val="nil"/>
                  </w:tcBorders>
                  <w:noWrap/>
                  <w:vAlign w:val="center"/>
                </w:tcPr>
                <w:p w14:paraId="18D3E539">
                  <w:pPr>
                    <w:bidi w:val="0"/>
                    <w:spacing w:line="240" w:lineRule="auto"/>
                    <w:jc w:val="center"/>
                    <w:rPr>
                      <w:rFonts w:hint="eastAsia"/>
                      <w:color w:val="auto"/>
                      <w:highlight w:val="none"/>
                    </w:rPr>
                  </w:pPr>
                  <w:r>
                    <w:rPr>
                      <w:rFonts w:hint="eastAsia"/>
                      <w:color w:val="auto"/>
                      <w:highlight w:val="none"/>
                      <w:lang w:val="en-US" w:eastAsia="zh-CN"/>
                    </w:rPr>
                    <w:t>台</w:t>
                  </w:r>
                </w:p>
              </w:tc>
              <w:tc>
                <w:tcPr>
                  <w:tcW w:w="440" w:type="pct"/>
                  <w:tcBorders>
                    <w:tl2br w:val="nil"/>
                    <w:tr2bl w:val="nil"/>
                  </w:tcBorders>
                  <w:noWrap w:val="0"/>
                  <w:vAlign w:val="center"/>
                </w:tcPr>
                <w:p w14:paraId="3F1AD3EF">
                  <w:pPr>
                    <w:pStyle w:val="69"/>
                    <w:bidi w:val="0"/>
                    <w:spacing w:line="240" w:lineRule="auto"/>
                    <w:rPr>
                      <w:rFonts w:hint="default" w:eastAsia="宋体"/>
                      <w:color w:val="auto"/>
                      <w:highlight w:val="none"/>
                      <w:lang w:val="en-US" w:eastAsia="zh-CN"/>
                    </w:rPr>
                  </w:pPr>
                </w:p>
              </w:tc>
            </w:tr>
            <w:tr w14:paraId="75509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4CDE36D5">
                  <w:pPr>
                    <w:pStyle w:val="69"/>
                    <w:bidi w:val="0"/>
                    <w:spacing w:line="240" w:lineRule="auto"/>
                    <w:rPr>
                      <w:rFonts w:hint="eastAsia"/>
                      <w:color w:val="auto"/>
                      <w:highlight w:val="none"/>
                    </w:rPr>
                  </w:pPr>
                </w:p>
              </w:tc>
              <w:tc>
                <w:tcPr>
                  <w:tcW w:w="956" w:type="pct"/>
                  <w:vMerge w:val="continue"/>
                  <w:tcBorders>
                    <w:tl2br w:val="nil"/>
                    <w:tr2bl w:val="nil"/>
                  </w:tcBorders>
                  <w:noWrap/>
                  <w:vAlign w:val="center"/>
                </w:tcPr>
                <w:p w14:paraId="6D40BDB7">
                  <w:pPr>
                    <w:pStyle w:val="69"/>
                    <w:bidi w:val="0"/>
                    <w:spacing w:line="240" w:lineRule="auto"/>
                    <w:rPr>
                      <w:rFonts w:hint="eastAsia"/>
                      <w:color w:val="auto"/>
                      <w:highlight w:val="none"/>
                    </w:rPr>
                  </w:pPr>
                </w:p>
              </w:tc>
              <w:tc>
                <w:tcPr>
                  <w:tcW w:w="1310" w:type="pct"/>
                  <w:tcBorders>
                    <w:tl2br w:val="nil"/>
                    <w:tr2bl w:val="nil"/>
                  </w:tcBorders>
                  <w:shd w:val="clear" w:color="auto" w:fill="auto"/>
                  <w:noWrap/>
                  <w:vAlign w:val="center"/>
                </w:tcPr>
                <w:p w14:paraId="764E9CE0">
                  <w:pPr>
                    <w:spacing w:line="240" w:lineRule="auto"/>
                    <w:jc w:val="center"/>
                    <w:rPr>
                      <w:rFonts w:hint="eastAsia" w:ascii="Times New Roman" w:hAnsi="Times New Roman" w:eastAsia="宋体" w:cs="Times New Roman"/>
                      <w:color w:val="auto"/>
                      <w:kern w:val="2"/>
                      <w:sz w:val="21"/>
                      <w:szCs w:val="24"/>
                      <w:highlight w:val="none"/>
                      <w:u w:val="none"/>
                      <w:lang w:val="en-US" w:eastAsia="zh-CN" w:bidi="ar-SA"/>
                    </w:rPr>
                  </w:pPr>
                  <w:r>
                    <w:rPr>
                      <w:rFonts w:hint="eastAsia" w:ascii="Times New Roman" w:hAnsi="Times New Roman" w:eastAsia="宋体" w:cs="Times New Roman"/>
                      <w:color w:val="auto"/>
                      <w:highlight w:val="none"/>
                      <w:u w:val="none"/>
                      <w:lang w:val="en-US" w:eastAsia="zh-CN"/>
                    </w:rPr>
                    <w:t>双头高速贴片机</w:t>
                  </w:r>
                </w:p>
              </w:tc>
              <w:tc>
                <w:tcPr>
                  <w:tcW w:w="1236" w:type="pct"/>
                  <w:tcBorders>
                    <w:tl2br w:val="nil"/>
                    <w:tr2bl w:val="nil"/>
                  </w:tcBorders>
                  <w:shd w:val="clear" w:color="auto" w:fill="auto"/>
                  <w:noWrap w:val="0"/>
                  <w:vAlign w:val="center"/>
                </w:tcPr>
                <w:p w14:paraId="3DBDAC0B">
                  <w:pPr>
                    <w:spacing w:line="240" w:lineRule="auto"/>
                    <w:jc w:val="center"/>
                    <w:rPr>
                      <w:rFonts w:hint="default" w:ascii="Times New Roman" w:hAnsi="Times New Roman" w:eastAsia="宋体" w:cs="Times New Roman"/>
                      <w:color w:val="auto"/>
                      <w:kern w:val="2"/>
                      <w:sz w:val="21"/>
                      <w:szCs w:val="24"/>
                      <w:highlight w:val="none"/>
                      <w:u w:val="none"/>
                      <w:lang w:val="en-US" w:eastAsia="zh-CN" w:bidi="ar-SA"/>
                    </w:rPr>
                  </w:pPr>
                  <w:r>
                    <w:rPr>
                      <w:rFonts w:hint="eastAsia" w:ascii="Times New Roman" w:hAnsi="Times New Roman" w:eastAsia="宋体" w:cs="Times New Roman"/>
                      <w:color w:val="auto"/>
                      <w:highlight w:val="none"/>
                      <w:u w:val="none"/>
                      <w:lang w:val="en-US" w:eastAsia="zh-CN"/>
                    </w:rPr>
                    <w:t>XSTP2018/STGS</w:t>
                  </w:r>
                  <w:r>
                    <w:rPr>
                      <w:rFonts w:hint="eastAsia" w:ascii="Times New Roman" w:hAnsi="Times New Roman" w:eastAsia="宋体" w:cs="Times New Roman"/>
                      <w:color w:val="auto"/>
                      <w:highlight w:val="none"/>
                      <w:u w:val="none"/>
                      <w:lang w:val="en-US" w:eastAsia="zh-CN"/>
                    </w:rPr>
                    <w:br w:type="textWrapping"/>
                  </w:r>
                  <w:r>
                    <w:rPr>
                      <w:rFonts w:hint="eastAsia" w:ascii="Times New Roman" w:hAnsi="Times New Roman" w:eastAsia="宋体" w:cs="Times New Roman"/>
                      <w:color w:val="auto"/>
                      <w:highlight w:val="none"/>
                      <w:u w:val="none"/>
                      <w:lang w:val="en-US" w:eastAsia="zh-CN"/>
                    </w:rPr>
                    <w:t>（XFIP-DGN 2021)</w:t>
                  </w:r>
                </w:p>
              </w:tc>
              <w:tc>
                <w:tcPr>
                  <w:tcW w:w="487" w:type="pct"/>
                  <w:tcBorders>
                    <w:tl2br w:val="nil"/>
                    <w:tr2bl w:val="nil"/>
                  </w:tcBorders>
                  <w:shd w:val="clear" w:color="auto" w:fill="auto"/>
                  <w:noWrap/>
                  <w:vAlign w:val="center"/>
                </w:tcPr>
                <w:p w14:paraId="51122B33">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20</w:t>
                  </w:r>
                </w:p>
              </w:tc>
              <w:tc>
                <w:tcPr>
                  <w:tcW w:w="315" w:type="pct"/>
                  <w:tcBorders>
                    <w:tl2br w:val="nil"/>
                    <w:tr2bl w:val="nil"/>
                  </w:tcBorders>
                  <w:noWrap/>
                  <w:vAlign w:val="center"/>
                </w:tcPr>
                <w:p w14:paraId="1A4DE16A">
                  <w:pPr>
                    <w:bidi w:val="0"/>
                    <w:spacing w:line="240" w:lineRule="auto"/>
                    <w:jc w:val="center"/>
                    <w:rPr>
                      <w:rFonts w:hint="eastAsia"/>
                      <w:color w:val="auto"/>
                      <w:highlight w:val="none"/>
                    </w:rPr>
                  </w:pPr>
                  <w:r>
                    <w:rPr>
                      <w:rFonts w:hint="eastAsia"/>
                      <w:color w:val="auto"/>
                      <w:highlight w:val="none"/>
                      <w:lang w:val="en-US" w:eastAsia="zh-CN"/>
                    </w:rPr>
                    <w:t>台</w:t>
                  </w:r>
                </w:p>
              </w:tc>
              <w:tc>
                <w:tcPr>
                  <w:tcW w:w="440" w:type="pct"/>
                  <w:tcBorders>
                    <w:tl2br w:val="nil"/>
                    <w:tr2bl w:val="nil"/>
                  </w:tcBorders>
                  <w:noWrap w:val="0"/>
                  <w:vAlign w:val="center"/>
                </w:tcPr>
                <w:p w14:paraId="58AC7D51">
                  <w:pPr>
                    <w:pStyle w:val="69"/>
                    <w:bidi w:val="0"/>
                    <w:spacing w:line="240" w:lineRule="auto"/>
                    <w:rPr>
                      <w:rFonts w:hint="eastAsia" w:eastAsia="宋体"/>
                      <w:color w:val="auto"/>
                      <w:highlight w:val="none"/>
                      <w:lang w:val="en-US" w:eastAsia="zh-CN"/>
                    </w:rPr>
                  </w:pPr>
                </w:p>
              </w:tc>
            </w:tr>
            <w:tr w14:paraId="4100E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23566C7A">
                  <w:pPr>
                    <w:pStyle w:val="69"/>
                    <w:bidi w:val="0"/>
                    <w:spacing w:line="240" w:lineRule="auto"/>
                    <w:rPr>
                      <w:rFonts w:hint="eastAsia"/>
                      <w:color w:val="auto"/>
                      <w:highlight w:val="none"/>
                      <w:lang w:val="en-US" w:eastAsia="zh-CN"/>
                    </w:rPr>
                  </w:pPr>
                </w:p>
              </w:tc>
              <w:tc>
                <w:tcPr>
                  <w:tcW w:w="956" w:type="pct"/>
                  <w:vMerge w:val="continue"/>
                  <w:tcBorders>
                    <w:tl2br w:val="nil"/>
                    <w:tr2bl w:val="nil"/>
                  </w:tcBorders>
                  <w:noWrap/>
                  <w:vAlign w:val="center"/>
                </w:tcPr>
                <w:p w14:paraId="5DF1E009">
                  <w:pPr>
                    <w:pStyle w:val="69"/>
                    <w:bidi w:val="0"/>
                    <w:spacing w:line="240" w:lineRule="auto"/>
                    <w:rPr>
                      <w:rFonts w:hint="eastAsia"/>
                      <w:color w:val="auto"/>
                      <w:highlight w:val="none"/>
                    </w:rPr>
                  </w:pPr>
                </w:p>
              </w:tc>
              <w:tc>
                <w:tcPr>
                  <w:tcW w:w="1310" w:type="pct"/>
                  <w:tcBorders>
                    <w:tl2br w:val="nil"/>
                    <w:tr2bl w:val="nil"/>
                  </w:tcBorders>
                  <w:shd w:val="clear" w:color="auto" w:fill="auto"/>
                  <w:noWrap/>
                  <w:vAlign w:val="center"/>
                </w:tcPr>
                <w:p w14:paraId="315D2069">
                  <w:pPr>
                    <w:spacing w:line="240" w:lineRule="auto"/>
                    <w:jc w:val="center"/>
                    <w:rPr>
                      <w:rFonts w:hint="eastAsia" w:ascii="Times New Roman" w:hAnsi="Times New Roman" w:eastAsia="宋体" w:cs="Times New Roman"/>
                      <w:color w:val="auto"/>
                      <w:kern w:val="2"/>
                      <w:sz w:val="21"/>
                      <w:szCs w:val="24"/>
                      <w:highlight w:val="none"/>
                      <w:u w:val="none"/>
                      <w:lang w:val="en-US" w:eastAsia="zh-CN" w:bidi="ar-SA"/>
                    </w:rPr>
                  </w:pPr>
                  <w:r>
                    <w:rPr>
                      <w:rFonts w:hint="eastAsia"/>
                      <w:b w:val="0"/>
                      <w:bCs w:val="0"/>
                      <w:color w:val="000000"/>
                      <w:kern w:val="2"/>
                      <w:sz w:val="21"/>
                      <w:szCs w:val="21"/>
                      <w:highlight w:val="none"/>
                      <w:vertAlign w:val="baseline"/>
                      <w:lang w:val="en-US" w:eastAsia="zh-CN" w:bidi="ar-SA"/>
                    </w:rPr>
                    <w:t>贴片机</w:t>
                  </w:r>
                </w:p>
              </w:tc>
              <w:tc>
                <w:tcPr>
                  <w:tcW w:w="1236" w:type="pct"/>
                  <w:tcBorders>
                    <w:tl2br w:val="nil"/>
                    <w:tr2bl w:val="nil"/>
                  </w:tcBorders>
                  <w:shd w:val="clear" w:color="auto" w:fill="auto"/>
                  <w:noWrap w:val="0"/>
                  <w:vAlign w:val="center"/>
                </w:tcPr>
                <w:p w14:paraId="50416333">
                  <w:pPr>
                    <w:spacing w:line="240" w:lineRule="auto"/>
                    <w:jc w:val="center"/>
                    <w:rPr>
                      <w:rFonts w:hint="default" w:ascii="Times New Roman" w:hAnsi="Times New Roman" w:eastAsia="宋体" w:cs="Times New Roman"/>
                      <w:color w:val="auto"/>
                      <w:kern w:val="2"/>
                      <w:sz w:val="21"/>
                      <w:szCs w:val="24"/>
                      <w:highlight w:val="none"/>
                      <w:u w:val="none"/>
                      <w:lang w:val="en-US" w:eastAsia="zh-CN" w:bidi="ar-SA"/>
                    </w:rPr>
                  </w:pPr>
                  <w:r>
                    <w:rPr>
                      <w:rFonts w:hint="eastAsia" w:ascii="Times New Roman" w:hAnsi="Times New Roman" w:eastAsia="宋体" w:cs="Times New Roman"/>
                      <w:color w:val="auto"/>
                      <w:highlight w:val="none"/>
                      <w:u w:val="none"/>
                      <w:lang w:val="en-US" w:eastAsia="zh-CN"/>
                    </w:rPr>
                    <w:t>Hanwha 471</w:t>
                  </w:r>
                </w:p>
              </w:tc>
              <w:tc>
                <w:tcPr>
                  <w:tcW w:w="487" w:type="pct"/>
                  <w:tcBorders>
                    <w:tl2br w:val="nil"/>
                    <w:tr2bl w:val="nil"/>
                  </w:tcBorders>
                  <w:shd w:val="clear" w:color="auto" w:fill="auto"/>
                  <w:noWrap/>
                  <w:vAlign w:val="center"/>
                </w:tcPr>
                <w:p w14:paraId="3AACA13B">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20</w:t>
                  </w:r>
                </w:p>
              </w:tc>
              <w:tc>
                <w:tcPr>
                  <w:tcW w:w="315" w:type="pct"/>
                  <w:tcBorders>
                    <w:tl2br w:val="nil"/>
                    <w:tr2bl w:val="nil"/>
                  </w:tcBorders>
                  <w:noWrap/>
                  <w:vAlign w:val="center"/>
                </w:tcPr>
                <w:p w14:paraId="7BEF70BE">
                  <w:pPr>
                    <w:bidi w:val="0"/>
                    <w:spacing w:line="240" w:lineRule="auto"/>
                    <w:jc w:val="center"/>
                    <w:rPr>
                      <w:rFonts w:hint="eastAsia"/>
                      <w:color w:val="auto"/>
                      <w:highlight w:val="none"/>
                    </w:rPr>
                  </w:pPr>
                  <w:r>
                    <w:rPr>
                      <w:rFonts w:hint="eastAsia"/>
                      <w:color w:val="auto"/>
                      <w:highlight w:val="none"/>
                      <w:lang w:val="en-US" w:eastAsia="zh-CN"/>
                    </w:rPr>
                    <w:t>台</w:t>
                  </w:r>
                </w:p>
              </w:tc>
              <w:tc>
                <w:tcPr>
                  <w:tcW w:w="440" w:type="pct"/>
                  <w:tcBorders>
                    <w:tl2br w:val="nil"/>
                    <w:tr2bl w:val="nil"/>
                  </w:tcBorders>
                  <w:noWrap w:val="0"/>
                  <w:vAlign w:val="center"/>
                </w:tcPr>
                <w:p w14:paraId="0FE6BB9B">
                  <w:pPr>
                    <w:pStyle w:val="69"/>
                    <w:bidi w:val="0"/>
                    <w:spacing w:line="240" w:lineRule="auto"/>
                    <w:rPr>
                      <w:rFonts w:hint="default" w:eastAsia="宋体"/>
                      <w:color w:val="auto"/>
                      <w:highlight w:val="none"/>
                      <w:lang w:val="en-US" w:eastAsia="zh-CN"/>
                    </w:rPr>
                  </w:pPr>
                </w:p>
              </w:tc>
            </w:tr>
            <w:tr w14:paraId="348AD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026E3031">
                  <w:pPr>
                    <w:pStyle w:val="69"/>
                    <w:bidi w:val="0"/>
                    <w:spacing w:line="240" w:lineRule="auto"/>
                    <w:rPr>
                      <w:rFonts w:hint="eastAsia"/>
                      <w:color w:val="auto"/>
                      <w:highlight w:val="none"/>
                    </w:rPr>
                  </w:pPr>
                </w:p>
              </w:tc>
              <w:tc>
                <w:tcPr>
                  <w:tcW w:w="956" w:type="pct"/>
                  <w:vMerge w:val="continue"/>
                  <w:tcBorders>
                    <w:tl2br w:val="nil"/>
                    <w:tr2bl w:val="nil"/>
                  </w:tcBorders>
                  <w:noWrap/>
                  <w:vAlign w:val="center"/>
                </w:tcPr>
                <w:p w14:paraId="10FC1F26">
                  <w:pPr>
                    <w:pStyle w:val="69"/>
                    <w:bidi w:val="0"/>
                    <w:spacing w:line="240" w:lineRule="auto"/>
                    <w:rPr>
                      <w:rFonts w:hint="eastAsia"/>
                      <w:color w:val="auto"/>
                      <w:highlight w:val="none"/>
                    </w:rPr>
                  </w:pPr>
                </w:p>
              </w:tc>
              <w:tc>
                <w:tcPr>
                  <w:tcW w:w="1310" w:type="pct"/>
                  <w:tcBorders>
                    <w:tl2br w:val="nil"/>
                    <w:tr2bl w:val="nil"/>
                  </w:tcBorders>
                  <w:shd w:val="clear" w:color="auto" w:fill="auto"/>
                  <w:noWrap/>
                  <w:vAlign w:val="center"/>
                </w:tcPr>
                <w:p w14:paraId="510088A2">
                  <w:pPr>
                    <w:spacing w:line="240" w:lineRule="auto"/>
                    <w:jc w:val="center"/>
                    <w:rPr>
                      <w:rFonts w:hint="eastAsia" w:ascii="Times New Roman" w:hAnsi="Times New Roman" w:eastAsia="宋体" w:cs="Times New Roman"/>
                      <w:color w:val="auto"/>
                      <w:kern w:val="2"/>
                      <w:sz w:val="21"/>
                      <w:szCs w:val="24"/>
                      <w:highlight w:val="none"/>
                      <w:u w:val="none"/>
                      <w:lang w:val="en-US" w:eastAsia="zh-CN" w:bidi="ar-SA"/>
                    </w:rPr>
                  </w:pPr>
                  <w:r>
                    <w:rPr>
                      <w:rFonts w:hint="eastAsia"/>
                      <w:b w:val="0"/>
                      <w:bCs w:val="0"/>
                      <w:color w:val="000000"/>
                      <w:kern w:val="2"/>
                      <w:sz w:val="21"/>
                      <w:szCs w:val="21"/>
                      <w:highlight w:val="none"/>
                      <w:vertAlign w:val="baseline"/>
                      <w:lang w:val="en-US" w:eastAsia="zh-CN" w:bidi="ar-SA"/>
                    </w:rPr>
                    <w:t>贴片机</w:t>
                  </w:r>
                </w:p>
              </w:tc>
              <w:tc>
                <w:tcPr>
                  <w:tcW w:w="1236" w:type="pct"/>
                  <w:tcBorders>
                    <w:tl2br w:val="nil"/>
                    <w:tr2bl w:val="nil"/>
                  </w:tcBorders>
                  <w:shd w:val="clear" w:color="auto" w:fill="auto"/>
                  <w:noWrap w:val="0"/>
                  <w:vAlign w:val="center"/>
                </w:tcPr>
                <w:p w14:paraId="253C9FD4">
                  <w:pPr>
                    <w:spacing w:line="240" w:lineRule="auto"/>
                    <w:jc w:val="center"/>
                    <w:rPr>
                      <w:rFonts w:hint="default" w:ascii="Times New Roman" w:hAnsi="Times New Roman" w:eastAsia="宋体" w:cs="Times New Roman"/>
                      <w:color w:val="auto"/>
                      <w:kern w:val="2"/>
                      <w:sz w:val="21"/>
                      <w:szCs w:val="24"/>
                      <w:highlight w:val="none"/>
                      <w:u w:val="none"/>
                      <w:lang w:val="en-US" w:eastAsia="zh-CN" w:bidi="ar-SA"/>
                    </w:rPr>
                  </w:pPr>
                  <w:r>
                    <w:rPr>
                      <w:rFonts w:hint="eastAsia" w:ascii="Times New Roman" w:hAnsi="Times New Roman" w:eastAsia="宋体" w:cs="Times New Roman"/>
                      <w:color w:val="auto"/>
                      <w:highlight w:val="none"/>
                      <w:u w:val="none"/>
                      <w:lang w:val="en-US" w:eastAsia="zh-CN"/>
                    </w:rPr>
                    <w:t>SM481</w:t>
                  </w:r>
                </w:p>
              </w:tc>
              <w:tc>
                <w:tcPr>
                  <w:tcW w:w="487" w:type="pct"/>
                  <w:tcBorders>
                    <w:tl2br w:val="nil"/>
                    <w:tr2bl w:val="nil"/>
                  </w:tcBorders>
                  <w:shd w:val="clear" w:color="auto" w:fill="auto"/>
                  <w:noWrap/>
                  <w:vAlign w:val="center"/>
                </w:tcPr>
                <w:p w14:paraId="6DA12543">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10</w:t>
                  </w:r>
                </w:p>
              </w:tc>
              <w:tc>
                <w:tcPr>
                  <w:tcW w:w="315" w:type="pct"/>
                  <w:tcBorders>
                    <w:tl2br w:val="nil"/>
                    <w:tr2bl w:val="nil"/>
                  </w:tcBorders>
                  <w:noWrap/>
                  <w:vAlign w:val="center"/>
                </w:tcPr>
                <w:p w14:paraId="6C30F5EF">
                  <w:pPr>
                    <w:bidi w:val="0"/>
                    <w:spacing w:line="240" w:lineRule="auto"/>
                    <w:jc w:val="center"/>
                    <w:rPr>
                      <w:rFonts w:hint="eastAsia"/>
                      <w:color w:val="auto"/>
                      <w:highlight w:val="none"/>
                    </w:rPr>
                  </w:pPr>
                  <w:r>
                    <w:rPr>
                      <w:rFonts w:hint="eastAsia"/>
                      <w:color w:val="auto"/>
                      <w:highlight w:val="none"/>
                      <w:lang w:val="en-US" w:eastAsia="zh-CN"/>
                    </w:rPr>
                    <w:t>台</w:t>
                  </w:r>
                </w:p>
              </w:tc>
              <w:tc>
                <w:tcPr>
                  <w:tcW w:w="440" w:type="pct"/>
                  <w:tcBorders>
                    <w:tl2br w:val="nil"/>
                    <w:tr2bl w:val="nil"/>
                  </w:tcBorders>
                  <w:noWrap w:val="0"/>
                  <w:vAlign w:val="center"/>
                </w:tcPr>
                <w:p w14:paraId="19C5C2A0">
                  <w:pPr>
                    <w:pStyle w:val="69"/>
                    <w:bidi w:val="0"/>
                    <w:spacing w:line="240" w:lineRule="auto"/>
                    <w:rPr>
                      <w:rFonts w:hint="eastAsia"/>
                      <w:color w:val="auto"/>
                      <w:highlight w:val="none"/>
                    </w:rPr>
                  </w:pPr>
                </w:p>
              </w:tc>
            </w:tr>
            <w:tr w14:paraId="2339B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5D4E3DA1">
                  <w:pPr>
                    <w:pStyle w:val="69"/>
                    <w:bidi w:val="0"/>
                    <w:spacing w:line="240" w:lineRule="auto"/>
                    <w:rPr>
                      <w:rFonts w:hint="eastAsia"/>
                      <w:color w:val="auto"/>
                      <w:highlight w:val="none"/>
                    </w:rPr>
                  </w:pPr>
                </w:p>
              </w:tc>
              <w:tc>
                <w:tcPr>
                  <w:tcW w:w="956" w:type="pct"/>
                  <w:vMerge w:val="continue"/>
                  <w:tcBorders>
                    <w:tl2br w:val="nil"/>
                    <w:tr2bl w:val="nil"/>
                  </w:tcBorders>
                  <w:noWrap/>
                  <w:vAlign w:val="center"/>
                </w:tcPr>
                <w:p w14:paraId="2A2724CC">
                  <w:pPr>
                    <w:pStyle w:val="69"/>
                    <w:bidi w:val="0"/>
                    <w:spacing w:line="240" w:lineRule="auto"/>
                    <w:rPr>
                      <w:rFonts w:hint="eastAsia"/>
                      <w:color w:val="auto"/>
                      <w:highlight w:val="none"/>
                    </w:rPr>
                  </w:pPr>
                </w:p>
              </w:tc>
              <w:tc>
                <w:tcPr>
                  <w:tcW w:w="1310" w:type="pct"/>
                  <w:tcBorders>
                    <w:tl2br w:val="nil"/>
                    <w:tr2bl w:val="nil"/>
                  </w:tcBorders>
                  <w:shd w:val="clear" w:color="auto" w:fill="auto"/>
                  <w:noWrap/>
                  <w:vAlign w:val="center"/>
                </w:tcPr>
                <w:p w14:paraId="61DF389D">
                  <w:pPr>
                    <w:spacing w:line="240" w:lineRule="auto"/>
                    <w:jc w:val="center"/>
                    <w:rPr>
                      <w:rFonts w:hint="default" w:ascii="Times New Roman" w:hAnsi="Times New Roman" w:eastAsia="宋体" w:cs="Times New Roman"/>
                      <w:color w:val="auto"/>
                      <w:kern w:val="2"/>
                      <w:sz w:val="21"/>
                      <w:szCs w:val="24"/>
                      <w:highlight w:val="none"/>
                      <w:u w:val="none"/>
                      <w:lang w:val="en-US" w:eastAsia="zh-CN" w:bidi="ar-SA"/>
                    </w:rPr>
                  </w:pPr>
                  <w:r>
                    <w:rPr>
                      <w:rFonts w:hint="eastAsia"/>
                      <w:color w:val="auto"/>
                      <w:highlight w:val="none"/>
                      <w:lang w:val="en-US" w:eastAsia="zh-CN"/>
                    </w:rPr>
                    <w:t>平行移栽机</w:t>
                  </w:r>
                </w:p>
              </w:tc>
              <w:tc>
                <w:tcPr>
                  <w:tcW w:w="1236" w:type="pct"/>
                  <w:tcBorders>
                    <w:tl2br w:val="nil"/>
                    <w:tr2bl w:val="nil"/>
                  </w:tcBorders>
                  <w:shd w:val="clear" w:color="auto" w:fill="auto"/>
                  <w:noWrap w:val="0"/>
                  <w:vAlign w:val="center"/>
                </w:tcPr>
                <w:p w14:paraId="1D8A437B">
                  <w:pPr>
                    <w:spacing w:line="240" w:lineRule="auto"/>
                    <w:jc w:val="center"/>
                    <w:rPr>
                      <w:rFonts w:hint="default" w:ascii="Times New Roman" w:hAnsi="Times New Roman" w:eastAsia="宋体" w:cs="Times New Roman"/>
                      <w:color w:val="auto"/>
                      <w:kern w:val="2"/>
                      <w:sz w:val="21"/>
                      <w:szCs w:val="24"/>
                      <w:highlight w:val="none"/>
                      <w:u w:val="none"/>
                      <w:lang w:val="en-US" w:eastAsia="zh-CN" w:bidi="ar-SA"/>
                    </w:rPr>
                  </w:pPr>
                  <w:r>
                    <w:rPr>
                      <w:rFonts w:hint="default"/>
                      <w:color w:val="auto"/>
                      <w:highlight w:val="none"/>
                      <w:lang w:val="en-US" w:eastAsia="zh-CN"/>
                    </w:rPr>
                    <w:t>QY-PY600</w:t>
                  </w:r>
                </w:p>
              </w:tc>
              <w:tc>
                <w:tcPr>
                  <w:tcW w:w="487" w:type="pct"/>
                  <w:tcBorders>
                    <w:tl2br w:val="nil"/>
                    <w:tr2bl w:val="nil"/>
                  </w:tcBorders>
                  <w:shd w:val="clear" w:color="auto" w:fill="auto"/>
                  <w:noWrap/>
                  <w:vAlign w:val="center"/>
                </w:tcPr>
                <w:p w14:paraId="44805FA1">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8</w:t>
                  </w:r>
                </w:p>
              </w:tc>
              <w:tc>
                <w:tcPr>
                  <w:tcW w:w="315" w:type="pct"/>
                  <w:tcBorders>
                    <w:tl2br w:val="nil"/>
                    <w:tr2bl w:val="nil"/>
                  </w:tcBorders>
                  <w:noWrap/>
                  <w:vAlign w:val="center"/>
                </w:tcPr>
                <w:p w14:paraId="0907B6F6">
                  <w:pPr>
                    <w:bidi w:val="0"/>
                    <w:spacing w:line="240" w:lineRule="auto"/>
                    <w:jc w:val="center"/>
                    <w:rPr>
                      <w:rFonts w:hint="eastAsia"/>
                      <w:color w:val="auto"/>
                      <w:highlight w:val="none"/>
                    </w:rPr>
                  </w:pPr>
                  <w:r>
                    <w:rPr>
                      <w:rFonts w:hint="eastAsia"/>
                      <w:color w:val="auto"/>
                      <w:highlight w:val="none"/>
                      <w:lang w:val="en-US" w:eastAsia="zh-CN"/>
                    </w:rPr>
                    <w:t>台</w:t>
                  </w:r>
                </w:p>
              </w:tc>
              <w:tc>
                <w:tcPr>
                  <w:tcW w:w="440" w:type="pct"/>
                  <w:tcBorders>
                    <w:tl2br w:val="nil"/>
                    <w:tr2bl w:val="nil"/>
                  </w:tcBorders>
                  <w:noWrap w:val="0"/>
                  <w:vAlign w:val="center"/>
                </w:tcPr>
                <w:p w14:paraId="6C635079">
                  <w:pPr>
                    <w:pStyle w:val="69"/>
                    <w:bidi w:val="0"/>
                    <w:spacing w:line="240" w:lineRule="auto"/>
                    <w:rPr>
                      <w:rFonts w:hint="eastAsia"/>
                      <w:color w:val="auto"/>
                      <w:highlight w:val="none"/>
                    </w:rPr>
                  </w:pPr>
                </w:p>
              </w:tc>
            </w:tr>
            <w:tr w14:paraId="42789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6BAACE97">
                  <w:pPr>
                    <w:pStyle w:val="69"/>
                    <w:bidi w:val="0"/>
                    <w:spacing w:line="240" w:lineRule="auto"/>
                    <w:rPr>
                      <w:rFonts w:hint="eastAsia"/>
                      <w:color w:val="auto"/>
                      <w:highlight w:val="none"/>
                    </w:rPr>
                  </w:pPr>
                </w:p>
              </w:tc>
              <w:tc>
                <w:tcPr>
                  <w:tcW w:w="956" w:type="pct"/>
                  <w:vMerge w:val="continue"/>
                  <w:tcBorders>
                    <w:tl2br w:val="nil"/>
                    <w:tr2bl w:val="nil"/>
                  </w:tcBorders>
                  <w:noWrap/>
                  <w:vAlign w:val="center"/>
                </w:tcPr>
                <w:p w14:paraId="2EA7E482">
                  <w:pPr>
                    <w:pStyle w:val="69"/>
                    <w:bidi w:val="0"/>
                    <w:spacing w:line="240" w:lineRule="auto"/>
                    <w:rPr>
                      <w:rFonts w:hint="eastAsia"/>
                      <w:color w:val="auto"/>
                      <w:highlight w:val="none"/>
                    </w:rPr>
                  </w:pPr>
                </w:p>
              </w:tc>
              <w:tc>
                <w:tcPr>
                  <w:tcW w:w="1310" w:type="pct"/>
                  <w:tcBorders>
                    <w:tl2br w:val="nil"/>
                    <w:tr2bl w:val="nil"/>
                  </w:tcBorders>
                  <w:shd w:val="clear" w:color="auto" w:fill="auto"/>
                  <w:noWrap/>
                  <w:vAlign w:val="center"/>
                </w:tcPr>
                <w:p w14:paraId="009A25D3">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接驳台</w:t>
                  </w:r>
                </w:p>
              </w:tc>
              <w:tc>
                <w:tcPr>
                  <w:tcW w:w="1236" w:type="pct"/>
                  <w:tcBorders>
                    <w:tl2br w:val="nil"/>
                    <w:tr2bl w:val="nil"/>
                  </w:tcBorders>
                  <w:shd w:val="clear" w:color="auto" w:fill="auto"/>
                  <w:noWrap w:val="0"/>
                  <w:vAlign w:val="center"/>
                </w:tcPr>
                <w:p w14:paraId="11397C5B">
                  <w:pPr>
                    <w:spacing w:line="240" w:lineRule="auto"/>
                    <w:jc w:val="center"/>
                    <w:rPr>
                      <w:rFonts w:hint="default" w:ascii="Times New Roman" w:hAnsi="Times New Roman" w:eastAsia="宋体" w:cs="Times New Roman"/>
                      <w:color w:val="auto"/>
                      <w:kern w:val="2"/>
                      <w:sz w:val="21"/>
                      <w:szCs w:val="24"/>
                      <w:highlight w:val="none"/>
                      <w:u w:val="none"/>
                      <w:lang w:val="en-US" w:eastAsia="zh-CN" w:bidi="ar-SA"/>
                    </w:rPr>
                  </w:pPr>
                  <w:r>
                    <w:rPr>
                      <w:rFonts w:hint="default"/>
                      <w:color w:val="auto"/>
                      <w:highlight w:val="none"/>
                      <w:lang w:val="en-US" w:eastAsia="zh-CN"/>
                    </w:rPr>
                    <w:t>QY-1500</w:t>
                  </w:r>
                </w:p>
              </w:tc>
              <w:tc>
                <w:tcPr>
                  <w:tcW w:w="487" w:type="pct"/>
                  <w:tcBorders>
                    <w:tl2br w:val="nil"/>
                    <w:tr2bl w:val="nil"/>
                  </w:tcBorders>
                  <w:shd w:val="clear" w:color="auto" w:fill="auto"/>
                  <w:noWrap/>
                  <w:vAlign w:val="center"/>
                </w:tcPr>
                <w:p w14:paraId="2EEE7695">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80</w:t>
                  </w:r>
                </w:p>
              </w:tc>
              <w:tc>
                <w:tcPr>
                  <w:tcW w:w="315" w:type="pct"/>
                  <w:tcBorders>
                    <w:tl2br w:val="nil"/>
                    <w:tr2bl w:val="nil"/>
                  </w:tcBorders>
                  <w:noWrap/>
                  <w:vAlign w:val="center"/>
                </w:tcPr>
                <w:p w14:paraId="2F05C53A">
                  <w:pPr>
                    <w:bidi w:val="0"/>
                    <w:spacing w:line="240" w:lineRule="auto"/>
                    <w:jc w:val="center"/>
                    <w:rPr>
                      <w:rFonts w:hint="eastAsia"/>
                      <w:color w:val="auto"/>
                      <w:highlight w:val="none"/>
                    </w:rPr>
                  </w:pPr>
                  <w:r>
                    <w:rPr>
                      <w:rFonts w:hint="eastAsia"/>
                      <w:color w:val="auto"/>
                      <w:highlight w:val="none"/>
                      <w:lang w:val="en-US" w:eastAsia="zh-CN"/>
                    </w:rPr>
                    <w:t>台</w:t>
                  </w:r>
                </w:p>
              </w:tc>
              <w:tc>
                <w:tcPr>
                  <w:tcW w:w="440" w:type="pct"/>
                  <w:tcBorders>
                    <w:tl2br w:val="nil"/>
                    <w:tr2bl w:val="nil"/>
                  </w:tcBorders>
                  <w:noWrap w:val="0"/>
                  <w:vAlign w:val="center"/>
                </w:tcPr>
                <w:p w14:paraId="413B1738">
                  <w:pPr>
                    <w:pStyle w:val="69"/>
                    <w:bidi w:val="0"/>
                    <w:spacing w:line="240" w:lineRule="auto"/>
                    <w:rPr>
                      <w:rFonts w:hint="eastAsia"/>
                      <w:color w:val="auto"/>
                      <w:highlight w:val="none"/>
                    </w:rPr>
                  </w:pPr>
                </w:p>
              </w:tc>
            </w:tr>
            <w:tr w14:paraId="3EFCB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3DAA6762">
                  <w:pPr>
                    <w:pStyle w:val="69"/>
                    <w:bidi w:val="0"/>
                    <w:spacing w:line="240" w:lineRule="auto"/>
                    <w:rPr>
                      <w:rFonts w:hint="eastAsia"/>
                      <w:color w:val="auto"/>
                      <w:highlight w:val="none"/>
                    </w:rPr>
                  </w:pPr>
                </w:p>
              </w:tc>
              <w:tc>
                <w:tcPr>
                  <w:tcW w:w="956" w:type="pct"/>
                  <w:vMerge w:val="continue"/>
                  <w:tcBorders>
                    <w:tl2br w:val="nil"/>
                    <w:tr2bl w:val="nil"/>
                  </w:tcBorders>
                  <w:noWrap/>
                  <w:vAlign w:val="center"/>
                </w:tcPr>
                <w:p w14:paraId="4E04FFBD">
                  <w:pPr>
                    <w:pStyle w:val="69"/>
                    <w:bidi w:val="0"/>
                    <w:spacing w:line="240" w:lineRule="auto"/>
                    <w:rPr>
                      <w:rFonts w:hint="eastAsia"/>
                      <w:color w:val="auto"/>
                      <w:highlight w:val="none"/>
                    </w:rPr>
                  </w:pPr>
                </w:p>
              </w:tc>
              <w:tc>
                <w:tcPr>
                  <w:tcW w:w="1310" w:type="pct"/>
                  <w:tcBorders>
                    <w:tl2br w:val="nil"/>
                    <w:tr2bl w:val="nil"/>
                  </w:tcBorders>
                  <w:shd w:val="clear" w:color="auto" w:fill="auto"/>
                  <w:noWrap/>
                  <w:vAlign w:val="center"/>
                </w:tcPr>
                <w:p w14:paraId="695B58BC">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sz w:val="21"/>
                      <w:szCs w:val="21"/>
                      <w:highlight w:val="none"/>
                      <w:vertAlign w:val="baseline"/>
                      <w:lang w:val="en-US" w:eastAsia="zh-CN"/>
                    </w:rPr>
                    <w:t>辅助设备</w:t>
                  </w:r>
                </w:p>
              </w:tc>
              <w:tc>
                <w:tcPr>
                  <w:tcW w:w="1236" w:type="pct"/>
                  <w:tcBorders>
                    <w:tl2br w:val="nil"/>
                    <w:tr2bl w:val="nil"/>
                  </w:tcBorders>
                  <w:shd w:val="clear" w:color="auto" w:fill="auto"/>
                  <w:noWrap w:val="0"/>
                  <w:vAlign w:val="center"/>
                </w:tcPr>
                <w:p w14:paraId="0D0D9BFE">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sz w:val="21"/>
                      <w:szCs w:val="21"/>
                      <w:highlight w:val="none"/>
                      <w:vertAlign w:val="baseline"/>
                      <w:lang w:val="en-US" w:eastAsia="zh-CN"/>
                    </w:rPr>
                    <w:t xml:space="preserve">  </w:t>
                  </w:r>
                </w:p>
              </w:tc>
              <w:tc>
                <w:tcPr>
                  <w:tcW w:w="487" w:type="pct"/>
                  <w:tcBorders>
                    <w:tl2br w:val="nil"/>
                    <w:tr2bl w:val="nil"/>
                  </w:tcBorders>
                  <w:shd w:val="clear" w:color="auto" w:fill="auto"/>
                  <w:noWrap/>
                  <w:vAlign w:val="center"/>
                </w:tcPr>
                <w:p w14:paraId="6EDE8A14">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sz w:val="21"/>
                      <w:szCs w:val="21"/>
                      <w:highlight w:val="none"/>
                      <w:vertAlign w:val="baseline"/>
                      <w:lang w:val="en-US" w:eastAsia="zh-CN"/>
                    </w:rPr>
                    <w:t>80</w:t>
                  </w:r>
                </w:p>
              </w:tc>
              <w:tc>
                <w:tcPr>
                  <w:tcW w:w="315" w:type="pct"/>
                  <w:tcBorders>
                    <w:tl2br w:val="nil"/>
                    <w:tr2bl w:val="nil"/>
                  </w:tcBorders>
                  <w:noWrap/>
                  <w:vAlign w:val="center"/>
                </w:tcPr>
                <w:p w14:paraId="60A3C838">
                  <w:pPr>
                    <w:bidi w:val="0"/>
                    <w:spacing w:line="240" w:lineRule="auto"/>
                    <w:jc w:val="center"/>
                    <w:rPr>
                      <w:rFonts w:hint="eastAsia"/>
                      <w:color w:val="auto"/>
                      <w:highlight w:val="none"/>
                    </w:rPr>
                  </w:pPr>
                  <w:r>
                    <w:rPr>
                      <w:rFonts w:hint="eastAsia"/>
                      <w:color w:val="auto"/>
                      <w:highlight w:val="none"/>
                      <w:lang w:val="en-US" w:eastAsia="zh-CN"/>
                    </w:rPr>
                    <w:t>台</w:t>
                  </w:r>
                </w:p>
              </w:tc>
              <w:tc>
                <w:tcPr>
                  <w:tcW w:w="440" w:type="pct"/>
                  <w:tcBorders>
                    <w:tl2br w:val="nil"/>
                    <w:tr2bl w:val="nil"/>
                  </w:tcBorders>
                  <w:noWrap w:val="0"/>
                  <w:vAlign w:val="center"/>
                </w:tcPr>
                <w:p w14:paraId="6B68D6FE">
                  <w:pPr>
                    <w:pStyle w:val="69"/>
                    <w:bidi w:val="0"/>
                    <w:spacing w:line="240" w:lineRule="auto"/>
                    <w:rPr>
                      <w:rFonts w:hint="eastAsia"/>
                      <w:color w:val="auto"/>
                      <w:highlight w:val="none"/>
                    </w:rPr>
                  </w:pPr>
                </w:p>
              </w:tc>
            </w:tr>
            <w:tr w14:paraId="5A63E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28C49CBC">
                  <w:pPr>
                    <w:pStyle w:val="69"/>
                    <w:bidi w:val="0"/>
                    <w:spacing w:line="240" w:lineRule="auto"/>
                    <w:rPr>
                      <w:rFonts w:hint="eastAsia"/>
                      <w:color w:val="auto"/>
                      <w:highlight w:val="none"/>
                    </w:rPr>
                  </w:pPr>
                </w:p>
              </w:tc>
              <w:tc>
                <w:tcPr>
                  <w:tcW w:w="956" w:type="pct"/>
                  <w:vMerge w:val="continue"/>
                  <w:tcBorders>
                    <w:tl2br w:val="nil"/>
                    <w:tr2bl w:val="nil"/>
                  </w:tcBorders>
                  <w:noWrap/>
                  <w:vAlign w:val="center"/>
                </w:tcPr>
                <w:p w14:paraId="088FDAA4">
                  <w:pPr>
                    <w:pStyle w:val="69"/>
                    <w:bidi w:val="0"/>
                    <w:spacing w:line="240" w:lineRule="auto"/>
                    <w:rPr>
                      <w:rFonts w:hint="eastAsia"/>
                      <w:color w:val="auto"/>
                      <w:highlight w:val="none"/>
                    </w:rPr>
                  </w:pPr>
                </w:p>
              </w:tc>
              <w:tc>
                <w:tcPr>
                  <w:tcW w:w="1310" w:type="pct"/>
                  <w:tcBorders>
                    <w:tl2br w:val="nil"/>
                    <w:tr2bl w:val="nil"/>
                  </w:tcBorders>
                  <w:shd w:val="clear" w:color="auto" w:fill="auto"/>
                  <w:noWrap/>
                  <w:vAlign w:val="center"/>
                </w:tcPr>
                <w:p w14:paraId="6EA982A9">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牛角贴装机</w:t>
                  </w:r>
                </w:p>
              </w:tc>
              <w:tc>
                <w:tcPr>
                  <w:tcW w:w="1236" w:type="pct"/>
                  <w:tcBorders>
                    <w:tl2br w:val="nil"/>
                    <w:tr2bl w:val="nil"/>
                  </w:tcBorders>
                  <w:shd w:val="clear" w:color="auto" w:fill="auto"/>
                  <w:noWrap w:val="0"/>
                  <w:vAlign w:val="center"/>
                </w:tcPr>
                <w:p w14:paraId="321F75E7">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p>
              </w:tc>
              <w:tc>
                <w:tcPr>
                  <w:tcW w:w="487" w:type="pct"/>
                  <w:tcBorders>
                    <w:tl2br w:val="nil"/>
                    <w:tr2bl w:val="nil"/>
                  </w:tcBorders>
                  <w:shd w:val="clear" w:color="auto" w:fill="auto"/>
                  <w:noWrap/>
                  <w:vAlign w:val="center"/>
                </w:tcPr>
                <w:p w14:paraId="315312E1">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2</w:t>
                  </w:r>
                </w:p>
              </w:tc>
              <w:tc>
                <w:tcPr>
                  <w:tcW w:w="315" w:type="pct"/>
                  <w:tcBorders>
                    <w:tl2br w:val="nil"/>
                    <w:tr2bl w:val="nil"/>
                  </w:tcBorders>
                  <w:noWrap/>
                  <w:vAlign w:val="center"/>
                </w:tcPr>
                <w:p w14:paraId="2683885B">
                  <w:pPr>
                    <w:bidi w:val="0"/>
                    <w:spacing w:line="240" w:lineRule="auto"/>
                    <w:jc w:val="center"/>
                    <w:rPr>
                      <w:rFonts w:hint="eastAsia"/>
                      <w:color w:val="auto"/>
                      <w:highlight w:val="none"/>
                    </w:rPr>
                  </w:pPr>
                  <w:r>
                    <w:rPr>
                      <w:rFonts w:hint="eastAsia"/>
                      <w:color w:val="auto"/>
                      <w:highlight w:val="none"/>
                      <w:lang w:val="en-US" w:eastAsia="zh-CN"/>
                    </w:rPr>
                    <w:t>台</w:t>
                  </w:r>
                </w:p>
              </w:tc>
              <w:tc>
                <w:tcPr>
                  <w:tcW w:w="440" w:type="pct"/>
                  <w:tcBorders>
                    <w:tl2br w:val="nil"/>
                    <w:tr2bl w:val="nil"/>
                  </w:tcBorders>
                  <w:noWrap w:val="0"/>
                  <w:vAlign w:val="center"/>
                </w:tcPr>
                <w:p w14:paraId="60153E48">
                  <w:pPr>
                    <w:pStyle w:val="69"/>
                    <w:bidi w:val="0"/>
                    <w:spacing w:line="240" w:lineRule="auto"/>
                    <w:rPr>
                      <w:rFonts w:hint="eastAsia"/>
                      <w:color w:val="auto"/>
                      <w:highlight w:val="none"/>
                    </w:rPr>
                  </w:pPr>
                </w:p>
              </w:tc>
            </w:tr>
            <w:tr w14:paraId="112CB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580D5C33">
                  <w:pPr>
                    <w:pStyle w:val="69"/>
                    <w:bidi w:val="0"/>
                    <w:spacing w:line="240" w:lineRule="auto"/>
                    <w:rPr>
                      <w:rFonts w:hint="eastAsia"/>
                      <w:color w:val="auto"/>
                      <w:highlight w:val="none"/>
                    </w:rPr>
                  </w:pPr>
                </w:p>
              </w:tc>
              <w:tc>
                <w:tcPr>
                  <w:tcW w:w="956" w:type="pct"/>
                  <w:tcBorders>
                    <w:tl2br w:val="nil"/>
                    <w:tr2bl w:val="nil"/>
                  </w:tcBorders>
                  <w:noWrap/>
                  <w:vAlign w:val="center"/>
                </w:tcPr>
                <w:p w14:paraId="67CC414A">
                  <w:pPr>
                    <w:pStyle w:val="69"/>
                    <w:bidi w:val="0"/>
                    <w:spacing w:line="240" w:lineRule="auto"/>
                    <w:rPr>
                      <w:rFonts w:hint="eastAsia"/>
                      <w:color w:val="auto"/>
                      <w:highlight w:val="none"/>
                    </w:rPr>
                  </w:pPr>
                  <w:r>
                    <w:rPr>
                      <w:rFonts w:hint="eastAsia"/>
                      <w:color w:val="auto"/>
                      <w:highlight w:val="none"/>
                      <w:lang w:val="en-US" w:eastAsia="zh-CN"/>
                    </w:rPr>
                    <w:t>回流焊</w:t>
                  </w:r>
                </w:p>
              </w:tc>
              <w:tc>
                <w:tcPr>
                  <w:tcW w:w="1310" w:type="pct"/>
                  <w:tcBorders>
                    <w:tl2br w:val="nil"/>
                    <w:tr2bl w:val="nil"/>
                  </w:tcBorders>
                  <w:shd w:val="clear" w:color="auto" w:fill="auto"/>
                  <w:noWrap/>
                  <w:vAlign w:val="center"/>
                </w:tcPr>
                <w:p w14:paraId="413852B6">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回流焊</w:t>
                  </w:r>
                </w:p>
              </w:tc>
              <w:tc>
                <w:tcPr>
                  <w:tcW w:w="1236" w:type="pct"/>
                  <w:tcBorders>
                    <w:tl2br w:val="nil"/>
                    <w:tr2bl w:val="nil"/>
                  </w:tcBorders>
                  <w:shd w:val="clear" w:color="auto" w:fill="auto"/>
                  <w:noWrap w:val="0"/>
                  <w:vAlign w:val="center"/>
                </w:tcPr>
                <w:p w14:paraId="421DB783">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ascii="Times New Roman" w:hAnsi="Times New Roman" w:eastAsia="宋体" w:cs="Times New Roman"/>
                      <w:color w:val="auto"/>
                      <w:highlight w:val="none"/>
                      <w:u w:val="none"/>
                      <w:lang w:val="en-US" w:eastAsia="zh-CN"/>
                    </w:rPr>
                    <w:t>PyramA BTU7温区（6.2</w:t>
                  </w:r>
                  <w:r>
                    <w:rPr>
                      <w:rFonts w:hint="eastAsia" w:cs="Times New Roman"/>
                      <w:color w:val="auto"/>
                      <w:highlight w:val="none"/>
                      <w:u w:val="none"/>
                      <w:lang w:val="en-US" w:eastAsia="zh-CN"/>
                    </w:rPr>
                    <w:t>m</w:t>
                  </w:r>
                  <w:r>
                    <w:rPr>
                      <w:rFonts w:hint="eastAsia" w:ascii="Times New Roman" w:hAnsi="Times New Roman" w:eastAsia="宋体" w:cs="Times New Roman"/>
                      <w:color w:val="auto"/>
                      <w:highlight w:val="none"/>
                      <w:u w:val="none"/>
                      <w:lang w:val="en-US" w:eastAsia="zh-CN"/>
                    </w:rPr>
                    <w:t>*1.5</w:t>
                  </w:r>
                  <w:r>
                    <w:rPr>
                      <w:rFonts w:hint="eastAsia" w:cs="Times New Roman"/>
                      <w:color w:val="auto"/>
                      <w:highlight w:val="none"/>
                      <w:u w:val="none"/>
                      <w:lang w:val="en-US" w:eastAsia="zh-CN"/>
                    </w:rPr>
                    <w:t>m</w:t>
                  </w:r>
                  <w:r>
                    <w:rPr>
                      <w:rFonts w:hint="eastAsia" w:ascii="Times New Roman" w:hAnsi="Times New Roman" w:eastAsia="宋体" w:cs="Times New Roman"/>
                      <w:color w:val="auto"/>
                      <w:highlight w:val="none"/>
                      <w:u w:val="none"/>
                      <w:lang w:val="en-US" w:eastAsia="zh-CN"/>
                    </w:rPr>
                    <w:t>*1.5</w:t>
                  </w:r>
                  <w:r>
                    <w:rPr>
                      <w:rFonts w:hint="eastAsia" w:cs="Times New Roman"/>
                      <w:color w:val="auto"/>
                      <w:highlight w:val="none"/>
                      <w:u w:val="none"/>
                      <w:lang w:val="en-US" w:eastAsia="zh-CN"/>
                    </w:rPr>
                    <w:t>m</w:t>
                  </w:r>
                  <w:r>
                    <w:rPr>
                      <w:rFonts w:hint="eastAsia" w:ascii="Times New Roman" w:hAnsi="Times New Roman" w:eastAsia="宋体" w:cs="Times New Roman"/>
                      <w:color w:val="auto"/>
                      <w:highlight w:val="none"/>
                      <w:u w:val="none"/>
                      <w:lang w:val="en-US" w:eastAsia="zh-CN"/>
                    </w:rPr>
                    <w:t>）</w:t>
                  </w:r>
                </w:p>
              </w:tc>
              <w:tc>
                <w:tcPr>
                  <w:tcW w:w="487" w:type="pct"/>
                  <w:tcBorders>
                    <w:tl2br w:val="nil"/>
                    <w:tr2bl w:val="nil"/>
                  </w:tcBorders>
                  <w:noWrap/>
                  <w:vAlign w:val="center"/>
                </w:tcPr>
                <w:p w14:paraId="37D60E2F">
                  <w:pPr>
                    <w:spacing w:line="240" w:lineRule="auto"/>
                    <w:jc w:val="center"/>
                    <w:rPr>
                      <w:rFonts w:hint="eastAsia" w:eastAsia="宋体"/>
                      <w:color w:val="auto"/>
                      <w:highlight w:val="none"/>
                      <w:lang w:val="en-US" w:eastAsia="zh-CN"/>
                    </w:rPr>
                  </w:pPr>
                  <w:r>
                    <w:rPr>
                      <w:rFonts w:hint="eastAsia"/>
                      <w:color w:val="auto"/>
                      <w:highlight w:val="none"/>
                      <w:lang w:val="en-US" w:eastAsia="zh-CN"/>
                    </w:rPr>
                    <w:t>4</w:t>
                  </w:r>
                </w:p>
              </w:tc>
              <w:tc>
                <w:tcPr>
                  <w:tcW w:w="315" w:type="pct"/>
                  <w:tcBorders>
                    <w:tl2br w:val="nil"/>
                    <w:tr2bl w:val="nil"/>
                  </w:tcBorders>
                  <w:noWrap/>
                  <w:vAlign w:val="center"/>
                </w:tcPr>
                <w:p w14:paraId="02A7BE95">
                  <w:pPr>
                    <w:pStyle w:val="69"/>
                    <w:bidi w:val="0"/>
                    <w:spacing w:line="240" w:lineRule="auto"/>
                    <w:jc w:val="center"/>
                    <w:rPr>
                      <w:rFonts w:hint="default" w:eastAsia="宋体"/>
                      <w:color w:val="auto"/>
                      <w:highlight w:val="none"/>
                      <w:lang w:val="en-US" w:eastAsia="zh-CN"/>
                    </w:rPr>
                  </w:pPr>
                  <w:r>
                    <w:rPr>
                      <w:rFonts w:hint="eastAsia"/>
                      <w:color w:val="auto"/>
                      <w:highlight w:val="none"/>
                      <w:lang w:val="en-US" w:eastAsia="zh-CN"/>
                    </w:rPr>
                    <w:t>台</w:t>
                  </w:r>
                </w:p>
              </w:tc>
              <w:tc>
                <w:tcPr>
                  <w:tcW w:w="440" w:type="pct"/>
                  <w:tcBorders>
                    <w:tl2br w:val="nil"/>
                    <w:tr2bl w:val="nil"/>
                  </w:tcBorders>
                  <w:noWrap w:val="0"/>
                  <w:vAlign w:val="center"/>
                </w:tcPr>
                <w:p w14:paraId="5565B8AD">
                  <w:pPr>
                    <w:pStyle w:val="69"/>
                    <w:bidi w:val="0"/>
                    <w:spacing w:line="240" w:lineRule="auto"/>
                    <w:rPr>
                      <w:rFonts w:hint="eastAsia"/>
                      <w:color w:val="auto"/>
                      <w:highlight w:val="none"/>
                    </w:rPr>
                  </w:pPr>
                  <w:r>
                    <w:rPr>
                      <w:rFonts w:hint="eastAsia"/>
                      <w:color w:val="auto"/>
                      <w:highlight w:val="none"/>
                      <w:lang w:val="en-US" w:eastAsia="zh-CN"/>
                    </w:rPr>
                    <w:t>电加热</w:t>
                  </w:r>
                </w:p>
              </w:tc>
            </w:tr>
            <w:tr w14:paraId="6A17E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00C6BAF2">
                  <w:pPr>
                    <w:pStyle w:val="69"/>
                    <w:bidi w:val="0"/>
                    <w:spacing w:line="240" w:lineRule="auto"/>
                    <w:rPr>
                      <w:rFonts w:hint="eastAsia"/>
                      <w:color w:val="auto"/>
                      <w:highlight w:val="none"/>
                    </w:rPr>
                  </w:pPr>
                </w:p>
              </w:tc>
              <w:tc>
                <w:tcPr>
                  <w:tcW w:w="956" w:type="pct"/>
                  <w:tcBorders>
                    <w:tl2br w:val="nil"/>
                    <w:tr2bl w:val="nil"/>
                  </w:tcBorders>
                  <w:shd w:val="clear" w:color="auto" w:fill="auto"/>
                  <w:noWrap/>
                  <w:vAlign w:val="center"/>
                </w:tcPr>
                <w:p w14:paraId="0FC0BA2F">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压合面罩</w:t>
                  </w:r>
                </w:p>
              </w:tc>
              <w:tc>
                <w:tcPr>
                  <w:tcW w:w="1310" w:type="pct"/>
                  <w:tcBorders>
                    <w:tl2br w:val="nil"/>
                    <w:tr2bl w:val="nil"/>
                  </w:tcBorders>
                  <w:shd w:val="clear" w:color="auto" w:fill="auto"/>
                  <w:noWrap/>
                  <w:vAlign w:val="center"/>
                </w:tcPr>
                <w:p w14:paraId="41BCDB03">
                  <w:pPr>
                    <w:pStyle w:val="69"/>
                    <w:bidi w:val="0"/>
                    <w:spacing w:line="240" w:lineRule="auto"/>
                    <w:ind w:firstLine="0" w:firstLineChars="0"/>
                    <w:rPr>
                      <w:rFonts w:hint="default"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面罩压合机</w:t>
                  </w:r>
                </w:p>
              </w:tc>
              <w:tc>
                <w:tcPr>
                  <w:tcW w:w="1236" w:type="pct"/>
                  <w:tcBorders>
                    <w:tl2br w:val="nil"/>
                    <w:tr2bl w:val="nil"/>
                  </w:tcBorders>
                  <w:shd w:val="clear" w:color="auto" w:fill="auto"/>
                  <w:noWrap w:val="0"/>
                  <w:vAlign w:val="center"/>
                </w:tcPr>
                <w:p w14:paraId="398D1217">
                  <w:pPr>
                    <w:pStyle w:val="69"/>
                    <w:bidi w:val="0"/>
                    <w:spacing w:line="240" w:lineRule="auto"/>
                    <w:ind w:firstLine="0" w:firstLineChars="0"/>
                    <w:rPr>
                      <w:rFonts w:hint="default" w:ascii="Times New Roman" w:hAnsi="Times New Roman" w:eastAsia="宋体" w:cs="Times New Roman"/>
                      <w:b w:val="0"/>
                      <w:color w:val="auto"/>
                      <w:kern w:val="2"/>
                      <w:sz w:val="21"/>
                      <w:szCs w:val="21"/>
                      <w:highlight w:val="none"/>
                      <w:lang w:val="en-US" w:eastAsia="zh-CN" w:bidi="ar-SA"/>
                    </w:rPr>
                  </w:pPr>
                  <w:r>
                    <w:rPr>
                      <w:rFonts w:hint="default"/>
                      <w:color w:val="auto"/>
                      <w:highlight w:val="none"/>
                      <w:lang w:val="en-US" w:eastAsia="zh-CN"/>
                    </w:rPr>
                    <w:t>/</w:t>
                  </w:r>
                </w:p>
              </w:tc>
              <w:tc>
                <w:tcPr>
                  <w:tcW w:w="487" w:type="pct"/>
                  <w:tcBorders>
                    <w:tl2br w:val="nil"/>
                    <w:tr2bl w:val="nil"/>
                  </w:tcBorders>
                  <w:shd w:val="clear" w:color="auto" w:fill="auto"/>
                  <w:noWrap/>
                  <w:vAlign w:val="center"/>
                </w:tcPr>
                <w:p w14:paraId="6C9DCC63">
                  <w:pPr>
                    <w:pStyle w:val="69"/>
                    <w:bidi w:val="0"/>
                    <w:spacing w:line="240" w:lineRule="auto"/>
                    <w:ind w:firstLine="0" w:firstLineChars="0"/>
                    <w:rPr>
                      <w:rFonts w:hint="default"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4</w:t>
                  </w:r>
                </w:p>
              </w:tc>
              <w:tc>
                <w:tcPr>
                  <w:tcW w:w="315" w:type="pct"/>
                  <w:tcBorders>
                    <w:tl2br w:val="nil"/>
                    <w:tr2bl w:val="nil"/>
                  </w:tcBorders>
                  <w:shd w:val="clear" w:color="auto" w:fill="auto"/>
                  <w:noWrap/>
                  <w:vAlign w:val="center"/>
                </w:tcPr>
                <w:p w14:paraId="2BB6A2F0">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台</w:t>
                  </w:r>
                </w:p>
              </w:tc>
              <w:tc>
                <w:tcPr>
                  <w:tcW w:w="440" w:type="pct"/>
                  <w:tcBorders>
                    <w:tl2br w:val="nil"/>
                    <w:tr2bl w:val="nil"/>
                  </w:tcBorders>
                  <w:shd w:val="clear" w:color="auto" w:fill="auto"/>
                  <w:noWrap w:val="0"/>
                  <w:vAlign w:val="center"/>
                </w:tcPr>
                <w:p w14:paraId="5197831D">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w:t>
                  </w:r>
                </w:p>
              </w:tc>
            </w:tr>
            <w:tr w14:paraId="36C36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5D1E5B10">
                  <w:pPr>
                    <w:pStyle w:val="69"/>
                    <w:bidi w:val="0"/>
                    <w:spacing w:line="240" w:lineRule="auto"/>
                    <w:rPr>
                      <w:rFonts w:hint="eastAsia"/>
                      <w:color w:val="auto"/>
                      <w:highlight w:val="none"/>
                    </w:rPr>
                  </w:pPr>
                </w:p>
              </w:tc>
              <w:tc>
                <w:tcPr>
                  <w:tcW w:w="956" w:type="pct"/>
                  <w:tcBorders>
                    <w:tl2br w:val="nil"/>
                    <w:tr2bl w:val="nil"/>
                  </w:tcBorders>
                  <w:shd w:val="clear" w:color="auto" w:fill="auto"/>
                  <w:noWrap/>
                  <w:vAlign w:val="center"/>
                </w:tcPr>
                <w:p w14:paraId="534AB683">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打螺丝套装</w:t>
                  </w:r>
                </w:p>
              </w:tc>
              <w:tc>
                <w:tcPr>
                  <w:tcW w:w="1310" w:type="pct"/>
                  <w:tcBorders>
                    <w:tl2br w:val="nil"/>
                    <w:tr2bl w:val="nil"/>
                  </w:tcBorders>
                  <w:shd w:val="clear" w:color="auto" w:fill="auto"/>
                  <w:noWrap/>
                  <w:vAlign w:val="center"/>
                </w:tcPr>
                <w:p w14:paraId="303D5EBA">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color w:val="auto"/>
                      <w:highlight w:val="none"/>
                      <w:lang w:val="en-US" w:eastAsia="zh-CN"/>
                    </w:rPr>
                    <w:t>全自动螺丝机</w:t>
                  </w:r>
                </w:p>
              </w:tc>
              <w:tc>
                <w:tcPr>
                  <w:tcW w:w="1236" w:type="pct"/>
                  <w:tcBorders>
                    <w:tl2br w:val="nil"/>
                    <w:tr2bl w:val="nil"/>
                  </w:tcBorders>
                  <w:shd w:val="clear" w:color="auto" w:fill="auto"/>
                  <w:noWrap w:val="0"/>
                  <w:vAlign w:val="center"/>
                </w:tcPr>
                <w:p w14:paraId="5B8ABA05">
                  <w:pPr>
                    <w:spacing w:line="240" w:lineRule="auto"/>
                    <w:jc w:val="center"/>
                    <w:rPr>
                      <w:rFonts w:hint="default" w:ascii="Times New Roman" w:hAnsi="Times New Roman" w:eastAsia="宋体" w:cs="Times New Roman"/>
                      <w:color w:val="auto"/>
                      <w:kern w:val="2"/>
                      <w:sz w:val="21"/>
                      <w:szCs w:val="24"/>
                      <w:highlight w:val="none"/>
                      <w:u w:val="none"/>
                      <w:lang w:val="en-US" w:eastAsia="zh-CN" w:bidi="ar-SA"/>
                    </w:rPr>
                  </w:pPr>
                  <w:r>
                    <w:rPr>
                      <w:rFonts w:hint="default"/>
                      <w:color w:val="auto"/>
                      <w:highlight w:val="none"/>
                      <w:lang w:val="en-US" w:eastAsia="zh-CN"/>
                    </w:rPr>
                    <w:t>QY-1ZLX</w:t>
                  </w:r>
                </w:p>
              </w:tc>
              <w:tc>
                <w:tcPr>
                  <w:tcW w:w="487" w:type="pct"/>
                  <w:tcBorders>
                    <w:tl2br w:val="nil"/>
                    <w:tr2bl w:val="nil"/>
                  </w:tcBorders>
                  <w:shd w:val="clear" w:color="auto" w:fill="auto"/>
                  <w:noWrap/>
                  <w:vAlign w:val="center"/>
                </w:tcPr>
                <w:p w14:paraId="4C423870">
                  <w:pPr>
                    <w:pStyle w:val="69"/>
                    <w:bidi w:val="0"/>
                    <w:spacing w:line="240" w:lineRule="auto"/>
                    <w:ind w:firstLine="0" w:firstLineChars="0"/>
                    <w:rPr>
                      <w:rFonts w:hint="default"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8</w:t>
                  </w:r>
                </w:p>
              </w:tc>
              <w:tc>
                <w:tcPr>
                  <w:tcW w:w="315" w:type="pct"/>
                  <w:tcBorders>
                    <w:tl2br w:val="nil"/>
                    <w:tr2bl w:val="nil"/>
                  </w:tcBorders>
                  <w:shd w:val="clear" w:color="auto" w:fill="auto"/>
                  <w:noWrap/>
                  <w:vAlign w:val="center"/>
                </w:tcPr>
                <w:p w14:paraId="6B4DB856">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台</w:t>
                  </w:r>
                </w:p>
              </w:tc>
              <w:tc>
                <w:tcPr>
                  <w:tcW w:w="440" w:type="pct"/>
                  <w:tcBorders>
                    <w:tl2br w:val="nil"/>
                    <w:tr2bl w:val="nil"/>
                  </w:tcBorders>
                  <w:shd w:val="clear" w:color="auto" w:fill="auto"/>
                  <w:noWrap w:val="0"/>
                  <w:vAlign w:val="center"/>
                </w:tcPr>
                <w:p w14:paraId="283CC7AA">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w:t>
                  </w:r>
                </w:p>
              </w:tc>
            </w:tr>
            <w:tr w14:paraId="7B689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2876B847">
                  <w:pPr>
                    <w:pStyle w:val="69"/>
                    <w:bidi w:val="0"/>
                    <w:spacing w:line="240" w:lineRule="auto"/>
                    <w:rPr>
                      <w:rFonts w:hint="eastAsia"/>
                      <w:color w:val="auto"/>
                      <w:highlight w:val="none"/>
                    </w:rPr>
                  </w:pPr>
                </w:p>
              </w:tc>
              <w:tc>
                <w:tcPr>
                  <w:tcW w:w="956" w:type="pct"/>
                  <w:vMerge w:val="restart"/>
                  <w:tcBorders>
                    <w:tl2br w:val="nil"/>
                    <w:tr2bl w:val="nil"/>
                  </w:tcBorders>
                  <w:shd w:val="clear" w:color="auto" w:fill="auto"/>
                  <w:noWrap/>
                  <w:vAlign w:val="center"/>
                </w:tcPr>
                <w:p w14:paraId="1C3061FB">
                  <w:pPr>
                    <w:pStyle w:val="69"/>
                    <w:bidi w:val="0"/>
                    <w:spacing w:line="240" w:lineRule="auto"/>
                    <w:ind w:firstLine="0" w:firstLineChars="0"/>
                    <w:rPr>
                      <w:rFonts w:hint="eastAsia"/>
                      <w:color w:val="auto"/>
                      <w:highlight w:val="none"/>
                      <w:lang w:val="en-US" w:eastAsia="zh-CN"/>
                    </w:rPr>
                  </w:pPr>
                  <w:r>
                    <w:rPr>
                      <w:rFonts w:hint="eastAsia"/>
                      <w:color w:val="auto"/>
                      <w:highlight w:val="none"/>
                      <w:lang w:val="en-US" w:eastAsia="zh-CN"/>
                    </w:rPr>
                    <w:t>老化、测试</w:t>
                  </w:r>
                </w:p>
              </w:tc>
              <w:tc>
                <w:tcPr>
                  <w:tcW w:w="1310" w:type="pct"/>
                  <w:tcBorders>
                    <w:tl2br w:val="nil"/>
                    <w:tr2bl w:val="nil"/>
                  </w:tcBorders>
                  <w:shd w:val="clear" w:color="auto" w:fill="auto"/>
                  <w:noWrap/>
                  <w:vAlign w:val="center"/>
                </w:tcPr>
                <w:p w14:paraId="2986E757">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老化架</w:t>
                  </w:r>
                </w:p>
              </w:tc>
              <w:tc>
                <w:tcPr>
                  <w:tcW w:w="1236" w:type="pct"/>
                  <w:tcBorders>
                    <w:tl2br w:val="nil"/>
                    <w:tr2bl w:val="nil"/>
                  </w:tcBorders>
                  <w:shd w:val="clear" w:color="auto" w:fill="auto"/>
                  <w:noWrap w:val="0"/>
                  <w:vAlign w:val="center"/>
                </w:tcPr>
                <w:p w14:paraId="07C256C2">
                  <w:pPr>
                    <w:pStyle w:val="69"/>
                    <w:bidi w:val="0"/>
                    <w:spacing w:line="240" w:lineRule="auto"/>
                    <w:ind w:firstLine="0" w:firstLineChars="0"/>
                    <w:rPr>
                      <w:rFonts w:hint="default" w:ascii="Times New Roman" w:hAnsi="Times New Roman" w:eastAsia="宋体" w:cs="Times New Roman"/>
                      <w:b w:val="0"/>
                      <w:color w:val="auto"/>
                      <w:kern w:val="2"/>
                      <w:sz w:val="21"/>
                      <w:szCs w:val="21"/>
                      <w:highlight w:val="none"/>
                      <w:lang w:val="en-US" w:eastAsia="zh-CN" w:bidi="ar-SA"/>
                    </w:rPr>
                  </w:pPr>
                  <w:r>
                    <w:rPr>
                      <w:rFonts w:hint="default"/>
                      <w:color w:val="auto"/>
                      <w:highlight w:val="none"/>
                      <w:lang w:val="en-US" w:eastAsia="zh-CN"/>
                    </w:rPr>
                    <w:t>ASMLH-2</w:t>
                  </w:r>
                </w:p>
              </w:tc>
              <w:tc>
                <w:tcPr>
                  <w:tcW w:w="487" w:type="pct"/>
                  <w:tcBorders>
                    <w:tl2br w:val="nil"/>
                    <w:tr2bl w:val="nil"/>
                  </w:tcBorders>
                  <w:shd w:val="clear" w:color="auto" w:fill="auto"/>
                  <w:noWrap/>
                  <w:vAlign w:val="center"/>
                </w:tcPr>
                <w:p w14:paraId="3BF92729">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100</w:t>
                  </w:r>
                </w:p>
              </w:tc>
              <w:tc>
                <w:tcPr>
                  <w:tcW w:w="315" w:type="pct"/>
                  <w:tcBorders>
                    <w:tl2br w:val="nil"/>
                    <w:tr2bl w:val="nil"/>
                  </w:tcBorders>
                  <w:shd w:val="clear" w:color="auto" w:fill="auto"/>
                  <w:noWrap/>
                  <w:vAlign w:val="center"/>
                </w:tcPr>
                <w:p w14:paraId="11BAF452">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台</w:t>
                  </w:r>
                </w:p>
              </w:tc>
              <w:tc>
                <w:tcPr>
                  <w:tcW w:w="440" w:type="pct"/>
                  <w:tcBorders>
                    <w:tl2br w:val="nil"/>
                    <w:tr2bl w:val="nil"/>
                  </w:tcBorders>
                  <w:shd w:val="clear" w:color="auto" w:fill="auto"/>
                  <w:noWrap w:val="0"/>
                  <w:vAlign w:val="center"/>
                </w:tcPr>
                <w:p w14:paraId="1FC05599">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w:t>
                  </w:r>
                </w:p>
              </w:tc>
            </w:tr>
            <w:tr w14:paraId="72C16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440850B2">
                  <w:pPr>
                    <w:pStyle w:val="69"/>
                    <w:bidi w:val="0"/>
                    <w:spacing w:line="240" w:lineRule="auto"/>
                    <w:rPr>
                      <w:rFonts w:hint="eastAsia"/>
                      <w:color w:val="auto"/>
                      <w:highlight w:val="none"/>
                    </w:rPr>
                  </w:pPr>
                </w:p>
              </w:tc>
              <w:tc>
                <w:tcPr>
                  <w:tcW w:w="956" w:type="pct"/>
                  <w:vMerge w:val="continue"/>
                  <w:tcBorders>
                    <w:tl2br w:val="nil"/>
                    <w:tr2bl w:val="nil"/>
                  </w:tcBorders>
                  <w:shd w:val="clear" w:color="auto" w:fill="auto"/>
                  <w:noWrap/>
                  <w:vAlign w:val="center"/>
                </w:tcPr>
                <w:p w14:paraId="4D6BF250">
                  <w:pPr>
                    <w:pStyle w:val="69"/>
                    <w:bidi w:val="0"/>
                    <w:spacing w:line="240" w:lineRule="auto"/>
                    <w:ind w:firstLine="0" w:firstLineChars="0"/>
                    <w:rPr>
                      <w:rFonts w:hint="eastAsia"/>
                      <w:color w:val="auto"/>
                      <w:highlight w:val="none"/>
                      <w:lang w:val="en-US" w:eastAsia="zh-CN"/>
                    </w:rPr>
                  </w:pPr>
                </w:p>
              </w:tc>
              <w:tc>
                <w:tcPr>
                  <w:tcW w:w="1310" w:type="pct"/>
                  <w:tcBorders>
                    <w:tl2br w:val="nil"/>
                    <w:tr2bl w:val="nil"/>
                  </w:tcBorders>
                  <w:shd w:val="clear" w:color="auto" w:fill="auto"/>
                  <w:noWrap/>
                  <w:vAlign w:val="center"/>
                </w:tcPr>
                <w:p w14:paraId="28031D88">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老化车</w:t>
                  </w:r>
                </w:p>
              </w:tc>
              <w:tc>
                <w:tcPr>
                  <w:tcW w:w="1236" w:type="pct"/>
                  <w:tcBorders>
                    <w:tl2br w:val="nil"/>
                    <w:tr2bl w:val="nil"/>
                  </w:tcBorders>
                  <w:shd w:val="clear" w:color="auto" w:fill="auto"/>
                  <w:noWrap w:val="0"/>
                  <w:vAlign w:val="center"/>
                </w:tcPr>
                <w:p w14:paraId="5D0775DC">
                  <w:pPr>
                    <w:pStyle w:val="69"/>
                    <w:bidi w:val="0"/>
                    <w:spacing w:line="240" w:lineRule="auto"/>
                    <w:ind w:firstLine="0" w:firstLineChars="0"/>
                    <w:rPr>
                      <w:rFonts w:hint="default" w:ascii="Times New Roman" w:hAnsi="Times New Roman" w:eastAsia="宋体" w:cs="Times New Roman"/>
                      <w:b w:val="0"/>
                      <w:color w:val="auto"/>
                      <w:kern w:val="2"/>
                      <w:sz w:val="21"/>
                      <w:szCs w:val="21"/>
                      <w:highlight w:val="none"/>
                      <w:lang w:val="en-US" w:eastAsia="zh-CN" w:bidi="ar-SA"/>
                    </w:rPr>
                  </w:pPr>
                  <w:r>
                    <w:rPr>
                      <w:rFonts w:hint="default"/>
                      <w:color w:val="auto"/>
                      <w:highlight w:val="none"/>
                      <w:lang w:val="en-US" w:eastAsia="zh-CN"/>
                    </w:rPr>
                    <w:t>/</w:t>
                  </w:r>
                </w:p>
              </w:tc>
              <w:tc>
                <w:tcPr>
                  <w:tcW w:w="487" w:type="pct"/>
                  <w:tcBorders>
                    <w:tl2br w:val="nil"/>
                    <w:tr2bl w:val="nil"/>
                  </w:tcBorders>
                  <w:shd w:val="clear" w:color="auto" w:fill="auto"/>
                  <w:noWrap/>
                  <w:vAlign w:val="center"/>
                </w:tcPr>
                <w:p w14:paraId="63DE87C6">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100</w:t>
                  </w:r>
                </w:p>
              </w:tc>
              <w:tc>
                <w:tcPr>
                  <w:tcW w:w="315" w:type="pct"/>
                  <w:tcBorders>
                    <w:tl2br w:val="nil"/>
                    <w:tr2bl w:val="nil"/>
                  </w:tcBorders>
                  <w:shd w:val="clear" w:color="auto" w:fill="auto"/>
                  <w:noWrap/>
                  <w:vAlign w:val="center"/>
                </w:tcPr>
                <w:p w14:paraId="63538D36">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辆</w:t>
                  </w:r>
                </w:p>
              </w:tc>
              <w:tc>
                <w:tcPr>
                  <w:tcW w:w="440" w:type="pct"/>
                  <w:tcBorders>
                    <w:tl2br w:val="nil"/>
                    <w:tr2bl w:val="nil"/>
                  </w:tcBorders>
                  <w:shd w:val="clear" w:color="auto" w:fill="auto"/>
                  <w:noWrap w:val="0"/>
                  <w:vAlign w:val="center"/>
                </w:tcPr>
                <w:p w14:paraId="0F44325F">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w:t>
                  </w:r>
                </w:p>
              </w:tc>
            </w:tr>
            <w:tr w14:paraId="6FFC5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6A547B47">
                  <w:pPr>
                    <w:pStyle w:val="69"/>
                    <w:bidi w:val="0"/>
                    <w:spacing w:line="240" w:lineRule="auto"/>
                    <w:rPr>
                      <w:rFonts w:hint="eastAsia" w:ascii="Times New Roman" w:hAnsi="Times New Roman" w:eastAsia="宋体" w:cs="Times New Roman"/>
                      <w:color w:val="auto"/>
                      <w:highlight w:val="none"/>
                      <w:u w:val="none"/>
                      <w:lang w:val="en-US" w:eastAsia="zh-CN"/>
                    </w:rPr>
                  </w:pPr>
                </w:p>
              </w:tc>
              <w:tc>
                <w:tcPr>
                  <w:tcW w:w="956" w:type="pct"/>
                  <w:vMerge w:val="continue"/>
                  <w:tcBorders>
                    <w:bottom w:val="single" w:color="auto" w:sz="4" w:space="0"/>
                    <w:tl2br w:val="nil"/>
                    <w:tr2bl w:val="nil"/>
                  </w:tcBorders>
                  <w:noWrap/>
                  <w:vAlign w:val="center"/>
                </w:tcPr>
                <w:p w14:paraId="7F87F4C4">
                  <w:pPr>
                    <w:pStyle w:val="69"/>
                    <w:bidi w:val="0"/>
                    <w:spacing w:line="240" w:lineRule="auto"/>
                    <w:rPr>
                      <w:rFonts w:hint="eastAsia"/>
                      <w:color w:val="auto"/>
                      <w:highlight w:val="none"/>
                    </w:rPr>
                  </w:pPr>
                </w:p>
              </w:tc>
              <w:tc>
                <w:tcPr>
                  <w:tcW w:w="1310" w:type="pct"/>
                  <w:tcBorders>
                    <w:tl2br w:val="nil"/>
                    <w:tr2bl w:val="nil"/>
                  </w:tcBorders>
                  <w:shd w:val="clear" w:color="auto" w:fill="auto"/>
                  <w:noWrap/>
                  <w:vAlign w:val="center"/>
                </w:tcPr>
                <w:p w14:paraId="269718AE">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测试设备</w:t>
                  </w:r>
                </w:p>
              </w:tc>
              <w:tc>
                <w:tcPr>
                  <w:tcW w:w="1236" w:type="pct"/>
                  <w:tcBorders>
                    <w:tl2br w:val="nil"/>
                    <w:tr2bl w:val="nil"/>
                  </w:tcBorders>
                  <w:shd w:val="clear" w:color="auto" w:fill="auto"/>
                  <w:noWrap w:val="0"/>
                  <w:vAlign w:val="center"/>
                </w:tcPr>
                <w:p w14:paraId="65E2BABB">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default"/>
                      <w:color w:val="auto"/>
                      <w:highlight w:val="none"/>
                      <w:lang w:val="en-US" w:eastAsia="zh-CN"/>
                    </w:rPr>
                    <w:t>/</w:t>
                  </w:r>
                </w:p>
              </w:tc>
              <w:tc>
                <w:tcPr>
                  <w:tcW w:w="487" w:type="pct"/>
                  <w:tcBorders>
                    <w:tl2br w:val="nil"/>
                    <w:tr2bl w:val="nil"/>
                  </w:tcBorders>
                  <w:shd w:val="clear" w:color="auto" w:fill="auto"/>
                  <w:noWrap/>
                  <w:vAlign w:val="center"/>
                </w:tcPr>
                <w:p w14:paraId="5A0167FB">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200</w:t>
                  </w:r>
                </w:p>
              </w:tc>
              <w:tc>
                <w:tcPr>
                  <w:tcW w:w="315" w:type="pct"/>
                  <w:tcBorders>
                    <w:tl2br w:val="nil"/>
                    <w:tr2bl w:val="nil"/>
                  </w:tcBorders>
                  <w:shd w:val="clear" w:color="auto" w:fill="auto"/>
                  <w:noWrap/>
                  <w:vAlign w:val="center"/>
                </w:tcPr>
                <w:p w14:paraId="0DC11E4F">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套</w:t>
                  </w:r>
                </w:p>
              </w:tc>
              <w:tc>
                <w:tcPr>
                  <w:tcW w:w="440" w:type="pct"/>
                  <w:tcBorders>
                    <w:tl2br w:val="nil"/>
                    <w:tr2bl w:val="nil"/>
                  </w:tcBorders>
                  <w:shd w:val="clear" w:color="auto" w:fill="auto"/>
                  <w:noWrap w:val="0"/>
                  <w:vAlign w:val="center"/>
                </w:tcPr>
                <w:p w14:paraId="337DDE38">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p>
              </w:tc>
            </w:tr>
            <w:tr w14:paraId="1D4BF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6BB5DB60">
                  <w:pPr>
                    <w:pStyle w:val="69"/>
                    <w:bidi w:val="0"/>
                    <w:spacing w:line="240" w:lineRule="auto"/>
                    <w:rPr>
                      <w:rFonts w:hint="eastAsia"/>
                      <w:color w:val="auto"/>
                      <w:highlight w:val="none"/>
                      <w:lang w:val="en-US" w:eastAsia="zh-CN"/>
                    </w:rPr>
                  </w:pPr>
                </w:p>
              </w:tc>
              <w:tc>
                <w:tcPr>
                  <w:tcW w:w="956" w:type="pct"/>
                  <w:tcBorders>
                    <w:top w:val="single" w:color="auto" w:sz="4" w:space="0"/>
                    <w:bottom w:val="single" w:color="auto" w:sz="4" w:space="0"/>
                    <w:tl2br w:val="nil"/>
                    <w:tr2bl w:val="nil"/>
                  </w:tcBorders>
                  <w:noWrap/>
                  <w:vAlign w:val="center"/>
                </w:tcPr>
                <w:p w14:paraId="49614FD6">
                  <w:pPr>
                    <w:pStyle w:val="69"/>
                    <w:bidi w:val="0"/>
                    <w:spacing w:line="240" w:lineRule="auto"/>
                    <w:rPr>
                      <w:rFonts w:hint="eastAsia"/>
                      <w:color w:val="auto"/>
                      <w:highlight w:val="none"/>
                      <w:lang w:val="en-US" w:eastAsia="zh-CN"/>
                    </w:rPr>
                  </w:pPr>
                  <w:r>
                    <w:rPr>
                      <w:rFonts w:hint="eastAsia"/>
                      <w:color w:val="auto"/>
                      <w:highlight w:val="none"/>
                      <w:lang w:val="en-US" w:eastAsia="zh-CN"/>
                    </w:rPr>
                    <w:t>包装入库</w:t>
                  </w:r>
                </w:p>
              </w:tc>
              <w:tc>
                <w:tcPr>
                  <w:tcW w:w="1310" w:type="pct"/>
                  <w:tcBorders>
                    <w:tl2br w:val="nil"/>
                    <w:tr2bl w:val="nil"/>
                  </w:tcBorders>
                  <w:shd w:val="clear" w:color="auto" w:fill="auto"/>
                  <w:noWrap/>
                  <w:vAlign w:val="center"/>
                </w:tcPr>
                <w:p w14:paraId="7681F668">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打包机</w:t>
                  </w:r>
                </w:p>
              </w:tc>
              <w:tc>
                <w:tcPr>
                  <w:tcW w:w="1236" w:type="pct"/>
                  <w:tcBorders>
                    <w:tl2br w:val="nil"/>
                    <w:tr2bl w:val="nil"/>
                  </w:tcBorders>
                  <w:shd w:val="clear" w:color="auto" w:fill="auto"/>
                  <w:noWrap w:val="0"/>
                  <w:vAlign w:val="center"/>
                </w:tcPr>
                <w:p w14:paraId="1F53D4FC">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default"/>
                      <w:color w:val="auto"/>
                      <w:highlight w:val="none"/>
                      <w:lang w:val="en-US" w:eastAsia="zh-CN"/>
                    </w:rPr>
                    <w:t>/</w:t>
                  </w:r>
                </w:p>
              </w:tc>
              <w:tc>
                <w:tcPr>
                  <w:tcW w:w="487" w:type="pct"/>
                  <w:tcBorders>
                    <w:tl2br w:val="nil"/>
                    <w:tr2bl w:val="nil"/>
                  </w:tcBorders>
                  <w:shd w:val="clear" w:color="auto" w:fill="auto"/>
                  <w:noWrap/>
                  <w:vAlign w:val="center"/>
                </w:tcPr>
                <w:p w14:paraId="4CBF80C0">
                  <w:pPr>
                    <w:pStyle w:val="69"/>
                    <w:bidi w:val="0"/>
                    <w:spacing w:line="240" w:lineRule="auto"/>
                    <w:ind w:firstLine="0" w:firstLineChars="0"/>
                    <w:rPr>
                      <w:rFonts w:hint="default"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5</w:t>
                  </w:r>
                </w:p>
              </w:tc>
              <w:tc>
                <w:tcPr>
                  <w:tcW w:w="315" w:type="pct"/>
                  <w:tcBorders>
                    <w:tl2br w:val="nil"/>
                    <w:tr2bl w:val="nil"/>
                  </w:tcBorders>
                  <w:shd w:val="clear" w:color="auto" w:fill="auto"/>
                  <w:noWrap/>
                  <w:vAlign w:val="center"/>
                </w:tcPr>
                <w:p w14:paraId="7DA2A6B6">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套</w:t>
                  </w:r>
                </w:p>
              </w:tc>
              <w:tc>
                <w:tcPr>
                  <w:tcW w:w="440" w:type="pct"/>
                  <w:tcBorders>
                    <w:tl2br w:val="nil"/>
                    <w:tr2bl w:val="nil"/>
                  </w:tcBorders>
                  <w:noWrap w:val="0"/>
                  <w:vAlign w:val="center"/>
                </w:tcPr>
                <w:p w14:paraId="5AEA2D68">
                  <w:pPr>
                    <w:pStyle w:val="69"/>
                    <w:bidi w:val="0"/>
                    <w:spacing w:line="240" w:lineRule="auto"/>
                    <w:rPr>
                      <w:rFonts w:hint="eastAsia"/>
                      <w:color w:val="auto"/>
                      <w:highlight w:val="none"/>
                      <w:lang w:val="en-US" w:eastAsia="zh-CN"/>
                    </w:rPr>
                  </w:pPr>
                </w:p>
              </w:tc>
            </w:tr>
            <w:tr w14:paraId="6E2AA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78056CBE">
                  <w:pPr>
                    <w:pStyle w:val="69"/>
                    <w:bidi w:val="0"/>
                    <w:spacing w:line="240" w:lineRule="auto"/>
                    <w:rPr>
                      <w:rFonts w:hint="eastAsia"/>
                      <w:color w:val="auto"/>
                      <w:highlight w:val="none"/>
                      <w:lang w:val="en-US" w:eastAsia="zh-CN"/>
                    </w:rPr>
                  </w:pPr>
                </w:p>
              </w:tc>
              <w:tc>
                <w:tcPr>
                  <w:tcW w:w="956" w:type="pct"/>
                  <w:vMerge w:val="restart"/>
                  <w:tcBorders>
                    <w:top w:val="single" w:color="auto" w:sz="4" w:space="0"/>
                    <w:tl2br w:val="nil"/>
                    <w:tr2bl w:val="nil"/>
                  </w:tcBorders>
                  <w:noWrap/>
                  <w:vAlign w:val="center"/>
                </w:tcPr>
                <w:p w14:paraId="190B4216">
                  <w:pPr>
                    <w:pStyle w:val="69"/>
                    <w:bidi w:val="0"/>
                    <w:spacing w:line="240" w:lineRule="auto"/>
                    <w:rPr>
                      <w:rFonts w:hint="eastAsia"/>
                      <w:color w:val="auto"/>
                      <w:highlight w:val="none"/>
                      <w:lang w:val="en-US" w:eastAsia="zh-CN"/>
                    </w:rPr>
                  </w:pPr>
                  <w:r>
                    <w:rPr>
                      <w:rFonts w:hint="eastAsia"/>
                      <w:color w:val="auto"/>
                      <w:highlight w:val="none"/>
                      <w:lang w:val="en-US" w:eastAsia="zh-CN"/>
                    </w:rPr>
                    <w:t>公用设备</w:t>
                  </w:r>
                </w:p>
              </w:tc>
              <w:tc>
                <w:tcPr>
                  <w:tcW w:w="1310" w:type="pct"/>
                  <w:tcBorders>
                    <w:tl2br w:val="nil"/>
                    <w:tr2bl w:val="nil"/>
                  </w:tcBorders>
                  <w:shd w:val="clear" w:color="auto" w:fill="auto"/>
                  <w:noWrap/>
                  <w:vAlign w:val="center"/>
                </w:tcPr>
                <w:p w14:paraId="4D185415">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空压机</w:t>
                  </w:r>
                </w:p>
              </w:tc>
              <w:tc>
                <w:tcPr>
                  <w:tcW w:w="1236" w:type="pct"/>
                  <w:tcBorders>
                    <w:tl2br w:val="nil"/>
                    <w:tr2bl w:val="nil"/>
                  </w:tcBorders>
                  <w:shd w:val="clear" w:color="auto" w:fill="auto"/>
                  <w:noWrap w:val="0"/>
                  <w:vAlign w:val="center"/>
                </w:tcPr>
                <w:p w14:paraId="08BA3AE2">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default"/>
                      <w:color w:val="auto"/>
                      <w:highlight w:val="none"/>
                      <w:lang w:val="en-US" w:eastAsia="zh-CN"/>
                    </w:rPr>
                    <w:t>/</w:t>
                  </w:r>
                </w:p>
              </w:tc>
              <w:tc>
                <w:tcPr>
                  <w:tcW w:w="487" w:type="pct"/>
                  <w:tcBorders>
                    <w:tl2br w:val="nil"/>
                    <w:tr2bl w:val="nil"/>
                  </w:tcBorders>
                  <w:shd w:val="clear" w:color="auto" w:fill="auto"/>
                  <w:noWrap/>
                  <w:vAlign w:val="center"/>
                </w:tcPr>
                <w:p w14:paraId="08DCAE3F">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2</w:t>
                  </w:r>
                </w:p>
              </w:tc>
              <w:tc>
                <w:tcPr>
                  <w:tcW w:w="315" w:type="pct"/>
                  <w:tcBorders>
                    <w:tl2br w:val="nil"/>
                    <w:tr2bl w:val="nil"/>
                  </w:tcBorders>
                  <w:shd w:val="clear" w:color="auto" w:fill="auto"/>
                  <w:noWrap/>
                  <w:vAlign w:val="center"/>
                </w:tcPr>
                <w:p w14:paraId="1D69ED5F">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台</w:t>
                  </w:r>
                </w:p>
              </w:tc>
              <w:tc>
                <w:tcPr>
                  <w:tcW w:w="440" w:type="pct"/>
                  <w:tcBorders>
                    <w:tl2br w:val="nil"/>
                    <w:tr2bl w:val="nil"/>
                  </w:tcBorders>
                  <w:noWrap w:val="0"/>
                  <w:vAlign w:val="center"/>
                </w:tcPr>
                <w:p w14:paraId="02CD6984">
                  <w:pPr>
                    <w:pStyle w:val="69"/>
                    <w:bidi w:val="0"/>
                    <w:spacing w:line="240" w:lineRule="auto"/>
                    <w:rPr>
                      <w:rFonts w:hint="eastAsia"/>
                      <w:color w:val="auto"/>
                      <w:highlight w:val="none"/>
                      <w:lang w:val="en-US" w:eastAsia="zh-CN"/>
                    </w:rPr>
                  </w:pPr>
                </w:p>
              </w:tc>
            </w:tr>
            <w:tr w14:paraId="5F0DA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2968A112">
                  <w:pPr>
                    <w:pStyle w:val="69"/>
                    <w:bidi w:val="0"/>
                    <w:spacing w:line="240" w:lineRule="auto"/>
                    <w:rPr>
                      <w:rFonts w:hint="eastAsia"/>
                      <w:color w:val="auto"/>
                      <w:highlight w:val="none"/>
                      <w:lang w:val="en-US" w:eastAsia="zh-CN"/>
                    </w:rPr>
                  </w:pPr>
                </w:p>
              </w:tc>
              <w:tc>
                <w:tcPr>
                  <w:tcW w:w="956" w:type="pct"/>
                  <w:vMerge w:val="continue"/>
                  <w:tcBorders>
                    <w:tl2br w:val="nil"/>
                    <w:tr2bl w:val="nil"/>
                  </w:tcBorders>
                  <w:noWrap/>
                  <w:vAlign w:val="center"/>
                </w:tcPr>
                <w:p w14:paraId="3AB80273">
                  <w:pPr>
                    <w:pStyle w:val="69"/>
                    <w:bidi w:val="0"/>
                    <w:spacing w:line="240" w:lineRule="auto"/>
                    <w:rPr>
                      <w:rFonts w:hint="eastAsia"/>
                      <w:color w:val="auto"/>
                      <w:highlight w:val="none"/>
                      <w:lang w:val="en-US" w:eastAsia="zh-CN"/>
                    </w:rPr>
                  </w:pPr>
                </w:p>
              </w:tc>
              <w:tc>
                <w:tcPr>
                  <w:tcW w:w="1310" w:type="pct"/>
                  <w:tcBorders>
                    <w:tl2br w:val="nil"/>
                    <w:tr2bl w:val="nil"/>
                  </w:tcBorders>
                  <w:shd w:val="clear" w:color="auto" w:fill="auto"/>
                  <w:noWrap/>
                  <w:vAlign w:val="center"/>
                </w:tcPr>
                <w:p w14:paraId="78690F13">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olor w:val="auto"/>
                      <w:highlight w:val="none"/>
                      <w:lang w:val="en-US" w:eastAsia="zh-CN"/>
                    </w:rPr>
                    <w:t>抽风机</w:t>
                  </w:r>
                </w:p>
              </w:tc>
              <w:tc>
                <w:tcPr>
                  <w:tcW w:w="1236" w:type="pct"/>
                  <w:tcBorders>
                    <w:tl2br w:val="nil"/>
                    <w:tr2bl w:val="nil"/>
                  </w:tcBorders>
                  <w:shd w:val="clear" w:color="auto" w:fill="auto"/>
                  <w:noWrap w:val="0"/>
                  <w:vAlign w:val="center"/>
                </w:tcPr>
                <w:p w14:paraId="351AE70A">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default"/>
                      <w:color w:val="auto"/>
                      <w:highlight w:val="none"/>
                      <w:lang w:val="en-US" w:eastAsia="zh-CN"/>
                    </w:rPr>
                    <w:t>/</w:t>
                  </w:r>
                </w:p>
              </w:tc>
              <w:tc>
                <w:tcPr>
                  <w:tcW w:w="487" w:type="pct"/>
                  <w:tcBorders>
                    <w:tl2br w:val="nil"/>
                    <w:tr2bl w:val="nil"/>
                  </w:tcBorders>
                  <w:shd w:val="clear" w:color="auto" w:fill="auto"/>
                  <w:noWrap/>
                  <w:vAlign w:val="center"/>
                </w:tcPr>
                <w:p w14:paraId="2DDD69F8">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4</w:t>
                  </w:r>
                </w:p>
              </w:tc>
              <w:tc>
                <w:tcPr>
                  <w:tcW w:w="315" w:type="pct"/>
                  <w:tcBorders>
                    <w:tl2br w:val="nil"/>
                    <w:tr2bl w:val="nil"/>
                  </w:tcBorders>
                  <w:shd w:val="clear" w:color="auto" w:fill="auto"/>
                  <w:noWrap/>
                  <w:vAlign w:val="center"/>
                </w:tcPr>
                <w:p w14:paraId="5A65FBD1">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台</w:t>
                  </w:r>
                </w:p>
              </w:tc>
              <w:tc>
                <w:tcPr>
                  <w:tcW w:w="440" w:type="pct"/>
                  <w:tcBorders>
                    <w:tl2br w:val="nil"/>
                    <w:tr2bl w:val="nil"/>
                  </w:tcBorders>
                  <w:noWrap w:val="0"/>
                  <w:vAlign w:val="center"/>
                </w:tcPr>
                <w:p w14:paraId="75CB379C">
                  <w:pPr>
                    <w:pStyle w:val="69"/>
                    <w:bidi w:val="0"/>
                    <w:spacing w:line="240" w:lineRule="auto"/>
                    <w:rPr>
                      <w:rFonts w:hint="eastAsia"/>
                      <w:color w:val="auto"/>
                      <w:highlight w:val="none"/>
                      <w:lang w:val="en-US" w:eastAsia="zh-CN"/>
                    </w:rPr>
                  </w:pPr>
                </w:p>
              </w:tc>
            </w:tr>
            <w:tr w14:paraId="53303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250074D8">
                  <w:pPr>
                    <w:pStyle w:val="69"/>
                    <w:bidi w:val="0"/>
                    <w:spacing w:line="240" w:lineRule="auto"/>
                    <w:rPr>
                      <w:rFonts w:hint="eastAsia"/>
                      <w:color w:val="auto"/>
                      <w:highlight w:val="none"/>
                      <w:lang w:val="en-US" w:eastAsia="zh-CN"/>
                    </w:rPr>
                  </w:pPr>
                </w:p>
              </w:tc>
              <w:tc>
                <w:tcPr>
                  <w:tcW w:w="956" w:type="pct"/>
                  <w:vMerge w:val="continue"/>
                  <w:tcBorders>
                    <w:tl2br w:val="nil"/>
                    <w:tr2bl w:val="nil"/>
                  </w:tcBorders>
                  <w:noWrap/>
                  <w:vAlign w:val="center"/>
                </w:tcPr>
                <w:p w14:paraId="77A82A68">
                  <w:pPr>
                    <w:pStyle w:val="69"/>
                    <w:bidi w:val="0"/>
                    <w:spacing w:line="240" w:lineRule="auto"/>
                    <w:rPr>
                      <w:rFonts w:hint="eastAsia"/>
                      <w:color w:val="auto"/>
                      <w:highlight w:val="none"/>
                      <w:lang w:val="en-US" w:eastAsia="zh-CN"/>
                    </w:rPr>
                  </w:pPr>
                </w:p>
              </w:tc>
              <w:tc>
                <w:tcPr>
                  <w:tcW w:w="1310" w:type="pct"/>
                  <w:tcBorders>
                    <w:tl2br w:val="nil"/>
                    <w:tr2bl w:val="nil"/>
                  </w:tcBorders>
                  <w:shd w:val="clear" w:color="auto" w:fill="auto"/>
                  <w:noWrap/>
                  <w:vAlign w:val="center"/>
                </w:tcPr>
                <w:p w14:paraId="60553182">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冷藏冰柜</w:t>
                  </w:r>
                </w:p>
              </w:tc>
              <w:tc>
                <w:tcPr>
                  <w:tcW w:w="1236" w:type="pct"/>
                  <w:tcBorders>
                    <w:tl2br w:val="nil"/>
                    <w:tr2bl w:val="nil"/>
                  </w:tcBorders>
                  <w:shd w:val="clear" w:color="auto" w:fill="auto"/>
                  <w:noWrap w:val="0"/>
                  <w:vAlign w:val="center"/>
                </w:tcPr>
                <w:p w14:paraId="327CF1C4">
                  <w:pPr>
                    <w:bidi w:val="0"/>
                    <w:spacing w:line="240" w:lineRule="auto"/>
                    <w:ind w:firstLine="0" w:firstLineChars="0"/>
                    <w:jc w:val="center"/>
                    <w:rPr>
                      <w:rFonts w:hint="default" w:ascii="Times New Roman" w:hAnsi="Times New Roman" w:eastAsia="宋体" w:cs="Times New Roman"/>
                      <w:b w:val="0"/>
                      <w:color w:val="auto"/>
                      <w:kern w:val="2"/>
                      <w:sz w:val="21"/>
                      <w:szCs w:val="21"/>
                      <w:highlight w:val="none"/>
                      <w:lang w:val="en-US" w:eastAsia="zh-CN" w:bidi="ar-SA"/>
                    </w:rPr>
                  </w:pPr>
                  <w:r>
                    <w:rPr>
                      <w:rFonts w:hint="default"/>
                      <w:color w:val="auto"/>
                      <w:highlight w:val="none"/>
                      <w:lang w:val="en-US" w:eastAsia="zh-CN"/>
                    </w:rPr>
                    <w:t>/</w:t>
                  </w:r>
                </w:p>
              </w:tc>
              <w:tc>
                <w:tcPr>
                  <w:tcW w:w="487" w:type="pct"/>
                  <w:tcBorders>
                    <w:tl2br w:val="nil"/>
                    <w:tr2bl w:val="nil"/>
                  </w:tcBorders>
                  <w:shd w:val="clear" w:color="auto" w:fill="auto"/>
                  <w:noWrap/>
                  <w:vAlign w:val="center"/>
                </w:tcPr>
                <w:p w14:paraId="64FCEBB6">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4</w:t>
                  </w:r>
                </w:p>
              </w:tc>
              <w:tc>
                <w:tcPr>
                  <w:tcW w:w="315" w:type="pct"/>
                  <w:tcBorders>
                    <w:tl2br w:val="nil"/>
                    <w:tr2bl w:val="nil"/>
                  </w:tcBorders>
                  <w:shd w:val="clear" w:color="auto" w:fill="auto"/>
                  <w:noWrap/>
                  <w:vAlign w:val="center"/>
                </w:tcPr>
                <w:p w14:paraId="74B1147E">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台</w:t>
                  </w:r>
                </w:p>
              </w:tc>
              <w:tc>
                <w:tcPr>
                  <w:tcW w:w="440" w:type="pct"/>
                  <w:tcBorders>
                    <w:tl2br w:val="nil"/>
                    <w:tr2bl w:val="nil"/>
                  </w:tcBorders>
                  <w:noWrap w:val="0"/>
                  <w:vAlign w:val="center"/>
                </w:tcPr>
                <w:p w14:paraId="7D9988CD">
                  <w:pPr>
                    <w:pStyle w:val="69"/>
                    <w:bidi w:val="0"/>
                    <w:spacing w:line="240" w:lineRule="auto"/>
                    <w:rPr>
                      <w:rFonts w:hint="eastAsia"/>
                      <w:color w:val="auto"/>
                      <w:highlight w:val="none"/>
                      <w:lang w:val="en-US" w:eastAsia="zh-CN"/>
                    </w:rPr>
                  </w:pPr>
                </w:p>
              </w:tc>
            </w:tr>
            <w:tr w14:paraId="170B9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bottom w:val="single" w:color="auto" w:sz="4" w:space="0"/>
                    <w:tl2br w:val="nil"/>
                    <w:tr2bl w:val="nil"/>
                  </w:tcBorders>
                  <w:noWrap/>
                  <w:vAlign w:val="center"/>
                </w:tcPr>
                <w:p w14:paraId="34FBEE95">
                  <w:pPr>
                    <w:pStyle w:val="69"/>
                    <w:bidi w:val="0"/>
                    <w:spacing w:line="240" w:lineRule="auto"/>
                    <w:rPr>
                      <w:rFonts w:hint="eastAsia"/>
                      <w:color w:val="auto"/>
                      <w:highlight w:val="none"/>
                      <w:lang w:val="en-US" w:eastAsia="zh-CN"/>
                    </w:rPr>
                  </w:pPr>
                </w:p>
              </w:tc>
              <w:tc>
                <w:tcPr>
                  <w:tcW w:w="956" w:type="pct"/>
                  <w:vMerge w:val="continue"/>
                  <w:tcBorders>
                    <w:bottom w:val="single" w:color="auto" w:sz="4" w:space="0"/>
                    <w:tl2br w:val="nil"/>
                    <w:tr2bl w:val="nil"/>
                  </w:tcBorders>
                  <w:noWrap/>
                  <w:vAlign w:val="center"/>
                </w:tcPr>
                <w:p w14:paraId="5F3101B6">
                  <w:pPr>
                    <w:pStyle w:val="69"/>
                    <w:bidi w:val="0"/>
                    <w:spacing w:line="240" w:lineRule="auto"/>
                    <w:rPr>
                      <w:rFonts w:hint="eastAsia"/>
                      <w:color w:val="auto"/>
                      <w:highlight w:val="none"/>
                      <w:lang w:val="en-US" w:eastAsia="zh-CN"/>
                    </w:rPr>
                  </w:pPr>
                </w:p>
              </w:tc>
              <w:tc>
                <w:tcPr>
                  <w:tcW w:w="1310" w:type="pct"/>
                  <w:tcBorders>
                    <w:tl2br w:val="nil"/>
                    <w:tr2bl w:val="nil"/>
                  </w:tcBorders>
                  <w:shd w:val="clear" w:color="auto" w:fill="auto"/>
                  <w:noWrap/>
                  <w:vAlign w:val="center"/>
                </w:tcPr>
                <w:p w14:paraId="2471A396">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sz w:val="21"/>
                      <w:szCs w:val="21"/>
                      <w:highlight w:val="none"/>
                      <w:vertAlign w:val="baseline"/>
                      <w:lang w:val="en-US" w:eastAsia="zh-CN"/>
                    </w:rPr>
                    <w:t>辅助设备</w:t>
                  </w:r>
                </w:p>
              </w:tc>
              <w:tc>
                <w:tcPr>
                  <w:tcW w:w="1236" w:type="pct"/>
                  <w:tcBorders>
                    <w:tl2br w:val="nil"/>
                    <w:tr2bl w:val="nil"/>
                  </w:tcBorders>
                  <w:shd w:val="clear" w:color="auto" w:fill="auto"/>
                  <w:noWrap w:val="0"/>
                  <w:vAlign w:val="center"/>
                </w:tcPr>
                <w:p w14:paraId="4F95C572">
                  <w:pPr>
                    <w:bidi w:val="0"/>
                    <w:spacing w:line="240" w:lineRule="auto"/>
                    <w:ind w:firstLine="0" w:firstLineChars="0"/>
                    <w:jc w:val="center"/>
                    <w:rPr>
                      <w:rFonts w:hint="default" w:ascii="Times New Roman" w:hAnsi="Times New Roman" w:eastAsia="宋体" w:cs="Times New Roman"/>
                      <w:b w:val="0"/>
                      <w:color w:val="auto"/>
                      <w:kern w:val="2"/>
                      <w:sz w:val="21"/>
                      <w:szCs w:val="21"/>
                      <w:highlight w:val="none"/>
                      <w:lang w:val="en-US" w:eastAsia="zh-CN" w:bidi="ar-SA"/>
                    </w:rPr>
                  </w:pPr>
                  <w:r>
                    <w:rPr>
                      <w:rFonts w:hint="default"/>
                      <w:color w:val="auto"/>
                      <w:highlight w:val="none"/>
                      <w:lang w:val="en-US" w:eastAsia="zh-CN"/>
                    </w:rPr>
                    <w:t>/</w:t>
                  </w:r>
                </w:p>
              </w:tc>
              <w:tc>
                <w:tcPr>
                  <w:tcW w:w="487" w:type="pct"/>
                  <w:tcBorders>
                    <w:tl2br w:val="nil"/>
                    <w:tr2bl w:val="nil"/>
                  </w:tcBorders>
                  <w:shd w:val="clear" w:color="auto" w:fill="auto"/>
                  <w:noWrap/>
                  <w:vAlign w:val="center"/>
                </w:tcPr>
                <w:p w14:paraId="3B6F435F">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sz w:val="21"/>
                      <w:szCs w:val="21"/>
                      <w:highlight w:val="none"/>
                      <w:vertAlign w:val="baseline"/>
                      <w:lang w:val="en-US" w:eastAsia="zh-CN"/>
                    </w:rPr>
                    <w:t>10</w:t>
                  </w:r>
                </w:p>
              </w:tc>
              <w:tc>
                <w:tcPr>
                  <w:tcW w:w="315" w:type="pct"/>
                  <w:tcBorders>
                    <w:tl2br w:val="nil"/>
                    <w:tr2bl w:val="nil"/>
                  </w:tcBorders>
                  <w:shd w:val="clear" w:color="auto" w:fill="auto"/>
                  <w:noWrap/>
                  <w:vAlign w:val="center"/>
                </w:tcPr>
                <w:p w14:paraId="741FFA07">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台</w:t>
                  </w:r>
                </w:p>
              </w:tc>
              <w:tc>
                <w:tcPr>
                  <w:tcW w:w="440" w:type="pct"/>
                  <w:tcBorders>
                    <w:tl2br w:val="nil"/>
                    <w:tr2bl w:val="nil"/>
                  </w:tcBorders>
                  <w:noWrap w:val="0"/>
                  <w:vAlign w:val="center"/>
                </w:tcPr>
                <w:p w14:paraId="26050584">
                  <w:pPr>
                    <w:pStyle w:val="69"/>
                    <w:bidi w:val="0"/>
                    <w:spacing w:line="240" w:lineRule="auto"/>
                    <w:rPr>
                      <w:rFonts w:hint="eastAsia"/>
                      <w:color w:val="auto"/>
                      <w:highlight w:val="none"/>
                      <w:lang w:val="en-US" w:eastAsia="zh-CN"/>
                    </w:rPr>
                  </w:pPr>
                </w:p>
              </w:tc>
            </w:tr>
            <w:tr w14:paraId="3E203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restart"/>
                  <w:tcBorders>
                    <w:top w:val="single" w:color="auto" w:sz="4" w:space="0"/>
                    <w:tl2br w:val="nil"/>
                    <w:tr2bl w:val="nil"/>
                  </w:tcBorders>
                  <w:noWrap/>
                  <w:vAlign w:val="center"/>
                </w:tcPr>
                <w:p w14:paraId="4DEA31C6">
                  <w:pPr>
                    <w:pStyle w:val="69"/>
                    <w:bidi w:val="0"/>
                    <w:spacing w:line="240" w:lineRule="auto"/>
                    <w:rPr>
                      <w:rFonts w:hint="default"/>
                      <w:color w:val="auto"/>
                      <w:highlight w:val="none"/>
                      <w:lang w:val="en-US" w:eastAsia="zh-CN"/>
                    </w:rPr>
                  </w:pPr>
                  <w:r>
                    <w:rPr>
                      <w:rFonts w:hint="eastAsia"/>
                      <w:color w:val="auto"/>
                      <w:highlight w:val="none"/>
                      <w:lang w:val="en-US" w:eastAsia="zh-CN"/>
                    </w:rPr>
                    <w:t>3F</w:t>
                  </w:r>
                </w:p>
              </w:tc>
              <w:tc>
                <w:tcPr>
                  <w:tcW w:w="956" w:type="pct"/>
                  <w:tcBorders>
                    <w:top w:val="single" w:color="auto" w:sz="4" w:space="0"/>
                    <w:tl2br w:val="nil"/>
                    <w:tr2bl w:val="nil"/>
                  </w:tcBorders>
                  <w:noWrap/>
                  <w:vAlign w:val="center"/>
                </w:tcPr>
                <w:p w14:paraId="536BD16A">
                  <w:pPr>
                    <w:pStyle w:val="69"/>
                    <w:bidi w:val="0"/>
                    <w:spacing w:line="240" w:lineRule="auto"/>
                    <w:rPr>
                      <w:rFonts w:hint="default"/>
                      <w:color w:val="auto"/>
                      <w:highlight w:val="none"/>
                      <w:lang w:val="en-US" w:eastAsia="zh-CN"/>
                    </w:rPr>
                  </w:pPr>
                  <w:r>
                    <w:rPr>
                      <w:rFonts w:hint="eastAsia"/>
                      <w:color w:val="auto"/>
                      <w:highlight w:val="none"/>
                      <w:lang w:val="en-US" w:eastAsia="zh-CN"/>
                    </w:rPr>
                    <w:t>挤出</w:t>
                  </w:r>
                </w:p>
              </w:tc>
              <w:tc>
                <w:tcPr>
                  <w:tcW w:w="1310" w:type="pct"/>
                  <w:tcBorders>
                    <w:tl2br w:val="nil"/>
                    <w:tr2bl w:val="nil"/>
                  </w:tcBorders>
                  <w:shd w:val="clear" w:color="auto" w:fill="auto"/>
                  <w:noWrap/>
                  <w:vAlign w:val="center"/>
                </w:tcPr>
                <w:p w14:paraId="4FFD54B0">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挤出机</w:t>
                  </w:r>
                </w:p>
              </w:tc>
              <w:tc>
                <w:tcPr>
                  <w:tcW w:w="1236" w:type="pct"/>
                  <w:tcBorders>
                    <w:tl2br w:val="nil"/>
                    <w:tr2bl w:val="nil"/>
                  </w:tcBorders>
                  <w:shd w:val="clear" w:color="auto" w:fill="auto"/>
                  <w:noWrap w:val="0"/>
                  <w:vAlign w:val="center"/>
                </w:tcPr>
                <w:p w14:paraId="6E849F44">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TH-9H</w:t>
                  </w:r>
                </w:p>
              </w:tc>
              <w:tc>
                <w:tcPr>
                  <w:tcW w:w="487" w:type="pct"/>
                  <w:tcBorders>
                    <w:tl2br w:val="nil"/>
                    <w:tr2bl w:val="nil"/>
                  </w:tcBorders>
                  <w:shd w:val="clear" w:color="auto" w:fill="auto"/>
                  <w:noWrap/>
                  <w:vAlign w:val="center"/>
                </w:tcPr>
                <w:p w14:paraId="75ADCA71">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台</w:t>
                  </w:r>
                </w:p>
              </w:tc>
              <w:tc>
                <w:tcPr>
                  <w:tcW w:w="315" w:type="pct"/>
                  <w:tcBorders>
                    <w:tl2br w:val="nil"/>
                    <w:tr2bl w:val="nil"/>
                  </w:tcBorders>
                  <w:shd w:val="clear" w:color="auto" w:fill="auto"/>
                  <w:noWrap/>
                  <w:vAlign w:val="center"/>
                </w:tcPr>
                <w:p w14:paraId="23E78BCD">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7</w:t>
                  </w:r>
                </w:p>
              </w:tc>
              <w:tc>
                <w:tcPr>
                  <w:tcW w:w="440" w:type="pct"/>
                  <w:tcBorders>
                    <w:tl2br w:val="nil"/>
                    <w:tr2bl w:val="nil"/>
                  </w:tcBorders>
                  <w:shd w:val="clear" w:color="auto" w:fill="auto"/>
                  <w:noWrap w:val="0"/>
                  <w:vAlign w:val="center"/>
                </w:tcPr>
                <w:p w14:paraId="680ED673">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p>
              </w:tc>
            </w:tr>
            <w:tr w14:paraId="0F088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52" w:type="pct"/>
                  <w:vMerge w:val="continue"/>
                  <w:tcBorders>
                    <w:tl2br w:val="nil"/>
                    <w:tr2bl w:val="nil"/>
                  </w:tcBorders>
                  <w:noWrap/>
                  <w:vAlign w:val="center"/>
                </w:tcPr>
                <w:p w14:paraId="51F8566D">
                  <w:pPr>
                    <w:pStyle w:val="69"/>
                    <w:bidi w:val="0"/>
                    <w:spacing w:line="240" w:lineRule="auto"/>
                    <w:rPr>
                      <w:rFonts w:hint="eastAsia"/>
                      <w:color w:val="auto"/>
                      <w:highlight w:val="none"/>
                      <w:lang w:val="en-US" w:eastAsia="zh-CN"/>
                    </w:rPr>
                  </w:pPr>
                </w:p>
              </w:tc>
              <w:tc>
                <w:tcPr>
                  <w:tcW w:w="956" w:type="pct"/>
                  <w:tcBorders>
                    <w:top w:val="single" w:color="auto" w:sz="4" w:space="0"/>
                    <w:tl2br w:val="nil"/>
                    <w:tr2bl w:val="nil"/>
                  </w:tcBorders>
                  <w:noWrap/>
                  <w:vAlign w:val="center"/>
                </w:tcPr>
                <w:p w14:paraId="7EEF9745">
                  <w:pPr>
                    <w:pStyle w:val="69"/>
                    <w:bidi w:val="0"/>
                    <w:spacing w:line="240" w:lineRule="auto"/>
                    <w:rPr>
                      <w:rFonts w:hint="default"/>
                      <w:color w:val="auto"/>
                      <w:highlight w:val="none"/>
                      <w:lang w:val="en-US" w:eastAsia="zh-CN"/>
                    </w:rPr>
                  </w:pPr>
                  <w:r>
                    <w:rPr>
                      <w:rFonts w:hint="eastAsia"/>
                      <w:color w:val="auto"/>
                      <w:highlight w:val="none"/>
                      <w:lang w:val="en-US" w:eastAsia="zh-CN"/>
                    </w:rPr>
                    <w:t>成型</w:t>
                  </w:r>
                </w:p>
              </w:tc>
              <w:tc>
                <w:tcPr>
                  <w:tcW w:w="1310" w:type="pct"/>
                  <w:tcBorders>
                    <w:tl2br w:val="nil"/>
                    <w:tr2bl w:val="nil"/>
                  </w:tcBorders>
                  <w:shd w:val="clear" w:color="auto" w:fill="auto"/>
                  <w:noWrap/>
                  <w:vAlign w:val="center"/>
                </w:tcPr>
                <w:p w14:paraId="12D6956B">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成型机</w:t>
                  </w:r>
                </w:p>
              </w:tc>
              <w:tc>
                <w:tcPr>
                  <w:tcW w:w="1236" w:type="pct"/>
                  <w:tcBorders>
                    <w:tl2br w:val="nil"/>
                    <w:tr2bl w:val="nil"/>
                  </w:tcBorders>
                  <w:shd w:val="clear" w:color="auto" w:fill="auto"/>
                  <w:noWrap w:val="0"/>
                  <w:vAlign w:val="center"/>
                </w:tcPr>
                <w:p w14:paraId="4432AB93">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TH-8C</w:t>
                  </w:r>
                </w:p>
              </w:tc>
              <w:tc>
                <w:tcPr>
                  <w:tcW w:w="487" w:type="pct"/>
                  <w:tcBorders>
                    <w:tl2br w:val="nil"/>
                    <w:tr2bl w:val="nil"/>
                  </w:tcBorders>
                  <w:shd w:val="clear" w:color="auto" w:fill="auto"/>
                  <w:noWrap/>
                  <w:vAlign w:val="center"/>
                </w:tcPr>
                <w:p w14:paraId="0F052870">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sz w:val="21"/>
                      <w:szCs w:val="21"/>
                      <w:highlight w:val="none"/>
                      <w:vertAlign w:val="baseline"/>
                      <w:lang w:val="en-US" w:eastAsia="zh-CN"/>
                    </w:rPr>
                    <w:t>台</w:t>
                  </w:r>
                </w:p>
              </w:tc>
              <w:tc>
                <w:tcPr>
                  <w:tcW w:w="315" w:type="pct"/>
                  <w:tcBorders>
                    <w:tl2br w:val="nil"/>
                    <w:tr2bl w:val="nil"/>
                  </w:tcBorders>
                  <w:shd w:val="clear" w:color="auto" w:fill="auto"/>
                  <w:noWrap/>
                  <w:vAlign w:val="center"/>
                </w:tcPr>
                <w:p w14:paraId="40944011">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7</w:t>
                  </w:r>
                </w:p>
              </w:tc>
              <w:tc>
                <w:tcPr>
                  <w:tcW w:w="440" w:type="pct"/>
                  <w:tcBorders>
                    <w:tl2br w:val="nil"/>
                    <w:tr2bl w:val="nil"/>
                  </w:tcBorders>
                  <w:shd w:val="clear" w:color="auto" w:fill="auto"/>
                  <w:noWrap w:val="0"/>
                  <w:vAlign w:val="center"/>
                </w:tcPr>
                <w:p w14:paraId="687F4EFA">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p>
              </w:tc>
            </w:tr>
            <w:tr w14:paraId="74E6D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44603D75">
                  <w:pPr>
                    <w:pStyle w:val="69"/>
                    <w:bidi w:val="0"/>
                    <w:spacing w:line="240" w:lineRule="auto"/>
                    <w:rPr>
                      <w:rFonts w:hint="eastAsia"/>
                      <w:color w:val="auto"/>
                      <w:highlight w:val="none"/>
                      <w:lang w:val="en-US" w:eastAsia="zh-CN"/>
                    </w:rPr>
                  </w:pPr>
                </w:p>
              </w:tc>
              <w:tc>
                <w:tcPr>
                  <w:tcW w:w="956" w:type="pct"/>
                  <w:tcBorders>
                    <w:top w:val="single" w:color="auto" w:sz="4" w:space="0"/>
                    <w:tl2br w:val="nil"/>
                    <w:tr2bl w:val="nil"/>
                  </w:tcBorders>
                  <w:noWrap/>
                  <w:vAlign w:val="center"/>
                </w:tcPr>
                <w:p w14:paraId="57778A25">
                  <w:pPr>
                    <w:pStyle w:val="69"/>
                    <w:bidi w:val="0"/>
                    <w:spacing w:line="240" w:lineRule="auto"/>
                    <w:rPr>
                      <w:rFonts w:hint="default"/>
                      <w:color w:val="auto"/>
                      <w:highlight w:val="none"/>
                      <w:lang w:val="en-US" w:eastAsia="zh-CN"/>
                    </w:rPr>
                  </w:pPr>
                  <w:r>
                    <w:rPr>
                      <w:rFonts w:hint="eastAsia"/>
                      <w:color w:val="auto"/>
                      <w:highlight w:val="none"/>
                      <w:lang w:val="en-US" w:eastAsia="zh-CN"/>
                    </w:rPr>
                    <w:t>打孔</w:t>
                  </w:r>
                </w:p>
              </w:tc>
              <w:tc>
                <w:tcPr>
                  <w:tcW w:w="1310" w:type="pct"/>
                  <w:tcBorders>
                    <w:tl2br w:val="nil"/>
                    <w:tr2bl w:val="nil"/>
                  </w:tcBorders>
                  <w:shd w:val="clear" w:color="auto" w:fill="auto"/>
                  <w:noWrap/>
                  <w:vAlign w:val="center"/>
                </w:tcPr>
                <w:p w14:paraId="54692D80">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sz w:val="21"/>
                      <w:szCs w:val="21"/>
                      <w:highlight w:val="none"/>
                      <w:vertAlign w:val="baseline"/>
                      <w:lang w:val="en-US" w:eastAsia="zh-CN"/>
                    </w:rPr>
                    <w:t>打孔机</w:t>
                  </w:r>
                </w:p>
              </w:tc>
              <w:tc>
                <w:tcPr>
                  <w:tcW w:w="1236" w:type="pct"/>
                  <w:tcBorders>
                    <w:tl2br w:val="nil"/>
                    <w:tr2bl w:val="nil"/>
                  </w:tcBorders>
                  <w:shd w:val="clear" w:color="auto" w:fill="auto"/>
                  <w:noWrap w:val="0"/>
                  <w:vAlign w:val="center"/>
                </w:tcPr>
                <w:p w14:paraId="780DE22C">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sz w:val="21"/>
                      <w:szCs w:val="21"/>
                      <w:highlight w:val="none"/>
                      <w:vertAlign w:val="baseline"/>
                      <w:lang w:val="en-US" w:eastAsia="zh-CN"/>
                    </w:rPr>
                    <w:t>TH-7D</w:t>
                  </w:r>
                </w:p>
              </w:tc>
              <w:tc>
                <w:tcPr>
                  <w:tcW w:w="487" w:type="pct"/>
                  <w:tcBorders>
                    <w:tl2br w:val="nil"/>
                    <w:tr2bl w:val="nil"/>
                  </w:tcBorders>
                  <w:shd w:val="clear" w:color="auto" w:fill="auto"/>
                  <w:noWrap/>
                  <w:vAlign w:val="center"/>
                </w:tcPr>
                <w:p w14:paraId="4928EB00">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sz w:val="21"/>
                      <w:szCs w:val="21"/>
                      <w:highlight w:val="none"/>
                      <w:vertAlign w:val="baseline"/>
                      <w:lang w:val="en-US" w:eastAsia="zh-CN"/>
                    </w:rPr>
                    <w:t>台</w:t>
                  </w:r>
                </w:p>
              </w:tc>
              <w:tc>
                <w:tcPr>
                  <w:tcW w:w="315" w:type="pct"/>
                  <w:tcBorders>
                    <w:tl2br w:val="nil"/>
                    <w:tr2bl w:val="nil"/>
                  </w:tcBorders>
                  <w:shd w:val="clear" w:color="auto" w:fill="auto"/>
                  <w:noWrap/>
                  <w:vAlign w:val="center"/>
                </w:tcPr>
                <w:p w14:paraId="3CE8F684">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sz w:val="21"/>
                      <w:szCs w:val="21"/>
                      <w:highlight w:val="none"/>
                      <w:vertAlign w:val="baseline"/>
                      <w:lang w:val="en-US" w:eastAsia="zh-CN"/>
                    </w:rPr>
                    <w:t>7</w:t>
                  </w:r>
                </w:p>
              </w:tc>
              <w:tc>
                <w:tcPr>
                  <w:tcW w:w="440" w:type="pct"/>
                  <w:tcBorders>
                    <w:tl2br w:val="nil"/>
                    <w:tr2bl w:val="nil"/>
                  </w:tcBorders>
                  <w:noWrap w:val="0"/>
                  <w:vAlign w:val="center"/>
                </w:tcPr>
                <w:p w14:paraId="35434574">
                  <w:pPr>
                    <w:pStyle w:val="69"/>
                    <w:bidi w:val="0"/>
                    <w:spacing w:line="240" w:lineRule="auto"/>
                    <w:rPr>
                      <w:rFonts w:hint="eastAsia"/>
                      <w:color w:val="auto"/>
                      <w:highlight w:val="none"/>
                      <w:lang w:val="en-US" w:eastAsia="zh-CN"/>
                    </w:rPr>
                  </w:pPr>
                </w:p>
              </w:tc>
            </w:tr>
            <w:tr w14:paraId="7E0B2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7EED2D2D">
                  <w:pPr>
                    <w:pStyle w:val="69"/>
                    <w:bidi w:val="0"/>
                    <w:spacing w:line="240" w:lineRule="auto"/>
                    <w:rPr>
                      <w:rFonts w:hint="eastAsia"/>
                      <w:color w:val="auto"/>
                      <w:highlight w:val="none"/>
                      <w:lang w:val="en-US" w:eastAsia="zh-CN"/>
                    </w:rPr>
                  </w:pPr>
                </w:p>
              </w:tc>
              <w:tc>
                <w:tcPr>
                  <w:tcW w:w="956" w:type="pct"/>
                  <w:tcBorders>
                    <w:top w:val="single" w:color="auto" w:sz="4" w:space="0"/>
                    <w:tl2br w:val="nil"/>
                    <w:tr2bl w:val="nil"/>
                  </w:tcBorders>
                  <w:noWrap/>
                  <w:vAlign w:val="center"/>
                </w:tcPr>
                <w:p w14:paraId="5272E16C">
                  <w:pPr>
                    <w:pStyle w:val="69"/>
                    <w:bidi w:val="0"/>
                    <w:spacing w:line="240" w:lineRule="auto"/>
                    <w:rPr>
                      <w:rFonts w:hint="default"/>
                      <w:color w:val="auto"/>
                      <w:highlight w:val="none"/>
                      <w:lang w:val="en-US" w:eastAsia="zh-CN"/>
                    </w:rPr>
                  </w:pPr>
                  <w:r>
                    <w:rPr>
                      <w:rFonts w:hint="eastAsia"/>
                      <w:color w:val="auto"/>
                      <w:highlight w:val="none"/>
                      <w:lang w:val="en-US" w:eastAsia="zh-CN"/>
                    </w:rPr>
                    <w:t>分切</w:t>
                  </w:r>
                </w:p>
              </w:tc>
              <w:tc>
                <w:tcPr>
                  <w:tcW w:w="1310" w:type="pct"/>
                  <w:tcBorders>
                    <w:tl2br w:val="nil"/>
                    <w:tr2bl w:val="nil"/>
                  </w:tcBorders>
                  <w:shd w:val="clear" w:color="auto" w:fill="auto"/>
                  <w:noWrap/>
                  <w:vAlign w:val="center"/>
                </w:tcPr>
                <w:p w14:paraId="373011D4">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分切机</w:t>
                  </w:r>
                </w:p>
              </w:tc>
              <w:tc>
                <w:tcPr>
                  <w:tcW w:w="1236" w:type="pct"/>
                  <w:tcBorders>
                    <w:tl2br w:val="nil"/>
                    <w:tr2bl w:val="nil"/>
                  </w:tcBorders>
                  <w:shd w:val="clear" w:color="auto" w:fill="auto"/>
                  <w:noWrap w:val="0"/>
                  <w:vAlign w:val="center"/>
                </w:tcPr>
                <w:p w14:paraId="49B1360E">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TH-6F</w:t>
                  </w:r>
                </w:p>
              </w:tc>
              <w:tc>
                <w:tcPr>
                  <w:tcW w:w="487" w:type="pct"/>
                  <w:tcBorders>
                    <w:tl2br w:val="nil"/>
                    <w:tr2bl w:val="nil"/>
                  </w:tcBorders>
                  <w:shd w:val="clear" w:color="auto" w:fill="auto"/>
                  <w:noWrap/>
                  <w:vAlign w:val="center"/>
                </w:tcPr>
                <w:p w14:paraId="645275D7">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台</w:t>
                  </w:r>
                </w:p>
              </w:tc>
              <w:tc>
                <w:tcPr>
                  <w:tcW w:w="315" w:type="pct"/>
                  <w:tcBorders>
                    <w:tl2br w:val="nil"/>
                    <w:tr2bl w:val="nil"/>
                  </w:tcBorders>
                  <w:shd w:val="clear" w:color="auto" w:fill="auto"/>
                  <w:noWrap/>
                  <w:vAlign w:val="center"/>
                </w:tcPr>
                <w:p w14:paraId="1D298CE9">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7</w:t>
                  </w:r>
                </w:p>
              </w:tc>
              <w:tc>
                <w:tcPr>
                  <w:tcW w:w="440" w:type="pct"/>
                  <w:tcBorders>
                    <w:tl2br w:val="nil"/>
                    <w:tr2bl w:val="nil"/>
                  </w:tcBorders>
                  <w:noWrap w:val="0"/>
                  <w:vAlign w:val="center"/>
                </w:tcPr>
                <w:p w14:paraId="598ED6B0">
                  <w:pPr>
                    <w:pStyle w:val="69"/>
                    <w:bidi w:val="0"/>
                    <w:spacing w:line="240" w:lineRule="auto"/>
                    <w:rPr>
                      <w:rFonts w:hint="eastAsia"/>
                      <w:color w:val="auto"/>
                      <w:highlight w:val="none"/>
                      <w:lang w:val="en-US" w:eastAsia="zh-CN"/>
                    </w:rPr>
                  </w:pPr>
                </w:p>
              </w:tc>
            </w:tr>
            <w:tr w14:paraId="2ADDD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449BB1E5">
                  <w:pPr>
                    <w:pStyle w:val="69"/>
                    <w:bidi w:val="0"/>
                    <w:spacing w:line="240" w:lineRule="auto"/>
                    <w:rPr>
                      <w:rFonts w:hint="eastAsia"/>
                      <w:color w:val="auto"/>
                      <w:highlight w:val="none"/>
                      <w:lang w:val="en-US" w:eastAsia="zh-CN"/>
                    </w:rPr>
                  </w:pPr>
                </w:p>
              </w:tc>
              <w:tc>
                <w:tcPr>
                  <w:tcW w:w="956" w:type="pct"/>
                  <w:tcBorders>
                    <w:top w:val="single" w:color="auto" w:sz="4" w:space="0"/>
                    <w:tl2br w:val="nil"/>
                    <w:tr2bl w:val="nil"/>
                  </w:tcBorders>
                  <w:noWrap/>
                  <w:vAlign w:val="center"/>
                </w:tcPr>
                <w:p w14:paraId="175C44F1">
                  <w:pPr>
                    <w:pStyle w:val="69"/>
                    <w:bidi w:val="0"/>
                    <w:spacing w:line="240" w:lineRule="auto"/>
                    <w:rPr>
                      <w:rFonts w:hint="default"/>
                      <w:color w:val="auto"/>
                      <w:highlight w:val="none"/>
                      <w:lang w:val="en-US" w:eastAsia="zh-CN"/>
                    </w:rPr>
                  </w:pPr>
                  <w:r>
                    <w:rPr>
                      <w:rFonts w:hint="eastAsia"/>
                      <w:color w:val="auto"/>
                      <w:highlight w:val="none"/>
                      <w:lang w:val="en-US" w:eastAsia="zh-CN"/>
                    </w:rPr>
                    <w:t>收卷</w:t>
                  </w:r>
                </w:p>
              </w:tc>
              <w:tc>
                <w:tcPr>
                  <w:tcW w:w="1310" w:type="pct"/>
                  <w:tcBorders>
                    <w:tl2br w:val="nil"/>
                    <w:tr2bl w:val="nil"/>
                  </w:tcBorders>
                  <w:shd w:val="clear" w:color="auto" w:fill="auto"/>
                  <w:noWrap/>
                  <w:vAlign w:val="center"/>
                </w:tcPr>
                <w:p w14:paraId="40FFFAA9">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收卷机</w:t>
                  </w:r>
                </w:p>
              </w:tc>
              <w:tc>
                <w:tcPr>
                  <w:tcW w:w="1236" w:type="pct"/>
                  <w:tcBorders>
                    <w:tl2br w:val="nil"/>
                    <w:tr2bl w:val="nil"/>
                  </w:tcBorders>
                  <w:shd w:val="clear" w:color="auto" w:fill="auto"/>
                  <w:noWrap w:val="0"/>
                  <w:vAlign w:val="center"/>
                </w:tcPr>
                <w:p w14:paraId="375BF8C8">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TH-5S</w:t>
                  </w:r>
                </w:p>
              </w:tc>
              <w:tc>
                <w:tcPr>
                  <w:tcW w:w="487" w:type="pct"/>
                  <w:tcBorders>
                    <w:tl2br w:val="nil"/>
                    <w:tr2bl w:val="nil"/>
                  </w:tcBorders>
                  <w:shd w:val="clear" w:color="auto" w:fill="auto"/>
                  <w:noWrap/>
                  <w:vAlign w:val="center"/>
                </w:tcPr>
                <w:p w14:paraId="222D4055">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台</w:t>
                  </w:r>
                </w:p>
              </w:tc>
              <w:tc>
                <w:tcPr>
                  <w:tcW w:w="315" w:type="pct"/>
                  <w:tcBorders>
                    <w:tl2br w:val="nil"/>
                    <w:tr2bl w:val="nil"/>
                  </w:tcBorders>
                  <w:shd w:val="clear" w:color="auto" w:fill="auto"/>
                  <w:noWrap/>
                  <w:vAlign w:val="center"/>
                </w:tcPr>
                <w:p w14:paraId="0709CB45">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35</w:t>
                  </w:r>
                </w:p>
              </w:tc>
              <w:tc>
                <w:tcPr>
                  <w:tcW w:w="440" w:type="pct"/>
                  <w:tcBorders>
                    <w:tl2br w:val="nil"/>
                    <w:tr2bl w:val="nil"/>
                  </w:tcBorders>
                  <w:noWrap w:val="0"/>
                  <w:vAlign w:val="center"/>
                </w:tcPr>
                <w:p w14:paraId="7FDF442A">
                  <w:pPr>
                    <w:pStyle w:val="69"/>
                    <w:bidi w:val="0"/>
                    <w:spacing w:line="240" w:lineRule="auto"/>
                    <w:rPr>
                      <w:rFonts w:hint="eastAsia"/>
                      <w:color w:val="auto"/>
                      <w:highlight w:val="none"/>
                      <w:lang w:val="en-US" w:eastAsia="zh-CN"/>
                    </w:rPr>
                  </w:pPr>
                </w:p>
              </w:tc>
            </w:tr>
            <w:tr w14:paraId="5F77F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634DC3FF">
                  <w:pPr>
                    <w:pStyle w:val="69"/>
                    <w:bidi w:val="0"/>
                    <w:spacing w:line="240" w:lineRule="auto"/>
                    <w:rPr>
                      <w:rFonts w:hint="eastAsia"/>
                      <w:color w:val="auto"/>
                      <w:highlight w:val="none"/>
                      <w:lang w:val="en-US" w:eastAsia="zh-CN"/>
                    </w:rPr>
                  </w:pPr>
                </w:p>
              </w:tc>
              <w:tc>
                <w:tcPr>
                  <w:tcW w:w="956" w:type="pct"/>
                  <w:tcBorders>
                    <w:top w:val="single" w:color="auto" w:sz="4" w:space="0"/>
                    <w:tl2br w:val="nil"/>
                    <w:tr2bl w:val="nil"/>
                  </w:tcBorders>
                  <w:noWrap/>
                  <w:vAlign w:val="center"/>
                </w:tcPr>
                <w:p w14:paraId="7ED06A05">
                  <w:pPr>
                    <w:pStyle w:val="69"/>
                    <w:bidi w:val="0"/>
                    <w:spacing w:line="240" w:lineRule="auto"/>
                    <w:rPr>
                      <w:rFonts w:hint="default"/>
                      <w:color w:val="auto"/>
                      <w:highlight w:val="none"/>
                      <w:lang w:val="en-US" w:eastAsia="zh-CN"/>
                    </w:rPr>
                  </w:pPr>
                  <w:r>
                    <w:rPr>
                      <w:rFonts w:hint="eastAsia"/>
                      <w:color w:val="auto"/>
                      <w:highlight w:val="none"/>
                      <w:lang w:val="en-US" w:eastAsia="zh-CN"/>
                    </w:rPr>
                    <w:t>冷却</w:t>
                  </w:r>
                </w:p>
              </w:tc>
              <w:tc>
                <w:tcPr>
                  <w:tcW w:w="1310" w:type="pct"/>
                  <w:tcBorders>
                    <w:tl2br w:val="nil"/>
                    <w:tr2bl w:val="nil"/>
                  </w:tcBorders>
                  <w:shd w:val="clear" w:color="auto" w:fill="auto"/>
                  <w:noWrap/>
                  <w:vAlign w:val="center"/>
                </w:tcPr>
                <w:p w14:paraId="4971CCD0">
                  <w:pPr>
                    <w:spacing w:line="240" w:lineRule="auto"/>
                    <w:jc w:val="center"/>
                    <w:rPr>
                      <w:rFonts w:hint="default"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冷却塔</w:t>
                  </w:r>
                </w:p>
              </w:tc>
              <w:tc>
                <w:tcPr>
                  <w:tcW w:w="1236" w:type="pct"/>
                  <w:tcBorders>
                    <w:tl2br w:val="nil"/>
                    <w:tr2bl w:val="nil"/>
                  </w:tcBorders>
                  <w:shd w:val="clear" w:color="auto" w:fill="auto"/>
                  <w:noWrap w:val="0"/>
                  <w:vAlign w:val="center"/>
                </w:tcPr>
                <w:p w14:paraId="2F3DCBEA">
                  <w:pPr>
                    <w:spacing w:line="240" w:lineRule="auto"/>
                    <w:jc w:val="center"/>
                    <w:rPr>
                      <w:rFonts w:hint="default"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7.81m</w:t>
                  </w:r>
                  <w:r>
                    <w:rPr>
                      <w:rFonts w:hint="eastAsia" w:cs="Times New Roman"/>
                      <w:b w:val="0"/>
                      <w:bCs w:val="0"/>
                      <w:color w:val="000000"/>
                      <w:kern w:val="2"/>
                      <w:sz w:val="21"/>
                      <w:szCs w:val="21"/>
                      <w:highlight w:val="none"/>
                      <w:vertAlign w:val="superscript"/>
                      <w:lang w:val="en-US" w:eastAsia="zh-CN" w:bidi="ar-SA"/>
                    </w:rPr>
                    <w:t>3</w:t>
                  </w:r>
                  <w:r>
                    <w:rPr>
                      <w:rFonts w:hint="eastAsia" w:cs="Times New Roman"/>
                      <w:b w:val="0"/>
                      <w:bCs w:val="0"/>
                      <w:color w:val="000000"/>
                      <w:kern w:val="2"/>
                      <w:sz w:val="21"/>
                      <w:szCs w:val="21"/>
                      <w:highlight w:val="none"/>
                      <w:vertAlign w:val="baseline"/>
                      <w:lang w:val="en-US" w:eastAsia="zh-CN" w:bidi="ar-SA"/>
                    </w:rPr>
                    <w:t>/h</w:t>
                  </w:r>
                </w:p>
              </w:tc>
              <w:tc>
                <w:tcPr>
                  <w:tcW w:w="487" w:type="pct"/>
                  <w:tcBorders>
                    <w:tl2br w:val="nil"/>
                    <w:tr2bl w:val="nil"/>
                  </w:tcBorders>
                  <w:shd w:val="clear" w:color="auto" w:fill="auto"/>
                  <w:noWrap/>
                  <w:vAlign w:val="center"/>
                </w:tcPr>
                <w:p w14:paraId="7F84F07F">
                  <w:pPr>
                    <w:spacing w:line="240" w:lineRule="auto"/>
                    <w:jc w:val="center"/>
                    <w:rPr>
                      <w:rFonts w:hint="eastAsia"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台</w:t>
                  </w:r>
                </w:p>
              </w:tc>
              <w:tc>
                <w:tcPr>
                  <w:tcW w:w="315" w:type="pct"/>
                  <w:tcBorders>
                    <w:tl2br w:val="nil"/>
                    <w:tr2bl w:val="nil"/>
                  </w:tcBorders>
                  <w:shd w:val="clear" w:color="auto" w:fill="auto"/>
                  <w:noWrap/>
                  <w:vAlign w:val="center"/>
                </w:tcPr>
                <w:p w14:paraId="1C9C79E5">
                  <w:pPr>
                    <w:spacing w:line="240" w:lineRule="auto"/>
                    <w:jc w:val="center"/>
                    <w:rPr>
                      <w:rFonts w:hint="default"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1</w:t>
                  </w:r>
                </w:p>
              </w:tc>
              <w:tc>
                <w:tcPr>
                  <w:tcW w:w="440" w:type="pct"/>
                  <w:tcBorders>
                    <w:tl2br w:val="nil"/>
                    <w:tr2bl w:val="nil"/>
                  </w:tcBorders>
                  <w:noWrap w:val="0"/>
                  <w:vAlign w:val="center"/>
                </w:tcPr>
                <w:p w14:paraId="5B3626BE">
                  <w:pPr>
                    <w:pStyle w:val="69"/>
                    <w:bidi w:val="0"/>
                    <w:spacing w:line="240" w:lineRule="auto"/>
                    <w:rPr>
                      <w:rFonts w:hint="eastAsia"/>
                      <w:color w:val="auto"/>
                      <w:highlight w:val="none"/>
                      <w:lang w:val="en-US" w:eastAsia="zh-CN"/>
                    </w:rPr>
                  </w:pPr>
                </w:p>
              </w:tc>
            </w:tr>
            <w:tr w14:paraId="20DBD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bottom w:val="single" w:color="auto" w:sz="4" w:space="0"/>
                    <w:tl2br w:val="nil"/>
                    <w:tr2bl w:val="nil"/>
                  </w:tcBorders>
                  <w:noWrap/>
                  <w:vAlign w:val="center"/>
                </w:tcPr>
                <w:p w14:paraId="66AAB6F2">
                  <w:pPr>
                    <w:pStyle w:val="69"/>
                    <w:bidi w:val="0"/>
                    <w:spacing w:line="240" w:lineRule="auto"/>
                    <w:rPr>
                      <w:rFonts w:hint="eastAsia"/>
                      <w:color w:val="auto"/>
                      <w:highlight w:val="none"/>
                      <w:lang w:val="en-US" w:eastAsia="zh-CN"/>
                    </w:rPr>
                  </w:pPr>
                </w:p>
              </w:tc>
              <w:tc>
                <w:tcPr>
                  <w:tcW w:w="956" w:type="pct"/>
                  <w:tcBorders>
                    <w:top w:val="single" w:color="auto" w:sz="4" w:space="0"/>
                    <w:tl2br w:val="nil"/>
                    <w:tr2bl w:val="nil"/>
                  </w:tcBorders>
                  <w:noWrap/>
                  <w:vAlign w:val="center"/>
                </w:tcPr>
                <w:p w14:paraId="5F9CF7DC">
                  <w:pPr>
                    <w:pStyle w:val="69"/>
                    <w:bidi w:val="0"/>
                    <w:spacing w:line="240" w:lineRule="auto"/>
                    <w:rPr>
                      <w:rFonts w:hint="default"/>
                      <w:color w:val="auto"/>
                      <w:highlight w:val="none"/>
                      <w:lang w:val="en-US" w:eastAsia="zh-CN"/>
                    </w:rPr>
                  </w:pPr>
                  <w:r>
                    <w:rPr>
                      <w:rFonts w:hint="eastAsia"/>
                      <w:color w:val="auto"/>
                      <w:highlight w:val="none"/>
                      <w:lang w:val="en-US" w:eastAsia="zh-CN"/>
                    </w:rPr>
                    <w:t>在线监测、公用</w:t>
                  </w:r>
                </w:p>
              </w:tc>
              <w:tc>
                <w:tcPr>
                  <w:tcW w:w="1310" w:type="pct"/>
                  <w:tcBorders>
                    <w:tl2br w:val="nil"/>
                    <w:tr2bl w:val="nil"/>
                  </w:tcBorders>
                  <w:shd w:val="clear" w:color="auto" w:fill="auto"/>
                  <w:noWrap/>
                  <w:vAlign w:val="center"/>
                </w:tcPr>
                <w:p w14:paraId="73C976FF">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ascii="Times New Roman" w:hAnsi="Times New Roman" w:eastAsia="宋体" w:cs="Times New Roman"/>
                      <w:b w:val="0"/>
                      <w:bCs w:val="0"/>
                      <w:color w:val="000000"/>
                      <w:kern w:val="2"/>
                      <w:sz w:val="21"/>
                      <w:szCs w:val="21"/>
                      <w:highlight w:val="none"/>
                      <w:vertAlign w:val="baseline"/>
                      <w:lang w:val="en-US" w:eastAsia="zh-CN" w:bidi="ar-SA"/>
                    </w:rPr>
                    <w:t>辅助设备</w:t>
                  </w:r>
                  <w:r>
                    <w:rPr>
                      <w:rFonts w:hint="eastAsia" w:cs="Times New Roman"/>
                      <w:b w:val="0"/>
                      <w:bCs w:val="0"/>
                      <w:color w:val="000000"/>
                      <w:kern w:val="2"/>
                      <w:sz w:val="21"/>
                      <w:szCs w:val="21"/>
                      <w:highlight w:val="none"/>
                      <w:vertAlign w:val="baseline"/>
                      <w:lang w:val="en-US" w:eastAsia="zh-CN" w:bidi="ar-SA"/>
                    </w:rPr>
                    <w:t>（含在线监测设备）</w:t>
                  </w:r>
                </w:p>
              </w:tc>
              <w:tc>
                <w:tcPr>
                  <w:tcW w:w="1236" w:type="pct"/>
                  <w:tcBorders>
                    <w:tl2br w:val="nil"/>
                    <w:tr2bl w:val="nil"/>
                  </w:tcBorders>
                  <w:shd w:val="clear" w:color="auto" w:fill="auto"/>
                  <w:noWrap w:val="0"/>
                  <w:vAlign w:val="center"/>
                </w:tcPr>
                <w:p w14:paraId="552BB190">
                  <w:pPr>
                    <w:spacing w:line="240" w:lineRule="auto"/>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default"/>
                      <w:color w:val="auto"/>
                      <w:highlight w:val="none"/>
                      <w:lang w:val="en-US" w:eastAsia="zh-CN"/>
                    </w:rPr>
                    <w:t>/</w:t>
                  </w:r>
                </w:p>
              </w:tc>
              <w:tc>
                <w:tcPr>
                  <w:tcW w:w="487" w:type="pct"/>
                  <w:tcBorders>
                    <w:tl2br w:val="nil"/>
                    <w:tr2bl w:val="nil"/>
                  </w:tcBorders>
                  <w:shd w:val="clear" w:color="auto" w:fill="auto"/>
                  <w:noWrap/>
                  <w:vAlign w:val="center"/>
                </w:tcPr>
                <w:p w14:paraId="0BF4E805">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台</w:t>
                  </w:r>
                </w:p>
              </w:tc>
              <w:tc>
                <w:tcPr>
                  <w:tcW w:w="315" w:type="pct"/>
                  <w:tcBorders>
                    <w:tl2br w:val="nil"/>
                    <w:tr2bl w:val="nil"/>
                  </w:tcBorders>
                  <w:shd w:val="clear" w:color="auto" w:fill="auto"/>
                  <w:noWrap/>
                  <w:vAlign w:val="center"/>
                </w:tcPr>
                <w:p w14:paraId="40C75BF1">
                  <w:pPr>
                    <w:spacing w:line="240" w:lineRule="auto"/>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ascii="Times New Roman" w:hAnsi="Times New Roman" w:eastAsia="宋体" w:cs="Times New Roman"/>
                      <w:b w:val="0"/>
                      <w:bCs w:val="0"/>
                      <w:color w:val="000000"/>
                      <w:kern w:val="2"/>
                      <w:sz w:val="21"/>
                      <w:szCs w:val="21"/>
                      <w:highlight w:val="none"/>
                      <w:vertAlign w:val="baseline"/>
                      <w:lang w:val="en-US" w:eastAsia="zh-CN" w:bidi="ar-SA"/>
                    </w:rPr>
                    <w:t>10</w:t>
                  </w:r>
                </w:p>
              </w:tc>
              <w:tc>
                <w:tcPr>
                  <w:tcW w:w="440" w:type="pct"/>
                  <w:tcBorders>
                    <w:tl2br w:val="nil"/>
                    <w:tr2bl w:val="nil"/>
                  </w:tcBorders>
                  <w:noWrap w:val="0"/>
                  <w:vAlign w:val="center"/>
                </w:tcPr>
                <w:p w14:paraId="3EE6E517">
                  <w:pPr>
                    <w:pStyle w:val="69"/>
                    <w:bidi w:val="0"/>
                    <w:spacing w:line="240" w:lineRule="auto"/>
                    <w:rPr>
                      <w:rFonts w:hint="eastAsia"/>
                      <w:color w:val="auto"/>
                      <w:highlight w:val="none"/>
                      <w:lang w:val="en-US" w:eastAsia="zh-CN"/>
                    </w:rPr>
                  </w:pPr>
                </w:p>
              </w:tc>
            </w:tr>
            <w:tr w14:paraId="3B894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restart"/>
                  <w:tcBorders>
                    <w:top w:val="single" w:color="auto" w:sz="4" w:space="0"/>
                    <w:tl2br w:val="nil"/>
                    <w:tr2bl w:val="nil"/>
                  </w:tcBorders>
                  <w:noWrap/>
                  <w:vAlign w:val="center"/>
                </w:tcPr>
                <w:p w14:paraId="1E75FC2F">
                  <w:pPr>
                    <w:pStyle w:val="69"/>
                    <w:bidi w:val="0"/>
                    <w:spacing w:line="240" w:lineRule="auto"/>
                    <w:rPr>
                      <w:rFonts w:hint="default"/>
                      <w:color w:val="auto"/>
                      <w:highlight w:val="none"/>
                      <w:lang w:val="en-US" w:eastAsia="zh-CN"/>
                    </w:rPr>
                  </w:pPr>
                  <w:r>
                    <w:rPr>
                      <w:rFonts w:hint="eastAsia"/>
                      <w:color w:val="auto"/>
                      <w:highlight w:val="none"/>
                      <w:lang w:val="en-US" w:eastAsia="zh-CN"/>
                    </w:rPr>
                    <w:t>/</w:t>
                  </w:r>
                </w:p>
              </w:tc>
              <w:tc>
                <w:tcPr>
                  <w:tcW w:w="956" w:type="pct"/>
                  <w:vMerge w:val="restart"/>
                  <w:tcBorders>
                    <w:top w:val="single" w:color="auto" w:sz="4" w:space="0"/>
                    <w:tl2br w:val="nil"/>
                    <w:tr2bl w:val="nil"/>
                  </w:tcBorders>
                  <w:noWrap/>
                  <w:vAlign w:val="center"/>
                </w:tcPr>
                <w:p w14:paraId="729968D7">
                  <w:pPr>
                    <w:pStyle w:val="69"/>
                    <w:bidi w:val="0"/>
                    <w:spacing w:line="240" w:lineRule="auto"/>
                    <w:rPr>
                      <w:rFonts w:hint="eastAsia"/>
                      <w:color w:val="auto"/>
                      <w:highlight w:val="none"/>
                      <w:lang w:val="en-US" w:eastAsia="zh-CN"/>
                    </w:rPr>
                  </w:pPr>
                  <w:r>
                    <w:rPr>
                      <w:rFonts w:hint="eastAsia"/>
                      <w:color w:val="auto"/>
                      <w:highlight w:val="none"/>
                      <w:lang w:val="en-US" w:eastAsia="zh-CN"/>
                    </w:rPr>
                    <w:t>废气治理</w:t>
                  </w:r>
                </w:p>
                <w:p w14:paraId="5A5BC896">
                  <w:pPr>
                    <w:pStyle w:val="69"/>
                    <w:bidi w:val="0"/>
                    <w:spacing w:line="240" w:lineRule="auto"/>
                    <w:rPr>
                      <w:rFonts w:hint="default"/>
                      <w:color w:val="auto"/>
                      <w:highlight w:val="none"/>
                      <w:lang w:val="en-US" w:eastAsia="zh-CN"/>
                    </w:rPr>
                  </w:pPr>
                  <w:r>
                    <w:rPr>
                      <w:rFonts w:hint="eastAsia"/>
                      <w:color w:val="auto"/>
                      <w:highlight w:val="none"/>
                      <w:lang w:val="en-US" w:eastAsia="zh-CN"/>
                    </w:rPr>
                    <w:t>设施</w:t>
                  </w:r>
                </w:p>
              </w:tc>
              <w:tc>
                <w:tcPr>
                  <w:tcW w:w="1310" w:type="pct"/>
                  <w:tcBorders>
                    <w:tl2br w:val="nil"/>
                    <w:tr2bl w:val="nil"/>
                  </w:tcBorders>
                  <w:shd w:val="clear" w:color="auto" w:fill="auto"/>
                  <w:noWrap/>
                  <w:vAlign w:val="center"/>
                </w:tcPr>
                <w:p w14:paraId="0E3CDA2C">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szCs w:val="21"/>
                      <w:highlight w:val="none"/>
                      <w:lang w:val="en-US" w:eastAsia="zh-CN"/>
                    </w:rPr>
                    <w:t>干式过滤器</w:t>
                  </w:r>
                </w:p>
              </w:tc>
              <w:tc>
                <w:tcPr>
                  <w:tcW w:w="1236" w:type="pct"/>
                  <w:tcBorders>
                    <w:tl2br w:val="nil"/>
                    <w:tr2bl w:val="nil"/>
                  </w:tcBorders>
                  <w:shd w:val="clear" w:color="auto" w:fill="auto"/>
                  <w:noWrap w:val="0"/>
                  <w:vAlign w:val="center"/>
                </w:tcPr>
                <w:p w14:paraId="1EF03E12">
                  <w:pPr>
                    <w:pStyle w:val="69"/>
                    <w:bidi w:val="0"/>
                    <w:spacing w:line="240" w:lineRule="auto"/>
                    <w:ind w:firstLine="0" w:firstLineChars="0"/>
                    <w:rPr>
                      <w:rFonts w:hint="default" w:ascii="Times New Roman" w:hAnsi="Times New Roman" w:eastAsia="宋体" w:cs="Times New Roman"/>
                      <w:b w:val="0"/>
                      <w:color w:val="auto"/>
                      <w:kern w:val="2"/>
                      <w:sz w:val="21"/>
                      <w:szCs w:val="21"/>
                      <w:highlight w:val="none"/>
                      <w:lang w:val="en-US" w:eastAsia="zh-CN" w:bidi="ar-SA"/>
                    </w:rPr>
                  </w:pPr>
                  <w:r>
                    <w:rPr>
                      <w:rFonts w:hint="default"/>
                      <w:color w:val="auto"/>
                      <w:highlight w:val="none"/>
                      <w:lang w:val="en-US" w:eastAsia="zh-CN"/>
                    </w:rPr>
                    <w:t>/</w:t>
                  </w:r>
                </w:p>
              </w:tc>
              <w:tc>
                <w:tcPr>
                  <w:tcW w:w="487" w:type="pct"/>
                  <w:tcBorders>
                    <w:tl2br w:val="nil"/>
                    <w:tr2bl w:val="nil"/>
                  </w:tcBorders>
                  <w:shd w:val="clear" w:color="auto" w:fill="auto"/>
                  <w:noWrap/>
                  <w:vAlign w:val="center"/>
                </w:tcPr>
                <w:p w14:paraId="757F7371">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default"/>
                      <w:color w:val="auto"/>
                      <w:highlight w:val="none"/>
                      <w:lang w:val="en-US" w:eastAsia="zh-CN"/>
                    </w:rPr>
                    <w:t>1</w:t>
                  </w:r>
                </w:p>
              </w:tc>
              <w:tc>
                <w:tcPr>
                  <w:tcW w:w="315" w:type="pct"/>
                  <w:tcBorders>
                    <w:tl2br w:val="nil"/>
                    <w:tr2bl w:val="nil"/>
                  </w:tcBorders>
                  <w:shd w:val="clear" w:color="auto" w:fill="auto"/>
                  <w:noWrap/>
                  <w:vAlign w:val="center"/>
                </w:tcPr>
                <w:p w14:paraId="3B09F569">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套</w:t>
                  </w:r>
                </w:p>
              </w:tc>
              <w:tc>
                <w:tcPr>
                  <w:tcW w:w="440" w:type="pct"/>
                  <w:tcBorders>
                    <w:tl2br w:val="nil"/>
                    <w:tr2bl w:val="nil"/>
                  </w:tcBorders>
                  <w:shd w:val="clear" w:color="auto" w:fill="auto"/>
                  <w:noWrap w:val="0"/>
                  <w:vAlign w:val="center"/>
                </w:tcPr>
                <w:p w14:paraId="57F1BBC4">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w:t>
                  </w:r>
                </w:p>
              </w:tc>
            </w:tr>
            <w:tr w14:paraId="6F28C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jc w:val="center"/>
              </w:trPr>
              <w:tc>
                <w:tcPr>
                  <w:tcW w:w="252" w:type="pct"/>
                  <w:vMerge w:val="continue"/>
                  <w:tcBorders>
                    <w:tl2br w:val="nil"/>
                    <w:tr2bl w:val="nil"/>
                  </w:tcBorders>
                  <w:noWrap/>
                  <w:vAlign w:val="center"/>
                </w:tcPr>
                <w:p w14:paraId="112AB81E">
                  <w:pPr>
                    <w:pStyle w:val="69"/>
                    <w:bidi w:val="0"/>
                    <w:spacing w:line="240" w:lineRule="auto"/>
                    <w:rPr>
                      <w:rFonts w:hint="eastAsia"/>
                      <w:color w:val="auto"/>
                      <w:highlight w:val="none"/>
                      <w:lang w:val="en-US" w:eastAsia="zh-CN"/>
                    </w:rPr>
                  </w:pPr>
                </w:p>
              </w:tc>
              <w:tc>
                <w:tcPr>
                  <w:tcW w:w="956" w:type="pct"/>
                  <w:vMerge w:val="continue"/>
                  <w:tcBorders>
                    <w:tl2br w:val="nil"/>
                    <w:tr2bl w:val="nil"/>
                  </w:tcBorders>
                  <w:noWrap/>
                  <w:vAlign w:val="center"/>
                </w:tcPr>
                <w:p w14:paraId="09396071">
                  <w:pPr>
                    <w:pStyle w:val="69"/>
                    <w:bidi w:val="0"/>
                    <w:spacing w:line="240" w:lineRule="auto"/>
                    <w:rPr>
                      <w:rFonts w:hint="eastAsia"/>
                      <w:color w:val="auto"/>
                      <w:highlight w:val="none"/>
                      <w:lang w:val="en-US" w:eastAsia="zh-CN"/>
                    </w:rPr>
                  </w:pPr>
                </w:p>
              </w:tc>
              <w:tc>
                <w:tcPr>
                  <w:tcW w:w="1310" w:type="pct"/>
                  <w:tcBorders>
                    <w:tl2br w:val="nil"/>
                    <w:tr2bl w:val="nil"/>
                  </w:tcBorders>
                  <w:shd w:val="clear" w:color="auto" w:fill="auto"/>
                  <w:noWrap/>
                  <w:vAlign w:val="center"/>
                </w:tcPr>
                <w:p w14:paraId="3658F0BB">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二级活性炭吸附装置</w:t>
                  </w:r>
                </w:p>
              </w:tc>
              <w:tc>
                <w:tcPr>
                  <w:tcW w:w="1236" w:type="pct"/>
                  <w:tcBorders>
                    <w:tl2br w:val="nil"/>
                    <w:tr2bl w:val="nil"/>
                  </w:tcBorders>
                  <w:shd w:val="clear" w:color="auto" w:fill="auto"/>
                  <w:noWrap w:val="0"/>
                  <w:vAlign w:val="center"/>
                </w:tcPr>
                <w:p w14:paraId="7BEBEB3E">
                  <w:pPr>
                    <w:pStyle w:val="69"/>
                    <w:bidi w:val="0"/>
                    <w:spacing w:line="240" w:lineRule="auto"/>
                    <w:ind w:firstLine="0" w:firstLineChars="0"/>
                    <w:rPr>
                      <w:rFonts w:hint="default" w:ascii="Times New Roman" w:hAnsi="Times New Roman" w:eastAsia="宋体" w:cs="Times New Roman"/>
                      <w:b w:val="0"/>
                      <w:color w:val="auto"/>
                      <w:kern w:val="2"/>
                      <w:sz w:val="21"/>
                      <w:szCs w:val="21"/>
                      <w:highlight w:val="none"/>
                      <w:lang w:val="en-US" w:eastAsia="zh-CN" w:bidi="ar-SA"/>
                    </w:rPr>
                  </w:pPr>
                  <w:r>
                    <w:rPr>
                      <w:rFonts w:hint="default"/>
                      <w:color w:val="auto"/>
                      <w:highlight w:val="none"/>
                      <w:lang w:val="en-US" w:eastAsia="zh-CN"/>
                    </w:rPr>
                    <w:t>/</w:t>
                  </w:r>
                </w:p>
              </w:tc>
              <w:tc>
                <w:tcPr>
                  <w:tcW w:w="487" w:type="pct"/>
                  <w:tcBorders>
                    <w:tl2br w:val="nil"/>
                    <w:tr2bl w:val="nil"/>
                  </w:tcBorders>
                  <w:shd w:val="clear" w:color="auto" w:fill="auto"/>
                  <w:noWrap/>
                  <w:vAlign w:val="center"/>
                </w:tcPr>
                <w:p w14:paraId="672ABADC">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default"/>
                      <w:color w:val="auto"/>
                      <w:highlight w:val="none"/>
                      <w:lang w:val="en-US" w:eastAsia="zh-CN"/>
                    </w:rPr>
                    <w:t>1</w:t>
                  </w:r>
                </w:p>
              </w:tc>
              <w:tc>
                <w:tcPr>
                  <w:tcW w:w="315" w:type="pct"/>
                  <w:tcBorders>
                    <w:tl2br w:val="nil"/>
                    <w:tr2bl w:val="nil"/>
                  </w:tcBorders>
                  <w:shd w:val="clear" w:color="auto" w:fill="auto"/>
                  <w:noWrap/>
                  <w:vAlign w:val="center"/>
                </w:tcPr>
                <w:p w14:paraId="4C295FEA">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套</w:t>
                  </w:r>
                </w:p>
              </w:tc>
              <w:tc>
                <w:tcPr>
                  <w:tcW w:w="440" w:type="pct"/>
                  <w:tcBorders>
                    <w:tl2br w:val="nil"/>
                    <w:tr2bl w:val="nil"/>
                  </w:tcBorders>
                  <w:shd w:val="clear" w:color="auto" w:fill="auto"/>
                  <w:noWrap w:val="0"/>
                  <w:vAlign w:val="center"/>
                </w:tcPr>
                <w:p w14:paraId="44EEAD17">
                  <w:pPr>
                    <w:pStyle w:val="69"/>
                    <w:bidi w:val="0"/>
                    <w:spacing w:line="240" w:lineRule="auto"/>
                    <w:ind w:firstLine="0" w:firstLineChars="0"/>
                    <w:rPr>
                      <w:rFonts w:hint="eastAsia" w:ascii="Times New Roman" w:hAnsi="Times New Roman" w:eastAsia="宋体" w:cs="Times New Roman"/>
                      <w:b w:val="0"/>
                      <w:color w:val="auto"/>
                      <w:kern w:val="2"/>
                      <w:sz w:val="21"/>
                      <w:szCs w:val="21"/>
                      <w:highlight w:val="none"/>
                      <w:lang w:val="en-US" w:eastAsia="zh-CN" w:bidi="ar-SA"/>
                    </w:rPr>
                  </w:pPr>
                  <w:r>
                    <w:rPr>
                      <w:rFonts w:hint="eastAsia"/>
                      <w:color w:val="auto"/>
                      <w:highlight w:val="none"/>
                      <w:lang w:val="en-US" w:eastAsia="zh-CN"/>
                    </w:rPr>
                    <w:t>/</w:t>
                  </w:r>
                </w:p>
              </w:tc>
            </w:tr>
          </w:tbl>
          <w:p w14:paraId="22C6983D">
            <w:pPr>
              <w:numPr>
                <w:ilvl w:val="0"/>
                <w:numId w:val="7"/>
              </w:numPr>
              <w:spacing w:line="360" w:lineRule="auto"/>
              <w:ind w:left="0" w:leftChars="0" w:firstLine="482" w:firstLineChars="200"/>
              <w:rPr>
                <w:rFonts w:hint="default" w:ascii="Times New Roman" w:hAnsi="Times New Roman" w:cs="Times New Roman"/>
                <w:b/>
                <w:bCs/>
                <w:color w:val="auto"/>
                <w:sz w:val="24"/>
                <w:szCs w:val="32"/>
                <w:highlight w:val="none"/>
                <w:lang w:val="en-US" w:eastAsia="zh-CN"/>
              </w:rPr>
            </w:pPr>
            <w:r>
              <w:rPr>
                <w:rFonts w:hint="eastAsia" w:ascii="Times New Roman" w:hAnsi="Times New Roman" w:eastAsia="宋体" w:cs="Times New Roman"/>
                <w:b/>
                <w:bCs/>
                <w:color w:val="auto"/>
                <w:sz w:val="24"/>
                <w:szCs w:val="32"/>
                <w:highlight w:val="none"/>
                <w:lang w:val="en-US" w:eastAsia="zh-CN"/>
              </w:rPr>
              <w:t>原</w:t>
            </w:r>
            <w:r>
              <w:rPr>
                <w:rFonts w:hint="default" w:ascii="Times New Roman" w:hAnsi="Times New Roman" w:eastAsia="宋体" w:cs="Times New Roman"/>
                <w:b/>
                <w:bCs/>
                <w:color w:val="auto"/>
                <w:sz w:val="24"/>
                <w:szCs w:val="32"/>
                <w:highlight w:val="none"/>
                <w:lang w:val="en-US" w:eastAsia="zh-CN"/>
              </w:rPr>
              <w:t>辅材料</w:t>
            </w:r>
            <w:r>
              <w:rPr>
                <w:rFonts w:hint="default" w:ascii="Times New Roman" w:hAnsi="Times New Roman" w:cs="Times New Roman"/>
                <w:b/>
                <w:bCs/>
                <w:color w:val="auto"/>
                <w:sz w:val="24"/>
                <w:szCs w:val="32"/>
                <w:highlight w:val="none"/>
                <w:lang w:val="en-US" w:eastAsia="zh-CN"/>
              </w:rPr>
              <w:t>及能耗</w:t>
            </w:r>
          </w:p>
          <w:p w14:paraId="69C72740">
            <w:pPr>
              <w:pStyle w:val="33"/>
              <w:numPr>
                <w:ilvl w:val="0"/>
                <w:numId w:val="0"/>
              </w:numPr>
              <w:rPr>
                <w:rFonts w:hint="default"/>
                <w:highlight w:val="none"/>
                <w:lang w:val="en-US" w:eastAsia="zh-CN"/>
              </w:rPr>
            </w:pPr>
            <w:r>
              <w:rPr>
                <w:rFonts w:hint="default" w:ascii="Times New Roman" w:hAnsi="Times New Roman" w:cs="Times New Roman"/>
                <w:highlight w:val="none"/>
                <w:lang w:val="en-US" w:eastAsia="zh-CN"/>
              </w:rPr>
              <w:t xml:space="preserve">    （1）原辅材料及能耗情况</w:t>
            </w:r>
          </w:p>
          <w:p w14:paraId="3EB2F67E">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i w:val="0"/>
                <w:color w:val="auto"/>
                <w:kern w:val="2"/>
                <w:sz w:val="21"/>
                <w:szCs w:val="21"/>
                <w:highlight w:val="none"/>
                <w:lang w:val="en-US" w:eastAsia="zh-CN" w:bidi="ar-SA"/>
              </w:rPr>
              <w:t>表2-4</w:t>
            </w:r>
            <w:r>
              <w:rPr>
                <w:rFonts w:hint="eastAsia" w:ascii="Times New Roman" w:hAnsi="Times New Roman" w:cs="Times New Roman"/>
                <w:b/>
                <w:i w:val="0"/>
                <w:color w:val="auto"/>
                <w:kern w:val="2"/>
                <w:sz w:val="21"/>
                <w:szCs w:val="21"/>
                <w:highlight w:val="none"/>
                <w:lang w:val="en-US" w:eastAsia="zh-CN" w:bidi="ar-SA"/>
              </w:rPr>
              <w:t xml:space="preserve">  </w:t>
            </w:r>
            <w:r>
              <w:rPr>
                <w:rFonts w:hint="eastAsia" w:cs="Times New Roman"/>
                <w:b/>
                <w:bCs/>
                <w:color w:val="auto"/>
                <w:sz w:val="21"/>
                <w:szCs w:val="21"/>
                <w:highlight w:val="none"/>
                <w:lang w:val="en-US" w:eastAsia="zh-CN"/>
              </w:rPr>
              <w:t>拟建</w:t>
            </w:r>
            <w:r>
              <w:rPr>
                <w:rFonts w:hint="default" w:ascii="Times New Roman" w:hAnsi="Times New Roman" w:cs="Times New Roman"/>
                <w:b/>
                <w:bCs/>
                <w:color w:val="auto"/>
                <w:sz w:val="21"/>
                <w:szCs w:val="21"/>
                <w:highlight w:val="none"/>
              </w:rPr>
              <w:t>项目原辅材料</w:t>
            </w:r>
            <w:r>
              <w:rPr>
                <w:rFonts w:hint="eastAsia" w:cs="Times New Roman"/>
                <w:b/>
                <w:bCs/>
                <w:color w:val="auto"/>
                <w:sz w:val="21"/>
                <w:szCs w:val="21"/>
                <w:highlight w:val="none"/>
                <w:lang w:eastAsia="zh-CN"/>
              </w:rPr>
              <w:t>及能源消耗</w:t>
            </w:r>
            <w:r>
              <w:rPr>
                <w:rFonts w:hint="default" w:ascii="Times New Roman" w:hAnsi="Times New Roman" w:cs="Times New Roman"/>
                <w:b/>
                <w:bCs/>
                <w:color w:val="auto"/>
                <w:sz w:val="21"/>
                <w:szCs w:val="21"/>
                <w:highlight w:val="none"/>
              </w:rPr>
              <w:t>一览表</w:t>
            </w:r>
          </w:p>
          <w:tbl>
            <w:tblPr>
              <w:tblStyle w:val="2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8"/>
              <w:gridCol w:w="1173"/>
              <w:gridCol w:w="1605"/>
              <w:gridCol w:w="1339"/>
              <w:gridCol w:w="1309"/>
              <w:gridCol w:w="1111"/>
              <w:gridCol w:w="1153"/>
            </w:tblGrid>
            <w:tr w14:paraId="21700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2B6D3B3">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原辅料</w:t>
                  </w:r>
                </w:p>
              </w:tc>
            </w:tr>
            <w:tr w14:paraId="32D85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BE0D3">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980F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726C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规格</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81A8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年消耗量</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B13AF">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最大储存量</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C38D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储存周期</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4B34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储存位置</w:t>
                  </w:r>
                </w:p>
              </w:tc>
            </w:tr>
            <w:tr w14:paraId="2F8CC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F363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8E12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PCB</w:t>
                  </w:r>
                  <w:r>
                    <w:rPr>
                      <w:rFonts w:hint="eastAsia" w:ascii="宋体" w:hAnsi="宋体" w:eastAsia="宋体" w:cs="宋体"/>
                      <w:i w:val="0"/>
                      <w:iCs w:val="0"/>
                      <w:color w:val="auto"/>
                      <w:kern w:val="0"/>
                      <w:sz w:val="21"/>
                      <w:szCs w:val="21"/>
                      <w:highlight w:val="none"/>
                      <w:u w:val="none"/>
                      <w:lang w:val="en-US" w:eastAsia="zh-CN" w:bidi="ar"/>
                    </w:rPr>
                    <w:t>板</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1FDB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P3 192mm*192mm</w:t>
                  </w:r>
                  <w:r>
                    <w:rPr>
                      <w:rFonts w:hint="eastAsia" w:ascii="宋体" w:hAnsi="宋体" w:eastAsia="宋体" w:cs="宋体"/>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0.293kg/</w:t>
                  </w:r>
                  <w:r>
                    <w:rPr>
                      <w:rFonts w:hint="eastAsia" w:ascii="宋体" w:hAnsi="宋体" w:eastAsia="宋体" w:cs="宋体"/>
                      <w:i w:val="0"/>
                      <w:iCs w:val="0"/>
                      <w:color w:val="auto"/>
                      <w:kern w:val="0"/>
                      <w:sz w:val="21"/>
                      <w:szCs w:val="21"/>
                      <w:highlight w:val="none"/>
                      <w:u w:val="none"/>
                      <w:lang w:val="en-US" w:eastAsia="zh-CN" w:bidi="ar"/>
                    </w:rPr>
                    <w:t>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52409">
                  <w:pPr>
                    <w:spacing w:line="240" w:lineRule="auto"/>
                    <w:jc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000000"/>
                      <w:kern w:val="0"/>
                      <w:sz w:val="21"/>
                      <w:szCs w:val="21"/>
                      <w:highlight w:val="none"/>
                      <w:u w:val="none"/>
                      <w:lang w:val="en-US" w:eastAsia="zh-CN" w:bidi="ar"/>
                    </w:rPr>
                    <w:t>5000</w:t>
                  </w:r>
                  <w:r>
                    <w:rPr>
                      <w:rFonts w:hint="eastAsia" w:ascii="宋体" w:hAnsi="宋体" w:eastAsia="宋体" w:cs="宋体"/>
                      <w:i w:val="0"/>
                      <w:iCs w:val="0"/>
                      <w:color w:val="000000"/>
                      <w:kern w:val="0"/>
                      <w:sz w:val="21"/>
                      <w:szCs w:val="21"/>
                      <w:highlight w:val="none"/>
                      <w:u w:val="none"/>
                      <w:lang w:val="en-US" w:eastAsia="zh-CN" w:bidi="ar"/>
                    </w:rPr>
                    <w:t>万件</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B9E9A">
                  <w:pPr>
                    <w:spacing w:line="240" w:lineRule="auto"/>
                    <w:jc w:val="center"/>
                    <w:rPr>
                      <w:rFonts w:hint="default" w:ascii="Times New Roman" w:hAnsi="Times New Roman" w:eastAsia="宋体" w:cs="Times New Roman"/>
                      <w:i w:val="0"/>
                      <w:iCs w:val="0"/>
                      <w:color w:val="auto"/>
                      <w:sz w:val="21"/>
                      <w:szCs w:val="21"/>
                      <w:highlight w:val="none"/>
                      <w:u w:val="none"/>
                    </w:rPr>
                  </w:pPr>
                  <w:r>
                    <w:rPr>
                      <w:rFonts w:hint="eastAsia" w:cs="Times New Roman"/>
                      <w:i w:val="0"/>
                      <w:iCs w:val="0"/>
                      <w:color w:val="000000"/>
                      <w:kern w:val="0"/>
                      <w:sz w:val="21"/>
                      <w:szCs w:val="21"/>
                      <w:highlight w:val="none"/>
                      <w:u w:val="none"/>
                      <w:lang w:val="en-US" w:eastAsia="zh-CN" w:bidi="ar"/>
                    </w:rPr>
                    <w:t>104</w:t>
                  </w:r>
                  <w:r>
                    <w:rPr>
                      <w:rFonts w:hint="eastAsia" w:ascii="宋体" w:hAnsi="宋体" w:eastAsia="宋体" w:cs="宋体"/>
                      <w:i w:val="0"/>
                      <w:iCs w:val="0"/>
                      <w:color w:val="000000"/>
                      <w:kern w:val="0"/>
                      <w:sz w:val="21"/>
                      <w:szCs w:val="21"/>
                      <w:highlight w:val="none"/>
                      <w:u w:val="none"/>
                      <w:lang w:val="en-US" w:eastAsia="zh-CN" w:bidi="ar"/>
                    </w:rPr>
                    <w:t>万件</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D7E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一周</w:t>
                  </w:r>
                </w:p>
              </w:tc>
              <w:tc>
                <w:tcPr>
                  <w:tcW w:w="6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79E45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原料仓库</w:t>
                  </w:r>
                  <w:r>
                    <w:rPr>
                      <w:rFonts w:hint="default" w:ascii="Times New Roman" w:hAnsi="Times New Roman" w:cs="Times New Roman"/>
                      <w:i w:val="0"/>
                      <w:iCs w:val="0"/>
                      <w:color w:val="auto"/>
                      <w:kern w:val="0"/>
                      <w:sz w:val="21"/>
                      <w:szCs w:val="21"/>
                      <w:highlight w:val="none"/>
                      <w:u w:val="none"/>
                      <w:lang w:val="en-US" w:eastAsia="zh-CN" w:bidi="ar"/>
                    </w:rPr>
                    <w:t>1</w:t>
                  </w:r>
                </w:p>
              </w:tc>
            </w:tr>
            <w:tr w14:paraId="4EBCF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62E8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1D67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PCB</w:t>
                  </w:r>
                  <w:r>
                    <w:rPr>
                      <w:rFonts w:hint="eastAsia" w:ascii="宋体" w:hAnsi="宋体" w:eastAsia="宋体" w:cs="宋体"/>
                      <w:i w:val="0"/>
                      <w:iCs w:val="0"/>
                      <w:color w:val="auto"/>
                      <w:kern w:val="0"/>
                      <w:sz w:val="21"/>
                      <w:szCs w:val="21"/>
                      <w:highlight w:val="none"/>
                      <w:u w:val="none"/>
                      <w:lang w:val="en-US" w:eastAsia="zh-CN" w:bidi="ar"/>
                    </w:rPr>
                    <w:t>板</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26BA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P4 256mm*256mm</w:t>
                  </w:r>
                  <w:r>
                    <w:rPr>
                      <w:rFonts w:hint="eastAsia" w:ascii="宋体" w:hAnsi="宋体" w:eastAsia="宋体" w:cs="宋体"/>
                      <w:i w:val="0"/>
                      <w:iCs w:val="0"/>
                      <w:color w:val="auto"/>
                      <w:kern w:val="0"/>
                      <w:sz w:val="21"/>
                      <w:szCs w:val="21"/>
                      <w:highlight w:val="none"/>
                      <w:u w:val="none"/>
                      <w:lang w:val="en-US" w:eastAsia="zh-CN" w:bidi="ar"/>
                    </w:rPr>
                    <w:t>（</w:t>
                  </w:r>
                  <w:r>
                    <w:rPr>
                      <w:rFonts w:hint="default" w:ascii="Times New Roman" w:hAnsi="Times New Roman" w:eastAsia="宋体" w:cs="Times New Roman"/>
                      <w:i w:val="0"/>
                      <w:iCs w:val="0"/>
                      <w:color w:val="auto"/>
                      <w:kern w:val="0"/>
                      <w:sz w:val="21"/>
                      <w:szCs w:val="21"/>
                      <w:highlight w:val="none"/>
                      <w:u w:val="none"/>
                      <w:lang w:val="en-US" w:eastAsia="zh-CN" w:bidi="ar"/>
                    </w:rPr>
                    <w:t>0.5kg/</w:t>
                  </w:r>
                  <w:r>
                    <w:rPr>
                      <w:rFonts w:hint="eastAsia" w:ascii="宋体" w:hAnsi="宋体" w:eastAsia="宋体" w:cs="宋体"/>
                      <w:i w:val="0"/>
                      <w:iCs w:val="0"/>
                      <w:color w:val="auto"/>
                      <w:kern w:val="0"/>
                      <w:sz w:val="21"/>
                      <w:szCs w:val="21"/>
                      <w:highlight w:val="none"/>
                      <w:u w:val="none"/>
                      <w:lang w:val="en-US" w:eastAsia="zh-CN" w:bidi="ar"/>
                    </w:rPr>
                    <w:t>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88A1A">
                  <w:pPr>
                    <w:spacing w:line="240" w:lineRule="auto"/>
                    <w:jc w:val="center"/>
                    <w:rPr>
                      <w:rFonts w:hint="default"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000000"/>
                      <w:kern w:val="0"/>
                      <w:sz w:val="21"/>
                      <w:szCs w:val="21"/>
                      <w:highlight w:val="none"/>
                      <w:u w:val="none"/>
                      <w:lang w:val="en-US" w:eastAsia="zh-CN" w:bidi="ar"/>
                    </w:rPr>
                    <w:t>2000</w:t>
                  </w:r>
                  <w:r>
                    <w:rPr>
                      <w:rFonts w:hint="eastAsia" w:ascii="宋体" w:hAnsi="宋体" w:eastAsia="宋体" w:cs="宋体"/>
                      <w:i w:val="0"/>
                      <w:iCs w:val="0"/>
                      <w:color w:val="000000"/>
                      <w:kern w:val="0"/>
                      <w:sz w:val="21"/>
                      <w:szCs w:val="21"/>
                      <w:highlight w:val="none"/>
                      <w:u w:val="none"/>
                      <w:lang w:val="en-US" w:eastAsia="zh-CN" w:bidi="ar"/>
                    </w:rPr>
                    <w:t>万件</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829E7">
                  <w:pPr>
                    <w:spacing w:line="240" w:lineRule="auto"/>
                    <w:jc w:val="center"/>
                    <w:rPr>
                      <w:rFonts w:hint="default" w:ascii="Times New Roman" w:hAnsi="Times New Roman" w:eastAsia="宋体" w:cs="Times New Roman"/>
                      <w:i w:val="0"/>
                      <w:iCs w:val="0"/>
                      <w:color w:val="auto"/>
                      <w:sz w:val="21"/>
                      <w:szCs w:val="21"/>
                      <w:highlight w:val="none"/>
                      <w:u w:val="none"/>
                    </w:rPr>
                  </w:pPr>
                  <w:r>
                    <w:rPr>
                      <w:rFonts w:hint="eastAsia" w:cs="Times New Roman"/>
                      <w:i w:val="0"/>
                      <w:iCs w:val="0"/>
                      <w:color w:val="000000"/>
                      <w:kern w:val="0"/>
                      <w:sz w:val="21"/>
                      <w:szCs w:val="21"/>
                      <w:highlight w:val="none"/>
                      <w:u w:val="none"/>
                      <w:lang w:val="en-US" w:eastAsia="zh-CN" w:bidi="ar"/>
                    </w:rPr>
                    <w:t>42</w:t>
                  </w:r>
                  <w:r>
                    <w:rPr>
                      <w:rFonts w:hint="eastAsia" w:ascii="宋体" w:hAnsi="宋体" w:eastAsia="宋体" w:cs="宋体"/>
                      <w:i w:val="0"/>
                      <w:iCs w:val="0"/>
                      <w:color w:val="000000"/>
                      <w:kern w:val="0"/>
                      <w:sz w:val="21"/>
                      <w:szCs w:val="21"/>
                      <w:highlight w:val="none"/>
                      <w:u w:val="none"/>
                      <w:lang w:val="en-US" w:eastAsia="zh-CN" w:bidi="ar"/>
                    </w:rPr>
                    <w:t>万件</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431A8">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一周</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89AB6">
                  <w:pPr>
                    <w:jc w:val="center"/>
                    <w:rPr>
                      <w:rFonts w:hint="default" w:ascii="Times New Roman" w:hAnsi="Times New Roman" w:eastAsia="宋体" w:cs="Times New Roman"/>
                      <w:i w:val="0"/>
                      <w:iCs w:val="0"/>
                      <w:color w:val="auto"/>
                      <w:sz w:val="21"/>
                      <w:szCs w:val="21"/>
                      <w:highlight w:val="none"/>
                      <w:u w:val="none"/>
                    </w:rPr>
                  </w:pPr>
                </w:p>
              </w:tc>
            </w:tr>
            <w:tr w14:paraId="6613A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0972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4649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LED</w:t>
                  </w:r>
                  <w:r>
                    <w:rPr>
                      <w:rFonts w:hint="eastAsia" w:ascii="宋体" w:hAnsi="宋体" w:eastAsia="宋体" w:cs="宋体"/>
                      <w:i w:val="0"/>
                      <w:iCs w:val="0"/>
                      <w:color w:val="auto"/>
                      <w:kern w:val="0"/>
                      <w:sz w:val="21"/>
                      <w:szCs w:val="21"/>
                      <w:highlight w:val="none"/>
                      <w:u w:val="none"/>
                      <w:lang w:val="en-US" w:eastAsia="zh-CN" w:bidi="ar"/>
                    </w:rPr>
                    <w:t>灯</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6D9C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1515/2020</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F6697">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896000000万粒</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408A3">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18700000万粒</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B5327">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一周</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8D322">
                  <w:pPr>
                    <w:jc w:val="center"/>
                    <w:rPr>
                      <w:rFonts w:hint="default" w:ascii="Times New Roman" w:hAnsi="Times New Roman" w:eastAsia="宋体" w:cs="Times New Roman"/>
                      <w:i w:val="0"/>
                      <w:iCs w:val="0"/>
                      <w:color w:val="auto"/>
                      <w:sz w:val="21"/>
                      <w:szCs w:val="21"/>
                      <w:highlight w:val="none"/>
                      <w:u w:val="none"/>
                    </w:rPr>
                  </w:pPr>
                </w:p>
              </w:tc>
            </w:tr>
            <w:tr w14:paraId="2FA59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CAF2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130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电阻</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4E83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603</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276F3">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21120万粒</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17747">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880万粒</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2A9F5">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半个月</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A75C4">
                  <w:pPr>
                    <w:jc w:val="center"/>
                    <w:rPr>
                      <w:rFonts w:hint="default" w:ascii="Times New Roman" w:hAnsi="Times New Roman" w:eastAsia="宋体" w:cs="Times New Roman"/>
                      <w:i w:val="0"/>
                      <w:iCs w:val="0"/>
                      <w:color w:val="auto"/>
                      <w:sz w:val="21"/>
                      <w:szCs w:val="21"/>
                      <w:highlight w:val="none"/>
                      <w:u w:val="none"/>
                    </w:rPr>
                  </w:pPr>
                </w:p>
              </w:tc>
            </w:tr>
            <w:tr w14:paraId="4103E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94A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A35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电容</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E1E4C">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603</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AC1FF">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19200万粒</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FDB76">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800万粒</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31D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半个月</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2F4C4">
                  <w:pPr>
                    <w:jc w:val="center"/>
                    <w:rPr>
                      <w:rFonts w:hint="default" w:ascii="Times New Roman" w:hAnsi="Times New Roman" w:eastAsia="宋体" w:cs="Times New Roman"/>
                      <w:i w:val="0"/>
                      <w:iCs w:val="0"/>
                      <w:color w:val="auto"/>
                      <w:sz w:val="21"/>
                      <w:szCs w:val="21"/>
                      <w:highlight w:val="none"/>
                      <w:u w:val="none"/>
                    </w:rPr>
                  </w:pPr>
                </w:p>
              </w:tc>
            </w:tr>
            <w:tr w14:paraId="6E920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F19B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609F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IC</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D161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6124</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EBAC8">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563200万粒</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94A5B">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23470万粒</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229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半个月</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77179">
                  <w:pPr>
                    <w:jc w:val="center"/>
                    <w:rPr>
                      <w:rFonts w:hint="default" w:ascii="Times New Roman" w:hAnsi="Times New Roman" w:eastAsia="宋体" w:cs="Times New Roman"/>
                      <w:i w:val="0"/>
                      <w:iCs w:val="0"/>
                      <w:color w:val="auto"/>
                      <w:sz w:val="21"/>
                      <w:szCs w:val="21"/>
                      <w:highlight w:val="none"/>
                      <w:u w:val="none"/>
                    </w:rPr>
                  </w:pPr>
                </w:p>
              </w:tc>
            </w:tr>
            <w:tr w14:paraId="36038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E082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7</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40F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电源座</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52E9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VH4</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EFC8A">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7000万个</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7906E">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145万个</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2CB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一周</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32449">
                  <w:pPr>
                    <w:jc w:val="center"/>
                    <w:rPr>
                      <w:rFonts w:hint="default" w:ascii="Times New Roman" w:hAnsi="Times New Roman" w:eastAsia="宋体" w:cs="Times New Roman"/>
                      <w:i w:val="0"/>
                      <w:iCs w:val="0"/>
                      <w:color w:val="auto"/>
                      <w:sz w:val="21"/>
                      <w:szCs w:val="21"/>
                      <w:highlight w:val="none"/>
                      <w:u w:val="none"/>
                    </w:rPr>
                  </w:pPr>
                </w:p>
              </w:tc>
            </w:tr>
            <w:tr w14:paraId="64CD7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7BB4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8</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CA3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排针</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55337">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2*8P</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D45BD">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14000万个</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D970C">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580万个</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DC6E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一周</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598AF8">
                  <w:pPr>
                    <w:jc w:val="center"/>
                    <w:rPr>
                      <w:rFonts w:hint="default" w:ascii="Times New Roman" w:hAnsi="Times New Roman" w:eastAsia="宋体" w:cs="Times New Roman"/>
                      <w:i w:val="0"/>
                      <w:iCs w:val="0"/>
                      <w:color w:val="auto"/>
                      <w:sz w:val="21"/>
                      <w:szCs w:val="21"/>
                      <w:highlight w:val="none"/>
                      <w:u w:val="none"/>
                    </w:rPr>
                  </w:pPr>
                </w:p>
              </w:tc>
            </w:tr>
            <w:tr w14:paraId="15225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52E1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9</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677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底壳</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33F5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256*256</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A9502">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7000万个</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F81A9">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290万个</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C6F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一周</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4979D">
                  <w:pPr>
                    <w:jc w:val="center"/>
                    <w:rPr>
                      <w:rFonts w:hint="default" w:ascii="Times New Roman" w:hAnsi="Times New Roman" w:eastAsia="宋体" w:cs="Times New Roman"/>
                      <w:i w:val="0"/>
                      <w:iCs w:val="0"/>
                      <w:color w:val="auto"/>
                      <w:sz w:val="21"/>
                      <w:szCs w:val="21"/>
                      <w:highlight w:val="none"/>
                      <w:u w:val="none"/>
                    </w:rPr>
                  </w:pPr>
                </w:p>
              </w:tc>
            </w:tr>
            <w:tr w14:paraId="54271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4A07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10</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F57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面罩</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B8BC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256*128</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5CB1F">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14080万个</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EBA2B">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290万个</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8B0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一周</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F9038">
                  <w:pPr>
                    <w:jc w:val="center"/>
                    <w:rPr>
                      <w:rFonts w:hint="default" w:ascii="Times New Roman" w:hAnsi="Times New Roman" w:eastAsia="宋体" w:cs="Times New Roman"/>
                      <w:i w:val="0"/>
                      <w:iCs w:val="0"/>
                      <w:color w:val="auto"/>
                      <w:sz w:val="21"/>
                      <w:szCs w:val="21"/>
                      <w:highlight w:val="none"/>
                      <w:u w:val="none"/>
                    </w:rPr>
                  </w:pPr>
                </w:p>
              </w:tc>
            </w:tr>
            <w:tr w14:paraId="1B400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644E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324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电解电容</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FC9B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6.3*5.8</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F7707">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28000万个</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0DC15">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580万个</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C047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一周</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DCFB2">
                  <w:pPr>
                    <w:jc w:val="center"/>
                    <w:rPr>
                      <w:rFonts w:hint="default" w:ascii="Times New Roman" w:hAnsi="Times New Roman" w:eastAsia="宋体" w:cs="Times New Roman"/>
                      <w:i w:val="0"/>
                      <w:iCs w:val="0"/>
                      <w:color w:val="auto"/>
                      <w:sz w:val="21"/>
                      <w:szCs w:val="21"/>
                      <w:highlight w:val="none"/>
                      <w:u w:val="none"/>
                    </w:rPr>
                  </w:pPr>
                </w:p>
              </w:tc>
            </w:tr>
            <w:tr w14:paraId="2C1A3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FAB8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A10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磁铁</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6A7A2">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13*17</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76FFE">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0.5万</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03DA0">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0.01万个</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F7A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一周</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335D2">
                  <w:pPr>
                    <w:jc w:val="center"/>
                    <w:rPr>
                      <w:rFonts w:hint="default" w:ascii="Times New Roman" w:hAnsi="Times New Roman" w:eastAsia="宋体" w:cs="Times New Roman"/>
                      <w:i w:val="0"/>
                      <w:iCs w:val="0"/>
                      <w:color w:val="auto"/>
                      <w:sz w:val="21"/>
                      <w:szCs w:val="21"/>
                      <w:highlight w:val="none"/>
                      <w:u w:val="none"/>
                    </w:rPr>
                  </w:pPr>
                </w:p>
              </w:tc>
            </w:tr>
            <w:tr w14:paraId="476B9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C2BA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8DD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电源线</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9156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70CM</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15F23">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7000万个</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F41B8">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145万个</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BC9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一周</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49157">
                  <w:pPr>
                    <w:jc w:val="center"/>
                    <w:rPr>
                      <w:rFonts w:hint="default" w:ascii="Times New Roman" w:hAnsi="Times New Roman" w:eastAsia="宋体" w:cs="Times New Roman"/>
                      <w:i w:val="0"/>
                      <w:iCs w:val="0"/>
                      <w:color w:val="auto"/>
                      <w:sz w:val="21"/>
                      <w:szCs w:val="21"/>
                      <w:highlight w:val="none"/>
                      <w:u w:val="none"/>
                    </w:rPr>
                  </w:pPr>
                </w:p>
              </w:tc>
            </w:tr>
            <w:tr w14:paraId="54961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858E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FCF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排线</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D866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16CM</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FF720">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7000万个</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47CE1">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145万个</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C15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一周</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99845">
                  <w:pPr>
                    <w:jc w:val="center"/>
                    <w:rPr>
                      <w:rFonts w:hint="default" w:ascii="Times New Roman" w:hAnsi="Times New Roman" w:eastAsia="宋体" w:cs="Times New Roman"/>
                      <w:i w:val="0"/>
                      <w:iCs w:val="0"/>
                      <w:color w:val="auto"/>
                      <w:sz w:val="21"/>
                      <w:szCs w:val="21"/>
                      <w:highlight w:val="none"/>
                      <w:u w:val="none"/>
                    </w:rPr>
                  </w:pPr>
                </w:p>
              </w:tc>
            </w:tr>
            <w:tr w14:paraId="5B227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415D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045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珍珠棉</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6735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EC354">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176万套</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FF69C">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default" w:cs="Times New Roman"/>
                      <w:color w:val="auto"/>
                      <w:spacing w:val="-2"/>
                      <w:kern w:val="0"/>
                      <w:sz w:val="21"/>
                      <w:szCs w:val="21"/>
                      <w:highlight w:val="none"/>
                      <w:lang w:val="en-US" w:eastAsia="zh-CN"/>
                    </w:rPr>
                    <w:t>0.22</w:t>
                  </w:r>
                  <w:r>
                    <w:rPr>
                      <w:rFonts w:hint="eastAsia" w:cs="Times New Roman"/>
                      <w:color w:val="auto"/>
                      <w:spacing w:val="-2"/>
                      <w:kern w:val="0"/>
                      <w:sz w:val="21"/>
                      <w:szCs w:val="21"/>
                      <w:highlight w:val="none"/>
                      <w:lang w:val="en-US" w:eastAsia="zh-CN"/>
                    </w:rPr>
                    <w:t>万套</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B4E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半个月</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5E8BD">
                  <w:pPr>
                    <w:jc w:val="center"/>
                    <w:rPr>
                      <w:rFonts w:hint="default" w:ascii="Times New Roman" w:hAnsi="Times New Roman" w:eastAsia="宋体" w:cs="Times New Roman"/>
                      <w:i w:val="0"/>
                      <w:iCs w:val="0"/>
                      <w:color w:val="auto"/>
                      <w:sz w:val="21"/>
                      <w:szCs w:val="21"/>
                      <w:highlight w:val="none"/>
                      <w:u w:val="none"/>
                    </w:rPr>
                  </w:pPr>
                </w:p>
              </w:tc>
            </w:tr>
            <w:tr w14:paraId="4C6AA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FC33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635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套件螺丝</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01F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非标定制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FA9B5">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28000万个</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A7248">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10</w:t>
                  </w:r>
                  <w:r>
                    <w:rPr>
                      <w:rFonts w:hint="default" w:cs="Times New Roman"/>
                      <w:color w:val="auto"/>
                      <w:spacing w:val="-2"/>
                      <w:kern w:val="0"/>
                      <w:sz w:val="21"/>
                      <w:szCs w:val="21"/>
                      <w:highlight w:val="none"/>
                      <w:lang w:val="en-US" w:eastAsia="zh-CN"/>
                    </w:rPr>
                    <w:t>0</w:t>
                  </w:r>
                  <w:r>
                    <w:rPr>
                      <w:rFonts w:hint="eastAsia" w:cs="Times New Roman"/>
                      <w:color w:val="auto"/>
                      <w:spacing w:val="-2"/>
                      <w:kern w:val="0"/>
                      <w:sz w:val="21"/>
                      <w:szCs w:val="21"/>
                      <w:highlight w:val="none"/>
                      <w:lang w:val="en-US" w:eastAsia="zh-CN"/>
                    </w:rPr>
                    <w:t>万个</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498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半个月</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E55CA">
                  <w:pPr>
                    <w:jc w:val="center"/>
                    <w:rPr>
                      <w:rFonts w:hint="default" w:ascii="Times New Roman" w:hAnsi="Times New Roman" w:eastAsia="宋体" w:cs="Times New Roman"/>
                      <w:i w:val="0"/>
                      <w:iCs w:val="0"/>
                      <w:color w:val="auto"/>
                      <w:sz w:val="21"/>
                      <w:szCs w:val="21"/>
                      <w:highlight w:val="none"/>
                      <w:u w:val="none"/>
                    </w:rPr>
                  </w:pPr>
                </w:p>
              </w:tc>
            </w:tr>
            <w:tr w14:paraId="27F2E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E7F3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961B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纸箱</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94CF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4A9D9">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176万套</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2DBC4">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1万套</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994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半个月</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504E8">
                  <w:pPr>
                    <w:jc w:val="center"/>
                    <w:rPr>
                      <w:rFonts w:hint="default" w:ascii="Times New Roman" w:hAnsi="Times New Roman" w:eastAsia="宋体" w:cs="Times New Roman"/>
                      <w:i w:val="0"/>
                      <w:iCs w:val="0"/>
                      <w:color w:val="auto"/>
                      <w:sz w:val="21"/>
                      <w:szCs w:val="21"/>
                      <w:highlight w:val="none"/>
                      <w:u w:val="none"/>
                    </w:rPr>
                  </w:pPr>
                </w:p>
              </w:tc>
            </w:tr>
            <w:tr w14:paraId="21BE7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1178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FCA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螺丝</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E3B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非标定制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26D72">
                  <w:pPr>
                    <w:keepNext w:val="0"/>
                    <w:keepLines w:val="0"/>
                    <w:widowControl/>
                    <w:suppressLineNumbers w:val="0"/>
                    <w:jc w:val="center"/>
                    <w:textAlignment w:val="center"/>
                    <w:rPr>
                      <w:rFonts w:hint="eastAsia"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若干</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FC8CC">
                  <w:pPr>
                    <w:keepNext w:val="0"/>
                    <w:keepLines w:val="0"/>
                    <w:widowControl/>
                    <w:suppressLineNumbers w:val="0"/>
                    <w:jc w:val="center"/>
                    <w:textAlignment w:val="center"/>
                    <w:rPr>
                      <w:rFonts w:hint="eastAsia"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若干</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C2C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半个月</w:t>
                  </w:r>
                </w:p>
              </w:tc>
              <w:tc>
                <w:tcPr>
                  <w:tcW w:w="6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DC5E5">
                  <w:pPr>
                    <w:jc w:val="center"/>
                    <w:rPr>
                      <w:rFonts w:hint="default" w:ascii="Times New Roman" w:hAnsi="Times New Roman" w:eastAsia="宋体" w:cs="Times New Roman"/>
                      <w:i w:val="0"/>
                      <w:iCs w:val="0"/>
                      <w:color w:val="auto"/>
                      <w:sz w:val="21"/>
                      <w:szCs w:val="21"/>
                      <w:highlight w:val="none"/>
                      <w:u w:val="none"/>
                    </w:rPr>
                  </w:pPr>
                </w:p>
              </w:tc>
            </w:tr>
            <w:tr w14:paraId="6EBDA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6467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2BB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无铅锡丝</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C788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9949E">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150</w:t>
                  </w:r>
                  <w:r>
                    <w:rPr>
                      <w:rFonts w:hint="default" w:cs="Times New Roman"/>
                      <w:color w:val="auto"/>
                      <w:spacing w:val="-2"/>
                      <w:kern w:val="0"/>
                      <w:sz w:val="21"/>
                      <w:szCs w:val="21"/>
                      <w:highlight w:val="none"/>
                      <w:lang w:val="en-US" w:eastAsia="zh-CN"/>
                    </w:rPr>
                    <w:t>kg</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CA2B0">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5</w:t>
                  </w:r>
                  <w:r>
                    <w:rPr>
                      <w:rFonts w:hint="default" w:cs="Times New Roman"/>
                      <w:color w:val="auto"/>
                      <w:spacing w:val="-2"/>
                      <w:kern w:val="0"/>
                      <w:sz w:val="21"/>
                      <w:szCs w:val="21"/>
                      <w:highlight w:val="none"/>
                      <w:lang w:val="en-US" w:eastAsia="zh-CN"/>
                    </w:rPr>
                    <w:t>0kg</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8B3A1">
                  <w:pPr>
                    <w:keepNext w:val="0"/>
                    <w:keepLines w:val="0"/>
                    <w:widowControl/>
                    <w:suppressLineNumbers w:val="0"/>
                    <w:jc w:val="center"/>
                    <w:textAlignment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cs="Times New Roman"/>
                      <w:i w:val="0"/>
                      <w:iCs w:val="0"/>
                      <w:color w:val="auto"/>
                      <w:sz w:val="21"/>
                      <w:szCs w:val="21"/>
                      <w:highlight w:val="none"/>
                      <w:u w:val="none"/>
                      <w:lang w:val="en-US" w:eastAsia="zh-CN"/>
                    </w:rPr>
                    <w:t>四个月</w:t>
                  </w:r>
                </w:p>
              </w:tc>
              <w:tc>
                <w:tcPr>
                  <w:tcW w:w="689" w:type="pct"/>
                  <w:vMerge w:val="restart"/>
                  <w:tcBorders>
                    <w:top w:val="single" w:color="000000" w:sz="4" w:space="0"/>
                    <w:left w:val="single" w:color="000000" w:sz="4" w:space="0"/>
                    <w:right w:val="single" w:color="000000" w:sz="4" w:space="0"/>
                  </w:tcBorders>
                  <w:shd w:val="clear" w:color="auto" w:fill="auto"/>
                  <w:vAlign w:val="center"/>
                </w:tcPr>
                <w:p w14:paraId="2AE389D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cs="Times New Roman"/>
                      <w:i w:val="0"/>
                      <w:iCs w:val="0"/>
                      <w:color w:val="auto"/>
                      <w:kern w:val="0"/>
                      <w:sz w:val="21"/>
                      <w:szCs w:val="21"/>
                      <w:highlight w:val="none"/>
                      <w:u w:val="none"/>
                      <w:lang w:val="en-US" w:eastAsia="zh-CN" w:bidi="ar"/>
                    </w:rPr>
                    <w:t>原料仓库2</w:t>
                  </w:r>
                </w:p>
              </w:tc>
            </w:tr>
            <w:tr w14:paraId="42BDE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1E79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713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无尘擦拭纸</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EB1A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CB3AE">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10万张</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6879F">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0.8万张</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316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一个月</w:t>
                  </w:r>
                </w:p>
              </w:tc>
              <w:tc>
                <w:tcPr>
                  <w:tcW w:w="689" w:type="pct"/>
                  <w:vMerge w:val="continue"/>
                  <w:tcBorders>
                    <w:left w:val="single" w:color="000000" w:sz="4" w:space="0"/>
                    <w:right w:val="single" w:color="000000" w:sz="4" w:space="0"/>
                  </w:tcBorders>
                  <w:shd w:val="clear" w:color="auto" w:fill="auto"/>
                  <w:vAlign w:val="center"/>
                </w:tcPr>
                <w:p w14:paraId="0A93D438">
                  <w:pPr>
                    <w:jc w:val="center"/>
                    <w:rPr>
                      <w:rFonts w:hint="eastAsia" w:ascii="宋体" w:hAnsi="宋体" w:eastAsia="宋体" w:cs="宋体"/>
                      <w:i w:val="0"/>
                      <w:iCs w:val="0"/>
                      <w:color w:val="auto"/>
                      <w:sz w:val="21"/>
                      <w:szCs w:val="21"/>
                      <w:highlight w:val="none"/>
                      <w:u w:val="none"/>
                    </w:rPr>
                  </w:pPr>
                </w:p>
              </w:tc>
            </w:tr>
            <w:tr w14:paraId="4D5DD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D568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207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98%</w:t>
                  </w:r>
                  <w:r>
                    <w:rPr>
                      <w:rFonts w:hint="eastAsia" w:ascii="宋体" w:hAnsi="宋体" w:eastAsia="宋体" w:cs="宋体"/>
                      <w:i w:val="0"/>
                      <w:iCs w:val="0"/>
                      <w:color w:val="auto"/>
                      <w:kern w:val="0"/>
                      <w:sz w:val="21"/>
                      <w:szCs w:val="21"/>
                      <w:highlight w:val="none"/>
                      <w:u w:val="none"/>
                      <w:lang w:val="en-US" w:eastAsia="zh-CN" w:bidi="ar"/>
                    </w:rPr>
                    <w:t>酒精</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7AD7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5kg/</w:t>
                  </w:r>
                  <w:r>
                    <w:rPr>
                      <w:rFonts w:hint="eastAsia" w:ascii="宋体" w:hAnsi="宋体" w:eastAsia="宋体" w:cs="宋体"/>
                      <w:i w:val="0"/>
                      <w:iCs w:val="0"/>
                      <w:color w:val="auto"/>
                      <w:kern w:val="0"/>
                      <w:sz w:val="21"/>
                      <w:szCs w:val="21"/>
                      <w:highlight w:val="none"/>
                      <w:u w:val="none"/>
                      <w:lang w:val="en-US" w:eastAsia="zh-CN" w:bidi="ar"/>
                    </w:rPr>
                    <w:t>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8F9D2">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800</w:t>
                  </w:r>
                  <w:r>
                    <w:rPr>
                      <w:rFonts w:hint="default" w:cs="Times New Roman"/>
                      <w:color w:val="auto"/>
                      <w:spacing w:val="-2"/>
                      <w:kern w:val="0"/>
                      <w:sz w:val="21"/>
                      <w:szCs w:val="21"/>
                      <w:highlight w:val="none"/>
                      <w:lang w:val="en-US" w:eastAsia="zh-CN"/>
                    </w:rPr>
                    <w:t>kg</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22F80">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35</w:t>
                  </w:r>
                  <w:r>
                    <w:rPr>
                      <w:rFonts w:hint="default" w:cs="Times New Roman"/>
                      <w:color w:val="auto"/>
                      <w:spacing w:val="-2"/>
                      <w:kern w:val="0"/>
                      <w:sz w:val="21"/>
                      <w:szCs w:val="21"/>
                      <w:highlight w:val="none"/>
                      <w:lang w:val="en-US" w:eastAsia="zh-CN"/>
                    </w:rPr>
                    <w:t>kg</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E9501">
                  <w:pPr>
                    <w:keepNext w:val="0"/>
                    <w:keepLines w:val="0"/>
                    <w:widowControl/>
                    <w:suppressLineNumbers w:val="0"/>
                    <w:jc w:val="center"/>
                    <w:textAlignment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cs="Times New Roman"/>
                      <w:i w:val="0"/>
                      <w:iCs w:val="0"/>
                      <w:color w:val="auto"/>
                      <w:sz w:val="21"/>
                      <w:szCs w:val="21"/>
                      <w:highlight w:val="none"/>
                      <w:u w:val="none"/>
                      <w:lang w:val="en-US" w:eastAsia="zh-CN"/>
                    </w:rPr>
                    <w:t>半个月</w:t>
                  </w:r>
                </w:p>
              </w:tc>
              <w:tc>
                <w:tcPr>
                  <w:tcW w:w="689" w:type="pct"/>
                  <w:vMerge w:val="continue"/>
                  <w:tcBorders>
                    <w:left w:val="single" w:color="000000" w:sz="4" w:space="0"/>
                    <w:right w:val="single" w:color="000000" w:sz="4" w:space="0"/>
                  </w:tcBorders>
                  <w:shd w:val="clear" w:color="auto" w:fill="auto"/>
                  <w:vAlign w:val="center"/>
                </w:tcPr>
                <w:p w14:paraId="74597FDF">
                  <w:pPr>
                    <w:jc w:val="center"/>
                    <w:rPr>
                      <w:rFonts w:hint="eastAsia" w:ascii="宋体" w:hAnsi="宋体" w:eastAsia="宋体" w:cs="宋体"/>
                      <w:i w:val="0"/>
                      <w:iCs w:val="0"/>
                      <w:color w:val="auto"/>
                      <w:sz w:val="21"/>
                      <w:szCs w:val="21"/>
                      <w:highlight w:val="none"/>
                      <w:u w:val="none"/>
                    </w:rPr>
                  </w:pPr>
                </w:p>
              </w:tc>
            </w:tr>
            <w:tr w14:paraId="7A5EE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4EC5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6546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无铅锡膏</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99E8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500g/</w:t>
                  </w:r>
                  <w:r>
                    <w:rPr>
                      <w:rFonts w:hint="eastAsia" w:ascii="宋体" w:hAnsi="宋体" w:eastAsia="宋体" w:cs="宋体"/>
                      <w:i w:val="0"/>
                      <w:iCs w:val="0"/>
                      <w:color w:val="auto"/>
                      <w:kern w:val="0"/>
                      <w:sz w:val="21"/>
                      <w:szCs w:val="21"/>
                      <w:highlight w:val="none"/>
                      <w:u w:val="none"/>
                      <w:lang w:val="en-US" w:eastAsia="zh-CN" w:bidi="ar"/>
                    </w:rPr>
                    <w:t>罐</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FF1F2">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160</w:t>
                  </w:r>
                  <w:r>
                    <w:rPr>
                      <w:rFonts w:hint="default" w:cs="Times New Roman"/>
                      <w:color w:val="auto"/>
                      <w:spacing w:val="-2"/>
                      <w:kern w:val="0"/>
                      <w:sz w:val="21"/>
                      <w:szCs w:val="21"/>
                      <w:highlight w:val="none"/>
                      <w:lang w:val="en-US" w:eastAsia="zh-CN"/>
                    </w:rPr>
                    <w:t>t</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1BEC6">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3.5</w:t>
                  </w:r>
                  <w:r>
                    <w:rPr>
                      <w:rFonts w:hint="default" w:cs="Times New Roman"/>
                      <w:color w:val="auto"/>
                      <w:spacing w:val="-2"/>
                      <w:kern w:val="0"/>
                      <w:sz w:val="21"/>
                      <w:szCs w:val="21"/>
                      <w:highlight w:val="none"/>
                      <w:lang w:val="en-US" w:eastAsia="zh-CN"/>
                    </w:rPr>
                    <w:t>t</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AD4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一周</w:t>
                  </w:r>
                </w:p>
              </w:tc>
              <w:tc>
                <w:tcPr>
                  <w:tcW w:w="689" w:type="pct"/>
                  <w:vMerge w:val="continue"/>
                  <w:tcBorders>
                    <w:left w:val="single" w:color="000000" w:sz="4" w:space="0"/>
                    <w:right w:val="single" w:color="000000" w:sz="4" w:space="0"/>
                  </w:tcBorders>
                  <w:shd w:val="clear" w:color="auto" w:fill="auto"/>
                  <w:vAlign w:val="center"/>
                </w:tcPr>
                <w:p w14:paraId="2E4A5BC7">
                  <w:pPr>
                    <w:jc w:val="center"/>
                    <w:rPr>
                      <w:rFonts w:hint="eastAsia" w:ascii="宋体" w:hAnsi="宋体" w:eastAsia="宋体" w:cs="宋体"/>
                      <w:i w:val="0"/>
                      <w:iCs w:val="0"/>
                      <w:color w:val="auto"/>
                      <w:sz w:val="21"/>
                      <w:szCs w:val="21"/>
                      <w:highlight w:val="none"/>
                      <w:u w:val="none"/>
                    </w:rPr>
                  </w:pPr>
                </w:p>
              </w:tc>
            </w:tr>
            <w:tr w14:paraId="68DB0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A4841">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DE8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机油</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7DED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25kg/</w:t>
                  </w:r>
                  <w:r>
                    <w:rPr>
                      <w:rFonts w:hint="eastAsia" w:ascii="宋体" w:hAnsi="宋体" w:eastAsia="宋体" w:cs="宋体"/>
                      <w:i w:val="0"/>
                      <w:iCs w:val="0"/>
                      <w:color w:val="auto"/>
                      <w:kern w:val="0"/>
                      <w:sz w:val="21"/>
                      <w:szCs w:val="21"/>
                      <w:highlight w:val="none"/>
                      <w:u w:val="none"/>
                      <w:lang w:val="en-US" w:eastAsia="zh-CN" w:bidi="ar"/>
                    </w:rPr>
                    <w:t>桶</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CB80E">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default" w:cs="Times New Roman"/>
                      <w:color w:val="auto"/>
                      <w:spacing w:val="-2"/>
                      <w:kern w:val="0"/>
                      <w:sz w:val="21"/>
                      <w:szCs w:val="21"/>
                      <w:highlight w:val="none"/>
                      <w:lang w:val="en-US" w:eastAsia="zh-CN"/>
                    </w:rPr>
                    <w:t>1.2t</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74398">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default" w:cs="Times New Roman"/>
                      <w:color w:val="auto"/>
                      <w:spacing w:val="-2"/>
                      <w:kern w:val="0"/>
                      <w:sz w:val="21"/>
                      <w:szCs w:val="21"/>
                      <w:highlight w:val="none"/>
                      <w:lang w:val="en-US" w:eastAsia="zh-CN"/>
                    </w:rPr>
                    <w:t>0.</w:t>
                  </w:r>
                  <w:r>
                    <w:rPr>
                      <w:rFonts w:hint="eastAsia" w:cs="Times New Roman"/>
                      <w:color w:val="auto"/>
                      <w:spacing w:val="-2"/>
                      <w:kern w:val="0"/>
                      <w:sz w:val="21"/>
                      <w:szCs w:val="21"/>
                      <w:highlight w:val="none"/>
                      <w:lang w:val="en-US" w:eastAsia="zh-CN"/>
                    </w:rPr>
                    <w:t>1</w:t>
                  </w:r>
                  <w:r>
                    <w:rPr>
                      <w:rFonts w:hint="default" w:cs="Times New Roman"/>
                      <w:color w:val="auto"/>
                      <w:spacing w:val="-2"/>
                      <w:kern w:val="0"/>
                      <w:sz w:val="21"/>
                      <w:szCs w:val="21"/>
                      <w:highlight w:val="none"/>
                      <w:lang w:val="en-US" w:eastAsia="zh-CN"/>
                    </w:rPr>
                    <w:t>t</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96F88">
                  <w:pPr>
                    <w:keepNext w:val="0"/>
                    <w:keepLines w:val="0"/>
                    <w:widowControl/>
                    <w:suppressLineNumbers w:val="0"/>
                    <w:jc w:val="center"/>
                    <w:textAlignment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cs="Times New Roman"/>
                      <w:i w:val="0"/>
                      <w:iCs w:val="0"/>
                      <w:color w:val="auto"/>
                      <w:sz w:val="21"/>
                      <w:szCs w:val="21"/>
                      <w:highlight w:val="none"/>
                      <w:u w:val="none"/>
                      <w:lang w:val="en-US" w:eastAsia="zh-CN"/>
                    </w:rPr>
                    <w:t>一个月</w:t>
                  </w:r>
                </w:p>
              </w:tc>
              <w:tc>
                <w:tcPr>
                  <w:tcW w:w="689" w:type="pct"/>
                  <w:vMerge w:val="continue"/>
                  <w:tcBorders>
                    <w:left w:val="single" w:color="000000" w:sz="4" w:space="0"/>
                    <w:right w:val="single" w:color="000000" w:sz="4" w:space="0"/>
                  </w:tcBorders>
                  <w:shd w:val="clear" w:color="auto" w:fill="auto"/>
                  <w:vAlign w:val="center"/>
                </w:tcPr>
                <w:p w14:paraId="5FBDA3D2">
                  <w:pPr>
                    <w:jc w:val="center"/>
                    <w:rPr>
                      <w:rFonts w:hint="eastAsia" w:ascii="宋体" w:hAnsi="宋体" w:eastAsia="宋体" w:cs="宋体"/>
                      <w:i w:val="0"/>
                      <w:iCs w:val="0"/>
                      <w:color w:val="auto"/>
                      <w:sz w:val="21"/>
                      <w:szCs w:val="21"/>
                      <w:highlight w:val="none"/>
                      <w:u w:val="none"/>
                    </w:rPr>
                  </w:pPr>
                </w:p>
              </w:tc>
            </w:tr>
            <w:tr w14:paraId="1B936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14C0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24</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A2A13">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PS</w:t>
                  </w:r>
                  <w:r>
                    <w:rPr>
                      <w:rFonts w:hint="eastAsia"/>
                      <w:highlight w:val="none"/>
                      <w:lang w:eastAsia="zh-CN"/>
                    </w:rPr>
                    <w:t>（</w:t>
                  </w:r>
                  <w:r>
                    <w:rPr>
                      <w:rFonts w:hint="eastAsia"/>
                      <w:highlight w:val="none"/>
                      <w:lang w:val="en-US" w:eastAsia="zh-CN"/>
                    </w:rPr>
                    <w:t>聚苯乙烯</w:t>
                  </w:r>
                  <w:r>
                    <w:rPr>
                      <w:rFonts w:hint="eastAsia"/>
                      <w:highlight w:val="none"/>
                      <w:lang w:eastAsia="zh-CN"/>
                    </w:rPr>
                    <w:t>）</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D1C2F">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8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8256D">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54吨</w:t>
                  </w:r>
                </w:p>
              </w:tc>
              <w:tc>
                <w:tcPr>
                  <w:tcW w:w="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649E4">
                  <w:pPr>
                    <w:keepNext w:val="0"/>
                    <w:keepLines w:val="0"/>
                    <w:widowControl/>
                    <w:suppressLineNumbers w:val="0"/>
                    <w:jc w:val="center"/>
                    <w:textAlignment w:val="center"/>
                    <w:rPr>
                      <w:rFonts w:hint="default" w:cs="Times New Roman"/>
                      <w:color w:val="auto"/>
                      <w:spacing w:val="-2"/>
                      <w:kern w:val="0"/>
                      <w:sz w:val="21"/>
                      <w:szCs w:val="21"/>
                      <w:highlight w:val="none"/>
                      <w:lang w:val="en-US" w:eastAsia="zh-CN"/>
                    </w:rPr>
                  </w:pPr>
                  <w:r>
                    <w:rPr>
                      <w:rFonts w:hint="eastAsia" w:cs="Times New Roman"/>
                      <w:color w:val="auto"/>
                      <w:spacing w:val="-2"/>
                      <w:kern w:val="0"/>
                      <w:sz w:val="21"/>
                      <w:szCs w:val="21"/>
                      <w:highlight w:val="none"/>
                      <w:lang w:val="en-US" w:eastAsia="zh-CN"/>
                    </w:rPr>
                    <w:t>4.5吨</w:t>
                  </w:r>
                </w:p>
              </w:tc>
              <w:tc>
                <w:tcPr>
                  <w:tcW w:w="6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7538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一个月</w:t>
                  </w:r>
                </w:p>
              </w:tc>
              <w:tc>
                <w:tcPr>
                  <w:tcW w:w="689" w:type="pct"/>
                  <w:vMerge w:val="continue"/>
                  <w:tcBorders>
                    <w:left w:val="single" w:color="000000" w:sz="4" w:space="0"/>
                    <w:bottom w:val="single" w:color="auto" w:sz="4" w:space="0"/>
                    <w:right w:val="single" w:color="000000" w:sz="4" w:space="0"/>
                  </w:tcBorders>
                  <w:shd w:val="clear" w:color="auto" w:fill="auto"/>
                  <w:vAlign w:val="center"/>
                </w:tcPr>
                <w:p w14:paraId="42933450">
                  <w:pPr>
                    <w:jc w:val="center"/>
                    <w:rPr>
                      <w:rFonts w:hint="eastAsia" w:ascii="宋体" w:hAnsi="宋体" w:eastAsia="宋体" w:cs="宋体"/>
                      <w:i w:val="0"/>
                      <w:iCs w:val="0"/>
                      <w:color w:val="auto"/>
                      <w:sz w:val="21"/>
                      <w:szCs w:val="21"/>
                      <w:highlight w:val="none"/>
                      <w:u w:val="none"/>
                    </w:rPr>
                  </w:pPr>
                </w:p>
              </w:tc>
            </w:tr>
            <w:tr w14:paraId="0D015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2693134">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能源</w:t>
                  </w:r>
                </w:p>
              </w:tc>
            </w:tr>
            <w:tr w14:paraId="593C9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73B04">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FA6F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类别</w:t>
                  </w:r>
                </w:p>
              </w:tc>
              <w:tc>
                <w:tcPr>
                  <w:tcW w:w="17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8BB60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消耗量</w:t>
                  </w:r>
                </w:p>
              </w:tc>
              <w:tc>
                <w:tcPr>
                  <w:tcW w:w="214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D0F39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来源</w:t>
                  </w:r>
                </w:p>
              </w:tc>
            </w:tr>
            <w:tr w14:paraId="559FE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70CB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578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w:t>
                  </w:r>
                </w:p>
              </w:tc>
              <w:tc>
                <w:tcPr>
                  <w:tcW w:w="17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89B75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cs="Times New Roman"/>
                      <w:i w:val="0"/>
                      <w:iCs w:val="0"/>
                      <w:color w:val="auto"/>
                      <w:kern w:val="0"/>
                      <w:sz w:val="21"/>
                      <w:szCs w:val="21"/>
                      <w:highlight w:val="none"/>
                      <w:u w:val="none"/>
                      <w:lang w:val="en-US" w:eastAsia="zh-CN" w:bidi="ar"/>
                    </w:rPr>
                    <w:t>3449.7</w:t>
                  </w:r>
                  <w:r>
                    <w:rPr>
                      <w:rFonts w:hint="default" w:ascii="Times New Roman" w:hAnsi="Times New Roman" w:eastAsia="宋体" w:cs="Times New Roman"/>
                      <w:i w:val="0"/>
                      <w:iCs w:val="0"/>
                      <w:color w:val="auto"/>
                      <w:kern w:val="0"/>
                      <w:sz w:val="21"/>
                      <w:szCs w:val="21"/>
                      <w:highlight w:val="none"/>
                      <w:u w:val="none"/>
                      <w:lang w:val="en-US" w:eastAsia="zh-CN" w:bidi="ar"/>
                    </w:rPr>
                    <w:t>t/a</w:t>
                  </w:r>
                </w:p>
              </w:tc>
              <w:tc>
                <w:tcPr>
                  <w:tcW w:w="214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FE04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市政供水管网供给</w:t>
                  </w:r>
                </w:p>
              </w:tc>
            </w:tr>
            <w:tr w14:paraId="7C25E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4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117C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08E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w:t>
                  </w:r>
                </w:p>
              </w:tc>
              <w:tc>
                <w:tcPr>
                  <w:tcW w:w="17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ED8F0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cs="Times New Roman"/>
                      <w:i w:val="0"/>
                      <w:iCs w:val="0"/>
                      <w:color w:val="auto"/>
                      <w:kern w:val="0"/>
                      <w:sz w:val="21"/>
                      <w:szCs w:val="21"/>
                      <w:highlight w:val="none"/>
                      <w:u w:val="none"/>
                      <w:lang w:val="en-US" w:eastAsia="zh-CN" w:bidi="ar"/>
                    </w:rPr>
                    <w:t>3000</w:t>
                  </w:r>
                  <w:r>
                    <w:rPr>
                      <w:rFonts w:hint="default" w:ascii="Times New Roman" w:hAnsi="Times New Roman" w:eastAsia="宋体" w:cs="Times New Roman"/>
                      <w:i w:val="0"/>
                      <w:iCs w:val="0"/>
                      <w:color w:val="auto"/>
                      <w:kern w:val="0"/>
                      <w:sz w:val="21"/>
                      <w:szCs w:val="21"/>
                      <w:highlight w:val="none"/>
                      <w:u w:val="none"/>
                      <w:lang w:val="en-US" w:eastAsia="zh-CN" w:bidi="ar"/>
                    </w:rPr>
                    <w:t>万kW•h</w:t>
                  </w:r>
                </w:p>
              </w:tc>
              <w:tc>
                <w:tcPr>
                  <w:tcW w:w="214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50BE2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市政供电网供应</w:t>
                  </w:r>
                </w:p>
              </w:tc>
            </w:tr>
            <w:tr w14:paraId="3094A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E8162EB">
                  <w:pPr>
                    <w:keepNext w:val="0"/>
                    <w:keepLines w:val="0"/>
                    <w:widowControl/>
                    <w:suppressLineNumbers w:val="0"/>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注：项目产品的不合格率约为万分之三</w:t>
                  </w:r>
                </w:p>
              </w:tc>
            </w:tr>
          </w:tbl>
          <w:p w14:paraId="6F527E00">
            <w:pPr>
              <w:numPr>
                <w:ilvl w:val="0"/>
                <w:numId w:val="5"/>
              </w:numPr>
              <w:adjustRightInd w:val="0"/>
              <w:snapToGrid w:val="0"/>
              <w:spacing w:line="360" w:lineRule="auto"/>
              <w:ind w:left="0" w:leftChars="0" w:firstLine="480" w:firstLineChars="200"/>
              <w:jc w:val="left"/>
              <w:rPr>
                <w:rFonts w:hint="eastAsia" w:cs="Times New Roman"/>
                <w:color w:val="auto"/>
                <w:sz w:val="24"/>
                <w:szCs w:val="32"/>
                <w:highlight w:val="none"/>
                <w:lang w:val="en-US" w:eastAsia="zh-CN"/>
              </w:rPr>
            </w:pPr>
            <w:r>
              <w:rPr>
                <w:rFonts w:hint="eastAsia" w:cs="Times New Roman"/>
                <w:color w:val="auto"/>
                <w:sz w:val="24"/>
                <w:szCs w:val="32"/>
                <w:highlight w:val="none"/>
                <w:lang w:val="en-US" w:eastAsia="zh-CN"/>
              </w:rPr>
              <w:t>原料主要成分占比</w:t>
            </w:r>
          </w:p>
          <w:p w14:paraId="04C9041B">
            <w:pPr>
              <w:pStyle w:val="33"/>
              <w:widowControl w:val="0"/>
              <w:numPr>
                <w:ilvl w:val="0"/>
                <w:numId w:val="0"/>
              </w:numPr>
              <w:autoSpaceDE w:val="0"/>
              <w:autoSpaceDN w:val="0"/>
              <w:adjustRightInd w:val="0"/>
              <w:spacing w:line="360" w:lineRule="auto"/>
              <w:jc w:val="center"/>
              <w:rPr>
                <w:rFonts w:hint="default"/>
                <w:highlight w:val="none"/>
                <w:lang w:val="en-US" w:eastAsia="zh-CN"/>
              </w:rPr>
            </w:pPr>
            <w:r>
              <w:rPr>
                <w:rFonts w:hint="default" w:ascii="Times New Roman" w:hAnsi="Times New Roman" w:cs="Times New Roman"/>
                <w:b/>
                <w:bCs/>
                <w:sz w:val="21"/>
                <w:szCs w:val="21"/>
                <w:highlight w:val="none"/>
                <w:lang w:val="en-US" w:eastAsia="zh-CN"/>
              </w:rPr>
              <w:t>表2-5  原料主要成分占比情况一览表</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6"/>
              <w:gridCol w:w="7199"/>
            </w:tblGrid>
            <w:tr w14:paraId="0918F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0" w:hRule="atLeast"/>
              </w:trPr>
              <w:tc>
                <w:tcPr>
                  <w:tcW w:w="707" w:type="pct"/>
                  <w:vAlign w:val="center"/>
                </w:tcPr>
                <w:p w14:paraId="4BF777A6">
                  <w:pPr>
                    <w:jc w:val="center"/>
                    <w:rPr>
                      <w:rFonts w:hint="default"/>
                      <w:b/>
                      <w:bCs/>
                      <w:highlight w:val="none"/>
                      <w:lang w:val="en-US" w:eastAsia="zh-CN"/>
                    </w:rPr>
                  </w:pPr>
                  <w:r>
                    <w:rPr>
                      <w:rFonts w:hint="eastAsia"/>
                      <w:b/>
                      <w:bCs/>
                      <w:highlight w:val="none"/>
                      <w:lang w:val="en-US" w:eastAsia="zh-CN"/>
                    </w:rPr>
                    <w:t>原料名称</w:t>
                  </w:r>
                </w:p>
              </w:tc>
              <w:tc>
                <w:tcPr>
                  <w:tcW w:w="4292" w:type="pct"/>
                  <w:vAlign w:val="center"/>
                </w:tcPr>
                <w:p w14:paraId="3AB7E714">
                  <w:pPr>
                    <w:jc w:val="center"/>
                    <w:rPr>
                      <w:rFonts w:hint="default"/>
                      <w:b/>
                      <w:bCs/>
                      <w:highlight w:val="none"/>
                      <w:lang w:val="en-US" w:eastAsia="zh-CN"/>
                    </w:rPr>
                  </w:pPr>
                  <w:r>
                    <w:rPr>
                      <w:rFonts w:hint="eastAsia"/>
                      <w:b/>
                      <w:bCs/>
                      <w:highlight w:val="none"/>
                      <w:lang w:val="en-US" w:eastAsia="zh-CN"/>
                    </w:rPr>
                    <w:t>主要成分占比</w:t>
                  </w:r>
                </w:p>
              </w:tc>
            </w:tr>
            <w:tr w14:paraId="6FA51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7" w:type="pct"/>
                  <w:vAlign w:val="center"/>
                </w:tcPr>
                <w:p w14:paraId="4A82CB00">
                  <w:pPr>
                    <w:jc w:val="center"/>
                    <w:rPr>
                      <w:rFonts w:hint="default"/>
                      <w:highlight w:val="none"/>
                      <w:lang w:val="en-US" w:eastAsia="zh-CN"/>
                    </w:rPr>
                  </w:pPr>
                  <w:r>
                    <w:rPr>
                      <w:rFonts w:hint="eastAsia"/>
                      <w:highlight w:val="none"/>
                      <w:lang w:val="en-US" w:eastAsia="zh-CN"/>
                    </w:rPr>
                    <w:t>无铅锡膏</w:t>
                  </w:r>
                </w:p>
              </w:tc>
              <w:tc>
                <w:tcPr>
                  <w:tcW w:w="4292" w:type="pct"/>
                  <w:vAlign w:val="center"/>
                </w:tcPr>
                <w:p w14:paraId="72FC41D9">
                  <w:pPr>
                    <w:jc w:val="center"/>
                    <w:rPr>
                      <w:rFonts w:hint="default"/>
                      <w:highlight w:val="none"/>
                      <w:lang w:val="en-US" w:eastAsia="zh-CN"/>
                    </w:rPr>
                  </w:pPr>
                  <w:r>
                    <w:rPr>
                      <w:rFonts w:hint="eastAsia"/>
                      <w:highlight w:val="none"/>
                      <w:lang w:val="en-US" w:eastAsia="zh-CN"/>
                    </w:rPr>
                    <w:t>锡80-90%、银1-5%、铜0-1%、混合醚</w:t>
                  </w:r>
                  <w:r>
                    <w:rPr>
                      <w:rFonts w:hint="eastAsia"/>
                      <w:highlight w:val="none"/>
                      <w:lang w:eastAsia="zh-CN"/>
                    </w:rPr>
                    <w:t>（</w:t>
                  </w:r>
                  <w:r>
                    <w:rPr>
                      <w:rFonts w:hint="eastAsia"/>
                      <w:highlight w:val="none"/>
                      <w:lang w:val="en-US" w:eastAsia="zh-CN"/>
                    </w:rPr>
                    <w:t>二甘醇单乙醚</w:t>
                  </w:r>
                  <w:r>
                    <w:rPr>
                      <w:rFonts w:hint="eastAsia"/>
                      <w:highlight w:val="none"/>
                      <w:lang w:eastAsia="zh-CN"/>
                    </w:rPr>
                    <w:t>）</w:t>
                  </w:r>
                  <w:r>
                    <w:rPr>
                      <w:rFonts w:hint="eastAsia"/>
                      <w:highlight w:val="none"/>
                      <w:lang w:val="en-US" w:eastAsia="zh-CN"/>
                    </w:rPr>
                    <w:t>2-8%、氢化松香2-5%、有机酸（己二酸）0.2-1%</w:t>
                  </w:r>
                </w:p>
              </w:tc>
            </w:tr>
            <w:tr w14:paraId="66D07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7" w:type="pct"/>
                  <w:vAlign w:val="center"/>
                </w:tcPr>
                <w:p w14:paraId="4F0E68FB">
                  <w:pPr>
                    <w:jc w:val="center"/>
                    <w:rPr>
                      <w:rFonts w:hint="default"/>
                      <w:highlight w:val="none"/>
                      <w:lang w:val="en-US" w:eastAsia="zh-CN"/>
                    </w:rPr>
                  </w:pPr>
                  <w:r>
                    <w:rPr>
                      <w:rFonts w:hint="eastAsia"/>
                      <w:highlight w:val="none"/>
                      <w:lang w:val="en-US" w:eastAsia="zh-CN"/>
                    </w:rPr>
                    <w:t>无铅焊丝</w:t>
                  </w:r>
                </w:p>
              </w:tc>
              <w:tc>
                <w:tcPr>
                  <w:tcW w:w="4292" w:type="pct"/>
                  <w:vAlign w:val="center"/>
                </w:tcPr>
                <w:p w14:paraId="5495B9B7">
                  <w:pPr>
                    <w:jc w:val="center"/>
                    <w:rPr>
                      <w:rFonts w:hint="default"/>
                      <w:highlight w:val="none"/>
                      <w:lang w:val="en-US" w:eastAsia="zh-CN"/>
                    </w:rPr>
                  </w:pPr>
                  <w:r>
                    <w:rPr>
                      <w:rFonts w:hint="eastAsia"/>
                      <w:highlight w:val="none"/>
                      <w:lang w:val="en-US" w:eastAsia="zh-CN"/>
                    </w:rPr>
                    <w:t>锡99.3%、铜0.7%、树脂1.1-3.3%</w:t>
                  </w:r>
                </w:p>
              </w:tc>
            </w:tr>
          </w:tbl>
          <w:p w14:paraId="6539AAF0">
            <w:pPr>
              <w:pStyle w:val="35"/>
              <w:ind w:left="0" w:leftChars="0" w:firstLine="480" w:firstLineChars="200"/>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（3）</w:t>
            </w:r>
            <w:r>
              <w:rPr>
                <w:rFonts w:hint="eastAsia" w:ascii="Times New Roman" w:hAnsi="Times New Roman" w:cs="Times New Roman"/>
                <w:sz w:val="24"/>
                <w:szCs w:val="24"/>
                <w:highlight w:val="none"/>
                <w:lang w:val="en-US" w:eastAsia="zh-CN"/>
              </w:rPr>
              <w:t>理化性质</w:t>
            </w:r>
          </w:p>
          <w:p w14:paraId="6021141A">
            <w:pPr>
              <w:pStyle w:val="35"/>
              <w:rPr>
                <w:rFonts w:hint="default" w:ascii="Times New Roman" w:hAnsi="Times New Roman" w:cs="Times New Roman"/>
                <w:b/>
                <w:bCs/>
                <w:sz w:val="21"/>
                <w:szCs w:val="21"/>
                <w:highlight w:val="none"/>
                <w:lang w:val="en-US" w:eastAsia="zh-CN"/>
              </w:rPr>
            </w:pPr>
            <w:r>
              <w:rPr>
                <w:rFonts w:hint="eastAsia" w:ascii="Times New Roman" w:hAnsi="Times New Roman" w:cs="Times New Roman"/>
                <w:b/>
                <w:bCs/>
                <w:sz w:val="21"/>
                <w:szCs w:val="21"/>
                <w:highlight w:val="none"/>
                <w:lang w:val="en-US" w:eastAsia="zh-CN"/>
              </w:rPr>
              <w:t>表2-6  原料理化性质</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9"/>
              <w:gridCol w:w="3724"/>
              <w:gridCol w:w="3082"/>
            </w:tblGrid>
            <w:tr w14:paraId="6C3F6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pct"/>
                  <w:vAlign w:val="center"/>
                </w:tcPr>
                <w:p w14:paraId="6316D13E">
                  <w:pPr>
                    <w:jc w:val="center"/>
                    <w:rPr>
                      <w:rFonts w:hint="default"/>
                      <w:b/>
                      <w:bCs/>
                      <w:highlight w:val="none"/>
                      <w:lang w:val="en-US" w:eastAsia="zh-CN"/>
                    </w:rPr>
                  </w:pPr>
                  <w:r>
                    <w:rPr>
                      <w:rFonts w:hint="eastAsia"/>
                      <w:b/>
                      <w:bCs/>
                      <w:highlight w:val="none"/>
                      <w:lang w:val="en-US" w:eastAsia="zh-CN"/>
                    </w:rPr>
                    <w:t>原料名称</w:t>
                  </w:r>
                </w:p>
              </w:tc>
              <w:tc>
                <w:tcPr>
                  <w:tcW w:w="2220" w:type="pct"/>
                  <w:vAlign w:val="center"/>
                </w:tcPr>
                <w:p w14:paraId="50B3C811">
                  <w:pPr>
                    <w:spacing w:line="240" w:lineRule="auto"/>
                    <w:jc w:val="center"/>
                    <w:rPr>
                      <w:rFonts w:hint="default"/>
                      <w:b/>
                      <w:bCs/>
                      <w:highlight w:val="none"/>
                      <w:lang w:val="en-US" w:eastAsia="zh-CN"/>
                    </w:rPr>
                  </w:pPr>
                  <w:r>
                    <w:rPr>
                      <w:rFonts w:hint="eastAsia" w:ascii="Times New Roman" w:hAnsi="Times New Roman" w:eastAsia="宋体" w:cs="Times New Roman"/>
                      <w:b/>
                      <w:bCs/>
                      <w:color w:val="000000"/>
                      <w:sz w:val="21"/>
                      <w:szCs w:val="21"/>
                      <w:highlight w:val="none"/>
                      <w:vertAlign w:val="baseline"/>
                      <w:lang w:val="en-US" w:eastAsia="zh-CN"/>
                    </w:rPr>
                    <w:t>理化性质</w:t>
                  </w:r>
                </w:p>
              </w:tc>
              <w:tc>
                <w:tcPr>
                  <w:tcW w:w="1837" w:type="pct"/>
                  <w:vAlign w:val="center"/>
                </w:tcPr>
                <w:p w14:paraId="556F9462">
                  <w:pPr>
                    <w:spacing w:line="240" w:lineRule="auto"/>
                    <w:jc w:val="center"/>
                    <w:rPr>
                      <w:rFonts w:hint="default"/>
                      <w:b/>
                      <w:bCs/>
                      <w:highlight w:val="none"/>
                      <w:lang w:val="en-US" w:eastAsia="zh-CN"/>
                    </w:rPr>
                  </w:pPr>
                  <w:r>
                    <w:rPr>
                      <w:rFonts w:hint="eastAsia" w:ascii="Times New Roman" w:hAnsi="Times New Roman" w:eastAsia="宋体" w:cs="Times New Roman"/>
                      <w:b/>
                      <w:bCs/>
                      <w:color w:val="000000"/>
                      <w:sz w:val="21"/>
                      <w:szCs w:val="21"/>
                      <w:highlight w:val="none"/>
                      <w:vertAlign w:val="baseline"/>
                      <w:lang w:val="en-US" w:eastAsia="zh-CN"/>
                    </w:rPr>
                    <w:t>毒理毒性</w:t>
                  </w:r>
                </w:p>
              </w:tc>
            </w:tr>
            <w:tr w14:paraId="4CD58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pct"/>
                  <w:shd w:val="clear" w:color="auto" w:fill="auto"/>
                  <w:vAlign w:val="center"/>
                </w:tcPr>
                <w:p w14:paraId="7E00207B">
                  <w:pPr>
                    <w:jc w:val="center"/>
                    <w:rPr>
                      <w:rFonts w:hint="default" w:ascii="Times New Roman" w:hAnsi="Times New Roman" w:eastAsia="宋体" w:cs="Times New Roman"/>
                      <w:kern w:val="2"/>
                      <w:sz w:val="21"/>
                      <w:szCs w:val="24"/>
                      <w:highlight w:val="none"/>
                      <w:lang w:val="en-US" w:eastAsia="zh-CN" w:bidi="ar-SA"/>
                    </w:rPr>
                  </w:pPr>
                  <w:r>
                    <w:rPr>
                      <w:rFonts w:hint="eastAsia"/>
                      <w:highlight w:val="none"/>
                      <w:lang w:val="en-US" w:eastAsia="zh-CN"/>
                    </w:rPr>
                    <w:t>无铅锡膏</w:t>
                  </w:r>
                </w:p>
              </w:tc>
              <w:tc>
                <w:tcPr>
                  <w:tcW w:w="2220" w:type="pct"/>
                  <w:vAlign w:val="center"/>
                </w:tcPr>
                <w:p w14:paraId="6C04E7C3">
                  <w:pPr>
                    <w:jc w:val="center"/>
                    <w:rPr>
                      <w:rFonts w:hint="default"/>
                      <w:highlight w:val="none"/>
                      <w:lang w:val="en-US" w:eastAsia="zh-CN"/>
                    </w:rPr>
                  </w:pPr>
                  <w:r>
                    <w:rPr>
                      <w:rFonts w:hint="eastAsia"/>
                      <w:highlight w:val="none"/>
                      <w:lang w:val="en-US" w:eastAsia="zh-CN"/>
                    </w:rPr>
                    <w:t>膏状，淡溶剂味。比重（水=1）：4.0-5.5，熔点220℃，水中的溶解性：微量</w:t>
                  </w:r>
                </w:p>
              </w:tc>
              <w:tc>
                <w:tcPr>
                  <w:tcW w:w="1837" w:type="pct"/>
                  <w:vAlign w:val="center"/>
                </w:tcPr>
                <w:p w14:paraId="0F390764">
                  <w:pPr>
                    <w:jc w:val="center"/>
                    <w:rPr>
                      <w:rFonts w:hint="default"/>
                      <w:highlight w:val="none"/>
                      <w:lang w:val="en-US" w:eastAsia="zh-CN"/>
                    </w:rPr>
                  </w:pPr>
                  <w:r>
                    <w:rPr>
                      <w:rFonts w:hint="eastAsia"/>
                      <w:highlight w:val="none"/>
                      <w:lang w:val="en-US" w:eastAsia="zh-CN"/>
                    </w:rPr>
                    <w:t>可能引起虚弱、失眠、血压增高、头痛和关节痛症状，属于低毒性</w:t>
                  </w:r>
                </w:p>
              </w:tc>
            </w:tr>
            <w:tr w14:paraId="00112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pct"/>
                  <w:shd w:val="clear" w:color="auto" w:fill="auto"/>
                  <w:vAlign w:val="center"/>
                </w:tcPr>
                <w:p w14:paraId="10ADCC10">
                  <w:pPr>
                    <w:jc w:val="center"/>
                    <w:rPr>
                      <w:rFonts w:hint="eastAsia"/>
                      <w:highlight w:val="none"/>
                      <w:lang w:val="en-US" w:eastAsia="zh-CN"/>
                    </w:rPr>
                  </w:pPr>
                  <w:r>
                    <w:rPr>
                      <w:rFonts w:hint="eastAsia"/>
                      <w:highlight w:val="none"/>
                      <w:lang w:val="en-US" w:eastAsia="zh-CN"/>
                    </w:rPr>
                    <w:t>二甘醇单乙醚</w:t>
                  </w:r>
                </w:p>
              </w:tc>
              <w:tc>
                <w:tcPr>
                  <w:tcW w:w="2220" w:type="pct"/>
                  <w:vAlign w:val="center"/>
                </w:tcPr>
                <w:p w14:paraId="2C7808B0">
                  <w:pPr>
                    <w:jc w:val="center"/>
                    <w:rPr>
                      <w:rFonts w:hint="default"/>
                      <w:highlight w:val="none"/>
                      <w:lang w:val="en-US" w:eastAsia="zh-CN"/>
                    </w:rPr>
                  </w:pPr>
                  <w:r>
                    <w:rPr>
                      <w:rFonts w:hint="eastAsia"/>
                      <w:highlight w:val="none"/>
                      <w:lang w:val="en-US" w:eastAsia="zh-CN"/>
                    </w:rPr>
                    <w:t>具有微弱芳香气味和苦味的无色液体。密度：0.999g/ml，熔点-80℃，沸点202℃。与水、丙酮、苯、氯仿、乙醇、乙醚、吡啶</w:t>
                  </w:r>
                </w:p>
              </w:tc>
              <w:tc>
                <w:tcPr>
                  <w:tcW w:w="1837" w:type="pct"/>
                  <w:vAlign w:val="center"/>
                </w:tcPr>
                <w:p w14:paraId="309F4BE6">
                  <w:pPr>
                    <w:jc w:val="center"/>
                    <w:rPr>
                      <w:rFonts w:hint="eastAsia"/>
                      <w:highlight w:val="none"/>
                      <w:lang w:val="en-US" w:eastAsia="zh-CN"/>
                    </w:rPr>
                  </w:pPr>
                  <w:r>
                    <w:rPr>
                      <w:rFonts w:hint="eastAsia"/>
                      <w:highlight w:val="none"/>
                      <w:lang w:val="en-US" w:eastAsia="zh-CN"/>
                    </w:rPr>
                    <w:t>急性口服毒性：低毒性，</w:t>
                  </w:r>
                </w:p>
                <w:p w14:paraId="25E5EB45">
                  <w:pPr>
                    <w:jc w:val="center"/>
                    <w:rPr>
                      <w:rFonts w:hint="eastAsia"/>
                      <w:highlight w:val="none"/>
                      <w:lang w:val="en-US" w:eastAsia="zh-CN"/>
                    </w:rPr>
                  </w:pPr>
                  <w:r>
                    <w:rPr>
                      <w:rFonts w:hint="eastAsia"/>
                      <w:highlight w:val="none"/>
                      <w:lang w:val="en-US" w:eastAsia="zh-CN"/>
                    </w:rPr>
                    <w:t>LD</w:t>
                  </w:r>
                  <w:r>
                    <w:rPr>
                      <w:rFonts w:hint="eastAsia"/>
                      <w:highlight w:val="none"/>
                      <w:vertAlign w:val="subscript"/>
                      <w:lang w:val="en-US" w:eastAsia="zh-CN"/>
                    </w:rPr>
                    <w:t>50</w:t>
                  </w:r>
                  <w:r>
                    <w:rPr>
                      <w:rFonts w:hint="eastAsia"/>
                      <w:highlight w:val="none"/>
                      <w:lang w:val="en-US" w:eastAsia="zh-CN"/>
                    </w:rPr>
                    <w:t>：5500mg/kg（大鼠经口）</w:t>
                  </w:r>
                </w:p>
              </w:tc>
            </w:tr>
            <w:tr w14:paraId="27348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pct"/>
                  <w:shd w:val="clear" w:color="auto" w:fill="auto"/>
                  <w:vAlign w:val="center"/>
                </w:tcPr>
                <w:p w14:paraId="051F0CD6">
                  <w:pPr>
                    <w:jc w:val="center"/>
                    <w:rPr>
                      <w:rFonts w:hint="eastAsia"/>
                      <w:highlight w:val="none"/>
                      <w:lang w:val="en-US" w:eastAsia="zh-CN"/>
                    </w:rPr>
                  </w:pPr>
                  <w:r>
                    <w:rPr>
                      <w:rFonts w:hint="eastAsia"/>
                      <w:highlight w:val="none"/>
                      <w:lang w:val="en-US" w:eastAsia="zh-CN"/>
                    </w:rPr>
                    <w:t>氢化松香</w:t>
                  </w:r>
                </w:p>
              </w:tc>
              <w:tc>
                <w:tcPr>
                  <w:tcW w:w="2220" w:type="pct"/>
                  <w:vAlign w:val="center"/>
                </w:tcPr>
                <w:p w14:paraId="3045D3CA">
                  <w:pPr>
                    <w:jc w:val="center"/>
                    <w:rPr>
                      <w:rFonts w:hint="default"/>
                      <w:highlight w:val="none"/>
                      <w:lang w:val="en-US" w:eastAsia="zh-CN"/>
                    </w:rPr>
                  </w:pPr>
                  <w:r>
                    <w:rPr>
                      <w:rFonts w:hint="eastAsia"/>
                      <w:highlight w:val="none"/>
                      <w:lang w:val="en-US" w:eastAsia="zh-CN"/>
                    </w:rPr>
                    <w:t>黏的无色至琥珀色液体。相对密度（水=1）：0.963，熔点-93℃，沸点382.8℃。</w:t>
                  </w:r>
                </w:p>
              </w:tc>
              <w:tc>
                <w:tcPr>
                  <w:tcW w:w="1837" w:type="pct"/>
                  <w:vAlign w:val="center"/>
                </w:tcPr>
                <w:p w14:paraId="790D6F4E">
                  <w:pPr>
                    <w:jc w:val="center"/>
                    <w:rPr>
                      <w:rFonts w:hint="default"/>
                      <w:highlight w:val="none"/>
                      <w:lang w:val="en-US" w:eastAsia="zh-CN"/>
                    </w:rPr>
                  </w:pPr>
                  <w:r>
                    <w:rPr>
                      <w:rFonts w:hint="eastAsia"/>
                      <w:highlight w:val="none"/>
                      <w:lang w:val="en-US" w:eastAsia="zh-CN"/>
                    </w:rPr>
                    <w:t>无资料</w:t>
                  </w:r>
                </w:p>
              </w:tc>
            </w:tr>
            <w:tr w14:paraId="3B869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pct"/>
                  <w:shd w:val="clear" w:color="auto" w:fill="auto"/>
                  <w:vAlign w:val="center"/>
                </w:tcPr>
                <w:p w14:paraId="2C45D649">
                  <w:pPr>
                    <w:jc w:val="center"/>
                    <w:rPr>
                      <w:rFonts w:hint="eastAsia"/>
                      <w:highlight w:val="none"/>
                      <w:lang w:val="en-US" w:eastAsia="zh-CN"/>
                    </w:rPr>
                  </w:pPr>
                  <w:r>
                    <w:rPr>
                      <w:rFonts w:hint="eastAsia"/>
                      <w:highlight w:val="none"/>
                      <w:lang w:val="en-US" w:eastAsia="zh-CN"/>
                    </w:rPr>
                    <w:t>己二酸</w:t>
                  </w:r>
                </w:p>
              </w:tc>
              <w:tc>
                <w:tcPr>
                  <w:tcW w:w="2220" w:type="pct"/>
                  <w:vAlign w:val="center"/>
                </w:tcPr>
                <w:p w14:paraId="29801B24">
                  <w:pPr>
                    <w:jc w:val="center"/>
                    <w:rPr>
                      <w:rFonts w:hint="default"/>
                      <w:highlight w:val="none"/>
                      <w:lang w:val="en-US" w:eastAsia="zh-CN"/>
                    </w:rPr>
                  </w:pPr>
                  <w:r>
                    <w:rPr>
                      <w:rFonts w:hint="eastAsia"/>
                      <w:highlight w:val="none"/>
                      <w:lang w:val="en-US" w:eastAsia="zh-CN"/>
                    </w:rPr>
                    <w:t>白色结晶粉末。相对密度（水=1）：1.36，熔点151-154℃，沸点265℃。可溶于水</w:t>
                  </w:r>
                </w:p>
              </w:tc>
              <w:tc>
                <w:tcPr>
                  <w:tcW w:w="1837" w:type="pct"/>
                  <w:vAlign w:val="center"/>
                </w:tcPr>
                <w:p w14:paraId="3E507E08">
                  <w:pPr>
                    <w:jc w:val="center"/>
                    <w:rPr>
                      <w:rFonts w:hint="eastAsia"/>
                      <w:highlight w:val="none"/>
                      <w:lang w:val="en-US" w:eastAsia="zh-CN"/>
                    </w:rPr>
                  </w:pPr>
                  <w:r>
                    <w:rPr>
                      <w:rFonts w:hint="eastAsia"/>
                      <w:highlight w:val="none"/>
                      <w:lang w:val="en-US" w:eastAsia="zh-CN"/>
                    </w:rPr>
                    <w:t>LD</w:t>
                  </w:r>
                  <w:r>
                    <w:rPr>
                      <w:rFonts w:hint="eastAsia"/>
                      <w:highlight w:val="none"/>
                      <w:vertAlign w:val="subscript"/>
                      <w:lang w:val="en-US" w:eastAsia="zh-CN"/>
                    </w:rPr>
                    <w:t>50</w:t>
                  </w:r>
                  <w:r>
                    <w:rPr>
                      <w:rFonts w:hint="eastAsia"/>
                      <w:highlight w:val="none"/>
                      <w:lang w:val="en-US" w:eastAsia="zh-CN"/>
                    </w:rPr>
                    <w:t>：1900mg/kg（大鼠经口）</w:t>
                  </w:r>
                </w:p>
              </w:tc>
            </w:tr>
            <w:tr w14:paraId="2CAFD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pct"/>
                  <w:shd w:val="clear" w:color="auto" w:fill="auto"/>
                  <w:vAlign w:val="center"/>
                </w:tcPr>
                <w:p w14:paraId="46C9326F">
                  <w:pPr>
                    <w:jc w:val="center"/>
                    <w:rPr>
                      <w:rFonts w:hint="default" w:ascii="Times New Roman" w:hAnsi="Times New Roman" w:eastAsia="宋体" w:cs="Times New Roman"/>
                      <w:kern w:val="2"/>
                      <w:sz w:val="21"/>
                      <w:szCs w:val="24"/>
                      <w:highlight w:val="none"/>
                      <w:lang w:val="en-US" w:eastAsia="zh-CN" w:bidi="ar-SA"/>
                    </w:rPr>
                  </w:pPr>
                  <w:r>
                    <w:rPr>
                      <w:rFonts w:hint="eastAsia"/>
                      <w:highlight w:val="none"/>
                      <w:lang w:val="en-US" w:eastAsia="zh-CN"/>
                    </w:rPr>
                    <w:t>无铅焊丝</w:t>
                  </w:r>
                </w:p>
              </w:tc>
              <w:tc>
                <w:tcPr>
                  <w:tcW w:w="2220" w:type="pct"/>
                  <w:vAlign w:val="center"/>
                </w:tcPr>
                <w:p w14:paraId="2F719EF2">
                  <w:pPr>
                    <w:jc w:val="center"/>
                    <w:rPr>
                      <w:rFonts w:hint="default"/>
                      <w:highlight w:val="none"/>
                      <w:lang w:val="en-US" w:eastAsia="zh-CN"/>
                    </w:rPr>
                  </w:pPr>
                  <w:r>
                    <w:rPr>
                      <w:rFonts w:hint="eastAsia"/>
                      <w:highlight w:val="none"/>
                      <w:lang w:val="en-US" w:eastAsia="zh-CN"/>
                    </w:rPr>
                    <w:t>银白色固体，无气味。熔点227℃，密度（20℃）7.4g/cm</w:t>
                  </w:r>
                  <w:r>
                    <w:rPr>
                      <w:rFonts w:hint="eastAsia"/>
                      <w:highlight w:val="none"/>
                      <w:vertAlign w:val="superscript"/>
                      <w:lang w:val="en-US" w:eastAsia="zh-CN"/>
                    </w:rPr>
                    <w:t>3</w:t>
                  </w:r>
                </w:p>
              </w:tc>
              <w:tc>
                <w:tcPr>
                  <w:tcW w:w="1837" w:type="pct"/>
                  <w:vAlign w:val="center"/>
                </w:tcPr>
                <w:p w14:paraId="62214260">
                  <w:pPr>
                    <w:jc w:val="center"/>
                    <w:rPr>
                      <w:rFonts w:hint="default"/>
                      <w:highlight w:val="none"/>
                      <w:lang w:val="en-US" w:eastAsia="zh-CN"/>
                    </w:rPr>
                  </w:pPr>
                  <w:r>
                    <w:rPr>
                      <w:rFonts w:hint="eastAsia"/>
                      <w:highlight w:val="none"/>
                      <w:lang w:val="en-US" w:eastAsia="zh-CN"/>
                    </w:rPr>
                    <w:t>急性口服毒性：低毒性，LD</w:t>
                  </w:r>
                  <w:r>
                    <w:rPr>
                      <w:rFonts w:hint="eastAsia"/>
                      <w:highlight w:val="none"/>
                      <w:vertAlign w:val="subscript"/>
                      <w:lang w:val="en-US" w:eastAsia="zh-CN"/>
                    </w:rPr>
                    <w:t>50</w:t>
                  </w:r>
                  <w:r>
                    <w:rPr>
                      <w:rFonts w:hint="eastAsia"/>
                      <w:highlight w:val="none"/>
                      <w:lang w:val="en-US" w:eastAsia="zh-CN"/>
                    </w:rPr>
                    <w:t>&gt;2000mg/kg</w:t>
                  </w:r>
                </w:p>
              </w:tc>
            </w:tr>
            <w:tr w14:paraId="2B0D9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pct"/>
                  <w:shd w:val="clear" w:color="auto" w:fill="auto"/>
                  <w:vAlign w:val="center"/>
                </w:tcPr>
                <w:p w14:paraId="2D142D48">
                  <w:pPr>
                    <w:jc w:val="center"/>
                    <w:rPr>
                      <w:rFonts w:hint="eastAsia"/>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酒精</w:t>
                  </w:r>
                </w:p>
              </w:tc>
              <w:tc>
                <w:tcPr>
                  <w:tcW w:w="2220" w:type="pct"/>
                  <w:vAlign w:val="center"/>
                </w:tcPr>
                <w:p w14:paraId="769A3E81">
                  <w:pPr>
                    <w:jc w:val="center"/>
                    <w:rPr>
                      <w:rFonts w:hint="default"/>
                      <w:highlight w:val="none"/>
                      <w:lang w:val="en-US" w:eastAsia="zh-CN"/>
                    </w:rPr>
                  </w:pPr>
                  <w:r>
                    <w:rPr>
                      <w:rFonts w:hint="eastAsia"/>
                      <w:highlight w:val="none"/>
                      <w:lang w:val="en-US" w:eastAsia="zh-CN"/>
                    </w:rPr>
                    <w:t>无色液体，有酒香。相对密度（水=1）：0.79（20℃），熔点-114.1℃，沸点78.3℃。与水混溶，可混溶于乙醚、氯仿、甘油、甲醇等多数有机溶剂</w:t>
                  </w:r>
                </w:p>
              </w:tc>
              <w:tc>
                <w:tcPr>
                  <w:tcW w:w="1837" w:type="pct"/>
                  <w:vAlign w:val="center"/>
                </w:tcPr>
                <w:p w14:paraId="42732FDB">
                  <w:pPr>
                    <w:jc w:val="center"/>
                    <w:rPr>
                      <w:rFonts w:hint="default"/>
                      <w:highlight w:val="none"/>
                      <w:lang w:val="en-US" w:eastAsia="zh-CN"/>
                    </w:rPr>
                  </w:pPr>
                  <w:r>
                    <w:rPr>
                      <w:rFonts w:hint="eastAsia"/>
                      <w:highlight w:val="none"/>
                      <w:lang w:val="en-US" w:eastAsia="zh-CN"/>
                    </w:rPr>
                    <w:t>LD</w:t>
                  </w:r>
                  <w:r>
                    <w:rPr>
                      <w:rFonts w:hint="eastAsia"/>
                      <w:highlight w:val="none"/>
                      <w:vertAlign w:val="subscript"/>
                      <w:lang w:val="en-US" w:eastAsia="zh-CN"/>
                    </w:rPr>
                    <w:t>50</w:t>
                  </w:r>
                  <w:r>
                    <w:rPr>
                      <w:rFonts w:hint="eastAsia"/>
                      <w:highlight w:val="none"/>
                      <w:lang w:val="en-US" w:eastAsia="zh-CN"/>
                    </w:rPr>
                    <w:t>：7060mg/kg（大鼠经口）</w:t>
                  </w:r>
                </w:p>
              </w:tc>
            </w:tr>
          </w:tbl>
          <w:p w14:paraId="2E659E1E">
            <w:pPr>
              <w:adjustRightInd w:val="0"/>
              <w:snapToGrid w:val="0"/>
              <w:spacing w:line="360" w:lineRule="auto"/>
              <w:ind w:firstLine="480" w:firstLineChars="200"/>
              <w:jc w:val="left"/>
              <w:rPr>
                <w:rFonts w:hint="eastAsia"/>
                <w:color w:val="auto"/>
                <w:sz w:val="24"/>
                <w:szCs w:val="32"/>
                <w:highlight w:val="none"/>
                <w:lang w:val="en-US" w:eastAsia="zh-CN"/>
              </w:rPr>
            </w:pPr>
            <w:r>
              <w:rPr>
                <w:rFonts w:hint="eastAsia"/>
                <w:color w:val="auto"/>
                <w:sz w:val="24"/>
                <w:szCs w:val="32"/>
                <w:highlight w:val="none"/>
                <w:lang w:val="en-US" w:eastAsia="zh-CN"/>
              </w:rPr>
              <w:t>（4）锡膏用量核算：</w:t>
            </w:r>
          </w:p>
          <w:p w14:paraId="4F22B55C">
            <w:pPr>
              <w:adjustRightInd w:val="0"/>
              <w:snapToGrid w:val="0"/>
              <w:spacing w:line="360" w:lineRule="auto"/>
              <w:ind w:firstLine="480" w:firstLineChars="200"/>
              <w:jc w:val="left"/>
              <w:rPr>
                <w:rFonts w:hint="default"/>
                <w:color w:val="auto"/>
                <w:sz w:val="24"/>
                <w:szCs w:val="32"/>
                <w:highlight w:val="none"/>
                <w:lang w:val="en-US" w:eastAsia="zh-CN"/>
              </w:rPr>
            </w:pPr>
            <w:r>
              <w:rPr>
                <w:rFonts w:hint="eastAsia"/>
                <w:color w:val="auto"/>
                <w:sz w:val="24"/>
                <w:szCs w:val="32"/>
                <w:highlight w:val="none"/>
                <w:lang w:val="en-US" w:eastAsia="zh-CN"/>
              </w:rPr>
              <w:t>项目年产7000万件显示模组，其中P3显示模组5000万件，其中P4显示模组2000万件，根据建设单位提供资料，项目P3显示模组印刷过程锡膏的用量平均约合2g/件，项目P4显示模组印刷过程锡膏的用量平均约合3g/件，则锡膏用量=5000万件/a×2g/件+2000万件/a×3g/件=160t/a。</w:t>
            </w:r>
          </w:p>
          <w:p w14:paraId="3DD1EB7F">
            <w:pPr>
              <w:numPr>
                <w:ilvl w:val="0"/>
                <w:numId w:val="0"/>
              </w:numPr>
              <w:spacing w:line="360" w:lineRule="auto"/>
              <w:ind w:left="0" w:leftChars="0" w:firstLine="482" w:firstLineChars="200"/>
              <w:rPr>
                <w:rFonts w:hint="default" w:ascii="Times New Roman" w:hAnsi="Times New Roman" w:cs="Times New Roman"/>
                <w:b/>
                <w:bCs/>
                <w:color w:val="auto"/>
                <w:sz w:val="24"/>
                <w:szCs w:val="24"/>
                <w:highlight w:val="none"/>
              </w:rPr>
            </w:pPr>
            <w:r>
              <w:rPr>
                <w:rFonts w:hint="default" w:ascii="Times New Roman" w:hAnsi="Times New Roman" w:eastAsia="宋体" w:cs="Times New Roman"/>
                <w:b/>
                <w:bCs/>
                <w:color w:val="auto"/>
                <w:kern w:val="2"/>
                <w:sz w:val="24"/>
                <w:szCs w:val="24"/>
                <w:highlight w:val="none"/>
                <w:lang w:val="en-US" w:eastAsia="zh-CN" w:bidi="ar-SA"/>
              </w:rPr>
              <w:t>6、</w:t>
            </w:r>
            <w:r>
              <w:rPr>
                <w:rFonts w:hint="default" w:ascii="Times New Roman" w:hAnsi="Times New Roman" w:cs="Times New Roman"/>
                <w:b/>
                <w:bCs/>
                <w:color w:val="auto"/>
                <w:sz w:val="24"/>
                <w:szCs w:val="24"/>
                <w:highlight w:val="none"/>
              </w:rPr>
              <w:t>劳动定员及工作制度</w:t>
            </w:r>
          </w:p>
          <w:p w14:paraId="5E9B9261">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150</w:t>
            </w:r>
            <w:r>
              <w:rPr>
                <w:rFonts w:hint="default" w:ascii="Times New Roman" w:hAnsi="Times New Roman" w:cs="Times New Roman"/>
                <w:color w:val="auto"/>
                <w:sz w:val="24"/>
                <w:szCs w:val="24"/>
                <w:highlight w:val="none"/>
              </w:rPr>
              <w:t>人</w:t>
            </w:r>
            <w:r>
              <w:rPr>
                <w:rFonts w:hint="eastAsia" w:cs="Times New Roman"/>
                <w:color w:val="auto"/>
                <w:sz w:val="24"/>
                <w:szCs w:val="24"/>
                <w:highlight w:val="none"/>
                <w:lang w:eastAsia="zh-CN"/>
              </w:rPr>
              <w:t>；</w:t>
            </w:r>
          </w:p>
          <w:p w14:paraId="55DE82F1">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工作制度：年工作</w:t>
            </w:r>
            <w:r>
              <w:rPr>
                <w:rFonts w:hint="eastAsia" w:cs="Times New Roman"/>
                <w:color w:val="auto"/>
                <w:sz w:val="24"/>
                <w:szCs w:val="24"/>
                <w:highlight w:val="none"/>
                <w:lang w:val="en-US" w:eastAsia="zh-CN"/>
              </w:rPr>
              <w:t>30</w:t>
            </w:r>
            <w:r>
              <w:rPr>
                <w:rFonts w:hint="eastAsia" w:ascii="Times New Roman" w:hAnsi="Times New Roman" w:cs="Times New Roman"/>
                <w:color w:val="auto"/>
                <w:sz w:val="24"/>
                <w:szCs w:val="24"/>
                <w:highlight w:val="none"/>
                <w:lang w:val="en-US" w:eastAsia="zh-CN"/>
              </w:rPr>
              <w:t>0</w:t>
            </w:r>
            <w:r>
              <w:rPr>
                <w:rFonts w:hint="default" w:ascii="Times New Roman" w:hAnsi="Times New Roman" w:cs="Times New Roman"/>
                <w:color w:val="auto"/>
                <w:sz w:val="24"/>
                <w:szCs w:val="24"/>
                <w:highlight w:val="none"/>
              </w:rPr>
              <w:t>天，实行</w:t>
            </w:r>
            <w:r>
              <w:rPr>
                <w:rFonts w:hint="eastAsia" w:ascii="Times New Roman" w:hAnsi="Times New Roman" w:cs="Times New Roman"/>
                <w:color w:val="auto"/>
                <w:sz w:val="24"/>
                <w:szCs w:val="24"/>
                <w:highlight w:val="none"/>
                <w:lang w:val="en-US" w:eastAsia="zh-CN"/>
              </w:rPr>
              <w:t>两</w:t>
            </w:r>
            <w:r>
              <w:rPr>
                <w:rFonts w:hint="default" w:ascii="Times New Roman" w:hAnsi="Times New Roman" w:cs="Times New Roman"/>
                <w:color w:val="auto"/>
                <w:sz w:val="24"/>
                <w:szCs w:val="24"/>
                <w:highlight w:val="none"/>
              </w:rPr>
              <w:t>班制，每班工作8小时，年工作时间</w:t>
            </w:r>
            <w:r>
              <w:rPr>
                <w:rFonts w:hint="eastAsia" w:ascii="Times New Roman" w:hAnsi="Times New Roman" w:cs="Times New Roman"/>
                <w:color w:val="auto"/>
                <w:sz w:val="24"/>
                <w:szCs w:val="24"/>
                <w:highlight w:val="none"/>
                <w:lang w:val="en-US" w:eastAsia="zh-CN"/>
              </w:rPr>
              <w:t>4</w:t>
            </w:r>
            <w:r>
              <w:rPr>
                <w:rFonts w:hint="eastAsia" w:cs="Times New Roman"/>
                <w:color w:val="auto"/>
                <w:sz w:val="24"/>
                <w:szCs w:val="24"/>
                <w:highlight w:val="none"/>
                <w:lang w:val="en-US" w:eastAsia="zh-CN"/>
              </w:rPr>
              <w:t>8</w:t>
            </w:r>
            <w:r>
              <w:rPr>
                <w:rFonts w:hint="eastAsia" w:ascii="Times New Roman" w:hAnsi="Times New Roman" w:cs="Times New Roman"/>
                <w:color w:val="auto"/>
                <w:sz w:val="24"/>
                <w:szCs w:val="24"/>
                <w:highlight w:val="none"/>
                <w:lang w:val="en-US" w:eastAsia="zh-CN"/>
              </w:rPr>
              <w:t>00</w:t>
            </w:r>
            <w:r>
              <w:rPr>
                <w:rFonts w:hint="default" w:ascii="Times New Roman" w:hAnsi="Times New Roman" w:cs="Times New Roman"/>
                <w:color w:val="auto"/>
                <w:sz w:val="24"/>
                <w:szCs w:val="24"/>
                <w:highlight w:val="none"/>
              </w:rPr>
              <w:t>小时；厂区不提供</w:t>
            </w:r>
            <w:r>
              <w:rPr>
                <w:rFonts w:hint="eastAsia" w:cs="Times New Roman"/>
                <w:color w:val="auto"/>
                <w:sz w:val="24"/>
                <w:szCs w:val="24"/>
                <w:highlight w:val="none"/>
                <w:lang w:eastAsia="zh-CN"/>
              </w:rPr>
              <w:t>食宿</w:t>
            </w:r>
            <w:r>
              <w:rPr>
                <w:rFonts w:hint="default" w:ascii="Times New Roman" w:hAnsi="Times New Roman" w:cs="Times New Roman"/>
                <w:color w:val="auto"/>
                <w:sz w:val="24"/>
                <w:szCs w:val="24"/>
                <w:highlight w:val="none"/>
              </w:rPr>
              <w:t>。</w:t>
            </w:r>
          </w:p>
          <w:p w14:paraId="12D8D1C9">
            <w:pPr>
              <w:numPr>
                <w:ilvl w:val="0"/>
                <w:numId w:val="0"/>
              </w:numPr>
              <w:spacing w:line="360" w:lineRule="auto"/>
              <w:ind w:left="0" w:leftChars="0" w:firstLine="482" w:firstLineChars="200"/>
              <w:rPr>
                <w:rFonts w:hint="default" w:ascii="Times New Roman" w:hAnsi="Times New Roman" w:cs="Times New Roman"/>
                <w:b/>
                <w:bCs/>
                <w:color w:val="auto"/>
                <w:sz w:val="24"/>
                <w:szCs w:val="24"/>
                <w:highlight w:val="none"/>
              </w:rPr>
            </w:pPr>
            <w:r>
              <w:rPr>
                <w:rFonts w:hint="default" w:ascii="Times New Roman" w:hAnsi="Times New Roman" w:eastAsia="宋体" w:cs="Times New Roman"/>
                <w:b/>
                <w:bCs/>
                <w:color w:val="auto"/>
                <w:kern w:val="2"/>
                <w:sz w:val="24"/>
                <w:szCs w:val="24"/>
                <w:highlight w:val="none"/>
                <w:lang w:val="en-US" w:eastAsia="zh-CN" w:bidi="ar-SA"/>
              </w:rPr>
              <w:t>7、</w:t>
            </w:r>
            <w:r>
              <w:rPr>
                <w:rFonts w:hint="default" w:ascii="Times New Roman" w:hAnsi="Times New Roman" w:cs="Times New Roman"/>
                <w:b/>
                <w:bCs/>
                <w:color w:val="auto"/>
                <w:sz w:val="24"/>
                <w:szCs w:val="24"/>
                <w:highlight w:val="none"/>
              </w:rPr>
              <w:t>公用工程</w:t>
            </w:r>
          </w:p>
          <w:p w14:paraId="141F6F86">
            <w:pPr>
              <w:spacing w:line="360" w:lineRule="auto"/>
              <w:ind w:firstLine="480"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val="0"/>
                <w:bCs w:val="0"/>
                <w:color w:val="auto"/>
                <w:sz w:val="24"/>
                <w:szCs w:val="24"/>
                <w:highlight w:val="none"/>
              </w:rPr>
              <w:t>（1）供水</w:t>
            </w:r>
          </w:p>
          <w:p w14:paraId="25128D0E">
            <w:pPr>
              <w:spacing w:line="360" w:lineRule="auto"/>
              <w:ind w:firstLine="480" w:firstLineChars="200"/>
              <w:jc w:val="left"/>
              <w:rPr>
                <w:rFonts w:hint="eastAsia" w:ascii="Times New Roman" w:hAnsi="Times New Roman" w:eastAsia="宋体" w:cs="Times New Roman"/>
                <w:bCs/>
                <w:color w:val="auto"/>
                <w:sz w:val="24"/>
                <w:szCs w:val="24"/>
                <w:highlight w:val="none"/>
                <w:lang w:eastAsia="zh-CN"/>
              </w:rPr>
            </w:pPr>
            <w:r>
              <w:rPr>
                <w:rFonts w:hint="default" w:ascii="Times New Roman" w:hAnsi="Times New Roman" w:cs="Times New Roman"/>
                <w:color w:val="auto"/>
                <w:sz w:val="24"/>
                <w:szCs w:val="24"/>
                <w:highlight w:val="none"/>
              </w:rPr>
              <w:t>本项目供水由市政供水管网供给</w:t>
            </w:r>
            <w:r>
              <w:rPr>
                <w:rFonts w:hint="eastAsia" w:cs="Times New Roman"/>
                <w:color w:val="auto"/>
                <w:sz w:val="24"/>
                <w:szCs w:val="24"/>
                <w:highlight w:val="none"/>
                <w:lang w:eastAsia="zh-CN"/>
              </w:rPr>
              <w:t>，年用水量约</w:t>
            </w:r>
            <w:r>
              <w:rPr>
                <w:rFonts w:hint="eastAsia" w:cs="Times New Roman"/>
                <w:color w:val="auto"/>
                <w:sz w:val="24"/>
                <w:szCs w:val="24"/>
                <w:highlight w:val="none"/>
                <w:lang w:val="en-US" w:eastAsia="zh-CN"/>
              </w:rPr>
              <w:t>3449.7t</w:t>
            </w:r>
            <w:r>
              <w:rPr>
                <w:rFonts w:hint="eastAsia" w:ascii="Times New Roman" w:hAnsi="Times New Roman" w:cs="Times New Roman"/>
                <w:bCs/>
                <w:color w:val="auto"/>
                <w:sz w:val="24"/>
                <w:szCs w:val="24"/>
                <w:highlight w:val="none"/>
                <w:lang w:eastAsia="zh-CN"/>
              </w:rPr>
              <w:t>。</w:t>
            </w:r>
          </w:p>
          <w:p w14:paraId="43537A9E">
            <w:pPr>
              <w:spacing w:line="360" w:lineRule="auto"/>
              <w:ind w:firstLine="480"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val="0"/>
                <w:bCs w:val="0"/>
                <w:color w:val="auto"/>
                <w:sz w:val="24"/>
                <w:szCs w:val="24"/>
                <w:highlight w:val="none"/>
              </w:rPr>
              <w:t>（2）排水</w:t>
            </w:r>
          </w:p>
          <w:p w14:paraId="7C460D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厂区</w:t>
            </w:r>
            <w:r>
              <w:rPr>
                <w:rFonts w:hint="eastAsia" w:cs="Times New Roman"/>
                <w:color w:val="auto"/>
                <w:sz w:val="24"/>
                <w:szCs w:val="24"/>
                <w:highlight w:val="none"/>
                <w:lang w:eastAsia="zh-CN"/>
              </w:rPr>
              <w:t>采取雨、污</w:t>
            </w:r>
            <w:r>
              <w:rPr>
                <w:rFonts w:hint="default" w:ascii="Times New Roman" w:hAnsi="Times New Roman" w:eastAsia="宋体" w:cs="Times New Roman"/>
                <w:color w:val="auto"/>
                <w:sz w:val="24"/>
                <w:szCs w:val="24"/>
                <w:highlight w:val="none"/>
              </w:rPr>
              <w:t>分流制</w:t>
            </w:r>
            <w:r>
              <w:rPr>
                <w:rFonts w:hint="eastAsia" w:ascii="Times New Roman" w:hAnsi="Times New Roman" w:eastAsia="宋体" w:cs="Times New Roman"/>
                <w:color w:val="auto"/>
                <w:sz w:val="24"/>
                <w:szCs w:val="24"/>
                <w:highlight w:val="none"/>
                <w:lang w:eastAsia="zh-CN"/>
              </w:rPr>
              <w:t>，生活污水</w:t>
            </w:r>
            <w:r>
              <w:rPr>
                <w:rFonts w:hint="eastAsia" w:cs="Times New Roman"/>
                <w:color w:val="auto"/>
                <w:sz w:val="24"/>
                <w:szCs w:val="24"/>
                <w:highlight w:val="none"/>
                <w:lang w:eastAsia="zh-CN"/>
              </w:rPr>
              <w:t>依托</w:t>
            </w:r>
            <w:r>
              <w:rPr>
                <w:rFonts w:hint="eastAsia" w:ascii="Times New Roman" w:hAnsi="Times New Roman" w:eastAsia="宋体" w:cs="Times New Roman"/>
                <w:color w:val="auto"/>
                <w:sz w:val="24"/>
                <w:szCs w:val="24"/>
                <w:highlight w:val="none"/>
                <w:lang w:eastAsia="zh-CN"/>
              </w:rPr>
              <w:t>园区化粪池预处理后</w:t>
            </w:r>
            <w:r>
              <w:rPr>
                <w:rFonts w:hint="eastAsia" w:cs="Times New Roman"/>
                <w:color w:val="auto"/>
                <w:sz w:val="24"/>
                <w:szCs w:val="24"/>
                <w:highlight w:val="none"/>
                <w:lang w:val="en-US" w:eastAsia="zh-CN"/>
              </w:rPr>
              <w:t>与冷却循环外排水一并</w:t>
            </w:r>
            <w:r>
              <w:rPr>
                <w:rFonts w:hint="eastAsia" w:cs="Times New Roman"/>
                <w:color w:val="auto"/>
                <w:sz w:val="24"/>
                <w:szCs w:val="24"/>
                <w:highlight w:val="none"/>
                <w:lang w:eastAsia="zh-CN"/>
              </w:rPr>
              <w:t>通过市政污水管网</w:t>
            </w:r>
            <w:r>
              <w:rPr>
                <w:rFonts w:hint="eastAsia" w:ascii="Times New Roman" w:hAnsi="Times New Roman" w:eastAsia="宋体" w:cs="Times New Roman"/>
                <w:color w:val="auto"/>
                <w:sz w:val="24"/>
                <w:szCs w:val="24"/>
                <w:highlight w:val="none"/>
                <w:lang w:eastAsia="zh-CN"/>
              </w:rPr>
              <w:t>排入</w:t>
            </w:r>
            <w:r>
              <w:rPr>
                <w:rFonts w:hint="eastAsia" w:cs="Times New Roman"/>
                <w:color w:val="auto"/>
                <w:sz w:val="24"/>
                <w:szCs w:val="24"/>
                <w:highlight w:val="none"/>
                <w:lang w:eastAsia="zh-CN"/>
              </w:rPr>
              <w:t>皖江江南新兴产业集中区第一污水处理厂</w:t>
            </w:r>
            <w:r>
              <w:rPr>
                <w:rFonts w:hint="eastAsia" w:ascii="Times New Roman" w:hAnsi="Times New Roman" w:eastAsia="宋体" w:cs="Times New Roman"/>
                <w:color w:val="auto"/>
                <w:sz w:val="24"/>
                <w:szCs w:val="24"/>
                <w:highlight w:val="none"/>
                <w:lang w:eastAsia="zh-CN"/>
              </w:rPr>
              <w:t>，污水处理厂</w:t>
            </w:r>
            <w:r>
              <w:rPr>
                <w:rFonts w:hint="eastAsia" w:cs="Times New Roman"/>
                <w:color w:val="auto"/>
                <w:sz w:val="24"/>
                <w:szCs w:val="24"/>
                <w:highlight w:val="none"/>
                <w:lang w:eastAsia="zh-CN"/>
              </w:rPr>
              <w:t>尾水</w:t>
            </w:r>
            <w:r>
              <w:rPr>
                <w:rFonts w:hint="eastAsia" w:ascii="Times New Roman" w:hAnsi="Times New Roman" w:eastAsia="宋体" w:cs="Times New Roman"/>
                <w:color w:val="auto"/>
                <w:sz w:val="24"/>
                <w:szCs w:val="24"/>
                <w:highlight w:val="none"/>
                <w:lang w:eastAsia="zh-CN"/>
              </w:rPr>
              <w:t>处理达标后经九华河排入长江。</w:t>
            </w:r>
            <w:r>
              <w:rPr>
                <w:rFonts w:hint="eastAsia" w:cs="Times New Roman"/>
                <w:color w:val="auto"/>
                <w:sz w:val="24"/>
                <w:szCs w:val="24"/>
                <w:highlight w:val="none"/>
                <w:lang w:eastAsia="zh-CN"/>
              </w:rPr>
              <w:t>项目排水量约</w:t>
            </w:r>
            <w:r>
              <w:rPr>
                <w:rFonts w:hint="eastAsia" w:cs="Times New Roman"/>
                <w:color w:val="auto"/>
                <w:sz w:val="24"/>
                <w:szCs w:val="24"/>
                <w:highlight w:val="none"/>
                <w:lang w:val="en-US" w:eastAsia="zh-CN"/>
              </w:rPr>
              <w:t>2482.5</w:t>
            </w:r>
            <w:r>
              <w:rPr>
                <w:rFonts w:hint="eastAsia" w:cs="Times New Roman"/>
                <w:color w:val="auto"/>
                <w:sz w:val="24"/>
                <w:szCs w:val="24"/>
                <w:highlight w:val="none"/>
                <w:lang w:eastAsia="zh-CN"/>
              </w:rPr>
              <w:t>t/a。</w:t>
            </w:r>
          </w:p>
          <w:p w14:paraId="110972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val="0"/>
                <w:bCs w:val="0"/>
                <w:color w:val="auto"/>
                <w:sz w:val="24"/>
                <w:szCs w:val="24"/>
                <w:highlight w:val="none"/>
              </w:rPr>
              <w:t>（3）供电</w:t>
            </w:r>
          </w:p>
          <w:p w14:paraId="0E183E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本项目用电由市政电网提供，</w:t>
            </w: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年用电量约</w:t>
            </w:r>
            <w:r>
              <w:rPr>
                <w:rFonts w:hint="eastAsia" w:cs="Times New Roman"/>
                <w:color w:val="auto"/>
                <w:sz w:val="24"/>
                <w:szCs w:val="32"/>
                <w:highlight w:val="none"/>
                <w:lang w:val="en-US" w:eastAsia="zh-CN"/>
              </w:rPr>
              <w:t>3000万kW•h</w:t>
            </w:r>
            <w:r>
              <w:rPr>
                <w:rFonts w:hint="default" w:ascii="Times New Roman" w:hAnsi="Times New Roman" w:cs="Times New Roman"/>
                <w:color w:val="auto"/>
                <w:sz w:val="24"/>
                <w:szCs w:val="24"/>
                <w:highlight w:val="none"/>
              </w:rPr>
              <w:t>。</w:t>
            </w:r>
          </w:p>
          <w:p w14:paraId="5E8BC6BB">
            <w:pPr>
              <w:numPr>
                <w:ilvl w:val="0"/>
                <w:numId w:val="0"/>
              </w:numPr>
              <w:spacing w:line="360" w:lineRule="auto"/>
              <w:ind w:left="0" w:leftChars="0" w:firstLine="482" w:firstLineChars="200"/>
              <w:rPr>
                <w:rFonts w:hint="default" w:ascii="Times New Roman" w:hAnsi="Times New Roman" w:cs="Times New Roman"/>
                <w:b/>
                <w:bCs/>
                <w:color w:val="auto"/>
                <w:sz w:val="24"/>
                <w:szCs w:val="24"/>
                <w:highlight w:val="none"/>
              </w:rPr>
            </w:pPr>
            <w:r>
              <w:rPr>
                <w:rFonts w:hint="default" w:ascii="Times New Roman" w:hAnsi="Times New Roman" w:eastAsia="宋体" w:cs="Times New Roman"/>
                <w:b/>
                <w:bCs/>
                <w:color w:val="auto"/>
                <w:kern w:val="2"/>
                <w:sz w:val="24"/>
                <w:szCs w:val="24"/>
                <w:highlight w:val="none"/>
                <w:lang w:val="en-US" w:eastAsia="zh-CN" w:bidi="ar-SA"/>
              </w:rPr>
              <w:t>8、</w:t>
            </w:r>
            <w:r>
              <w:rPr>
                <w:rFonts w:hint="eastAsia" w:cs="Times New Roman"/>
                <w:b/>
                <w:bCs/>
                <w:color w:val="auto"/>
                <w:sz w:val="24"/>
                <w:szCs w:val="24"/>
                <w:highlight w:val="none"/>
                <w:lang w:eastAsia="zh-CN"/>
              </w:rPr>
              <w:t>水平衡</w:t>
            </w:r>
          </w:p>
          <w:p w14:paraId="5809B7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rPr>
              <w:t>项目用水主要为</w:t>
            </w:r>
            <w:r>
              <w:rPr>
                <w:rFonts w:hint="eastAsia" w:ascii="Times New Roman" w:hAnsi="Times New Roman" w:cs="Times New Roman"/>
                <w:color w:val="auto"/>
                <w:sz w:val="24"/>
                <w:szCs w:val="24"/>
                <w:highlight w:val="none"/>
                <w:lang w:eastAsia="zh-CN"/>
              </w:rPr>
              <w:t>职工</w:t>
            </w:r>
            <w:r>
              <w:rPr>
                <w:rFonts w:hint="default" w:ascii="Times New Roman" w:hAnsi="Times New Roman" w:cs="Times New Roman"/>
                <w:color w:val="auto"/>
                <w:sz w:val="24"/>
                <w:szCs w:val="24"/>
                <w:highlight w:val="none"/>
              </w:rPr>
              <w:t>生活用水</w:t>
            </w:r>
            <w:r>
              <w:rPr>
                <w:rFonts w:hint="eastAsia" w:cs="Times New Roman"/>
                <w:color w:val="auto"/>
                <w:sz w:val="24"/>
                <w:szCs w:val="24"/>
                <w:highlight w:val="none"/>
                <w:lang w:val="en-US" w:eastAsia="zh-CN"/>
              </w:rPr>
              <w:t>及冷却循环补充</w:t>
            </w:r>
            <w:r>
              <w:rPr>
                <w:rFonts w:hint="eastAsia" w:ascii="Times New Roman" w:hAnsi="Times New Roman" w:cs="Times New Roman"/>
                <w:color w:val="auto"/>
                <w:sz w:val="24"/>
                <w:szCs w:val="24"/>
                <w:highlight w:val="none"/>
                <w:lang w:val="en-US" w:eastAsia="zh-CN"/>
              </w:rPr>
              <w:t>。</w:t>
            </w:r>
          </w:p>
          <w:p w14:paraId="3337BA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（1）生活用水</w:t>
            </w:r>
          </w:p>
          <w:p w14:paraId="79977B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bCs/>
                <w:color w:val="auto"/>
                <w:sz w:val="24"/>
                <w:szCs w:val="24"/>
                <w:highlight w:val="none"/>
                <w:lang w:eastAsia="zh-CN"/>
              </w:rPr>
            </w:pPr>
            <w:r>
              <w:rPr>
                <w:rFonts w:hint="eastAsia" w:ascii="Times New Roman" w:hAnsi="Times New Roman" w:cs="Times New Roman"/>
                <w:color w:val="auto"/>
                <w:sz w:val="24"/>
                <w:szCs w:val="24"/>
                <w:highlight w:val="none"/>
                <w:lang w:eastAsia="zh-CN"/>
              </w:rPr>
              <w:t>项目</w:t>
            </w:r>
            <w:r>
              <w:rPr>
                <w:rFonts w:hint="default" w:ascii="Times New Roman" w:hAnsi="Times New Roman" w:cs="Times New Roman"/>
                <w:color w:val="auto"/>
                <w:sz w:val="24"/>
                <w:szCs w:val="24"/>
                <w:highlight w:val="none"/>
              </w:rPr>
              <w:t>劳动定员</w:t>
            </w:r>
            <w:r>
              <w:rPr>
                <w:rFonts w:hint="eastAsia" w:cs="Times New Roman"/>
                <w:color w:val="auto"/>
                <w:sz w:val="24"/>
                <w:szCs w:val="24"/>
                <w:highlight w:val="none"/>
                <w:lang w:val="en-US" w:eastAsia="zh-CN"/>
              </w:rPr>
              <w:t>150</w:t>
            </w:r>
            <w:r>
              <w:rPr>
                <w:rFonts w:hint="default" w:ascii="Times New Roman" w:hAnsi="Times New Roman" w:cs="Times New Roman"/>
                <w:color w:val="auto"/>
                <w:sz w:val="24"/>
                <w:szCs w:val="24"/>
                <w:highlight w:val="none"/>
              </w:rPr>
              <w:t>人</w:t>
            </w:r>
            <w:r>
              <w:rPr>
                <w:rFonts w:hint="eastAsia" w:ascii="Times New Roman" w:hAnsi="Times New Roman" w:cs="Times New Roman"/>
                <w:color w:val="auto"/>
                <w:sz w:val="24"/>
                <w:szCs w:val="24"/>
                <w:highlight w:val="none"/>
                <w:lang w:eastAsia="zh-CN"/>
              </w:rPr>
              <w:t>，厂区</w:t>
            </w:r>
            <w:r>
              <w:rPr>
                <w:rFonts w:hint="default" w:ascii="Times New Roman" w:hAnsi="Times New Roman" w:cs="Times New Roman"/>
                <w:bCs/>
                <w:color w:val="auto"/>
                <w:sz w:val="24"/>
                <w:szCs w:val="24"/>
                <w:highlight w:val="none"/>
              </w:rPr>
              <w:t>不提供食宿</w:t>
            </w:r>
            <w:r>
              <w:rPr>
                <w:rFonts w:hint="eastAsia" w:ascii="Times New Roman" w:hAnsi="Times New Roman" w:cs="Times New Roman"/>
                <w:bCs/>
                <w:color w:val="auto"/>
                <w:sz w:val="24"/>
                <w:szCs w:val="24"/>
                <w:highlight w:val="none"/>
                <w:lang w:eastAsia="zh-CN"/>
              </w:rPr>
              <w:t>；</w:t>
            </w:r>
            <w:r>
              <w:rPr>
                <w:rFonts w:hint="default" w:ascii="Times New Roman" w:hAnsi="Times New Roman" w:cs="Times New Roman"/>
                <w:bCs/>
                <w:color w:val="auto"/>
                <w:sz w:val="24"/>
                <w:szCs w:val="24"/>
                <w:highlight w:val="none"/>
              </w:rPr>
              <w:t>根据《安徽省行业用水定额》（DB34/T679-20</w:t>
            </w:r>
            <w:r>
              <w:rPr>
                <w:rFonts w:hint="eastAsia" w:cs="Times New Roman"/>
                <w:bCs/>
                <w:color w:val="auto"/>
                <w:sz w:val="24"/>
                <w:szCs w:val="24"/>
                <w:highlight w:val="none"/>
                <w:lang w:val="en-US" w:eastAsia="zh-CN"/>
              </w:rPr>
              <w:t>25</w:t>
            </w:r>
            <w:r>
              <w:rPr>
                <w:rFonts w:hint="default" w:ascii="Times New Roman" w:hAnsi="Times New Roman" w:cs="Times New Roman"/>
                <w:bCs/>
                <w:color w:val="auto"/>
                <w:sz w:val="24"/>
                <w:szCs w:val="24"/>
                <w:highlight w:val="none"/>
              </w:rPr>
              <w:t>），职工生活用水按60L/人·d计</w:t>
            </w:r>
            <w:r>
              <w:rPr>
                <w:rFonts w:hint="eastAsia" w:ascii="Times New Roman" w:hAnsi="Times New Roman" w:cs="Times New Roman"/>
                <w:bCs/>
                <w:color w:val="auto"/>
                <w:sz w:val="24"/>
                <w:szCs w:val="24"/>
                <w:highlight w:val="none"/>
                <w:lang w:eastAsia="zh-CN"/>
              </w:rPr>
              <w:t>；</w:t>
            </w:r>
            <w:r>
              <w:rPr>
                <w:rFonts w:hint="default" w:ascii="Times New Roman" w:hAnsi="Times New Roman" w:cs="Times New Roman"/>
                <w:bCs/>
                <w:color w:val="auto"/>
                <w:sz w:val="24"/>
                <w:szCs w:val="24"/>
                <w:highlight w:val="none"/>
              </w:rPr>
              <w:t>年工作</w:t>
            </w:r>
            <w:r>
              <w:rPr>
                <w:rFonts w:hint="eastAsia" w:cs="Times New Roman"/>
                <w:bCs/>
                <w:color w:val="auto"/>
                <w:sz w:val="24"/>
                <w:szCs w:val="24"/>
                <w:highlight w:val="none"/>
                <w:lang w:val="en-US" w:eastAsia="zh-CN"/>
              </w:rPr>
              <w:t>30</w:t>
            </w:r>
            <w:r>
              <w:rPr>
                <w:rFonts w:hint="eastAsia" w:ascii="Times New Roman" w:hAnsi="Times New Roman" w:cs="Times New Roman"/>
                <w:bCs/>
                <w:color w:val="auto"/>
                <w:sz w:val="24"/>
                <w:szCs w:val="24"/>
                <w:highlight w:val="none"/>
                <w:lang w:val="en-US" w:eastAsia="zh-CN"/>
              </w:rPr>
              <w:t>0</w:t>
            </w:r>
            <w:r>
              <w:rPr>
                <w:rFonts w:hint="default" w:ascii="Times New Roman" w:hAnsi="Times New Roman" w:cs="Times New Roman"/>
                <w:bCs/>
                <w:color w:val="auto"/>
                <w:sz w:val="24"/>
                <w:szCs w:val="24"/>
                <w:highlight w:val="none"/>
              </w:rPr>
              <w:t>天，则</w:t>
            </w:r>
            <w:r>
              <w:rPr>
                <w:rFonts w:hint="default" w:ascii="Times New Roman" w:hAnsi="Times New Roman" w:cs="Times New Roman"/>
                <w:color w:val="auto"/>
                <w:sz w:val="24"/>
                <w:szCs w:val="24"/>
                <w:highlight w:val="none"/>
              </w:rPr>
              <w:t>预计</w:t>
            </w:r>
            <w:r>
              <w:rPr>
                <w:rFonts w:hint="eastAsia" w:ascii="Times New Roman" w:hAnsi="Times New Roman" w:cs="Times New Roman"/>
                <w:color w:val="auto"/>
                <w:sz w:val="24"/>
                <w:szCs w:val="24"/>
                <w:highlight w:val="none"/>
                <w:lang w:eastAsia="zh-CN"/>
              </w:rPr>
              <w:t>生活</w:t>
            </w:r>
            <w:r>
              <w:rPr>
                <w:rFonts w:hint="default" w:ascii="Times New Roman" w:hAnsi="Times New Roman" w:cs="Times New Roman"/>
                <w:color w:val="auto"/>
                <w:sz w:val="24"/>
                <w:szCs w:val="24"/>
                <w:highlight w:val="none"/>
              </w:rPr>
              <w:t>用水量</w:t>
            </w:r>
            <w:r>
              <w:rPr>
                <w:rFonts w:hint="default" w:ascii="Times New Roman" w:hAnsi="Times New Roman" w:cs="Times New Roman"/>
                <w:bCs/>
                <w:color w:val="auto"/>
                <w:sz w:val="24"/>
                <w:szCs w:val="24"/>
                <w:highlight w:val="none"/>
              </w:rPr>
              <w:t>为</w:t>
            </w:r>
            <w:r>
              <w:rPr>
                <w:rFonts w:hint="eastAsia" w:cs="Times New Roman"/>
                <w:color w:val="auto"/>
                <w:sz w:val="24"/>
                <w:szCs w:val="24"/>
                <w:highlight w:val="none"/>
                <w:lang w:val="en-US" w:eastAsia="zh-CN"/>
              </w:rPr>
              <w:t>9t/d（2700</w:t>
            </w:r>
            <w:r>
              <w:rPr>
                <w:rFonts w:hint="eastAsia" w:ascii="Times New Roman" w:hAnsi="Times New Roman" w:cs="Times New Roman"/>
                <w:color w:val="auto"/>
                <w:sz w:val="24"/>
                <w:szCs w:val="24"/>
                <w:highlight w:val="none"/>
                <w:vertAlign w:val="baseline"/>
                <w:lang w:val="en-US" w:eastAsia="zh-CN"/>
              </w:rPr>
              <w:t>t/a</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bCs/>
                <w:color w:val="auto"/>
                <w:sz w:val="24"/>
                <w:szCs w:val="24"/>
                <w:highlight w:val="none"/>
              </w:rPr>
              <w:t>生活污水产污系数按0.8</w:t>
            </w:r>
            <w:r>
              <w:rPr>
                <w:rFonts w:hint="eastAsia" w:ascii="Times New Roman" w:hAnsi="Times New Roman" w:cs="Times New Roman"/>
                <w:bCs/>
                <w:color w:val="auto"/>
                <w:sz w:val="24"/>
                <w:szCs w:val="24"/>
                <w:highlight w:val="none"/>
                <w:lang w:val="en-US" w:eastAsia="zh-CN"/>
              </w:rPr>
              <w:t>5</w:t>
            </w:r>
            <w:r>
              <w:rPr>
                <w:rFonts w:hint="default" w:ascii="Times New Roman" w:hAnsi="Times New Roman" w:cs="Times New Roman"/>
                <w:bCs/>
                <w:color w:val="auto"/>
                <w:sz w:val="24"/>
                <w:szCs w:val="24"/>
                <w:highlight w:val="none"/>
              </w:rPr>
              <w:t>计，则生活污水产生量为</w:t>
            </w:r>
            <w:r>
              <w:rPr>
                <w:rFonts w:hint="eastAsia" w:cs="Times New Roman"/>
                <w:bCs/>
                <w:color w:val="auto"/>
                <w:sz w:val="24"/>
                <w:szCs w:val="24"/>
                <w:highlight w:val="none"/>
                <w:lang w:val="en-US" w:eastAsia="zh-CN"/>
              </w:rPr>
              <w:t>7.65</w:t>
            </w:r>
            <w:r>
              <w:rPr>
                <w:rFonts w:hint="default" w:ascii="Times New Roman" w:hAnsi="Times New Roman" w:cs="Times New Roman"/>
                <w:bCs/>
                <w:color w:val="auto"/>
                <w:sz w:val="24"/>
                <w:szCs w:val="24"/>
                <w:highlight w:val="none"/>
              </w:rPr>
              <w:t>t/d（</w:t>
            </w:r>
            <w:r>
              <w:rPr>
                <w:rFonts w:hint="eastAsia" w:cs="Times New Roman"/>
                <w:bCs/>
                <w:color w:val="auto"/>
                <w:sz w:val="24"/>
                <w:szCs w:val="24"/>
                <w:highlight w:val="none"/>
                <w:lang w:val="en-US" w:eastAsia="zh-CN"/>
              </w:rPr>
              <w:t>2295</w:t>
            </w:r>
            <w:r>
              <w:rPr>
                <w:rFonts w:hint="default" w:ascii="Times New Roman" w:hAnsi="Times New Roman" w:cs="Times New Roman"/>
                <w:bCs/>
                <w:color w:val="auto"/>
                <w:sz w:val="24"/>
                <w:szCs w:val="24"/>
                <w:highlight w:val="none"/>
              </w:rPr>
              <w:t>t/a）</w:t>
            </w:r>
            <w:r>
              <w:rPr>
                <w:rFonts w:hint="eastAsia" w:ascii="Times New Roman" w:hAnsi="Times New Roman" w:cs="Times New Roman"/>
                <w:bCs/>
                <w:color w:val="auto"/>
                <w:sz w:val="24"/>
                <w:szCs w:val="24"/>
                <w:highlight w:val="none"/>
                <w:lang w:eastAsia="zh-CN"/>
              </w:rPr>
              <w:t>。</w:t>
            </w:r>
          </w:p>
          <w:p w14:paraId="413ED05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Cs/>
                <w:color w:val="auto"/>
                <w:sz w:val="24"/>
                <w:szCs w:val="24"/>
                <w:highlight w:val="none"/>
                <w:lang w:val="en-US" w:eastAsia="zh-CN"/>
              </w:rPr>
            </w:pPr>
            <w:r>
              <w:rPr>
                <w:rFonts w:hint="eastAsia" w:ascii="Times New Roman" w:hAnsi="Times New Roman" w:eastAsia="宋体" w:cs="Times New Roman"/>
                <w:bCs/>
                <w:color w:val="auto"/>
                <w:kern w:val="2"/>
                <w:sz w:val="24"/>
                <w:szCs w:val="24"/>
                <w:highlight w:val="none"/>
                <w:lang w:val="en-US" w:eastAsia="zh-CN" w:bidi="ar-SA"/>
              </w:rPr>
              <w:t>（2）</w:t>
            </w:r>
            <w:r>
              <w:rPr>
                <w:rFonts w:hint="eastAsia" w:cs="Times New Roman"/>
                <w:bCs/>
                <w:color w:val="auto"/>
                <w:sz w:val="24"/>
                <w:szCs w:val="24"/>
                <w:highlight w:val="none"/>
                <w:lang w:val="en-US" w:eastAsia="zh-CN"/>
              </w:rPr>
              <w:t>冷却循环补充水</w:t>
            </w:r>
          </w:p>
          <w:p w14:paraId="1954A7FA">
            <w:pPr>
              <w:spacing w:line="360" w:lineRule="auto"/>
              <w:ind w:firstLine="480" w:firstLineChars="200"/>
              <w:rPr>
                <w:rFonts w:hint="default"/>
                <w:color w:val="000000"/>
                <w:sz w:val="24"/>
                <w:highlight w:val="none"/>
                <w:lang w:val="en-US" w:eastAsia="zh-CN"/>
              </w:rPr>
            </w:pPr>
            <w:r>
              <w:rPr>
                <w:rFonts w:hint="eastAsia" w:cs="Times New Roman"/>
                <w:bCs/>
                <w:color w:val="auto"/>
                <w:sz w:val="24"/>
                <w:szCs w:val="24"/>
                <w:highlight w:val="none"/>
                <w:lang w:val="en-US" w:eastAsia="zh-CN"/>
              </w:rPr>
              <w:t>项目显示屏模组器件产品间接冷却需使用冷却循环水，项目设置1台冷却塔，循环量为7.81m</w:t>
            </w:r>
            <w:r>
              <w:rPr>
                <w:rFonts w:hint="eastAsia" w:cs="Times New Roman"/>
                <w:bCs/>
                <w:color w:val="auto"/>
                <w:sz w:val="24"/>
                <w:szCs w:val="24"/>
                <w:highlight w:val="none"/>
                <w:vertAlign w:val="superscript"/>
                <w:lang w:val="en-US" w:eastAsia="zh-CN"/>
              </w:rPr>
              <w:t>3/</w:t>
            </w:r>
            <w:r>
              <w:rPr>
                <w:rFonts w:hint="eastAsia" w:cs="Times New Roman"/>
                <w:bCs/>
                <w:color w:val="auto"/>
                <w:sz w:val="24"/>
                <w:szCs w:val="24"/>
                <w:highlight w:val="none"/>
                <w:lang w:val="en-US" w:eastAsia="zh-CN"/>
              </w:rPr>
              <w:t>h，本项目日工作16h，</w:t>
            </w:r>
            <w:r>
              <w:rPr>
                <w:rFonts w:hint="eastAsia"/>
                <w:color w:val="000000"/>
                <w:sz w:val="24"/>
                <w:highlight w:val="none"/>
                <w:lang w:val="en-US" w:eastAsia="zh-CN"/>
              </w:rPr>
              <w:t>类比同行业，冷却塔补充水量按冷却塔循环水量的1%-2%确定，本次取2%，则循环冷却水的补充水量约为2.499t/d（749.7t/a）</w:t>
            </w:r>
            <w:r>
              <w:rPr>
                <w:rFonts w:hint="eastAsia"/>
                <w:color w:val="000000"/>
                <w:sz w:val="24"/>
                <w:highlight w:val="none"/>
                <w:lang w:eastAsia="zh-CN"/>
              </w:rPr>
              <w:t>。蒸发损耗量按照循环量的</w:t>
            </w:r>
            <w:r>
              <w:rPr>
                <w:rFonts w:hint="eastAsia"/>
                <w:color w:val="000000"/>
                <w:sz w:val="24"/>
                <w:highlight w:val="none"/>
                <w:lang w:val="en-US" w:eastAsia="zh-CN"/>
              </w:rPr>
              <w:t>1.5%计，定期排污量按照循环量的0.5%计，则蒸发损耗量约为1.874t/d，排污量为0.625t/d（187.5t/a）。</w:t>
            </w:r>
          </w:p>
          <w:p w14:paraId="161D0978">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eastAsia"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i w:val="0"/>
                <w:color w:val="auto"/>
                <w:kern w:val="2"/>
                <w:sz w:val="21"/>
                <w:szCs w:val="21"/>
                <w:highlight w:val="none"/>
                <w:lang w:val="en-US" w:eastAsia="zh-CN" w:bidi="ar-SA"/>
              </w:rPr>
              <w:t>表2-</w:t>
            </w:r>
            <w:r>
              <w:rPr>
                <w:rFonts w:hint="eastAsia" w:ascii="Times New Roman" w:hAnsi="Times New Roman" w:cs="Times New Roman"/>
                <w:b/>
                <w:bCs/>
                <w:i w:val="0"/>
                <w:color w:val="auto"/>
                <w:kern w:val="2"/>
                <w:sz w:val="21"/>
                <w:szCs w:val="21"/>
                <w:highlight w:val="none"/>
                <w:lang w:val="en-US" w:eastAsia="zh-CN" w:bidi="ar-SA"/>
              </w:rPr>
              <w:t xml:space="preserve">7  </w:t>
            </w:r>
            <w:r>
              <w:rPr>
                <w:rFonts w:hint="eastAsia" w:ascii="Times New Roman" w:hAnsi="Times New Roman" w:eastAsia="宋体" w:cs="Times New Roman"/>
                <w:b/>
                <w:bCs/>
                <w:color w:val="auto"/>
                <w:szCs w:val="21"/>
                <w:highlight w:val="none"/>
                <w:lang w:val="en-US" w:eastAsia="zh-CN"/>
              </w:rPr>
              <w:t>项目用水、排水情况一览表</w:t>
            </w:r>
          </w:p>
          <w:tbl>
            <w:tblPr>
              <w:tblStyle w:val="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8"/>
              <w:gridCol w:w="1762"/>
              <w:gridCol w:w="991"/>
              <w:gridCol w:w="880"/>
              <w:gridCol w:w="1087"/>
              <w:gridCol w:w="798"/>
              <w:gridCol w:w="936"/>
              <w:gridCol w:w="839"/>
            </w:tblGrid>
            <w:tr w14:paraId="030CD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49" w:type="pct"/>
                  <w:vMerge w:val="restart"/>
                  <w:vAlign w:val="center"/>
                </w:tcPr>
                <w:p w14:paraId="6DEC6FB6">
                  <w:pPr>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项目</w:t>
                  </w:r>
                </w:p>
              </w:tc>
              <w:tc>
                <w:tcPr>
                  <w:tcW w:w="1051" w:type="pct"/>
                  <w:vMerge w:val="restart"/>
                  <w:vAlign w:val="center"/>
                </w:tcPr>
                <w:p w14:paraId="326CDE92">
                  <w:pPr>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用水系数</w:t>
                  </w:r>
                </w:p>
              </w:tc>
              <w:tc>
                <w:tcPr>
                  <w:tcW w:w="1116" w:type="pct"/>
                  <w:gridSpan w:val="2"/>
                  <w:vAlign w:val="center"/>
                </w:tcPr>
                <w:p w14:paraId="6B9441A5">
                  <w:pPr>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用水量</w:t>
                  </w:r>
                </w:p>
              </w:tc>
              <w:tc>
                <w:tcPr>
                  <w:tcW w:w="648" w:type="pct"/>
                  <w:vMerge w:val="restart"/>
                  <w:vAlign w:val="center"/>
                </w:tcPr>
                <w:p w14:paraId="350C7F52">
                  <w:pPr>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治理措施</w:t>
                  </w:r>
                </w:p>
              </w:tc>
              <w:tc>
                <w:tcPr>
                  <w:tcW w:w="476" w:type="pct"/>
                  <w:vMerge w:val="restart"/>
                  <w:vAlign w:val="center"/>
                </w:tcPr>
                <w:p w14:paraId="2BBB7DAB">
                  <w:pPr>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产污系数</w:t>
                  </w:r>
                </w:p>
              </w:tc>
              <w:tc>
                <w:tcPr>
                  <w:tcW w:w="1058" w:type="pct"/>
                  <w:gridSpan w:val="2"/>
                  <w:vAlign w:val="center"/>
                </w:tcPr>
                <w:p w14:paraId="66D103CB">
                  <w:pPr>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排水量</w:t>
                  </w:r>
                </w:p>
              </w:tc>
            </w:tr>
            <w:tr w14:paraId="2919B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49" w:type="pct"/>
                  <w:vMerge w:val="continue"/>
                  <w:vAlign w:val="center"/>
                </w:tcPr>
                <w:p w14:paraId="6E5D9F1D">
                  <w:pPr>
                    <w:jc w:val="center"/>
                    <w:rPr>
                      <w:rFonts w:hint="eastAsia" w:ascii="Times New Roman" w:hAnsi="Times New Roman" w:eastAsia="宋体" w:cs="Times New Roman"/>
                      <w:b/>
                      <w:bCs/>
                      <w:color w:val="auto"/>
                      <w:sz w:val="21"/>
                      <w:szCs w:val="21"/>
                      <w:highlight w:val="none"/>
                      <w:lang w:val="en-US" w:eastAsia="zh-CN"/>
                    </w:rPr>
                  </w:pPr>
                </w:p>
              </w:tc>
              <w:tc>
                <w:tcPr>
                  <w:tcW w:w="1051" w:type="pct"/>
                  <w:vMerge w:val="continue"/>
                  <w:vAlign w:val="center"/>
                </w:tcPr>
                <w:p w14:paraId="3786C638">
                  <w:pPr>
                    <w:jc w:val="center"/>
                    <w:rPr>
                      <w:rFonts w:hint="eastAsia" w:ascii="Times New Roman" w:hAnsi="Times New Roman" w:eastAsia="宋体" w:cs="Times New Roman"/>
                      <w:b/>
                      <w:bCs/>
                      <w:color w:val="auto"/>
                      <w:sz w:val="21"/>
                      <w:szCs w:val="21"/>
                      <w:highlight w:val="none"/>
                      <w:lang w:val="en-US" w:eastAsia="zh-CN"/>
                    </w:rPr>
                  </w:pPr>
                </w:p>
              </w:tc>
              <w:tc>
                <w:tcPr>
                  <w:tcW w:w="591" w:type="pct"/>
                  <w:vAlign w:val="center"/>
                </w:tcPr>
                <w:p w14:paraId="0171AB96">
                  <w:pPr>
                    <w:jc w:val="center"/>
                    <w:rPr>
                      <w:rFonts w:hint="eastAsia"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t/d</w:t>
                  </w:r>
                </w:p>
              </w:tc>
              <w:tc>
                <w:tcPr>
                  <w:tcW w:w="524" w:type="pct"/>
                  <w:shd w:val="clear" w:color="auto" w:fill="auto"/>
                  <w:vAlign w:val="center"/>
                </w:tcPr>
                <w:p w14:paraId="4BC6AAEA">
                  <w:pPr>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vertAlign w:val="baseline"/>
                      <w:lang w:val="en-US" w:eastAsia="zh-CN"/>
                    </w:rPr>
                    <w:t>t/a</w:t>
                  </w:r>
                </w:p>
              </w:tc>
              <w:tc>
                <w:tcPr>
                  <w:tcW w:w="648" w:type="pct"/>
                  <w:vMerge w:val="continue"/>
                  <w:vAlign w:val="center"/>
                </w:tcPr>
                <w:p w14:paraId="09F9E443">
                  <w:pPr>
                    <w:jc w:val="center"/>
                    <w:rPr>
                      <w:rFonts w:hint="eastAsia" w:ascii="Times New Roman" w:hAnsi="Times New Roman" w:eastAsia="宋体" w:cs="Times New Roman"/>
                      <w:b/>
                      <w:bCs/>
                      <w:color w:val="auto"/>
                      <w:sz w:val="21"/>
                      <w:szCs w:val="21"/>
                      <w:highlight w:val="none"/>
                      <w:lang w:val="en-US" w:eastAsia="zh-CN"/>
                    </w:rPr>
                  </w:pPr>
                </w:p>
              </w:tc>
              <w:tc>
                <w:tcPr>
                  <w:tcW w:w="476" w:type="pct"/>
                  <w:vMerge w:val="continue"/>
                  <w:vAlign w:val="center"/>
                </w:tcPr>
                <w:p w14:paraId="6727D4E6">
                  <w:pPr>
                    <w:jc w:val="center"/>
                    <w:rPr>
                      <w:rFonts w:hint="eastAsia" w:ascii="Times New Roman" w:hAnsi="Times New Roman" w:eastAsia="宋体" w:cs="Times New Roman"/>
                      <w:b/>
                      <w:bCs/>
                      <w:color w:val="auto"/>
                      <w:sz w:val="21"/>
                      <w:szCs w:val="21"/>
                      <w:highlight w:val="none"/>
                      <w:lang w:val="en-US" w:eastAsia="zh-CN"/>
                    </w:rPr>
                  </w:pPr>
                </w:p>
              </w:tc>
              <w:tc>
                <w:tcPr>
                  <w:tcW w:w="558" w:type="pct"/>
                  <w:vAlign w:val="center"/>
                </w:tcPr>
                <w:p w14:paraId="052AEC8A">
                  <w:pPr>
                    <w:jc w:val="center"/>
                    <w:rPr>
                      <w:rFonts w:hint="eastAsia"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t/d</w:t>
                  </w:r>
                </w:p>
              </w:tc>
              <w:tc>
                <w:tcPr>
                  <w:tcW w:w="500" w:type="pct"/>
                  <w:vAlign w:val="center"/>
                </w:tcPr>
                <w:p w14:paraId="153E61C7">
                  <w:pPr>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vertAlign w:val="baseline"/>
                      <w:lang w:val="en-US" w:eastAsia="zh-CN"/>
                    </w:rPr>
                    <w:t>t/a</w:t>
                  </w:r>
                </w:p>
              </w:tc>
            </w:tr>
            <w:tr w14:paraId="4A4C8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49" w:type="pct"/>
                  <w:vAlign w:val="center"/>
                </w:tcPr>
                <w:p w14:paraId="3239D0F8">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生活用水</w:t>
                  </w:r>
                </w:p>
              </w:tc>
              <w:tc>
                <w:tcPr>
                  <w:tcW w:w="1051" w:type="pct"/>
                  <w:vAlign w:val="center"/>
                </w:tcPr>
                <w:p w14:paraId="156DCC73">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Cs/>
                      <w:color w:val="auto"/>
                      <w:sz w:val="21"/>
                      <w:szCs w:val="21"/>
                      <w:highlight w:val="none"/>
                    </w:rPr>
                    <w:t>60L/人·d</w:t>
                  </w:r>
                  <w:r>
                    <w:rPr>
                      <w:rFonts w:hint="eastAsia" w:ascii="Times New Roman" w:hAnsi="Times New Roman" w:cs="Times New Roman"/>
                      <w:bCs/>
                      <w:color w:val="auto"/>
                      <w:sz w:val="21"/>
                      <w:szCs w:val="21"/>
                      <w:highlight w:val="none"/>
                      <w:lang w:eastAsia="zh-CN"/>
                    </w:rPr>
                    <w:t>；</w:t>
                  </w:r>
                  <w:r>
                    <w:rPr>
                      <w:rFonts w:hint="eastAsia" w:cs="Times New Roman"/>
                      <w:bCs/>
                      <w:color w:val="auto"/>
                      <w:sz w:val="21"/>
                      <w:szCs w:val="21"/>
                      <w:highlight w:val="none"/>
                      <w:lang w:val="en-US" w:eastAsia="zh-CN"/>
                    </w:rPr>
                    <w:t>150</w:t>
                  </w:r>
                  <w:r>
                    <w:rPr>
                      <w:rFonts w:hint="eastAsia" w:ascii="Times New Roman" w:hAnsi="Times New Roman" w:cs="Times New Roman"/>
                      <w:bCs/>
                      <w:color w:val="auto"/>
                      <w:sz w:val="21"/>
                      <w:szCs w:val="21"/>
                      <w:highlight w:val="none"/>
                      <w:lang w:val="en-US" w:eastAsia="zh-CN"/>
                    </w:rPr>
                    <w:t>人</w:t>
                  </w:r>
                </w:p>
              </w:tc>
              <w:tc>
                <w:tcPr>
                  <w:tcW w:w="591" w:type="pct"/>
                  <w:vAlign w:val="center"/>
                </w:tcPr>
                <w:p w14:paraId="4BC86A55">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w:t>
                  </w:r>
                </w:p>
              </w:tc>
              <w:tc>
                <w:tcPr>
                  <w:tcW w:w="524" w:type="pct"/>
                  <w:shd w:val="clear" w:color="auto" w:fill="auto"/>
                  <w:vAlign w:val="center"/>
                </w:tcPr>
                <w:p w14:paraId="2C5FCD82">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2700</w:t>
                  </w:r>
                </w:p>
              </w:tc>
              <w:tc>
                <w:tcPr>
                  <w:tcW w:w="648" w:type="pct"/>
                  <w:vAlign w:val="center"/>
                </w:tcPr>
                <w:p w14:paraId="4F9E379F">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化粪池</w:t>
                  </w:r>
                </w:p>
              </w:tc>
              <w:tc>
                <w:tcPr>
                  <w:tcW w:w="476" w:type="pct"/>
                  <w:vAlign w:val="center"/>
                </w:tcPr>
                <w:p w14:paraId="001AC8E1">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0.85</w:t>
                  </w:r>
                </w:p>
              </w:tc>
              <w:tc>
                <w:tcPr>
                  <w:tcW w:w="558" w:type="pct"/>
                  <w:vAlign w:val="center"/>
                </w:tcPr>
                <w:p w14:paraId="422A514D">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7.65</w:t>
                  </w:r>
                </w:p>
              </w:tc>
              <w:tc>
                <w:tcPr>
                  <w:tcW w:w="500" w:type="pct"/>
                  <w:vAlign w:val="center"/>
                </w:tcPr>
                <w:p w14:paraId="21F50B3F">
                  <w:pPr>
                    <w:jc w:val="center"/>
                    <w:rPr>
                      <w:rFonts w:hint="default" w:ascii="Times New Roman" w:hAnsi="Times New Roman" w:eastAsia="宋体" w:cs="Times New Roman"/>
                      <w:color w:val="auto"/>
                      <w:sz w:val="21"/>
                      <w:szCs w:val="21"/>
                      <w:highlight w:val="none"/>
                      <w:lang w:val="en-US" w:eastAsia="zh-CN"/>
                    </w:rPr>
                  </w:pPr>
                  <w:r>
                    <w:rPr>
                      <w:rFonts w:hint="eastAsia" w:cs="Times New Roman"/>
                      <w:bCs/>
                      <w:color w:val="auto"/>
                      <w:sz w:val="21"/>
                      <w:szCs w:val="21"/>
                      <w:highlight w:val="none"/>
                      <w:lang w:val="en-US" w:eastAsia="zh-CN"/>
                    </w:rPr>
                    <w:t>2295</w:t>
                  </w:r>
                </w:p>
              </w:tc>
            </w:tr>
            <w:tr w14:paraId="1F709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49" w:type="pct"/>
                  <w:vAlign w:val="center"/>
                </w:tcPr>
                <w:p w14:paraId="24858667">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冷却循环补充水</w:t>
                  </w:r>
                </w:p>
              </w:tc>
              <w:tc>
                <w:tcPr>
                  <w:tcW w:w="1051" w:type="pct"/>
                  <w:vAlign w:val="center"/>
                </w:tcPr>
                <w:p w14:paraId="16643C09">
                  <w:pPr>
                    <w:jc w:val="center"/>
                    <w:rPr>
                      <w:rFonts w:hint="eastAsia" w:ascii="Times New Roman" w:hAnsi="Times New Roman" w:eastAsia="宋体" w:cs="Times New Roman"/>
                      <w:bCs/>
                      <w:color w:val="auto"/>
                      <w:sz w:val="21"/>
                      <w:szCs w:val="21"/>
                      <w:highlight w:val="none"/>
                      <w:lang w:val="en-US" w:eastAsia="zh-CN"/>
                    </w:rPr>
                  </w:pPr>
                  <w:r>
                    <w:rPr>
                      <w:rFonts w:hint="eastAsia" w:cs="Times New Roman"/>
                      <w:bCs/>
                      <w:color w:val="auto"/>
                      <w:sz w:val="21"/>
                      <w:szCs w:val="21"/>
                      <w:highlight w:val="none"/>
                      <w:lang w:val="en-US" w:eastAsia="zh-CN"/>
                    </w:rPr>
                    <w:t>/</w:t>
                  </w:r>
                </w:p>
              </w:tc>
              <w:tc>
                <w:tcPr>
                  <w:tcW w:w="591" w:type="pct"/>
                  <w:vAlign w:val="center"/>
                </w:tcPr>
                <w:p w14:paraId="65DB241B">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2.499</w:t>
                  </w:r>
                </w:p>
              </w:tc>
              <w:tc>
                <w:tcPr>
                  <w:tcW w:w="524" w:type="pct"/>
                  <w:shd w:val="clear" w:color="auto" w:fill="auto"/>
                  <w:vAlign w:val="center"/>
                </w:tcPr>
                <w:p w14:paraId="4B6D95BC">
                  <w:pPr>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749.7</w:t>
                  </w:r>
                </w:p>
              </w:tc>
              <w:tc>
                <w:tcPr>
                  <w:tcW w:w="648" w:type="pct"/>
                  <w:vAlign w:val="center"/>
                </w:tcPr>
                <w:p w14:paraId="3B73EC27">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476" w:type="pct"/>
                  <w:vAlign w:val="center"/>
                </w:tcPr>
                <w:p w14:paraId="289B3868">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558" w:type="pct"/>
                  <w:vAlign w:val="center"/>
                </w:tcPr>
                <w:p w14:paraId="7134FDD6">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0.625</w:t>
                  </w:r>
                </w:p>
              </w:tc>
              <w:tc>
                <w:tcPr>
                  <w:tcW w:w="500" w:type="pct"/>
                  <w:vAlign w:val="center"/>
                </w:tcPr>
                <w:p w14:paraId="2D4C8F7F">
                  <w:pPr>
                    <w:jc w:val="center"/>
                    <w:rPr>
                      <w:rFonts w:hint="default" w:cs="Times New Roman"/>
                      <w:bCs/>
                      <w:color w:val="auto"/>
                      <w:sz w:val="21"/>
                      <w:szCs w:val="21"/>
                      <w:highlight w:val="none"/>
                      <w:lang w:val="en-US" w:eastAsia="zh-CN"/>
                    </w:rPr>
                  </w:pPr>
                  <w:r>
                    <w:rPr>
                      <w:rFonts w:hint="eastAsia" w:cs="Times New Roman"/>
                      <w:bCs/>
                      <w:color w:val="auto"/>
                      <w:sz w:val="21"/>
                      <w:szCs w:val="21"/>
                      <w:highlight w:val="none"/>
                      <w:lang w:val="en-US" w:eastAsia="zh-CN"/>
                    </w:rPr>
                    <w:t>187.5</w:t>
                  </w:r>
                </w:p>
              </w:tc>
            </w:tr>
            <w:tr w14:paraId="34A02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700" w:type="pct"/>
                  <w:gridSpan w:val="2"/>
                  <w:vAlign w:val="center"/>
                </w:tcPr>
                <w:p w14:paraId="33FAE5A3">
                  <w:pPr>
                    <w:jc w:val="center"/>
                    <w:rPr>
                      <w:rFonts w:hint="default" w:cs="Times New Roman"/>
                      <w:bCs/>
                      <w:color w:val="auto"/>
                      <w:sz w:val="21"/>
                      <w:szCs w:val="21"/>
                      <w:highlight w:val="none"/>
                      <w:lang w:val="en-US" w:eastAsia="zh-CN"/>
                    </w:rPr>
                  </w:pPr>
                  <w:r>
                    <w:rPr>
                      <w:rFonts w:hint="eastAsia" w:cs="Times New Roman"/>
                      <w:bCs/>
                      <w:color w:val="auto"/>
                      <w:sz w:val="21"/>
                      <w:szCs w:val="21"/>
                      <w:highlight w:val="none"/>
                      <w:lang w:val="en-US" w:eastAsia="zh-CN"/>
                    </w:rPr>
                    <w:t>合计</w:t>
                  </w:r>
                </w:p>
              </w:tc>
              <w:tc>
                <w:tcPr>
                  <w:tcW w:w="591" w:type="pct"/>
                  <w:vAlign w:val="center"/>
                </w:tcPr>
                <w:p w14:paraId="6A3D8B6A">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11.499</w:t>
                  </w:r>
                </w:p>
              </w:tc>
              <w:tc>
                <w:tcPr>
                  <w:tcW w:w="524" w:type="pct"/>
                  <w:shd w:val="clear" w:color="auto" w:fill="auto"/>
                  <w:vAlign w:val="center"/>
                </w:tcPr>
                <w:p w14:paraId="6FB3F704">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3449.7</w:t>
                  </w:r>
                </w:p>
              </w:tc>
              <w:tc>
                <w:tcPr>
                  <w:tcW w:w="648" w:type="pct"/>
                  <w:vAlign w:val="center"/>
                </w:tcPr>
                <w:p w14:paraId="0F103450">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476" w:type="pct"/>
                  <w:vAlign w:val="center"/>
                </w:tcPr>
                <w:p w14:paraId="7FA2EE23">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558" w:type="pct"/>
                  <w:vAlign w:val="center"/>
                </w:tcPr>
                <w:p w14:paraId="2B1361DF">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8.275</w:t>
                  </w:r>
                </w:p>
              </w:tc>
              <w:tc>
                <w:tcPr>
                  <w:tcW w:w="500" w:type="pct"/>
                  <w:vAlign w:val="center"/>
                </w:tcPr>
                <w:p w14:paraId="3356367D">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2482.5</w:t>
                  </w:r>
                </w:p>
              </w:tc>
            </w:tr>
          </w:tbl>
          <w:p w14:paraId="36F0A710">
            <w:pPr>
              <w:pStyle w:val="10"/>
              <w:keepNext w:val="0"/>
              <w:keepLines w:val="0"/>
              <w:pageBreakBefore w:val="0"/>
              <w:widowControl w:val="0"/>
              <w:kinsoku/>
              <w:wordWrap/>
              <w:overflowPunct/>
              <w:topLinePunct w:val="0"/>
              <w:autoSpaceDE/>
              <w:autoSpaceDN/>
              <w:bidi w:val="0"/>
              <w:adjustRightInd/>
              <w:snapToGrid/>
              <w:spacing w:after="0"/>
              <w:ind w:left="0" w:leftChars="0" w:firstLine="480" w:firstLineChars="200"/>
              <w:textAlignment w:val="auto"/>
              <w:rPr>
                <w:rFonts w:hint="eastAsia"/>
                <w:color w:val="auto"/>
                <w:highlight w:val="none"/>
                <w:lang w:eastAsia="zh-CN"/>
              </w:rPr>
            </w:pPr>
            <w:r>
              <w:rPr>
                <w:rFonts w:hint="eastAsia"/>
                <w:color w:val="auto"/>
                <w:highlight w:val="none"/>
                <w:lang w:eastAsia="zh-CN"/>
              </w:rPr>
              <w:t>项目水平衡图如下：</w:t>
            </w:r>
          </w:p>
          <w:p w14:paraId="05B83FBD">
            <w:pPr>
              <w:rPr>
                <w:rFonts w:hint="eastAsia"/>
                <w:color w:val="auto"/>
                <w:highlight w:val="none"/>
                <w:lang w:eastAsia="zh-CN"/>
              </w:rPr>
            </w:pPr>
          </w:p>
          <w:p w14:paraId="51706674">
            <w:pPr>
              <w:keepNext w:val="0"/>
              <w:keepLines w:val="0"/>
              <w:pageBreakBefore w:val="0"/>
              <w:widowControl w:val="0"/>
              <w:kinsoku/>
              <w:wordWrap/>
              <w:overflowPunct/>
              <w:topLinePunct w:val="0"/>
              <w:autoSpaceDE/>
              <w:autoSpaceDN/>
              <w:bidi w:val="0"/>
              <w:adjustRightInd/>
              <w:snapToGrid/>
              <w:spacing w:after="157" w:afterLines="50" w:line="240" w:lineRule="auto"/>
              <w:jc w:val="both"/>
              <w:textAlignment w:val="auto"/>
              <w:rPr>
                <w:rFonts w:hint="eastAsia" w:ascii="Times New Roman" w:hAnsi="Times New Roman" w:cs="Times New Roman"/>
                <w:b/>
                <w:bCs/>
                <w:color w:val="auto"/>
                <w:szCs w:val="21"/>
                <w:highlight w:val="none"/>
                <w:vertAlign w:val="baseline"/>
                <w:lang w:val="en-US" w:eastAsia="zh-CN"/>
              </w:rPr>
            </w:pPr>
          </w:p>
          <w:p w14:paraId="14CA426E">
            <w:pPr>
              <w:keepNext w:val="0"/>
              <w:keepLines w:val="0"/>
              <w:pageBreakBefore w:val="0"/>
              <w:widowControl w:val="0"/>
              <w:kinsoku/>
              <w:wordWrap/>
              <w:overflowPunct/>
              <w:topLinePunct w:val="0"/>
              <w:autoSpaceDE/>
              <w:autoSpaceDN/>
              <w:bidi w:val="0"/>
              <w:adjustRightInd/>
              <w:snapToGrid/>
              <w:spacing w:after="157" w:afterLines="50" w:line="240" w:lineRule="auto"/>
              <w:jc w:val="both"/>
              <w:textAlignment w:val="auto"/>
              <w:rPr>
                <w:rFonts w:hint="eastAsia" w:ascii="Times New Roman" w:hAnsi="Times New Roman" w:cs="Times New Roman"/>
                <w:b/>
                <w:bCs/>
                <w:color w:val="auto"/>
                <w:szCs w:val="21"/>
                <w:highlight w:val="none"/>
                <w:vertAlign w:val="baseline"/>
                <w:lang w:val="en-US" w:eastAsia="zh-CN"/>
              </w:rPr>
            </w:pPr>
            <w:r>
              <w:rPr>
                <w:rFonts w:hint="eastAsia" w:ascii="Times New Roman" w:hAnsi="Times New Roman" w:cs="Times New Roman"/>
                <w:b/>
                <w:bCs/>
                <w:color w:val="auto"/>
                <w:szCs w:val="21"/>
                <w:highlight w:val="none"/>
                <w:vertAlign w:val="baseline"/>
                <w:lang w:val="en-US" w:eastAsia="zh-CN"/>
              </w:rPr>
              <w:pict>
                <v:shape id="_x0000_s1032" o:spid="_x0000_s1032" o:spt="75" type="#_x0000_t75" style="position:absolute;left:0pt;margin-left:-4.9pt;margin-top:2.05pt;height:109pt;width:415.85pt;z-index:-251655168;mso-width-relative:page;mso-height-relative:page;" o:ole="t" filled="f" o:preferrelative="t" stroked="f" coordsize="21600,21600">
                  <v:path/>
                  <v:fill on="f" focussize="0,0"/>
                  <v:stroke on="f"/>
                  <v:imagedata r:id="rId11" o:title=""/>
                  <o:lock v:ext="edit" aspectratio="f"/>
                </v:shape>
                <o:OLEObject Type="Embed" ProgID="Visio.Drawing.15" ShapeID="_x0000_s1032" DrawAspect="Content" ObjectID="_1468075725" r:id="rId10">
                  <o:LockedField>false</o:LockedField>
                </o:OLEObject>
              </w:pict>
            </w:r>
          </w:p>
          <w:p w14:paraId="31DEEAC9">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auto"/>
                <w:szCs w:val="21"/>
                <w:highlight w:val="none"/>
                <w:vertAlign w:val="baseline"/>
                <w:lang w:val="en-US" w:eastAsia="zh-CN"/>
              </w:rPr>
            </w:pPr>
          </w:p>
          <w:p w14:paraId="337A95B3">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auto"/>
                <w:szCs w:val="21"/>
                <w:highlight w:val="none"/>
                <w:vertAlign w:val="baseline"/>
                <w:lang w:val="en-US" w:eastAsia="zh-CN"/>
              </w:rPr>
            </w:pPr>
          </w:p>
          <w:p w14:paraId="545E96A8">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auto"/>
                <w:szCs w:val="21"/>
                <w:highlight w:val="none"/>
                <w:vertAlign w:val="baseline"/>
                <w:lang w:val="en-US" w:eastAsia="zh-CN"/>
              </w:rPr>
            </w:pPr>
          </w:p>
          <w:p w14:paraId="1389D9B2">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auto"/>
                <w:szCs w:val="21"/>
                <w:highlight w:val="none"/>
                <w:vertAlign w:val="baseline"/>
                <w:lang w:val="en-US" w:eastAsia="zh-CN"/>
              </w:rPr>
            </w:pPr>
          </w:p>
          <w:p w14:paraId="7D7AFEF4">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auto"/>
                <w:szCs w:val="21"/>
                <w:highlight w:val="none"/>
                <w:vertAlign w:val="baseline"/>
                <w:lang w:val="en-US" w:eastAsia="zh-CN"/>
              </w:rPr>
            </w:pPr>
          </w:p>
          <w:p w14:paraId="5C7170D0">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auto"/>
                <w:szCs w:val="21"/>
                <w:highlight w:val="none"/>
                <w:vertAlign w:val="baseline"/>
                <w:lang w:val="en-US" w:eastAsia="zh-CN"/>
              </w:rPr>
            </w:pPr>
            <w:r>
              <w:rPr>
                <w:rFonts w:hint="eastAsia" w:ascii="Times New Roman" w:hAnsi="Times New Roman" w:cs="Times New Roman"/>
                <w:b/>
                <w:bCs/>
                <w:color w:val="auto"/>
                <w:szCs w:val="21"/>
                <w:highlight w:val="none"/>
                <w:vertAlign w:val="baseline"/>
                <w:lang w:val="en-US" w:eastAsia="zh-CN"/>
              </w:rPr>
              <w:t>图2-</w:t>
            </w:r>
            <w:r>
              <w:rPr>
                <w:rFonts w:hint="eastAsia" w:cs="Times New Roman"/>
                <w:b/>
                <w:bCs/>
                <w:color w:val="auto"/>
                <w:szCs w:val="21"/>
                <w:highlight w:val="none"/>
                <w:vertAlign w:val="baseline"/>
                <w:lang w:val="en-US" w:eastAsia="zh-CN"/>
              </w:rPr>
              <w:t>1</w:t>
            </w:r>
            <w:r>
              <w:rPr>
                <w:rFonts w:hint="eastAsia" w:ascii="Times New Roman" w:hAnsi="Times New Roman" w:cs="Times New Roman"/>
                <w:b/>
                <w:bCs/>
                <w:color w:val="auto"/>
                <w:szCs w:val="21"/>
                <w:highlight w:val="none"/>
                <w:vertAlign w:val="baseline"/>
                <w:lang w:val="en-US" w:eastAsia="zh-CN"/>
              </w:rPr>
              <w:t xml:space="preserve">  项目水平衡图（单位：t/</w:t>
            </w:r>
            <w:r>
              <w:rPr>
                <w:rFonts w:hint="eastAsia" w:cs="Times New Roman"/>
                <w:b/>
                <w:bCs/>
                <w:color w:val="auto"/>
                <w:szCs w:val="21"/>
                <w:highlight w:val="none"/>
                <w:vertAlign w:val="baseline"/>
                <w:lang w:val="en-US" w:eastAsia="zh-CN"/>
              </w:rPr>
              <w:t>d</w:t>
            </w:r>
            <w:r>
              <w:rPr>
                <w:rFonts w:hint="eastAsia" w:ascii="Times New Roman" w:hAnsi="Times New Roman" w:cs="Times New Roman"/>
                <w:b/>
                <w:bCs/>
                <w:color w:val="auto"/>
                <w:szCs w:val="21"/>
                <w:highlight w:val="none"/>
                <w:vertAlign w:val="baseline"/>
                <w:lang w:val="en-US" w:eastAsia="zh-CN"/>
              </w:rPr>
              <w:t>）</w:t>
            </w:r>
          </w:p>
          <w:p w14:paraId="21ACD07D">
            <w:pPr>
              <w:numPr>
                <w:ilvl w:val="0"/>
                <w:numId w:val="0"/>
              </w:numPr>
              <w:spacing w:line="360" w:lineRule="auto"/>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val="en-US" w:eastAsia="zh-CN"/>
              </w:rPr>
              <w:t>9、</w:t>
            </w:r>
            <w:r>
              <w:rPr>
                <w:rFonts w:hint="default" w:ascii="Times New Roman" w:hAnsi="Times New Roman" w:cs="Times New Roman"/>
                <w:b/>
                <w:bCs/>
                <w:color w:val="auto"/>
                <w:sz w:val="24"/>
                <w:szCs w:val="24"/>
                <w:highlight w:val="none"/>
              </w:rPr>
              <w:t>总平面图布置</w:t>
            </w:r>
          </w:p>
          <w:p w14:paraId="577D27D3">
            <w:pPr>
              <w:pStyle w:val="22"/>
              <w:adjustRightInd w:val="0"/>
              <w:snapToGrid w:val="0"/>
              <w:spacing w:after="0" w:line="360" w:lineRule="auto"/>
              <w:ind w:firstLine="480" w:firstLineChars="200"/>
              <w:jc w:val="both"/>
              <w:rPr>
                <w:rFonts w:hint="eastAsia" w:cs="Times New Roman"/>
                <w:color w:val="auto"/>
                <w:sz w:val="24"/>
                <w:szCs w:val="24"/>
                <w:highlight w:val="none"/>
                <w:lang w:val="en-US" w:eastAsia="zh-CN"/>
              </w:rPr>
            </w:pPr>
            <w:r>
              <w:rPr>
                <w:rFonts w:hint="default" w:ascii="Times New Roman" w:hAnsi="Times New Roman" w:cs="Times New Roman"/>
                <w:color w:val="auto"/>
                <w:sz w:val="24"/>
                <w:szCs w:val="24"/>
                <w:highlight w:val="none"/>
              </w:rPr>
              <w:t>项目租赁池州市皖江江南新兴产业集中区孵化园</w:t>
            </w:r>
            <w:r>
              <w:rPr>
                <w:rFonts w:hint="eastAsia" w:cs="Times New Roman"/>
                <w:color w:val="auto"/>
                <w:sz w:val="24"/>
                <w:szCs w:val="24"/>
                <w:highlight w:val="none"/>
                <w:lang w:val="en-US" w:eastAsia="zh-CN"/>
              </w:rPr>
              <w:t>A4</w:t>
            </w:r>
            <w:r>
              <w:rPr>
                <w:rFonts w:hint="default" w:ascii="Times New Roman" w:hAnsi="Times New Roman" w:cs="Times New Roman"/>
                <w:color w:val="auto"/>
                <w:sz w:val="24"/>
                <w:szCs w:val="24"/>
                <w:highlight w:val="none"/>
              </w:rPr>
              <w:t>厂房</w:t>
            </w:r>
            <w:r>
              <w:rPr>
                <w:rFonts w:hint="eastAsia" w:cs="Times New Roman"/>
                <w:color w:val="auto"/>
                <w:sz w:val="24"/>
                <w:szCs w:val="24"/>
                <w:highlight w:val="none"/>
                <w:lang w:val="en-US" w:eastAsia="zh-CN"/>
              </w:rPr>
              <w:t>1层部分区域以及2、3层全部区域共计约6544.11m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其中1层主要用于办公，2层主要作为LED显示屏模组生产场所，3层主要作为显示屏模组器件生产场所。</w:t>
            </w:r>
          </w:p>
          <w:p w14:paraId="43CBE01F">
            <w:pPr>
              <w:rPr>
                <w:rFonts w:hint="eastAsia" w:cs="Times New Roman"/>
                <w:color w:val="auto"/>
                <w:sz w:val="24"/>
                <w:szCs w:val="24"/>
                <w:highlight w:val="none"/>
                <w:lang w:val="en-US" w:eastAsia="zh-CN"/>
              </w:rPr>
            </w:pPr>
          </w:p>
          <w:p w14:paraId="21595ACD">
            <w:pPr>
              <w:rPr>
                <w:rFonts w:hint="eastAsia" w:cs="Times New Roman"/>
                <w:color w:val="auto"/>
                <w:sz w:val="24"/>
                <w:szCs w:val="24"/>
                <w:highlight w:val="none"/>
                <w:lang w:val="en-US" w:eastAsia="zh-CN"/>
              </w:rPr>
            </w:pPr>
          </w:p>
          <w:p w14:paraId="31E09CF1">
            <w:pPr>
              <w:rPr>
                <w:rFonts w:hint="eastAsia" w:cs="Times New Roman"/>
                <w:color w:val="auto"/>
                <w:sz w:val="24"/>
                <w:szCs w:val="24"/>
                <w:highlight w:val="none"/>
                <w:lang w:val="en-US" w:eastAsia="zh-CN"/>
              </w:rPr>
            </w:pPr>
          </w:p>
          <w:p w14:paraId="780C7816">
            <w:pPr>
              <w:rPr>
                <w:rFonts w:hint="eastAsia" w:cs="Times New Roman"/>
                <w:color w:val="auto"/>
                <w:sz w:val="24"/>
                <w:szCs w:val="24"/>
                <w:highlight w:val="none"/>
                <w:lang w:val="en-US" w:eastAsia="zh-CN"/>
              </w:rPr>
            </w:pPr>
          </w:p>
          <w:p w14:paraId="0C010B6C">
            <w:pPr>
              <w:rPr>
                <w:rFonts w:hint="eastAsia" w:cs="Times New Roman"/>
                <w:color w:val="auto"/>
                <w:sz w:val="24"/>
                <w:szCs w:val="24"/>
                <w:highlight w:val="none"/>
                <w:lang w:val="en-US" w:eastAsia="zh-CN"/>
              </w:rPr>
            </w:pPr>
          </w:p>
          <w:p w14:paraId="3AFBE89A">
            <w:pPr>
              <w:rPr>
                <w:rFonts w:hint="eastAsia" w:cs="Times New Roman"/>
                <w:color w:val="auto"/>
                <w:sz w:val="24"/>
                <w:szCs w:val="24"/>
                <w:highlight w:val="none"/>
                <w:lang w:val="en-US" w:eastAsia="zh-CN"/>
              </w:rPr>
            </w:pPr>
          </w:p>
          <w:p w14:paraId="5D26311B">
            <w:pPr>
              <w:rPr>
                <w:rFonts w:hint="eastAsia" w:cs="Times New Roman"/>
                <w:color w:val="auto"/>
                <w:sz w:val="24"/>
                <w:szCs w:val="24"/>
                <w:highlight w:val="none"/>
                <w:lang w:val="en-US" w:eastAsia="zh-CN"/>
              </w:rPr>
            </w:pPr>
          </w:p>
          <w:p w14:paraId="6434FBAF">
            <w:pPr>
              <w:rPr>
                <w:rFonts w:hint="eastAsia" w:cs="Times New Roman"/>
                <w:color w:val="auto"/>
                <w:sz w:val="24"/>
                <w:szCs w:val="24"/>
                <w:highlight w:val="none"/>
                <w:lang w:val="en-US" w:eastAsia="zh-CN"/>
              </w:rPr>
            </w:pPr>
          </w:p>
          <w:p w14:paraId="4389466A">
            <w:pPr>
              <w:rPr>
                <w:rFonts w:hint="eastAsia" w:cs="Times New Roman"/>
                <w:color w:val="auto"/>
                <w:sz w:val="24"/>
                <w:szCs w:val="24"/>
                <w:highlight w:val="none"/>
                <w:lang w:val="en-US" w:eastAsia="zh-CN"/>
              </w:rPr>
            </w:pPr>
          </w:p>
          <w:p w14:paraId="7B95C18D">
            <w:pPr>
              <w:rPr>
                <w:rFonts w:hint="eastAsia" w:cs="Times New Roman"/>
                <w:color w:val="auto"/>
                <w:sz w:val="24"/>
                <w:szCs w:val="24"/>
                <w:highlight w:val="none"/>
                <w:lang w:val="en-US" w:eastAsia="zh-CN"/>
              </w:rPr>
            </w:pPr>
          </w:p>
          <w:p w14:paraId="7DA94617">
            <w:pPr>
              <w:rPr>
                <w:rFonts w:hint="eastAsia" w:cs="Times New Roman"/>
                <w:color w:val="auto"/>
                <w:sz w:val="24"/>
                <w:szCs w:val="24"/>
                <w:highlight w:val="none"/>
                <w:lang w:val="en-US" w:eastAsia="zh-CN"/>
              </w:rPr>
            </w:pPr>
          </w:p>
          <w:p w14:paraId="344057FD">
            <w:pPr>
              <w:rPr>
                <w:rFonts w:hint="eastAsia" w:cs="Times New Roman"/>
                <w:color w:val="auto"/>
                <w:sz w:val="24"/>
                <w:szCs w:val="24"/>
                <w:highlight w:val="none"/>
                <w:lang w:val="en-US" w:eastAsia="zh-CN"/>
              </w:rPr>
            </w:pPr>
          </w:p>
          <w:p w14:paraId="17C77916">
            <w:pPr>
              <w:rPr>
                <w:rFonts w:hint="eastAsia" w:cs="Times New Roman"/>
                <w:color w:val="auto"/>
                <w:sz w:val="24"/>
                <w:szCs w:val="24"/>
                <w:highlight w:val="none"/>
                <w:lang w:val="en-US" w:eastAsia="zh-CN"/>
              </w:rPr>
            </w:pPr>
          </w:p>
          <w:p w14:paraId="37EE5E7B">
            <w:pPr>
              <w:rPr>
                <w:rFonts w:hint="eastAsia" w:cs="Times New Roman"/>
                <w:color w:val="auto"/>
                <w:sz w:val="24"/>
                <w:szCs w:val="24"/>
                <w:highlight w:val="none"/>
                <w:lang w:val="en-US" w:eastAsia="zh-CN"/>
              </w:rPr>
            </w:pPr>
          </w:p>
          <w:p w14:paraId="33E41E19">
            <w:pPr>
              <w:rPr>
                <w:rFonts w:hint="eastAsia" w:cs="Times New Roman"/>
                <w:color w:val="auto"/>
                <w:sz w:val="24"/>
                <w:szCs w:val="24"/>
                <w:highlight w:val="none"/>
                <w:lang w:val="en-US" w:eastAsia="zh-CN"/>
              </w:rPr>
            </w:pPr>
          </w:p>
          <w:p w14:paraId="618AB226">
            <w:pPr>
              <w:rPr>
                <w:rFonts w:hint="eastAsia" w:cs="Times New Roman"/>
                <w:color w:val="auto"/>
                <w:sz w:val="24"/>
                <w:szCs w:val="24"/>
                <w:highlight w:val="none"/>
                <w:lang w:val="en-US" w:eastAsia="zh-CN"/>
              </w:rPr>
            </w:pPr>
          </w:p>
          <w:p w14:paraId="5F9EAFC2">
            <w:pPr>
              <w:rPr>
                <w:rFonts w:hint="eastAsia" w:cs="Times New Roman"/>
                <w:color w:val="auto"/>
                <w:sz w:val="24"/>
                <w:szCs w:val="24"/>
                <w:highlight w:val="none"/>
                <w:lang w:val="en-US" w:eastAsia="zh-CN"/>
              </w:rPr>
            </w:pPr>
          </w:p>
          <w:p w14:paraId="0CE40F02">
            <w:pPr>
              <w:rPr>
                <w:rFonts w:hint="eastAsia" w:cs="Times New Roman"/>
                <w:color w:val="auto"/>
                <w:sz w:val="24"/>
                <w:szCs w:val="24"/>
                <w:highlight w:val="none"/>
                <w:lang w:val="en-US" w:eastAsia="zh-CN"/>
              </w:rPr>
            </w:pPr>
          </w:p>
          <w:p w14:paraId="6C693293">
            <w:pPr>
              <w:rPr>
                <w:rFonts w:hint="eastAsia" w:cs="Times New Roman"/>
                <w:color w:val="auto"/>
                <w:sz w:val="24"/>
                <w:szCs w:val="24"/>
                <w:highlight w:val="none"/>
                <w:lang w:val="en-US" w:eastAsia="zh-CN"/>
              </w:rPr>
            </w:pPr>
          </w:p>
          <w:p w14:paraId="449A6771">
            <w:pPr>
              <w:rPr>
                <w:rFonts w:hint="eastAsia" w:cs="Times New Roman"/>
                <w:color w:val="auto"/>
                <w:sz w:val="24"/>
                <w:szCs w:val="24"/>
                <w:highlight w:val="none"/>
                <w:lang w:val="en-US" w:eastAsia="zh-CN"/>
              </w:rPr>
            </w:pPr>
          </w:p>
          <w:p w14:paraId="54D7025B">
            <w:pPr>
              <w:rPr>
                <w:rFonts w:hint="eastAsia" w:cs="Times New Roman"/>
                <w:color w:val="auto"/>
                <w:sz w:val="24"/>
                <w:szCs w:val="24"/>
                <w:highlight w:val="none"/>
                <w:lang w:val="en-US" w:eastAsia="zh-CN"/>
              </w:rPr>
            </w:pPr>
          </w:p>
          <w:p w14:paraId="5BB8A775">
            <w:pPr>
              <w:rPr>
                <w:rFonts w:hint="eastAsia" w:cs="Times New Roman"/>
                <w:color w:val="auto"/>
                <w:sz w:val="24"/>
                <w:szCs w:val="24"/>
                <w:highlight w:val="none"/>
                <w:lang w:val="en-US" w:eastAsia="zh-CN"/>
              </w:rPr>
            </w:pPr>
          </w:p>
          <w:p w14:paraId="58AFB28D">
            <w:pPr>
              <w:rPr>
                <w:rFonts w:hint="eastAsia" w:cs="Times New Roman"/>
                <w:color w:val="auto"/>
                <w:sz w:val="24"/>
                <w:szCs w:val="24"/>
                <w:highlight w:val="none"/>
                <w:lang w:val="en-US" w:eastAsia="zh-CN"/>
              </w:rPr>
            </w:pPr>
          </w:p>
          <w:p w14:paraId="1CA74364">
            <w:pPr>
              <w:rPr>
                <w:rFonts w:hint="eastAsia" w:cs="Times New Roman"/>
                <w:color w:val="auto"/>
                <w:sz w:val="24"/>
                <w:szCs w:val="24"/>
                <w:highlight w:val="none"/>
                <w:lang w:val="en-US" w:eastAsia="zh-CN"/>
              </w:rPr>
            </w:pPr>
          </w:p>
          <w:p w14:paraId="176B7E76">
            <w:pPr>
              <w:rPr>
                <w:rFonts w:hint="eastAsia" w:cs="Times New Roman"/>
                <w:color w:val="auto"/>
                <w:sz w:val="24"/>
                <w:szCs w:val="24"/>
                <w:highlight w:val="none"/>
                <w:lang w:val="en-US" w:eastAsia="zh-CN"/>
              </w:rPr>
            </w:pPr>
          </w:p>
          <w:p w14:paraId="4290462F">
            <w:pPr>
              <w:rPr>
                <w:rFonts w:hint="eastAsia" w:cs="Times New Roman"/>
                <w:color w:val="auto"/>
                <w:sz w:val="24"/>
                <w:szCs w:val="24"/>
                <w:highlight w:val="none"/>
                <w:lang w:val="en-US" w:eastAsia="zh-CN"/>
              </w:rPr>
            </w:pPr>
          </w:p>
          <w:p w14:paraId="5CD04829">
            <w:pPr>
              <w:rPr>
                <w:rFonts w:hint="eastAsia" w:cs="Times New Roman"/>
                <w:color w:val="auto"/>
                <w:sz w:val="24"/>
                <w:szCs w:val="24"/>
                <w:highlight w:val="none"/>
                <w:lang w:val="en-US" w:eastAsia="zh-CN"/>
              </w:rPr>
            </w:pPr>
          </w:p>
          <w:p w14:paraId="79EC51FE">
            <w:pPr>
              <w:rPr>
                <w:rFonts w:hint="eastAsia" w:cs="Times New Roman"/>
                <w:color w:val="auto"/>
                <w:sz w:val="24"/>
                <w:szCs w:val="24"/>
                <w:highlight w:val="none"/>
                <w:lang w:val="en-US" w:eastAsia="zh-CN"/>
              </w:rPr>
            </w:pPr>
          </w:p>
          <w:p w14:paraId="1DBA8001">
            <w:pPr>
              <w:rPr>
                <w:rFonts w:hint="eastAsia" w:cs="Times New Roman"/>
                <w:color w:val="auto"/>
                <w:sz w:val="24"/>
                <w:szCs w:val="24"/>
                <w:highlight w:val="none"/>
                <w:lang w:val="en-US" w:eastAsia="zh-CN"/>
              </w:rPr>
            </w:pPr>
          </w:p>
          <w:p w14:paraId="6D8E7B95">
            <w:pPr>
              <w:rPr>
                <w:rFonts w:hint="eastAsia" w:cs="Times New Roman"/>
                <w:color w:val="auto"/>
                <w:sz w:val="24"/>
                <w:szCs w:val="24"/>
                <w:highlight w:val="none"/>
                <w:lang w:val="en-US" w:eastAsia="zh-CN"/>
              </w:rPr>
            </w:pPr>
          </w:p>
          <w:p w14:paraId="13326D0C">
            <w:pPr>
              <w:rPr>
                <w:rFonts w:hint="eastAsia" w:cs="Times New Roman"/>
                <w:color w:val="auto"/>
                <w:sz w:val="24"/>
                <w:szCs w:val="24"/>
                <w:highlight w:val="none"/>
                <w:lang w:val="en-US" w:eastAsia="zh-CN"/>
              </w:rPr>
            </w:pPr>
          </w:p>
          <w:p w14:paraId="371F4DFB">
            <w:pPr>
              <w:rPr>
                <w:rFonts w:hint="default" w:cs="Times New Roman"/>
                <w:color w:val="auto"/>
                <w:sz w:val="24"/>
                <w:szCs w:val="24"/>
                <w:highlight w:val="none"/>
                <w:lang w:val="en-US" w:eastAsia="zh-CN"/>
              </w:rPr>
            </w:pPr>
          </w:p>
        </w:tc>
      </w:tr>
      <w:tr w14:paraId="23A7AE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01" w:hRule="atLeast"/>
          <w:jc w:val="center"/>
        </w:trPr>
        <w:tc>
          <w:tcPr>
            <w:tcW w:w="471" w:type="dxa"/>
            <w:noWrap w:val="0"/>
            <w:vAlign w:val="center"/>
          </w:tcPr>
          <w:p w14:paraId="7E2D9CE6">
            <w:pPr>
              <w:pStyle w:val="23"/>
              <w:adjustRightInd w:val="0"/>
              <w:snapToGrid w:val="0"/>
              <w:spacing w:before="0" w:beforeAutospacing="0" w:after="0" w:afterAutospacing="0"/>
              <w:jc w:val="center"/>
              <w:rPr>
                <w:rFonts w:hint="default" w:ascii="Times New Roman" w:hAnsi="Times New Roman" w:cs="Times New Roman"/>
                <w:b/>
                <w:bCs/>
                <w:color w:val="auto"/>
                <w:sz w:val="21"/>
                <w:szCs w:val="21"/>
                <w:highlight w:val="none"/>
              </w:rPr>
            </w:pPr>
            <w:r>
              <w:rPr>
                <w:rFonts w:hint="default" w:ascii="Times New Roman" w:hAnsi="Times New Roman" w:cs="Times New Roman"/>
                <w:color w:val="auto"/>
                <w:sz w:val="24"/>
                <w:szCs w:val="24"/>
                <w:highlight w:val="none"/>
              </w:rPr>
              <w:pict>
                <v:shape id="_x0000_s1027" o:spid="_x0000_s1027" o:spt="75" type="#_x0000_t75" style="position:absolute;left:0pt;margin-left:13.05pt;margin-top:68.6pt;height:379.05pt;width:421pt;z-index:-251657216;mso-width-relative:page;mso-height-relative:page;" o:ole="t" filled="f" o:preferrelative="t" stroked="f" coordsize="21600,21600">
                  <v:path/>
                  <v:fill on="f" focussize="0,0"/>
                  <v:stroke on="f"/>
                  <v:imagedata r:id="rId13" o:title=""/>
                  <o:lock v:ext="edit" aspectratio="f"/>
                </v:shape>
                <o:OLEObject Type="Embed" ProgID="Visio.Drawing.15" ShapeID="_x0000_s1027" DrawAspect="Content" ObjectID="_1468075726" r:id="rId12">
                  <o:LockedField>false</o:LockedField>
                </o:OLEObject>
              </w:pict>
            </w:r>
            <w:r>
              <w:rPr>
                <w:rFonts w:hint="default" w:ascii="Times New Roman" w:hAnsi="Times New Roman" w:cs="Times New Roman"/>
                <w:b/>
                <w:bCs/>
                <w:color w:val="auto"/>
                <w:sz w:val="24"/>
                <w:szCs w:val="24"/>
                <w:highlight w:val="none"/>
              </w:rPr>
              <w:t>工艺流程和产排污环节</w:t>
            </w:r>
          </w:p>
        </w:tc>
        <w:tc>
          <w:tcPr>
            <w:tcW w:w="8537" w:type="dxa"/>
            <w:noWrap w:val="0"/>
            <w:vAlign w:val="top"/>
          </w:tcPr>
          <w:p w14:paraId="431B41FD">
            <w:pPr>
              <w:adjustRightInd w:val="0"/>
              <w:spacing w:line="360" w:lineRule="auto"/>
              <w:ind w:firstLine="498" w:firstLineChars="200"/>
              <w:jc w:val="both"/>
              <w:rPr>
                <w:rFonts w:hint="default" w:ascii="Times New Roman" w:hAnsi="Times New Roman" w:cs="Times New Roman"/>
                <w:b/>
                <w:bCs/>
                <w:color w:val="auto"/>
                <w:spacing w:val="4"/>
                <w:kern w:val="18"/>
                <w:sz w:val="24"/>
                <w:szCs w:val="24"/>
                <w:highlight w:val="none"/>
              </w:rPr>
            </w:pPr>
            <w:r>
              <w:rPr>
                <w:rFonts w:hint="default" w:ascii="Times New Roman" w:hAnsi="Times New Roman" w:cs="Times New Roman"/>
                <w:b/>
                <w:bCs/>
                <w:color w:val="auto"/>
                <w:spacing w:val="4"/>
                <w:kern w:val="18"/>
                <w:sz w:val="24"/>
                <w:szCs w:val="24"/>
                <w:highlight w:val="none"/>
              </w:rPr>
              <w:t>一、施工期</w:t>
            </w:r>
          </w:p>
          <w:p w14:paraId="17828299">
            <w:pPr>
              <w:pStyle w:val="22"/>
              <w:adjustRightInd w:val="0"/>
              <w:snapToGrid w:val="0"/>
              <w:spacing w:after="0" w:line="360" w:lineRule="auto"/>
              <w:ind w:firstLine="480" w:firstLineChars="200"/>
              <w:jc w:val="both"/>
              <w:rPr>
                <w:rFonts w:hint="eastAsia"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rPr>
              <w:t>本项目租赁</w:t>
            </w:r>
            <w:r>
              <w:rPr>
                <w:rFonts w:hint="eastAsia" w:cs="Times New Roman"/>
                <w:color w:val="auto"/>
                <w:sz w:val="24"/>
                <w:szCs w:val="24"/>
                <w:highlight w:val="none"/>
                <w:lang w:eastAsia="zh-CN"/>
              </w:rPr>
              <w:t>池州市皖江江南新兴产业集中区科技孵化园A4厂房</w:t>
            </w:r>
            <w:r>
              <w:rPr>
                <w:rFonts w:hint="eastAsia" w:cs="Times New Roman"/>
                <w:color w:val="auto"/>
                <w:sz w:val="24"/>
                <w:szCs w:val="24"/>
                <w:highlight w:val="none"/>
                <w:lang w:val="en-US" w:eastAsia="zh-CN"/>
              </w:rPr>
              <w:t>1层部分区域以及2、3层全部区域共计约6544.11m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eastAsia="zh-CN"/>
              </w:rPr>
              <w:t>。现阶段</w:t>
            </w:r>
            <w:r>
              <w:rPr>
                <w:rFonts w:hint="default" w:ascii="Times New Roman" w:hAnsi="Times New Roman" w:cs="Times New Roman"/>
                <w:color w:val="auto"/>
                <w:sz w:val="24"/>
                <w:szCs w:val="24"/>
                <w:highlight w:val="none"/>
              </w:rPr>
              <w:t>厂房、供水、供电、排水、道路等基础工程已经全部建成</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施工期主要</w:t>
            </w:r>
            <w:r>
              <w:rPr>
                <w:rFonts w:hint="eastAsia" w:cs="Times New Roman"/>
                <w:color w:val="auto"/>
                <w:sz w:val="24"/>
                <w:szCs w:val="24"/>
                <w:highlight w:val="none"/>
                <w:lang w:eastAsia="zh-CN"/>
              </w:rPr>
              <w:t>进行</w:t>
            </w:r>
            <w:r>
              <w:rPr>
                <w:rFonts w:hint="default" w:ascii="Times New Roman" w:hAnsi="Times New Roman" w:cs="Times New Roman"/>
                <w:color w:val="auto"/>
                <w:sz w:val="24"/>
                <w:szCs w:val="24"/>
                <w:highlight w:val="none"/>
              </w:rPr>
              <w:t>室内</w:t>
            </w:r>
            <w:r>
              <w:rPr>
                <w:rFonts w:hint="eastAsia" w:cs="Times New Roman"/>
                <w:color w:val="auto"/>
                <w:sz w:val="24"/>
                <w:szCs w:val="24"/>
                <w:highlight w:val="none"/>
                <w:lang w:eastAsia="zh-CN"/>
              </w:rPr>
              <w:t>装修</w:t>
            </w:r>
            <w:r>
              <w:rPr>
                <w:rFonts w:hint="default" w:ascii="Times New Roman" w:hAnsi="Times New Roman" w:cs="Times New Roman"/>
                <w:color w:val="auto"/>
                <w:sz w:val="24"/>
                <w:szCs w:val="24"/>
                <w:highlight w:val="none"/>
              </w:rPr>
              <w:t>及设备安装调试</w:t>
            </w:r>
            <w:r>
              <w:rPr>
                <w:rFonts w:hint="eastAsia" w:ascii="Times New Roman" w:hAnsi="Times New Roman" w:cs="Times New Roman"/>
                <w:color w:val="auto"/>
                <w:sz w:val="24"/>
                <w:szCs w:val="24"/>
                <w:highlight w:val="none"/>
                <w:lang w:eastAsia="zh-CN"/>
              </w:rPr>
              <w:t>。</w:t>
            </w:r>
          </w:p>
          <w:p w14:paraId="5CD48FBC">
            <w:pPr>
              <w:adjustRightInd w:val="0"/>
              <w:spacing w:line="360" w:lineRule="auto"/>
              <w:ind w:firstLine="498" w:firstLineChars="200"/>
              <w:jc w:val="both"/>
              <w:rPr>
                <w:rFonts w:hint="default" w:ascii="Times New Roman" w:hAnsi="Times New Roman" w:eastAsia="宋体" w:cs="Times New Roman"/>
                <w:b/>
                <w:bCs/>
                <w:color w:val="auto"/>
                <w:spacing w:val="4"/>
                <w:kern w:val="18"/>
                <w:sz w:val="24"/>
                <w:szCs w:val="24"/>
                <w:highlight w:val="none"/>
              </w:rPr>
            </w:pPr>
            <w:r>
              <w:rPr>
                <w:rFonts w:hint="default" w:ascii="Times New Roman" w:hAnsi="Times New Roman" w:eastAsia="宋体" w:cs="Times New Roman"/>
                <w:b/>
                <w:bCs/>
                <w:color w:val="auto"/>
                <w:spacing w:val="4"/>
                <w:kern w:val="18"/>
                <w:sz w:val="24"/>
                <w:szCs w:val="24"/>
                <w:highlight w:val="none"/>
              </w:rPr>
              <w:t>二、运营期</w:t>
            </w:r>
          </w:p>
          <w:p w14:paraId="7408670F">
            <w:pPr>
              <w:pStyle w:val="22"/>
              <w:adjustRightInd w:val="0"/>
              <w:snapToGrid w:val="0"/>
              <w:spacing w:after="0" w:line="360" w:lineRule="auto"/>
              <w:ind w:firstLine="482" w:firstLineChars="200"/>
              <w:jc w:val="both"/>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1、生产工艺流程及说明</w:t>
            </w:r>
          </w:p>
          <w:p w14:paraId="1542BFC5">
            <w:pPr>
              <w:pStyle w:val="8"/>
              <w:numPr>
                <w:ilvl w:val="0"/>
                <w:numId w:val="0"/>
              </w:numPr>
              <w:spacing w:line="360" w:lineRule="auto"/>
              <w:ind w:firstLine="480" w:firstLineChars="200"/>
              <w:jc w:val="both"/>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项目主要生产</w:t>
            </w:r>
            <w:r>
              <w:rPr>
                <w:rFonts w:hint="eastAsia" w:cs="Times New Roman" w:eastAsiaTheme="minorEastAsia"/>
                <w:b w:val="0"/>
                <w:bCs w:val="0"/>
                <w:color w:val="auto"/>
                <w:sz w:val="24"/>
                <w:szCs w:val="24"/>
                <w:highlight w:val="none"/>
                <w:u w:val="none"/>
                <w:vertAlign w:val="baseline"/>
                <w:lang w:eastAsia="zh-CN"/>
              </w:rPr>
              <w:t>LED显示屏模组</w:t>
            </w:r>
            <w:r>
              <w:rPr>
                <w:rFonts w:hint="eastAsia" w:cs="Times New Roman" w:eastAsiaTheme="minorEastAsia"/>
                <w:b w:val="0"/>
                <w:bCs w:val="0"/>
                <w:color w:val="auto"/>
                <w:sz w:val="24"/>
                <w:szCs w:val="24"/>
                <w:highlight w:val="none"/>
                <w:u w:val="none"/>
                <w:vertAlign w:val="baseline"/>
                <w:lang w:val="en-US" w:eastAsia="zh-CN"/>
              </w:rPr>
              <w:t>及</w:t>
            </w:r>
            <w:r>
              <w:rPr>
                <w:rFonts w:hint="eastAsia" w:cs="Times New Roman" w:eastAsiaTheme="minorEastAsia"/>
                <w:b w:val="0"/>
                <w:bCs w:val="0"/>
                <w:color w:val="auto"/>
                <w:sz w:val="24"/>
                <w:szCs w:val="24"/>
                <w:highlight w:val="none"/>
                <w:u w:val="none"/>
                <w:vertAlign w:val="baseline"/>
                <w:lang w:eastAsia="zh-CN"/>
              </w:rPr>
              <w:t>显示屏模组器件，</w:t>
            </w:r>
            <w:r>
              <w:rPr>
                <w:rFonts w:hint="eastAsia" w:cs="Times New Roman" w:eastAsiaTheme="minorEastAsia"/>
                <w:b w:val="0"/>
                <w:bCs w:val="0"/>
                <w:color w:val="auto"/>
                <w:sz w:val="24"/>
                <w:szCs w:val="24"/>
                <w:highlight w:val="none"/>
                <w:u w:val="none"/>
                <w:vertAlign w:val="baseline"/>
                <w:lang w:val="en-US" w:eastAsia="zh-CN"/>
              </w:rPr>
              <w:t>主要生产工艺流程如下：</w:t>
            </w:r>
          </w:p>
          <w:p w14:paraId="42E89E00">
            <w:pPr>
              <w:pStyle w:val="8"/>
              <w:numPr>
                <w:ilvl w:val="0"/>
                <w:numId w:val="0"/>
              </w:numPr>
              <w:spacing w:line="360" w:lineRule="auto"/>
              <w:ind w:firstLine="480" w:firstLineChars="200"/>
              <w:jc w:val="both"/>
              <w:rPr>
                <w:rFonts w:hint="default" w:cs="Times New Roman"/>
                <w:color w:val="auto"/>
                <w:sz w:val="24"/>
                <w:szCs w:val="24"/>
                <w:highlight w:val="none"/>
                <w:lang w:val="en-US" w:eastAsia="zh-CN"/>
              </w:rPr>
            </w:pP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1</w:t>
            </w:r>
            <w:r>
              <w:rPr>
                <w:rFonts w:hint="eastAsia" w:cs="Times New Roman"/>
                <w:color w:val="auto"/>
                <w:sz w:val="24"/>
                <w:szCs w:val="24"/>
                <w:highlight w:val="none"/>
                <w:lang w:eastAsia="zh-CN"/>
              </w:rPr>
              <w:t>）</w:t>
            </w:r>
            <w:r>
              <w:rPr>
                <w:rFonts w:hint="eastAsia" w:cs="Times New Roman" w:eastAsiaTheme="minorEastAsia"/>
                <w:b w:val="0"/>
                <w:bCs w:val="0"/>
                <w:color w:val="auto"/>
                <w:sz w:val="24"/>
                <w:szCs w:val="24"/>
                <w:highlight w:val="none"/>
                <w:u w:val="none"/>
                <w:vertAlign w:val="baseline"/>
                <w:lang w:eastAsia="zh-CN"/>
              </w:rPr>
              <w:t>LED显示屏模组</w:t>
            </w:r>
            <w:r>
              <w:rPr>
                <w:rFonts w:hint="eastAsia" w:cs="Times New Roman" w:eastAsiaTheme="minorEastAsia"/>
                <w:b w:val="0"/>
                <w:bCs w:val="0"/>
                <w:color w:val="auto"/>
                <w:sz w:val="24"/>
                <w:szCs w:val="24"/>
                <w:highlight w:val="none"/>
                <w:u w:val="none"/>
                <w:vertAlign w:val="baseline"/>
                <w:lang w:val="en-US" w:eastAsia="zh-CN"/>
              </w:rPr>
              <w:t>生产工艺流程</w:t>
            </w:r>
          </w:p>
          <w:p w14:paraId="51D63494">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06A1C801">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19F52365">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7AAA1EA7">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2A227F96">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706C23A7">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61E2716E">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074B1A6D">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0D2122E7">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71291F2E">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6BCDF585">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5F667F51">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7BBE96D7">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75458DB2">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3C6A95EC">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6686B7BB">
            <w:pPr>
              <w:pStyle w:val="8"/>
              <w:numPr>
                <w:ilvl w:val="0"/>
                <w:numId w:val="0"/>
              </w:numPr>
              <w:spacing w:line="360" w:lineRule="auto"/>
              <w:ind w:firstLine="480" w:firstLineChars="200"/>
              <w:jc w:val="both"/>
              <w:rPr>
                <w:rFonts w:hint="default" w:ascii="Times New Roman" w:hAnsi="Times New Roman" w:cs="Times New Roman"/>
                <w:color w:val="auto"/>
                <w:sz w:val="24"/>
                <w:szCs w:val="24"/>
                <w:highlight w:val="none"/>
              </w:rPr>
            </w:pPr>
          </w:p>
          <w:p w14:paraId="7465AFB7">
            <w:pPr>
              <w:pStyle w:val="8"/>
              <w:numPr>
                <w:ilvl w:val="0"/>
                <w:numId w:val="0"/>
              </w:numPr>
              <w:spacing w:line="360" w:lineRule="auto"/>
              <w:jc w:val="center"/>
              <w:rPr>
                <w:color w:val="auto"/>
                <w:highlight w:val="none"/>
              </w:rPr>
            </w:pPr>
          </w:p>
          <w:p w14:paraId="661FFAA3">
            <w:pPr>
              <w:pStyle w:val="8"/>
              <w:numPr>
                <w:ilvl w:val="0"/>
                <w:numId w:val="0"/>
              </w:numPr>
              <w:spacing w:line="360" w:lineRule="auto"/>
              <w:jc w:val="center"/>
              <w:rPr>
                <w:rFonts w:hint="eastAsia" w:ascii="Times New Roman" w:hAnsi="Times New Roman" w:cs="Times New Roman"/>
                <w:b/>
                <w:bCs/>
                <w:color w:val="auto"/>
                <w:sz w:val="21"/>
                <w:szCs w:val="21"/>
                <w:highlight w:val="none"/>
                <w:lang w:eastAsia="zh-CN"/>
              </w:rPr>
            </w:pPr>
          </w:p>
          <w:p w14:paraId="6436E29A">
            <w:pPr>
              <w:pStyle w:val="8"/>
              <w:numPr>
                <w:ilvl w:val="0"/>
                <w:numId w:val="0"/>
              </w:numPr>
              <w:spacing w:line="360" w:lineRule="auto"/>
              <w:jc w:val="center"/>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eastAsia="zh-CN"/>
              </w:rPr>
              <w:t>图</w:t>
            </w:r>
            <w:r>
              <w:rPr>
                <w:rFonts w:hint="eastAsia" w:ascii="Times New Roman" w:hAnsi="Times New Roman" w:cs="Times New Roman"/>
                <w:b/>
                <w:bCs/>
                <w:color w:val="auto"/>
                <w:sz w:val="21"/>
                <w:szCs w:val="21"/>
                <w:highlight w:val="none"/>
                <w:lang w:val="en-US" w:eastAsia="zh-CN"/>
              </w:rPr>
              <w:t>2-</w:t>
            </w:r>
            <w:r>
              <w:rPr>
                <w:rFonts w:hint="eastAsia" w:cs="Times New Roman"/>
                <w:b/>
                <w:bCs/>
                <w:color w:val="auto"/>
                <w:sz w:val="21"/>
                <w:szCs w:val="21"/>
                <w:highlight w:val="none"/>
                <w:lang w:val="en-US" w:eastAsia="zh-CN"/>
              </w:rPr>
              <w:t>2</w:t>
            </w:r>
            <w:r>
              <w:rPr>
                <w:rFonts w:hint="eastAsia" w:ascii="Times New Roman" w:hAnsi="Times New Roman" w:cs="Times New Roman"/>
                <w:b/>
                <w:bCs/>
                <w:color w:val="auto"/>
                <w:sz w:val="21"/>
                <w:szCs w:val="21"/>
                <w:highlight w:val="none"/>
                <w:lang w:val="en-US" w:eastAsia="zh-CN"/>
              </w:rPr>
              <w:t xml:space="preserve">  LED显示屏模组生产工艺及产污环节图</w:t>
            </w:r>
          </w:p>
          <w:p w14:paraId="46D9576A">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工艺流程说明：</w:t>
            </w:r>
          </w:p>
          <w:p w14:paraId="5C1A5869">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1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cs="Times New Roman"/>
                <w:color w:val="auto"/>
                <w:sz w:val="24"/>
                <w:szCs w:val="24"/>
                <w:highlight w:val="none"/>
              </w:rPr>
              <w:t>①</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烘料：</w:t>
            </w:r>
            <w:r>
              <w:rPr>
                <w:rFonts w:hint="eastAsia" w:ascii="Times New Roman" w:hAnsi="Times New Roman" w:eastAsia="宋体" w:cs="Times New Roman"/>
                <w:color w:val="auto"/>
                <w:sz w:val="24"/>
                <w:szCs w:val="24"/>
                <w:highlight w:val="none"/>
                <w:lang w:eastAsia="zh-CN"/>
              </w:rPr>
              <w:t>将PC</w:t>
            </w:r>
            <w:r>
              <w:rPr>
                <w:rFonts w:hint="eastAsia"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板、</w:t>
            </w:r>
            <w:r>
              <w:rPr>
                <w:rFonts w:hint="eastAsia" w:ascii="Times New Roman" w:hAnsi="Times New Roman" w:eastAsia="宋体" w:cs="Times New Roman"/>
                <w:color w:val="auto"/>
                <w:sz w:val="24"/>
                <w:szCs w:val="24"/>
                <w:highlight w:val="none"/>
                <w:lang w:val="en-US" w:eastAsia="zh-CN"/>
              </w:rPr>
              <w:t>LED灯、电容、电阻</w:t>
            </w:r>
            <w:r>
              <w:rPr>
                <w:rFonts w:hint="eastAsia" w:ascii="Times New Roman" w:hAnsi="Times New Roman" w:eastAsia="宋体" w:cs="Times New Roman"/>
                <w:color w:val="auto"/>
                <w:sz w:val="24"/>
                <w:szCs w:val="24"/>
                <w:highlight w:val="none"/>
                <w:lang w:eastAsia="zh-CN"/>
              </w:rPr>
              <w:t>等物料放进</w:t>
            </w:r>
            <w:r>
              <w:rPr>
                <w:rFonts w:hint="eastAsia" w:cs="Times New Roman"/>
                <w:color w:val="auto"/>
                <w:sz w:val="24"/>
                <w:szCs w:val="24"/>
                <w:highlight w:val="none"/>
                <w:lang w:eastAsia="zh-CN"/>
              </w:rPr>
              <w:t>烘</w:t>
            </w:r>
            <w:r>
              <w:rPr>
                <w:rFonts w:hint="eastAsia" w:ascii="Times New Roman" w:hAnsi="Times New Roman" w:eastAsia="宋体" w:cs="Times New Roman"/>
                <w:color w:val="auto"/>
                <w:sz w:val="24"/>
                <w:szCs w:val="24"/>
                <w:highlight w:val="none"/>
                <w:lang w:eastAsia="zh-CN"/>
              </w:rPr>
              <w:t>箱烘干水分，烘干温度为40~50</w:t>
            </w:r>
            <w:r>
              <w:rPr>
                <w:rFonts w:hint="default"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eastAsia="zh-CN"/>
              </w:rPr>
              <w:t>，烘干时间约为10min。烘箱采用电加热，烘料过程无污染物产生</w:t>
            </w:r>
            <w:r>
              <w:rPr>
                <w:rFonts w:hint="eastAsia" w:cs="Times New Roman"/>
                <w:color w:val="auto"/>
                <w:sz w:val="24"/>
                <w:szCs w:val="24"/>
                <w:highlight w:val="none"/>
                <w:lang w:eastAsia="zh-CN"/>
              </w:rPr>
              <w:t>。</w:t>
            </w:r>
          </w:p>
          <w:p w14:paraId="3461E4B3">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eastAsia"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2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②</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锡膏印刷：</w:t>
            </w:r>
            <w:r>
              <w:rPr>
                <w:rFonts w:hint="eastAsia" w:ascii="Times New Roman" w:hAnsi="Times New Roman" w:eastAsia="宋体" w:cs="Times New Roman"/>
                <w:color w:val="auto"/>
                <w:sz w:val="24"/>
                <w:szCs w:val="24"/>
                <w:highlight w:val="none"/>
                <w:lang w:eastAsia="zh-CN"/>
              </w:rPr>
              <w:t>将免清洗无铅锡膏提前从冷藏柜取出，</w:t>
            </w:r>
            <w:r>
              <w:rPr>
                <w:rFonts w:hint="eastAsia" w:ascii="Times New Roman" w:hAnsi="Times New Roman" w:eastAsia="宋体" w:cs="Times New Roman"/>
                <w:color w:val="auto"/>
                <w:sz w:val="24"/>
                <w:szCs w:val="24"/>
                <w:highlight w:val="none"/>
                <w:lang w:val="en-US" w:eastAsia="zh-CN"/>
              </w:rPr>
              <w:t>人工在</w:t>
            </w:r>
            <w:r>
              <w:rPr>
                <w:rFonts w:hint="eastAsia" w:ascii="Times New Roman" w:hAnsi="Times New Roman" w:eastAsia="宋体" w:cs="Times New Roman"/>
                <w:color w:val="auto"/>
                <w:sz w:val="24"/>
                <w:szCs w:val="24"/>
                <w:highlight w:val="none"/>
                <w:lang w:eastAsia="zh-CN"/>
              </w:rPr>
              <w:t>无铅锡膏</w:t>
            </w:r>
            <w:r>
              <w:rPr>
                <w:rFonts w:hint="eastAsia" w:ascii="Times New Roman" w:hAnsi="Times New Roman" w:eastAsia="宋体" w:cs="Times New Roman"/>
                <w:color w:val="auto"/>
                <w:sz w:val="24"/>
                <w:szCs w:val="24"/>
                <w:highlight w:val="none"/>
                <w:lang w:val="en-US" w:eastAsia="zh-CN"/>
              </w:rPr>
              <w:t>罐中把</w:t>
            </w:r>
            <w:r>
              <w:rPr>
                <w:rFonts w:hint="eastAsia" w:ascii="Times New Roman" w:hAnsi="Times New Roman" w:eastAsia="宋体" w:cs="Times New Roman"/>
                <w:color w:val="auto"/>
                <w:sz w:val="24"/>
                <w:szCs w:val="24"/>
                <w:highlight w:val="none"/>
                <w:lang w:eastAsia="zh-CN"/>
              </w:rPr>
              <w:t>锡膏</w:t>
            </w:r>
            <w:r>
              <w:rPr>
                <w:rFonts w:hint="eastAsia" w:cs="Times New Roman"/>
                <w:color w:val="auto"/>
                <w:sz w:val="24"/>
                <w:szCs w:val="24"/>
                <w:highlight w:val="none"/>
                <w:lang w:eastAsia="zh-CN"/>
              </w:rPr>
              <w:t>搅匀</w:t>
            </w:r>
            <w:r>
              <w:rPr>
                <w:rFonts w:hint="eastAsia" w:ascii="Times New Roman" w:hAnsi="Times New Roman" w:eastAsia="宋体" w:cs="Times New Roman"/>
                <w:color w:val="auto"/>
                <w:sz w:val="24"/>
                <w:szCs w:val="24"/>
                <w:highlight w:val="none"/>
                <w:lang w:eastAsia="zh-CN"/>
              </w:rPr>
              <w:t>，将锡膏均匀上到印刷区域钢网上，打开印刷主机</w:t>
            </w:r>
            <w:r>
              <w:rPr>
                <w:rFonts w:hint="eastAsia" w:cs="Times New Roman"/>
                <w:color w:val="auto"/>
                <w:sz w:val="24"/>
                <w:szCs w:val="24"/>
                <w:highlight w:val="none"/>
                <w:lang w:eastAsia="zh-CN"/>
              </w:rPr>
              <w:t>。利用真空吸板机吸取</w:t>
            </w:r>
            <w:r>
              <w:rPr>
                <w:rFonts w:hint="eastAsia" w:cs="Times New Roman"/>
                <w:color w:val="auto"/>
                <w:sz w:val="24"/>
                <w:szCs w:val="24"/>
                <w:highlight w:val="none"/>
                <w:lang w:val="en-US" w:eastAsia="zh-CN"/>
              </w:rPr>
              <w:t>叠板机上的叠好的</w:t>
            </w:r>
            <w:r>
              <w:rPr>
                <w:rFonts w:hint="eastAsia" w:ascii="Times New Roman" w:hAnsi="Times New Roman" w:eastAsia="宋体" w:cs="Times New Roman"/>
                <w:color w:val="auto"/>
                <w:sz w:val="24"/>
                <w:szCs w:val="24"/>
                <w:highlight w:val="none"/>
                <w:lang w:eastAsia="zh-CN"/>
              </w:rPr>
              <w:t>PC</w:t>
            </w:r>
            <w:r>
              <w:rPr>
                <w:rFonts w:hint="eastAsia"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板</w:t>
            </w:r>
            <w:r>
              <w:rPr>
                <w:rFonts w:hint="eastAsia" w:cs="Times New Roman"/>
                <w:color w:val="auto"/>
                <w:sz w:val="24"/>
                <w:szCs w:val="24"/>
                <w:highlight w:val="none"/>
                <w:lang w:eastAsia="zh-CN"/>
              </w:rPr>
              <w:t>并调整位置使</w:t>
            </w:r>
            <w:r>
              <w:rPr>
                <w:rFonts w:hint="eastAsia" w:ascii="Times New Roman" w:hAnsi="Times New Roman" w:eastAsia="宋体" w:cs="Times New Roman"/>
                <w:color w:val="auto"/>
                <w:sz w:val="24"/>
                <w:szCs w:val="24"/>
                <w:highlight w:val="none"/>
                <w:lang w:eastAsia="zh-CN"/>
              </w:rPr>
              <w:t>钢网网孔与PC</w:t>
            </w:r>
            <w:r>
              <w:rPr>
                <w:rFonts w:hint="eastAsia"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板相应插位对正，印刷PC</w:t>
            </w:r>
            <w:r>
              <w:rPr>
                <w:rFonts w:hint="eastAsia"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板核对准后开始</w:t>
            </w:r>
            <w:r>
              <w:rPr>
                <w:rFonts w:hint="eastAsia" w:cs="Times New Roman"/>
                <w:color w:val="auto"/>
                <w:sz w:val="24"/>
                <w:szCs w:val="24"/>
                <w:highlight w:val="none"/>
                <w:lang w:val="en-US" w:eastAsia="zh-CN"/>
              </w:rPr>
              <w:t>印刷，印刷后的PCB板通过锡膏检测设备进行印刷检测</w:t>
            </w:r>
            <w:r>
              <w:rPr>
                <w:rFonts w:hint="eastAsia" w:cs="Times New Roman"/>
                <w:color w:val="auto"/>
                <w:sz w:val="24"/>
                <w:szCs w:val="24"/>
                <w:highlight w:val="none"/>
                <w:lang w:eastAsia="zh-CN"/>
              </w:rPr>
              <w:t>。此工序产生的污染物主要为</w:t>
            </w:r>
            <w:r>
              <w:rPr>
                <w:rFonts w:hint="eastAsia" w:cs="Times New Roman"/>
                <w:color w:val="auto"/>
                <w:sz w:val="24"/>
                <w:szCs w:val="24"/>
                <w:highlight w:val="none"/>
                <w:lang w:val="en-US" w:eastAsia="zh-CN"/>
              </w:rPr>
              <w:t>N</w:t>
            </w:r>
            <w:r>
              <w:rPr>
                <w:rFonts w:hint="eastAsia" w:cs="Times New Roman"/>
                <w:color w:val="auto"/>
                <w:sz w:val="24"/>
                <w:szCs w:val="24"/>
                <w:highlight w:val="none"/>
                <w:lang w:eastAsia="zh-CN"/>
              </w:rPr>
              <w:t>设备噪声、</w:t>
            </w:r>
            <w:r>
              <w:rPr>
                <w:rFonts w:hint="eastAsia" w:cs="Times New Roman"/>
                <w:color w:val="auto"/>
                <w:sz w:val="24"/>
                <w:szCs w:val="24"/>
                <w:highlight w:val="none"/>
                <w:lang w:val="en-US" w:eastAsia="zh-CN"/>
              </w:rPr>
              <w:t>G</w:t>
            </w:r>
            <w:r>
              <w:rPr>
                <w:rFonts w:hint="eastAsia" w:cs="Times New Roman"/>
                <w:color w:val="auto"/>
                <w:sz w:val="24"/>
                <w:szCs w:val="24"/>
                <w:highlight w:val="none"/>
                <w:vertAlign w:val="subscript"/>
                <w:lang w:val="en-US" w:eastAsia="zh-CN"/>
              </w:rPr>
              <w:t>1-1</w:t>
            </w:r>
            <w:r>
              <w:rPr>
                <w:rFonts w:hint="eastAsia" w:cs="Times New Roman"/>
                <w:color w:val="auto"/>
                <w:sz w:val="24"/>
                <w:szCs w:val="24"/>
                <w:highlight w:val="none"/>
                <w:lang w:eastAsia="zh-CN"/>
              </w:rPr>
              <w:t>锡膏印刷废气（非甲烷总烃）、</w:t>
            </w:r>
            <w:r>
              <w:rPr>
                <w:rFonts w:hint="eastAsia" w:cs="Times New Roman"/>
                <w:color w:val="auto"/>
                <w:sz w:val="24"/>
                <w:szCs w:val="24"/>
                <w:highlight w:val="none"/>
                <w:lang w:val="en-US" w:eastAsia="zh-CN"/>
              </w:rPr>
              <w:t>S</w:t>
            </w:r>
            <w:r>
              <w:rPr>
                <w:rFonts w:hint="eastAsia" w:cs="Times New Roman"/>
                <w:color w:val="auto"/>
                <w:sz w:val="24"/>
                <w:szCs w:val="24"/>
                <w:highlight w:val="none"/>
                <w:vertAlign w:val="subscript"/>
                <w:lang w:val="en-US" w:eastAsia="zh-CN"/>
              </w:rPr>
              <w:t>1-1</w:t>
            </w:r>
            <w:r>
              <w:rPr>
                <w:rFonts w:hint="eastAsia" w:cs="Times New Roman"/>
                <w:color w:val="auto"/>
                <w:sz w:val="24"/>
                <w:szCs w:val="24"/>
                <w:highlight w:val="none"/>
                <w:lang w:val="en-US" w:eastAsia="zh-CN"/>
              </w:rPr>
              <w:t>废包装桶（</w:t>
            </w:r>
            <w:r>
              <w:rPr>
                <w:rFonts w:hint="eastAsia" w:cs="Times New Roman"/>
                <w:color w:val="auto"/>
                <w:sz w:val="24"/>
                <w:szCs w:val="24"/>
                <w:highlight w:val="none"/>
                <w:lang w:eastAsia="zh-CN"/>
              </w:rPr>
              <w:t>废锡膏</w:t>
            </w:r>
            <w:r>
              <w:rPr>
                <w:rFonts w:hint="eastAsia" w:cs="Times New Roman"/>
                <w:color w:val="auto"/>
                <w:sz w:val="24"/>
                <w:szCs w:val="24"/>
                <w:highlight w:val="none"/>
                <w:lang w:val="en-US" w:eastAsia="zh-CN"/>
              </w:rPr>
              <w:t>包装桶）</w:t>
            </w:r>
            <w:r>
              <w:rPr>
                <w:rFonts w:hint="eastAsia" w:cs="Times New Roman"/>
                <w:color w:val="auto"/>
                <w:sz w:val="24"/>
                <w:szCs w:val="24"/>
                <w:highlight w:val="none"/>
                <w:lang w:eastAsia="zh-CN"/>
              </w:rPr>
              <w:t>。</w:t>
            </w:r>
          </w:p>
          <w:p w14:paraId="4D21A510">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自动印刷机里的钢网每4-6小时进行一次擦拭，</w:t>
            </w:r>
            <w:r>
              <w:rPr>
                <w:rFonts w:hint="eastAsia" w:cs="Times New Roman"/>
                <w:color w:val="auto"/>
                <w:sz w:val="24"/>
                <w:szCs w:val="24"/>
                <w:highlight w:val="none"/>
                <w:lang w:val="en-US" w:eastAsia="zh-CN"/>
              </w:rPr>
              <w:t>由印刷机内配套的擦拭装置完成，擦拭装置抓取无尘纸浸取少量酒精后将钢网表面沾染的锡膏擦拭去除，无尘纸及酒精定期补充。</w:t>
            </w:r>
            <w:r>
              <w:rPr>
                <w:rFonts w:hint="eastAsia" w:ascii="Times New Roman" w:hAnsi="Times New Roman" w:eastAsia="宋体" w:cs="Times New Roman"/>
                <w:color w:val="auto"/>
                <w:sz w:val="24"/>
                <w:szCs w:val="24"/>
                <w:highlight w:val="none"/>
                <w:lang w:val="en-US" w:eastAsia="zh-CN"/>
              </w:rPr>
              <w:t>此工序</w:t>
            </w:r>
            <w:r>
              <w:rPr>
                <w:rFonts w:hint="eastAsia" w:cs="Times New Roman"/>
                <w:color w:val="auto"/>
                <w:sz w:val="24"/>
                <w:szCs w:val="24"/>
                <w:highlight w:val="none"/>
                <w:lang w:eastAsia="zh-CN"/>
              </w:rPr>
              <w:t>产生的</w:t>
            </w:r>
            <w:r>
              <w:rPr>
                <w:rFonts w:hint="eastAsia" w:ascii="Times New Roman" w:hAnsi="Times New Roman" w:eastAsia="宋体" w:cs="Times New Roman"/>
                <w:color w:val="auto"/>
                <w:sz w:val="24"/>
                <w:szCs w:val="24"/>
                <w:highlight w:val="none"/>
                <w:lang w:val="en-US" w:eastAsia="zh-CN"/>
              </w:rPr>
              <w:t>污染物主要为</w:t>
            </w:r>
            <w:r>
              <w:rPr>
                <w:rFonts w:hint="eastAsia" w:cs="Times New Roman"/>
                <w:color w:val="auto"/>
                <w:sz w:val="24"/>
                <w:szCs w:val="24"/>
                <w:highlight w:val="none"/>
                <w:lang w:val="en-US" w:eastAsia="zh-CN"/>
              </w:rPr>
              <w:t>G</w:t>
            </w:r>
            <w:r>
              <w:rPr>
                <w:rFonts w:hint="eastAsia" w:cs="Times New Roman"/>
                <w:color w:val="auto"/>
                <w:sz w:val="24"/>
                <w:szCs w:val="24"/>
                <w:highlight w:val="none"/>
                <w:vertAlign w:val="subscript"/>
                <w:lang w:val="en-US" w:eastAsia="zh-CN"/>
              </w:rPr>
              <w:t>1-2</w:t>
            </w:r>
            <w:r>
              <w:rPr>
                <w:rFonts w:hint="eastAsia" w:cs="Times New Roman"/>
                <w:color w:val="auto"/>
                <w:sz w:val="24"/>
                <w:szCs w:val="24"/>
                <w:highlight w:val="none"/>
                <w:lang w:val="en-US" w:eastAsia="zh-CN"/>
              </w:rPr>
              <w:t>钢网擦拭</w:t>
            </w:r>
            <w:r>
              <w:rPr>
                <w:rFonts w:hint="eastAsia" w:ascii="Times New Roman" w:hAnsi="Times New Roman" w:eastAsia="宋体" w:cs="Times New Roman"/>
                <w:color w:val="auto"/>
                <w:sz w:val="24"/>
                <w:szCs w:val="24"/>
                <w:highlight w:val="none"/>
                <w:lang w:val="en-US" w:eastAsia="zh-CN"/>
              </w:rPr>
              <w:t>废气</w:t>
            </w:r>
            <w:r>
              <w:rPr>
                <w:rFonts w:hint="eastAsia" w:cs="Times New Roman"/>
                <w:color w:val="auto"/>
                <w:sz w:val="24"/>
                <w:szCs w:val="24"/>
                <w:highlight w:val="none"/>
                <w:lang w:val="en-US" w:eastAsia="zh-CN"/>
              </w:rPr>
              <w:t>（非甲烷总烃）</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S</w:t>
            </w:r>
            <w:r>
              <w:rPr>
                <w:rFonts w:hint="eastAsia" w:cs="Times New Roman"/>
                <w:color w:val="auto"/>
                <w:sz w:val="24"/>
                <w:szCs w:val="24"/>
                <w:highlight w:val="none"/>
                <w:vertAlign w:val="subscript"/>
                <w:lang w:val="en-US" w:eastAsia="zh-CN"/>
              </w:rPr>
              <w:t>1-2</w:t>
            </w:r>
            <w:r>
              <w:rPr>
                <w:rFonts w:hint="eastAsia" w:ascii="Times New Roman" w:hAnsi="Times New Roman" w:eastAsia="宋体" w:cs="Times New Roman"/>
                <w:color w:val="auto"/>
                <w:sz w:val="24"/>
                <w:szCs w:val="24"/>
                <w:highlight w:val="none"/>
                <w:lang w:val="en-US" w:eastAsia="zh-CN"/>
              </w:rPr>
              <w:t>擦拭废纸</w:t>
            </w:r>
            <w:r>
              <w:rPr>
                <w:rFonts w:hint="eastAsia" w:cs="Times New Roman"/>
                <w:color w:val="auto"/>
                <w:sz w:val="24"/>
                <w:szCs w:val="24"/>
                <w:highlight w:val="none"/>
                <w:lang w:eastAsia="zh-CN"/>
              </w:rPr>
              <w:t>。</w:t>
            </w:r>
          </w:p>
          <w:p w14:paraId="1A0B0742">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3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③</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元件贴片：将</w:t>
            </w:r>
            <w:r>
              <w:rPr>
                <w:rFonts w:hint="default" w:ascii="Times New Roman" w:hAnsi="Times New Roman" w:eastAsia="宋体" w:cs="Times New Roman"/>
                <w:color w:val="auto"/>
                <w:sz w:val="24"/>
                <w:szCs w:val="24"/>
                <w:highlight w:val="none"/>
                <w:lang w:val="en-US" w:eastAsia="zh-CN"/>
              </w:rPr>
              <w:t>PBC板传送至贴片机贴装</w:t>
            </w:r>
            <w:r>
              <w:rPr>
                <w:rFonts w:hint="eastAsia" w:cs="Times New Roman"/>
                <w:color w:val="auto"/>
                <w:sz w:val="24"/>
                <w:szCs w:val="24"/>
                <w:highlight w:val="none"/>
                <w:lang w:val="en-US" w:eastAsia="zh-CN"/>
              </w:rPr>
              <w:t>IC、</w:t>
            </w:r>
            <w:r>
              <w:rPr>
                <w:rFonts w:hint="eastAsia" w:ascii="Times New Roman" w:hAnsi="Times New Roman" w:eastAsia="宋体" w:cs="Times New Roman"/>
                <w:color w:val="auto"/>
                <w:sz w:val="24"/>
                <w:szCs w:val="24"/>
                <w:highlight w:val="none"/>
                <w:lang w:val="en-US" w:eastAsia="zh-CN"/>
              </w:rPr>
              <w:t>LED灯、电容、电阻等物料，</w:t>
            </w:r>
            <w:r>
              <w:rPr>
                <w:rFonts w:hint="default" w:ascii="Times New Roman" w:hAnsi="Times New Roman" w:eastAsia="宋体" w:cs="Times New Roman"/>
                <w:color w:val="auto"/>
                <w:sz w:val="24"/>
                <w:szCs w:val="24"/>
                <w:highlight w:val="none"/>
                <w:lang w:val="en-US" w:eastAsia="zh-CN"/>
              </w:rPr>
              <w:t>贴件人员轻取产品</w:t>
            </w:r>
            <w:r>
              <w:rPr>
                <w:rFonts w:hint="eastAsia"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检查有无贴装不良，</w:t>
            </w:r>
            <w:r>
              <w:rPr>
                <w:rFonts w:hint="eastAsia" w:cs="Times New Roman"/>
                <w:color w:val="auto"/>
                <w:sz w:val="24"/>
                <w:szCs w:val="24"/>
                <w:highlight w:val="none"/>
                <w:lang w:val="en-US" w:eastAsia="zh-CN"/>
              </w:rPr>
              <w:t>并在</w:t>
            </w:r>
            <w:r>
              <w:rPr>
                <w:rFonts w:hint="default" w:ascii="Times New Roman" w:hAnsi="Times New Roman" w:eastAsia="宋体" w:cs="Times New Roman"/>
                <w:color w:val="auto"/>
                <w:sz w:val="24"/>
                <w:szCs w:val="24"/>
                <w:highlight w:val="none"/>
                <w:lang w:val="en-US" w:eastAsia="zh-CN"/>
              </w:rPr>
              <w:t>相应位置上贴装电源座</w:t>
            </w:r>
            <w:r>
              <w:rPr>
                <w:rFonts w:hint="eastAsia" w:ascii="Times New Roman" w:hAnsi="Times New Roman" w:eastAsia="宋体" w:cs="Times New Roman"/>
                <w:color w:val="auto"/>
                <w:sz w:val="24"/>
                <w:szCs w:val="24"/>
                <w:highlight w:val="none"/>
                <w:lang w:val="en-US" w:eastAsia="zh-CN"/>
              </w:rPr>
              <w:t>、</w:t>
            </w:r>
            <w:r>
              <w:rPr>
                <w:rFonts w:hint="eastAsia" w:eastAsia="宋体" w:cs="Times New Roman"/>
                <w:color w:val="auto"/>
                <w:sz w:val="24"/>
                <w:szCs w:val="24"/>
                <w:highlight w:val="none"/>
                <w:lang w:val="en-US" w:eastAsia="zh-CN"/>
              </w:rPr>
              <w:t>电源线、</w:t>
            </w:r>
            <w:r>
              <w:rPr>
                <w:rFonts w:hint="eastAsia" w:ascii="Times New Roman" w:hAnsi="Times New Roman" w:eastAsia="宋体" w:cs="Times New Roman"/>
                <w:color w:val="auto"/>
                <w:sz w:val="24"/>
                <w:szCs w:val="24"/>
                <w:highlight w:val="none"/>
                <w:lang w:val="en-US" w:eastAsia="zh-CN"/>
              </w:rPr>
              <w:t>排针</w:t>
            </w:r>
            <w:r>
              <w:rPr>
                <w:rFonts w:hint="eastAsia" w:eastAsia="宋体" w:cs="Times New Roman"/>
                <w:color w:val="auto"/>
                <w:sz w:val="24"/>
                <w:szCs w:val="24"/>
                <w:highlight w:val="none"/>
                <w:lang w:val="en-US" w:eastAsia="zh-CN"/>
              </w:rPr>
              <w:t>、排线等物料</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而后</w:t>
            </w:r>
            <w:r>
              <w:rPr>
                <w:rFonts w:hint="eastAsia" w:ascii="Times New Roman" w:hAnsi="Times New Roman" w:eastAsia="宋体" w:cs="Times New Roman"/>
                <w:color w:val="auto"/>
                <w:sz w:val="24"/>
                <w:szCs w:val="24"/>
                <w:highlight w:val="none"/>
                <w:lang w:val="en-US" w:eastAsia="zh-CN"/>
              </w:rPr>
              <w:t>通过</w:t>
            </w:r>
            <w:r>
              <w:rPr>
                <w:rFonts w:hint="default" w:ascii="Times New Roman" w:hAnsi="Times New Roman" w:eastAsia="宋体" w:cs="Times New Roman"/>
                <w:color w:val="auto"/>
                <w:sz w:val="24"/>
                <w:szCs w:val="24"/>
                <w:highlight w:val="none"/>
                <w:lang w:val="en-US" w:eastAsia="zh-CN"/>
              </w:rPr>
              <w:t>简牛机振动盘自动选向供料</w:t>
            </w:r>
            <w:r>
              <w:rPr>
                <w:rFonts w:hint="eastAsia" w:cs="Times New Roman"/>
                <w:color w:val="auto"/>
                <w:sz w:val="24"/>
                <w:szCs w:val="24"/>
                <w:highlight w:val="none"/>
                <w:lang w:val="en-US" w:eastAsia="zh-CN"/>
              </w:rPr>
              <w:t>使得</w:t>
            </w:r>
            <w:r>
              <w:rPr>
                <w:rFonts w:hint="default" w:ascii="Times New Roman" w:hAnsi="Times New Roman" w:eastAsia="宋体" w:cs="Times New Roman"/>
                <w:color w:val="auto"/>
                <w:sz w:val="24"/>
                <w:szCs w:val="24"/>
                <w:highlight w:val="none"/>
                <w:lang w:val="en-US" w:eastAsia="zh-CN"/>
              </w:rPr>
              <w:t>PBC板持平放入回流焊炉</w:t>
            </w:r>
            <w:r>
              <w:rPr>
                <w:rFonts w:hint="eastAsia" w:ascii="Times New Roman" w:hAnsi="Times New Roman" w:eastAsia="宋体" w:cs="Times New Roman"/>
                <w:color w:val="auto"/>
                <w:sz w:val="24"/>
                <w:szCs w:val="24"/>
                <w:highlight w:val="none"/>
                <w:lang w:val="en-US" w:eastAsia="zh-CN"/>
              </w:rPr>
              <w:t>。此工序产生的污染物主要为N设备噪声</w:t>
            </w:r>
            <w:r>
              <w:rPr>
                <w:rFonts w:hint="eastAsia" w:cs="Times New Roman"/>
                <w:color w:val="auto"/>
                <w:sz w:val="24"/>
                <w:szCs w:val="24"/>
                <w:highlight w:val="none"/>
                <w:lang w:val="en-US" w:eastAsia="zh-CN"/>
              </w:rPr>
              <w:t>。</w:t>
            </w:r>
          </w:p>
          <w:p w14:paraId="04C32F8B">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4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④</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芯片面回流焊、人工检验：</w:t>
            </w:r>
            <w:r>
              <w:rPr>
                <w:rFonts w:hint="eastAsia" w:ascii="Times New Roman" w:hAnsi="Times New Roman" w:eastAsia="宋体" w:cs="Times New Roman"/>
                <w:color w:val="auto"/>
                <w:sz w:val="24"/>
                <w:szCs w:val="24"/>
                <w:highlight w:val="none"/>
                <w:lang w:eastAsia="zh-CN"/>
              </w:rPr>
              <w:t>根据PCB</w:t>
            </w:r>
            <w:r>
              <w:rPr>
                <w:rFonts w:hint="eastAsia" w:cs="Times New Roman"/>
                <w:color w:val="auto"/>
                <w:sz w:val="24"/>
                <w:szCs w:val="24"/>
                <w:highlight w:val="none"/>
                <w:lang w:val="en-US" w:eastAsia="zh-CN"/>
              </w:rPr>
              <w:t>板</w:t>
            </w:r>
            <w:r>
              <w:rPr>
                <w:rFonts w:hint="eastAsia" w:ascii="Times New Roman" w:hAnsi="Times New Roman" w:eastAsia="宋体" w:cs="Times New Roman"/>
                <w:color w:val="auto"/>
                <w:sz w:val="24"/>
                <w:szCs w:val="24"/>
                <w:highlight w:val="none"/>
                <w:lang w:eastAsia="zh-CN"/>
              </w:rPr>
              <w:t>宽度调整回焊炉轨道大小，轨道可调边/轨道固定边与载具或板相距约1mm，由相关人员进行炉温测试，经品质人员确认后方可过炉。</w:t>
            </w:r>
            <w:r>
              <w:rPr>
                <w:rFonts w:hint="eastAsia" w:cs="Times New Roman"/>
                <w:color w:val="auto"/>
                <w:sz w:val="24"/>
                <w:szCs w:val="24"/>
                <w:highlight w:val="none"/>
                <w:lang w:eastAsia="zh-CN"/>
              </w:rPr>
              <w:t>操作过程先</w:t>
            </w:r>
            <w:r>
              <w:rPr>
                <w:rFonts w:hint="eastAsia" w:ascii="Times New Roman" w:hAnsi="Times New Roman" w:eastAsia="宋体" w:cs="Times New Roman"/>
                <w:color w:val="auto"/>
                <w:sz w:val="24"/>
                <w:szCs w:val="24"/>
                <w:highlight w:val="none"/>
                <w:lang w:eastAsia="zh-CN"/>
              </w:rPr>
              <w:t>将贴好元器件的PCB</w:t>
            </w:r>
            <w:r>
              <w:rPr>
                <w:rFonts w:hint="eastAsia" w:cs="Times New Roman"/>
                <w:color w:val="auto"/>
                <w:sz w:val="24"/>
                <w:szCs w:val="24"/>
                <w:highlight w:val="none"/>
                <w:lang w:val="en-US" w:eastAsia="zh-CN"/>
              </w:rPr>
              <w:t>板</w:t>
            </w:r>
            <w:r>
              <w:rPr>
                <w:rFonts w:hint="eastAsia" w:ascii="Times New Roman" w:hAnsi="Times New Roman" w:eastAsia="宋体" w:cs="Times New Roman"/>
                <w:color w:val="auto"/>
                <w:sz w:val="24"/>
                <w:szCs w:val="24"/>
                <w:highlight w:val="none"/>
                <w:lang w:eastAsia="zh-CN"/>
              </w:rPr>
              <w:t>放进</w:t>
            </w:r>
            <w:r>
              <w:rPr>
                <w:rFonts w:hint="eastAsia" w:cs="Times New Roman"/>
                <w:color w:val="auto"/>
                <w:sz w:val="24"/>
                <w:szCs w:val="24"/>
                <w:highlight w:val="none"/>
                <w:lang w:val="en-US" w:eastAsia="zh-CN"/>
              </w:rPr>
              <w:t>密闭</w:t>
            </w:r>
            <w:r>
              <w:rPr>
                <w:rFonts w:hint="eastAsia" w:ascii="Times New Roman" w:hAnsi="Times New Roman" w:eastAsia="宋体" w:cs="Times New Roman"/>
                <w:color w:val="auto"/>
                <w:sz w:val="24"/>
                <w:szCs w:val="24"/>
                <w:highlight w:val="none"/>
                <w:lang w:eastAsia="zh-CN"/>
              </w:rPr>
              <w:t>回流焊机</w:t>
            </w:r>
            <w:r>
              <w:rPr>
                <w:rFonts w:hint="eastAsia"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eastAsia="zh-CN"/>
              </w:rPr>
              <w:t>焊接温度为200~300</w:t>
            </w:r>
            <w:r>
              <w:rPr>
                <w:rFonts w:hint="default"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eastAsia="zh-CN"/>
              </w:rPr>
              <w:t>；芯片面</w:t>
            </w:r>
            <w:r>
              <w:rPr>
                <w:rFonts w:hint="eastAsia" w:ascii="Times New Roman" w:hAnsi="Times New Roman" w:eastAsia="宋体" w:cs="Times New Roman"/>
                <w:color w:val="auto"/>
                <w:sz w:val="24"/>
                <w:szCs w:val="24"/>
                <w:highlight w:val="none"/>
                <w:lang w:eastAsia="zh-CN"/>
              </w:rPr>
              <w:t>经过回流焊后，</w:t>
            </w:r>
            <w:r>
              <w:rPr>
                <w:rFonts w:hint="eastAsia" w:cs="Times New Roman"/>
                <w:color w:val="auto"/>
                <w:sz w:val="24"/>
                <w:szCs w:val="24"/>
                <w:highlight w:val="none"/>
                <w:lang w:eastAsia="zh-CN"/>
              </w:rPr>
              <w:t>再人工</w:t>
            </w:r>
            <w:r>
              <w:rPr>
                <w:rFonts w:hint="eastAsia" w:ascii="Times New Roman" w:hAnsi="Times New Roman" w:eastAsia="宋体" w:cs="Times New Roman"/>
                <w:color w:val="auto"/>
                <w:sz w:val="24"/>
                <w:szCs w:val="24"/>
                <w:highlight w:val="none"/>
                <w:lang w:eastAsia="zh-CN"/>
              </w:rPr>
              <w:t>检查贴件是否</w:t>
            </w:r>
            <w:r>
              <w:rPr>
                <w:rFonts w:hint="eastAsia" w:cs="Times New Roman"/>
                <w:color w:val="auto"/>
                <w:sz w:val="24"/>
                <w:szCs w:val="24"/>
                <w:highlight w:val="none"/>
                <w:lang w:eastAsia="zh-CN"/>
              </w:rPr>
              <w:t>存在</w:t>
            </w:r>
            <w:r>
              <w:rPr>
                <w:rFonts w:hint="eastAsia" w:ascii="Times New Roman" w:hAnsi="Times New Roman" w:eastAsia="宋体" w:cs="Times New Roman"/>
                <w:color w:val="auto"/>
                <w:sz w:val="24"/>
                <w:szCs w:val="24"/>
                <w:highlight w:val="none"/>
                <w:lang w:eastAsia="zh-CN"/>
              </w:rPr>
              <w:t>移位、缺件、虚焊、连焊、元器件变形、贴错、贴反等不良情形，发现同一位置有</w:t>
            </w:r>
            <w:r>
              <w:rPr>
                <w:rFonts w:hint="eastAsia" w:cs="Times New Roman"/>
                <w:color w:val="auto"/>
                <w:sz w:val="24"/>
                <w:szCs w:val="24"/>
                <w:highlight w:val="none"/>
                <w:lang w:eastAsia="zh-CN"/>
              </w:rPr>
              <w:t>不合格</w:t>
            </w:r>
            <w:r>
              <w:rPr>
                <w:rFonts w:hint="eastAsia" w:ascii="Times New Roman" w:hAnsi="Times New Roman" w:eastAsia="宋体" w:cs="Times New Roman"/>
                <w:color w:val="auto"/>
                <w:sz w:val="24"/>
                <w:szCs w:val="24"/>
                <w:highlight w:val="none"/>
                <w:lang w:eastAsia="zh-CN"/>
              </w:rPr>
              <w:t>品时，及时停机调</w:t>
            </w:r>
            <w:r>
              <w:rPr>
                <w:rFonts w:hint="eastAsia" w:cs="Times New Roman"/>
                <w:color w:val="auto"/>
                <w:sz w:val="24"/>
                <w:szCs w:val="24"/>
                <w:highlight w:val="none"/>
                <w:lang w:eastAsia="zh-CN"/>
              </w:rPr>
              <w:t>整。此工序产生的污染物主要为</w:t>
            </w:r>
            <w:r>
              <w:rPr>
                <w:rFonts w:hint="eastAsia" w:cs="Times New Roman"/>
                <w:color w:val="auto"/>
                <w:sz w:val="24"/>
                <w:szCs w:val="24"/>
                <w:highlight w:val="none"/>
                <w:lang w:val="en-US" w:eastAsia="zh-CN"/>
              </w:rPr>
              <w:t>N</w:t>
            </w:r>
            <w:r>
              <w:rPr>
                <w:rFonts w:hint="eastAsia" w:cs="Times New Roman"/>
                <w:color w:val="auto"/>
                <w:sz w:val="24"/>
                <w:szCs w:val="24"/>
                <w:highlight w:val="none"/>
                <w:lang w:eastAsia="zh-CN"/>
              </w:rPr>
              <w:t>设备噪声、</w:t>
            </w:r>
            <w:r>
              <w:rPr>
                <w:rFonts w:hint="eastAsia" w:cs="Times New Roman"/>
                <w:color w:val="auto"/>
                <w:sz w:val="24"/>
                <w:szCs w:val="24"/>
                <w:highlight w:val="none"/>
                <w:lang w:val="en-US" w:eastAsia="zh-CN"/>
              </w:rPr>
              <w:t>G</w:t>
            </w:r>
            <w:r>
              <w:rPr>
                <w:rFonts w:hint="eastAsia" w:cs="Times New Roman"/>
                <w:color w:val="auto"/>
                <w:sz w:val="24"/>
                <w:szCs w:val="24"/>
                <w:highlight w:val="none"/>
                <w:vertAlign w:val="subscript"/>
                <w:lang w:val="en-US" w:eastAsia="zh-CN"/>
              </w:rPr>
              <w:t>1-3</w:t>
            </w:r>
            <w:r>
              <w:rPr>
                <w:rFonts w:hint="eastAsia" w:cs="Times New Roman"/>
                <w:color w:val="auto"/>
                <w:sz w:val="24"/>
                <w:szCs w:val="24"/>
                <w:highlight w:val="none"/>
                <w:lang w:val="en-US" w:eastAsia="zh-CN"/>
              </w:rPr>
              <w:t>回流焊</w:t>
            </w:r>
            <w:r>
              <w:rPr>
                <w:rFonts w:hint="eastAsia" w:cs="Times New Roman"/>
                <w:color w:val="auto"/>
                <w:sz w:val="24"/>
                <w:szCs w:val="24"/>
                <w:highlight w:val="none"/>
                <w:lang w:eastAsia="zh-CN"/>
              </w:rPr>
              <w:t>焊接废气（</w:t>
            </w:r>
            <w:r>
              <w:rPr>
                <w:rFonts w:hint="eastAsia" w:cs="Times New Roman"/>
                <w:color w:val="auto"/>
                <w:sz w:val="24"/>
                <w:szCs w:val="24"/>
                <w:highlight w:val="none"/>
                <w:lang w:val="en-US" w:eastAsia="zh-CN"/>
              </w:rPr>
              <w:t>非甲烷总烃、颗粒物、</w:t>
            </w:r>
            <w:r>
              <w:rPr>
                <w:rFonts w:hint="eastAsia" w:cs="Times New Roman"/>
                <w:color w:val="auto"/>
                <w:sz w:val="24"/>
                <w:szCs w:val="24"/>
                <w:highlight w:val="none"/>
                <w:lang w:eastAsia="zh-CN"/>
              </w:rPr>
              <w:t>锡及其化合物）和</w:t>
            </w:r>
            <w:r>
              <w:rPr>
                <w:rFonts w:hint="eastAsia" w:cs="Times New Roman"/>
                <w:color w:val="auto"/>
                <w:sz w:val="24"/>
                <w:szCs w:val="24"/>
                <w:highlight w:val="none"/>
                <w:lang w:val="en-US" w:eastAsia="zh-CN"/>
              </w:rPr>
              <w:t>S</w:t>
            </w:r>
            <w:r>
              <w:rPr>
                <w:rFonts w:hint="eastAsia" w:cs="Times New Roman"/>
                <w:color w:val="auto"/>
                <w:sz w:val="24"/>
                <w:szCs w:val="24"/>
                <w:highlight w:val="none"/>
                <w:vertAlign w:val="subscript"/>
                <w:lang w:val="en-US" w:eastAsia="zh-CN"/>
              </w:rPr>
              <w:t>1-3</w:t>
            </w:r>
            <w:r>
              <w:rPr>
                <w:rFonts w:hint="eastAsia" w:cs="Times New Roman"/>
                <w:color w:val="auto"/>
                <w:sz w:val="24"/>
                <w:szCs w:val="24"/>
                <w:highlight w:val="none"/>
                <w:lang w:eastAsia="zh-CN"/>
              </w:rPr>
              <w:t>锡焊焊渣。</w:t>
            </w:r>
          </w:p>
          <w:p w14:paraId="7F7B7BE5">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5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⑤</w:t>
            </w:r>
            <w:r>
              <w:rPr>
                <w:rFonts w:hint="default" w:ascii="Times New Roman" w:hAnsi="Times New Roman" w:eastAsia="宋体" w:cs="Times New Roman"/>
                <w:color w:val="auto"/>
                <w:sz w:val="24"/>
                <w:szCs w:val="24"/>
                <w:highlight w:val="none"/>
              </w:rPr>
              <w:fldChar w:fldCharType="end"/>
            </w:r>
            <w:r>
              <w:rPr>
                <w:rFonts w:hint="eastAsia" w:cs="Times New Roman"/>
                <w:color w:val="auto"/>
                <w:sz w:val="24"/>
                <w:szCs w:val="24"/>
                <w:highlight w:val="none"/>
                <w:lang w:val="en-US" w:eastAsia="zh-CN"/>
              </w:rPr>
              <w:t>手工焊接：</w:t>
            </w:r>
            <w:r>
              <w:rPr>
                <w:rFonts w:hint="eastAsia" w:ascii="Times New Roman" w:hAnsi="Times New Roman" w:eastAsia="宋体" w:cs="Times New Roman"/>
                <w:color w:val="auto"/>
                <w:sz w:val="24"/>
                <w:szCs w:val="24"/>
                <w:highlight w:val="none"/>
                <w:lang w:val="en-US" w:eastAsia="zh-CN"/>
              </w:rPr>
              <w:t>回流焊过程中产生的不合格品，由人工使用</w:t>
            </w:r>
            <w:r>
              <w:rPr>
                <w:rFonts w:hint="eastAsia" w:ascii="Times New Roman" w:hAnsi="Times New Roman" w:eastAsia="宋体" w:cs="Times New Roman"/>
                <w:color w:val="auto"/>
                <w:sz w:val="24"/>
                <w:szCs w:val="24"/>
                <w:highlight w:val="none"/>
                <w:lang w:eastAsia="zh-CN"/>
              </w:rPr>
              <w:t>无铅锡丝</w:t>
            </w:r>
            <w:r>
              <w:rPr>
                <w:rFonts w:hint="eastAsia" w:cs="Times New Roman"/>
                <w:color w:val="auto"/>
                <w:sz w:val="24"/>
                <w:szCs w:val="24"/>
                <w:highlight w:val="none"/>
                <w:lang w:val="en-US" w:eastAsia="zh-CN"/>
              </w:rPr>
              <w:t>采用电烙铁</w:t>
            </w:r>
            <w:r>
              <w:rPr>
                <w:rFonts w:hint="eastAsia" w:ascii="Times New Roman" w:hAnsi="Times New Roman" w:eastAsia="宋体" w:cs="Times New Roman"/>
                <w:color w:val="auto"/>
                <w:sz w:val="24"/>
                <w:szCs w:val="24"/>
                <w:highlight w:val="none"/>
                <w:lang w:val="en-US" w:eastAsia="zh-CN"/>
              </w:rPr>
              <w:t>进行手工焊接</w:t>
            </w:r>
            <w:r>
              <w:rPr>
                <w:rFonts w:hint="eastAsia" w:ascii="Times New Roman" w:hAnsi="Times New Roman" w:eastAsia="宋体" w:cs="Times New Roman"/>
                <w:color w:val="auto"/>
                <w:sz w:val="24"/>
                <w:szCs w:val="24"/>
                <w:highlight w:val="none"/>
                <w:lang w:eastAsia="zh-CN"/>
              </w:rPr>
              <w:t>。此工序产生的污染物主要为</w:t>
            </w:r>
            <w:r>
              <w:rPr>
                <w:rFonts w:hint="eastAsia" w:cs="Times New Roman"/>
                <w:color w:val="auto"/>
                <w:sz w:val="24"/>
                <w:szCs w:val="24"/>
                <w:highlight w:val="none"/>
                <w:lang w:val="en-US" w:eastAsia="zh-CN"/>
              </w:rPr>
              <w:t>N</w:t>
            </w:r>
            <w:r>
              <w:rPr>
                <w:rFonts w:hint="eastAsia" w:ascii="Times New Roman" w:hAnsi="Times New Roman" w:eastAsia="宋体" w:cs="Times New Roman"/>
                <w:color w:val="auto"/>
                <w:sz w:val="24"/>
                <w:szCs w:val="24"/>
                <w:highlight w:val="none"/>
                <w:lang w:eastAsia="zh-CN"/>
              </w:rPr>
              <w:t>设备噪声</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G</w:t>
            </w:r>
            <w:r>
              <w:rPr>
                <w:rFonts w:hint="eastAsia" w:cs="Times New Roman"/>
                <w:color w:val="auto"/>
                <w:sz w:val="24"/>
                <w:szCs w:val="24"/>
                <w:highlight w:val="none"/>
                <w:vertAlign w:val="subscript"/>
                <w:lang w:val="en-US" w:eastAsia="zh-CN"/>
              </w:rPr>
              <w:t>1-4</w:t>
            </w:r>
            <w:r>
              <w:rPr>
                <w:rFonts w:hint="eastAsia" w:cs="Times New Roman"/>
                <w:color w:val="auto"/>
                <w:sz w:val="24"/>
                <w:szCs w:val="24"/>
                <w:highlight w:val="none"/>
                <w:lang w:val="en-US" w:eastAsia="zh-CN"/>
              </w:rPr>
              <w:t>手工</w:t>
            </w:r>
            <w:r>
              <w:rPr>
                <w:rFonts w:hint="eastAsia" w:ascii="Times New Roman" w:hAnsi="Times New Roman" w:eastAsia="宋体" w:cs="Times New Roman"/>
                <w:color w:val="auto"/>
                <w:sz w:val="24"/>
                <w:szCs w:val="24"/>
                <w:highlight w:val="none"/>
                <w:lang w:eastAsia="zh-CN"/>
              </w:rPr>
              <w:t>焊接废气（</w:t>
            </w:r>
            <w:r>
              <w:rPr>
                <w:rFonts w:hint="eastAsia" w:ascii="Times New Roman" w:hAnsi="Times New Roman" w:eastAsia="宋体" w:cs="Times New Roman"/>
                <w:color w:val="auto"/>
                <w:sz w:val="24"/>
                <w:szCs w:val="24"/>
                <w:highlight w:val="none"/>
                <w:lang w:val="en-US" w:eastAsia="zh-CN"/>
              </w:rPr>
              <w:t>少量的非甲烷总烃、颗粒物、</w:t>
            </w:r>
            <w:r>
              <w:rPr>
                <w:rFonts w:hint="eastAsia" w:ascii="Times New Roman" w:hAnsi="Times New Roman" w:eastAsia="宋体" w:cs="Times New Roman"/>
                <w:color w:val="auto"/>
                <w:sz w:val="24"/>
                <w:szCs w:val="24"/>
                <w:highlight w:val="none"/>
                <w:lang w:eastAsia="zh-CN"/>
              </w:rPr>
              <w:t>锡及其化合物）</w:t>
            </w:r>
            <w:r>
              <w:rPr>
                <w:rFonts w:hint="eastAsia" w:cs="Times New Roman"/>
                <w:color w:val="auto"/>
                <w:sz w:val="24"/>
                <w:szCs w:val="24"/>
                <w:highlight w:val="none"/>
                <w:lang w:eastAsia="zh-CN"/>
              </w:rPr>
              <w:t>和</w:t>
            </w:r>
            <w:r>
              <w:rPr>
                <w:rFonts w:hint="eastAsia" w:cs="Times New Roman"/>
                <w:color w:val="auto"/>
                <w:sz w:val="24"/>
                <w:szCs w:val="24"/>
                <w:highlight w:val="none"/>
                <w:lang w:val="en-US" w:eastAsia="zh-CN"/>
              </w:rPr>
              <w:t>S</w:t>
            </w:r>
            <w:r>
              <w:rPr>
                <w:rFonts w:hint="eastAsia" w:cs="Times New Roman"/>
                <w:color w:val="auto"/>
                <w:sz w:val="24"/>
                <w:szCs w:val="24"/>
                <w:highlight w:val="none"/>
                <w:vertAlign w:val="subscript"/>
                <w:lang w:val="en-US" w:eastAsia="zh-CN"/>
              </w:rPr>
              <w:t>1-3</w:t>
            </w:r>
            <w:r>
              <w:rPr>
                <w:rFonts w:hint="eastAsia" w:cs="Times New Roman"/>
                <w:color w:val="auto"/>
                <w:sz w:val="24"/>
                <w:szCs w:val="24"/>
                <w:highlight w:val="none"/>
                <w:lang w:eastAsia="zh-CN"/>
              </w:rPr>
              <w:t>锡焊焊渣。</w:t>
            </w:r>
          </w:p>
          <w:p w14:paraId="193976DC">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eastAsia"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 6 \* GB3 \* MERGEFORMAT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⑥</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t>灯珠面回流焊</w:t>
            </w:r>
            <w:r>
              <w:rPr>
                <w:rFonts w:hint="eastAsia" w:cs="Times New Roman"/>
                <w:color w:val="auto"/>
                <w:sz w:val="24"/>
                <w:szCs w:val="24"/>
                <w:highlight w:val="none"/>
                <w:lang w:val="en-US" w:eastAsia="zh-CN"/>
              </w:rPr>
              <w:t>、人工检验</w:t>
            </w:r>
            <w:r>
              <w:rPr>
                <w:rFonts w:hint="eastAsia"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灯珠面放进</w:t>
            </w:r>
            <w:r>
              <w:rPr>
                <w:rFonts w:hint="eastAsia" w:cs="Times New Roman"/>
                <w:color w:val="auto"/>
                <w:sz w:val="24"/>
                <w:szCs w:val="24"/>
                <w:highlight w:val="none"/>
                <w:lang w:val="en-US" w:eastAsia="zh-CN"/>
              </w:rPr>
              <w:t>密闭</w:t>
            </w:r>
            <w:r>
              <w:rPr>
                <w:rFonts w:hint="default" w:ascii="Times New Roman" w:hAnsi="Times New Roman" w:eastAsia="宋体" w:cs="Times New Roman"/>
                <w:color w:val="auto"/>
                <w:sz w:val="24"/>
                <w:szCs w:val="24"/>
                <w:highlight w:val="none"/>
              </w:rPr>
              <w:t>回流焊机</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焊接温度为200~300</w:t>
            </w:r>
            <w:r>
              <w:rPr>
                <w:rFonts w:hint="default"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灯珠面经过回流焊后，</w:t>
            </w:r>
            <w:r>
              <w:rPr>
                <w:rFonts w:hint="eastAsia" w:cs="Times New Roman"/>
                <w:color w:val="auto"/>
                <w:sz w:val="24"/>
                <w:szCs w:val="24"/>
                <w:highlight w:val="none"/>
                <w:lang w:eastAsia="zh-CN"/>
              </w:rPr>
              <w:t>再人工</w:t>
            </w:r>
            <w:r>
              <w:rPr>
                <w:rFonts w:hint="default" w:ascii="Times New Roman" w:hAnsi="Times New Roman" w:eastAsia="宋体" w:cs="Times New Roman"/>
                <w:color w:val="auto"/>
                <w:sz w:val="24"/>
                <w:szCs w:val="24"/>
                <w:highlight w:val="none"/>
              </w:rPr>
              <w:t>检查</w:t>
            </w:r>
            <w:r>
              <w:rPr>
                <w:rFonts w:hint="eastAsia" w:cs="Times New Roman"/>
                <w:color w:val="auto"/>
                <w:sz w:val="24"/>
                <w:szCs w:val="24"/>
                <w:highlight w:val="none"/>
                <w:lang w:val="en-US" w:eastAsia="zh-CN"/>
              </w:rPr>
              <w:t>LED灯</w:t>
            </w:r>
            <w:r>
              <w:rPr>
                <w:rFonts w:hint="default" w:ascii="Times New Roman" w:hAnsi="Times New Roman" w:eastAsia="宋体" w:cs="Times New Roman"/>
                <w:color w:val="auto"/>
                <w:sz w:val="24"/>
                <w:szCs w:val="24"/>
                <w:highlight w:val="none"/>
              </w:rPr>
              <w:t>是否</w:t>
            </w:r>
            <w:r>
              <w:rPr>
                <w:rFonts w:hint="eastAsia" w:cs="Times New Roman"/>
                <w:color w:val="auto"/>
                <w:sz w:val="24"/>
                <w:szCs w:val="24"/>
                <w:highlight w:val="none"/>
                <w:lang w:eastAsia="zh-CN"/>
              </w:rPr>
              <w:t>存在</w:t>
            </w:r>
            <w:r>
              <w:rPr>
                <w:rFonts w:hint="default" w:ascii="Times New Roman" w:hAnsi="Times New Roman" w:eastAsia="宋体" w:cs="Times New Roman"/>
                <w:color w:val="auto"/>
                <w:sz w:val="24"/>
                <w:szCs w:val="24"/>
                <w:highlight w:val="none"/>
              </w:rPr>
              <w:t>移位、贴错、贴反等不良情形，发现同一位置有</w:t>
            </w:r>
            <w:r>
              <w:rPr>
                <w:rFonts w:hint="eastAsia" w:cs="Times New Roman"/>
                <w:color w:val="auto"/>
                <w:sz w:val="24"/>
                <w:szCs w:val="24"/>
                <w:highlight w:val="none"/>
                <w:lang w:eastAsia="zh-CN"/>
              </w:rPr>
              <w:t>不合格</w:t>
            </w:r>
            <w:r>
              <w:rPr>
                <w:rFonts w:hint="default" w:ascii="Times New Roman" w:hAnsi="Times New Roman" w:eastAsia="宋体" w:cs="Times New Roman"/>
                <w:color w:val="auto"/>
                <w:sz w:val="24"/>
                <w:szCs w:val="24"/>
                <w:highlight w:val="none"/>
              </w:rPr>
              <w:t>品时，及时停机调</w:t>
            </w:r>
            <w:r>
              <w:rPr>
                <w:rFonts w:hint="eastAsia" w:cs="Times New Roman"/>
                <w:color w:val="auto"/>
                <w:sz w:val="24"/>
                <w:szCs w:val="24"/>
                <w:highlight w:val="none"/>
                <w:lang w:eastAsia="zh-CN"/>
              </w:rPr>
              <w:t>整。此工序产生的污染物主要为</w:t>
            </w:r>
            <w:r>
              <w:rPr>
                <w:rFonts w:hint="eastAsia" w:cs="Times New Roman"/>
                <w:color w:val="auto"/>
                <w:sz w:val="24"/>
                <w:szCs w:val="24"/>
                <w:highlight w:val="none"/>
                <w:lang w:val="en-US" w:eastAsia="zh-CN"/>
              </w:rPr>
              <w:t>N</w:t>
            </w:r>
            <w:r>
              <w:rPr>
                <w:rFonts w:hint="eastAsia" w:cs="Times New Roman"/>
                <w:color w:val="auto"/>
                <w:sz w:val="24"/>
                <w:szCs w:val="24"/>
                <w:highlight w:val="none"/>
                <w:lang w:eastAsia="zh-CN"/>
              </w:rPr>
              <w:t>设备噪声、</w:t>
            </w:r>
            <w:r>
              <w:rPr>
                <w:rFonts w:hint="eastAsia" w:cs="Times New Roman"/>
                <w:color w:val="auto"/>
                <w:sz w:val="24"/>
                <w:szCs w:val="24"/>
                <w:highlight w:val="none"/>
                <w:lang w:val="en-US" w:eastAsia="zh-CN"/>
              </w:rPr>
              <w:t>G</w:t>
            </w:r>
            <w:r>
              <w:rPr>
                <w:rFonts w:hint="eastAsia" w:cs="Times New Roman"/>
                <w:color w:val="auto"/>
                <w:sz w:val="24"/>
                <w:szCs w:val="24"/>
                <w:highlight w:val="none"/>
                <w:vertAlign w:val="subscript"/>
                <w:lang w:val="en-US" w:eastAsia="zh-CN"/>
              </w:rPr>
              <w:t>1-3</w:t>
            </w:r>
            <w:r>
              <w:rPr>
                <w:rFonts w:hint="default" w:ascii="Times New Roman" w:hAnsi="Times New Roman" w:eastAsia="宋体" w:cs="Times New Roman"/>
                <w:color w:val="auto"/>
                <w:sz w:val="24"/>
                <w:szCs w:val="24"/>
                <w:highlight w:val="none"/>
              </w:rPr>
              <w:t>回流</w:t>
            </w:r>
            <w:r>
              <w:rPr>
                <w:rFonts w:hint="eastAsia" w:cs="Times New Roman"/>
                <w:color w:val="auto"/>
                <w:sz w:val="24"/>
                <w:szCs w:val="24"/>
                <w:highlight w:val="none"/>
                <w:lang w:eastAsia="zh-CN"/>
              </w:rPr>
              <w:t>焊接废气（</w:t>
            </w:r>
            <w:r>
              <w:rPr>
                <w:rFonts w:hint="eastAsia" w:cs="Times New Roman"/>
                <w:color w:val="auto"/>
                <w:sz w:val="24"/>
                <w:szCs w:val="24"/>
                <w:highlight w:val="none"/>
                <w:lang w:val="en-US" w:eastAsia="zh-CN"/>
              </w:rPr>
              <w:t>非甲烷总烃</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颗粒物、</w:t>
            </w:r>
            <w:r>
              <w:rPr>
                <w:rFonts w:hint="eastAsia" w:cs="Times New Roman"/>
                <w:color w:val="auto"/>
                <w:sz w:val="24"/>
                <w:szCs w:val="24"/>
                <w:highlight w:val="none"/>
                <w:lang w:eastAsia="zh-CN"/>
              </w:rPr>
              <w:t>锡及其化合物）和</w:t>
            </w:r>
            <w:r>
              <w:rPr>
                <w:rFonts w:hint="eastAsia" w:cs="Times New Roman"/>
                <w:color w:val="auto"/>
                <w:sz w:val="24"/>
                <w:szCs w:val="24"/>
                <w:highlight w:val="none"/>
                <w:lang w:val="en-US" w:eastAsia="zh-CN"/>
              </w:rPr>
              <w:t>S</w:t>
            </w:r>
            <w:r>
              <w:rPr>
                <w:rFonts w:hint="eastAsia" w:cs="Times New Roman"/>
                <w:color w:val="auto"/>
                <w:sz w:val="24"/>
                <w:szCs w:val="24"/>
                <w:highlight w:val="none"/>
                <w:vertAlign w:val="subscript"/>
                <w:lang w:val="en-US" w:eastAsia="zh-CN"/>
              </w:rPr>
              <w:t>1-3</w:t>
            </w:r>
            <w:r>
              <w:rPr>
                <w:rFonts w:hint="eastAsia" w:cs="Times New Roman"/>
                <w:color w:val="auto"/>
                <w:sz w:val="24"/>
                <w:szCs w:val="24"/>
                <w:highlight w:val="none"/>
                <w:lang w:eastAsia="zh-CN"/>
              </w:rPr>
              <w:t>锡焊焊渣。</w:t>
            </w:r>
          </w:p>
          <w:p w14:paraId="06937011">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⑦</w:t>
            </w:r>
            <w:r>
              <w:rPr>
                <w:rFonts w:hint="eastAsia" w:cs="Times New Roman"/>
                <w:color w:val="auto"/>
                <w:sz w:val="24"/>
                <w:szCs w:val="24"/>
                <w:highlight w:val="none"/>
                <w:lang w:val="en-US" w:eastAsia="zh-CN"/>
              </w:rPr>
              <w:t>打螺丝套装：</w:t>
            </w:r>
            <w:r>
              <w:rPr>
                <w:rFonts w:hint="eastAsia" w:ascii="Times New Roman" w:hAnsi="Times New Roman" w:eastAsia="宋体" w:cs="Times New Roman"/>
                <w:color w:val="auto"/>
                <w:sz w:val="24"/>
                <w:szCs w:val="24"/>
                <w:highlight w:val="none"/>
                <w:lang w:eastAsia="zh-CN"/>
              </w:rPr>
              <w:t>装套件人员把套件底座箭头向上摆放</w:t>
            </w:r>
            <w:r>
              <w:rPr>
                <w:rFonts w:hint="eastAsia" w:cs="Times New Roman"/>
                <w:color w:val="auto"/>
                <w:sz w:val="24"/>
                <w:szCs w:val="24"/>
                <w:highlight w:val="none"/>
                <w:lang w:val="en-US" w:eastAsia="zh-CN"/>
              </w:rPr>
              <w:t>在</w:t>
            </w:r>
            <w:r>
              <w:rPr>
                <w:rFonts w:hint="eastAsia" w:ascii="Times New Roman" w:hAnsi="Times New Roman" w:eastAsia="宋体" w:cs="Times New Roman"/>
                <w:color w:val="auto"/>
                <w:sz w:val="24"/>
                <w:szCs w:val="24"/>
                <w:highlight w:val="none"/>
                <w:lang w:eastAsia="zh-CN"/>
              </w:rPr>
              <w:t>桌面上，产品箭头与底座箭头一致，对准底座立柱放入底座，面罩反光源向上，立柱向下对准底座立柱孔位装配面罩，将螺丝对准圆孔，</w:t>
            </w:r>
            <w:r>
              <w:rPr>
                <w:rFonts w:hint="eastAsia" w:cs="Times New Roman"/>
                <w:color w:val="auto"/>
                <w:sz w:val="24"/>
                <w:szCs w:val="24"/>
                <w:highlight w:val="none"/>
                <w:lang w:val="en-US" w:eastAsia="zh-CN"/>
              </w:rPr>
              <w:t>打螺丝机</w:t>
            </w:r>
            <w:r>
              <w:rPr>
                <w:rFonts w:hint="eastAsia" w:ascii="Times New Roman" w:hAnsi="Times New Roman" w:eastAsia="宋体" w:cs="Times New Roman"/>
                <w:color w:val="auto"/>
                <w:sz w:val="24"/>
                <w:szCs w:val="24"/>
                <w:highlight w:val="none"/>
                <w:lang w:eastAsia="zh-CN"/>
              </w:rPr>
              <w:t>完成打螺丝操作，将套件放</w:t>
            </w:r>
            <w:r>
              <w:rPr>
                <w:rFonts w:hint="eastAsia" w:cs="Times New Roman"/>
                <w:color w:val="auto"/>
                <w:sz w:val="24"/>
                <w:szCs w:val="24"/>
                <w:highlight w:val="none"/>
                <w:lang w:val="en-US" w:eastAsia="zh-CN"/>
              </w:rPr>
              <w:t>入老化工序</w:t>
            </w:r>
            <w:r>
              <w:rPr>
                <w:rFonts w:hint="eastAsia" w:ascii="Times New Roman" w:hAnsi="Times New Roman" w:eastAsia="宋体" w:cs="Times New Roman"/>
                <w:color w:val="auto"/>
                <w:sz w:val="24"/>
                <w:szCs w:val="24"/>
                <w:highlight w:val="none"/>
                <w:lang w:eastAsia="zh-CN"/>
              </w:rPr>
              <w:t>。此工序产生的污染物主要为</w:t>
            </w:r>
            <w:r>
              <w:rPr>
                <w:rFonts w:hint="eastAsia" w:cs="Times New Roman"/>
                <w:color w:val="auto"/>
                <w:sz w:val="24"/>
                <w:szCs w:val="24"/>
                <w:highlight w:val="none"/>
                <w:lang w:val="en-US" w:eastAsia="zh-CN"/>
              </w:rPr>
              <w:t>N</w:t>
            </w:r>
            <w:r>
              <w:rPr>
                <w:rFonts w:hint="eastAsia" w:ascii="Times New Roman" w:hAnsi="Times New Roman" w:eastAsia="宋体" w:cs="Times New Roman"/>
                <w:color w:val="auto"/>
                <w:sz w:val="24"/>
                <w:szCs w:val="24"/>
                <w:highlight w:val="none"/>
                <w:lang w:eastAsia="zh-CN"/>
              </w:rPr>
              <w:t>设备噪声</w:t>
            </w:r>
            <w:r>
              <w:rPr>
                <w:rFonts w:hint="eastAsia" w:cs="Times New Roman"/>
                <w:color w:val="auto"/>
                <w:sz w:val="24"/>
                <w:szCs w:val="24"/>
                <w:highlight w:val="none"/>
                <w:lang w:eastAsia="zh-CN"/>
              </w:rPr>
              <w:t>。</w:t>
            </w:r>
          </w:p>
          <w:p w14:paraId="624A2ED6">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⑧</w:t>
            </w:r>
            <w:r>
              <w:rPr>
                <w:rFonts w:hint="eastAsia" w:cs="Times New Roman"/>
                <w:color w:val="auto"/>
                <w:sz w:val="24"/>
                <w:szCs w:val="24"/>
                <w:highlight w:val="none"/>
                <w:lang w:val="en-US" w:eastAsia="zh-CN"/>
              </w:rPr>
              <w:t>老化：</w:t>
            </w:r>
            <w:r>
              <w:rPr>
                <w:rFonts w:hint="eastAsia" w:ascii="Times New Roman" w:hAnsi="Times New Roman" w:eastAsia="宋体" w:cs="Times New Roman"/>
                <w:color w:val="auto"/>
                <w:sz w:val="24"/>
                <w:szCs w:val="24"/>
                <w:highlight w:val="none"/>
                <w:lang w:eastAsia="zh-CN"/>
              </w:rPr>
              <w:t>将板子上到老化架上，每个槽位横竖排列对应，排线依次串联板子输入、输出端口，电源插上电源座，用排线连接系统驱动卡输出端口与第一片板输入端口，打开自动老化线电源开关，测试连接是否全部通路，调整至全部通路为止，老化扫描半小时，全亮一小时，按要求切换模式，观察挑选不合格品，收起</w:t>
            </w:r>
            <w:r>
              <w:rPr>
                <w:rFonts w:hint="eastAsia" w:cs="Times New Roman"/>
                <w:color w:val="auto"/>
                <w:sz w:val="24"/>
                <w:szCs w:val="24"/>
                <w:highlight w:val="none"/>
                <w:lang w:val="en-US" w:eastAsia="zh-CN"/>
              </w:rPr>
              <w:t>老化</w:t>
            </w:r>
            <w:r>
              <w:rPr>
                <w:rFonts w:hint="eastAsia" w:ascii="Times New Roman" w:hAnsi="Times New Roman" w:eastAsia="宋体" w:cs="Times New Roman"/>
                <w:color w:val="auto"/>
                <w:sz w:val="24"/>
                <w:szCs w:val="24"/>
                <w:highlight w:val="none"/>
                <w:lang w:eastAsia="zh-CN"/>
              </w:rPr>
              <w:t>完成的合格品。此工序产生的污染物主要为</w:t>
            </w:r>
            <w:r>
              <w:rPr>
                <w:rFonts w:hint="eastAsia" w:cs="Times New Roman"/>
                <w:color w:val="auto"/>
                <w:sz w:val="24"/>
                <w:szCs w:val="24"/>
                <w:highlight w:val="none"/>
                <w:lang w:val="en-US" w:eastAsia="zh-CN"/>
              </w:rPr>
              <w:t>S</w:t>
            </w:r>
            <w:r>
              <w:rPr>
                <w:rFonts w:hint="eastAsia" w:cs="Times New Roman"/>
                <w:color w:val="auto"/>
                <w:sz w:val="24"/>
                <w:szCs w:val="24"/>
                <w:highlight w:val="none"/>
                <w:vertAlign w:val="subscript"/>
                <w:lang w:val="en-US" w:eastAsia="zh-CN"/>
              </w:rPr>
              <w:t>1-4</w:t>
            </w:r>
            <w:r>
              <w:rPr>
                <w:rFonts w:hint="eastAsia" w:ascii="Times New Roman" w:hAnsi="Times New Roman" w:eastAsia="宋体" w:cs="Times New Roman"/>
                <w:color w:val="auto"/>
                <w:sz w:val="24"/>
                <w:szCs w:val="24"/>
                <w:highlight w:val="none"/>
                <w:lang w:eastAsia="zh-CN"/>
              </w:rPr>
              <w:t>不合格品</w:t>
            </w:r>
            <w:r>
              <w:rPr>
                <w:rFonts w:hint="eastAsia" w:cs="Times New Roman"/>
                <w:color w:val="auto"/>
                <w:sz w:val="24"/>
                <w:szCs w:val="24"/>
                <w:highlight w:val="none"/>
                <w:lang w:eastAsia="zh-CN"/>
              </w:rPr>
              <w:t>。</w:t>
            </w:r>
          </w:p>
          <w:p w14:paraId="314EDEEE">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⑨</w:t>
            </w:r>
            <w:r>
              <w:rPr>
                <w:rFonts w:hint="eastAsia" w:cs="Times New Roman"/>
                <w:color w:val="auto"/>
                <w:sz w:val="24"/>
                <w:szCs w:val="24"/>
                <w:highlight w:val="none"/>
                <w:lang w:val="en-US" w:eastAsia="zh-CN"/>
              </w:rPr>
              <w:t>测试：</w:t>
            </w:r>
            <w:r>
              <w:rPr>
                <w:rFonts w:hint="eastAsia" w:ascii="Times New Roman" w:hAnsi="Times New Roman" w:eastAsia="宋体" w:cs="Times New Roman"/>
                <w:color w:val="auto"/>
                <w:sz w:val="24"/>
                <w:szCs w:val="24"/>
                <w:highlight w:val="none"/>
                <w:lang w:eastAsia="zh-CN"/>
              </w:rPr>
              <w:t>套件背面及印刷箭头朝上摆放台面，排线插头分别插入板子左右两侧排插座，电源夹子夹住电源座输入和输出的两个引脚上，分别切换全亮、扫描、灰度的接收卡模式，每个模式检查3秒查验是否有短路、死灯现象，检出板子</w:t>
            </w:r>
            <w:r>
              <w:rPr>
                <w:rFonts w:hint="eastAsia" w:cs="Times New Roman"/>
                <w:color w:val="auto"/>
                <w:sz w:val="24"/>
                <w:szCs w:val="24"/>
                <w:highlight w:val="none"/>
                <w:lang w:eastAsia="zh-CN"/>
              </w:rPr>
              <w:t>合格品</w:t>
            </w:r>
            <w:r>
              <w:rPr>
                <w:rFonts w:hint="eastAsia" w:ascii="Times New Roman" w:hAnsi="Times New Roman" w:eastAsia="宋体" w:cs="Times New Roman"/>
                <w:color w:val="auto"/>
                <w:sz w:val="24"/>
                <w:szCs w:val="24"/>
                <w:highlight w:val="none"/>
                <w:lang w:eastAsia="zh-CN"/>
              </w:rPr>
              <w:t>与</w:t>
            </w:r>
            <w:r>
              <w:rPr>
                <w:rFonts w:hint="eastAsia" w:cs="Times New Roman"/>
                <w:color w:val="auto"/>
                <w:sz w:val="24"/>
                <w:szCs w:val="24"/>
                <w:highlight w:val="none"/>
                <w:lang w:eastAsia="zh-CN"/>
              </w:rPr>
              <w:t>不合格品</w:t>
            </w:r>
            <w:r>
              <w:rPr>
                <w:rFonts w:hint="eastAsia" w:ascii="Times New Roman" w:hAnsi="Times New Roman" w:eastAsia="宋体" w:cs="Times New Roman"/>
                <w:color w:val="auto"/>
                <w:sz w:val="24"/>
                <w:szCs w:val="24"/>
                <w:highlight w:val="none"/>
                <w:lang w:eastAsia="zh-CN"/>
              </w:rPr>
              <w:t>分开摆放，不合格品贴不合格标待返修。此工序产生的污染物主要为</w:t>
            </w:r>
            <w:r>
              <w:rPr>
                <w:rFonts w:hint="eastAsia" w:cs="Times New Roman"/>
                <w:color w:val="auto"/>
                <w:sz w:val="24"/>
                <w:szCs w:val="24"/>
                <w:highlight w:val="none"/>
                <w:lang w:val="en-US" w:eastAsia="zh-CN"/>
              </w:rPr>
              <w:t>S</w:t>
            </w:r>
            <w:r>
              <w:rPr>
                <w:rFonts w:hint="eastAsia" w:cs="Times New Roman"/>
                <w:color w:val="auto"/>
                <w:sz w:val="24"/>
                <w:szCs w:val="24"/>
                <w:highlight w:val="none"/>
                <w:vertAlign w:val="subscript"/>
                <w:lang w:val="en-US" w:eastAsia="zh-CN"/>
              </w:rPr>
              <w:t>1-4</w:t>
            </w:r>
            <w:r>
              <w:rPr>
                <w:rFonts w:hint="eastAsia" w:ascii="Times New Roman" w:hAnsi="Times New Roman" w:eastAsia="宋体" w:cs="Times New Roman"/>
                <w:color w:val="auto"/>
                <w:sz w:val="24"/>
                <w:szCs w:val="24"/>
                <w:highlight w:val="none"/>
                <w:lang w:eastAsia="zh-CN"/>
              </w:rPr>
              <w:t>不合格品</w:t>
            </w:r>
            <w:r>
              <w:rPr>
                <w:rFonts w:hint="eastAsia" w:cs="Times New Roman"/>
                <w:color w:val="auto"/>
                <w:sz w:val="24"/>
                <w:szCs w:val="24"/>
                <w:highlight w:val="none"/>
                <w:lang w:eastAsia="zh-CN"/>
              </w:rPr>
              <w:t>。</w:t>
            </w:r>
          </w:p>
          <w:p w14:paraId="68BB228F">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⑩</w:t>
            </w:r>
            <w:r>
              <w:rPr>
                <w:rFonts w:hint="eastAsia" w:cs="Times New Roman"/>
                <w:color w:val="auto"/>
                <w:sz w:val="24"/>
                <w:szCs w:val="24"/>
                <w:highlight w:val="none"/>
                <w:lang w:val="en-US" w:eastAsia="zh-CN"/>
              </w:rPr>
              <w:t>包装入库：合格产品包装后存放于成品库，等待销售</w:t>
            </w:r>
            <w:r>
              <w:rPr>
                <w:rFonts w:hint="eastAsia" w:ascii="Times New Roman" w:hAnsi="Times New Roman" w:eastAsia="宋体" w:cs="Times New Roman"/>
                <w:color w:val="auto"/>
                <w:sz w:val="24"/>
                <w:szCs w:val="24"/>
                <w:highlight w:val="none"/>
                <w:lang w:eastAsia="zh-CN"/>
              </w:rPr>
              <w:t>。此工序产生的污染物主要为</w:t>
            </w:r>
            <w:r>
              <w:rPr>
                <w:rFonts w:hint="eastAsia" w:cs="Times New Roman"/>
                <w:color w:val="auto"/>
                <w:sz w:val="24"/>
                <w:szCs w:val="24"/>
                <w:highlight w:val="none"/>
                <w:lang w:val="en-US" w:eastAsia="zh-CN"/>
              </w:rPr>
              <w:t>S</w:t>
            </w:r>
            <w:r>
              <w:rPr>
                <w:rFonts w:hint="eastAsia" w:cs="Times New Roman"/>
                <w:color w:val="auto"/>
                <w:sz w:val="24"/>
                <w:szCs w:val="24"/>
                <w:highlight w:val="none"/>
                <w:vertAlign w:val="subscript"/>
                <w:lang w:val="en-US" w:eastAsia="zh-CN"/>
              </w:rPr>
              <w:t>1-5</w:t>
            </w:r>
            <w:r>
              <w:rPr>
                <w:rFonts w:hint="eastAsia" w:ascii="Times New Roman" w:hAnsi="Times New Roman" w:eastAsia="宋体" w:cs="Times New Roman"/>
                <w:color w:val="auto"/>
                <w:sz w:val="24"/>
                <w:szCs w:val="24"/>
                <w:highlight w:val="none"/>
                <w:lang w:eastAsia="zh-CN"/>
              </w:rPr>
              <w:t>废包装</w:t>
            </w:r>
            <w:r>
              <w:rPr>
                <w:rFonts w:hint="eastAsia" w:cs="Times New Roman"/>
                <w:color w:val="auto"/>
                <w:sz w:val="24"/>
                <w:szCs w:val="24"/>
                <w:highlight w:val="none"/>
                <w:lang w:val="en-US" w:eastAsia="zh-CN"/>
              </w:rPr>
              <w:t>箱</w:t>
            </w:r>
            <w:r>
              <w:rPr>
                <w:rFonts w:hint="eastAsia" w:ascii="Times New Roman" w:hAnsi="Times New Roman" w:eastAsia="宋体" w:cs="Times New Roman"/>
                <w:color w:val="auto"/>
                <w:sz w:val="24"/>
                <w:szCs w:val="24"/>
                <w:highlight w:val="none"/>
                <w:lang w:eastAsia="zh-CN"/>
              </w:rPr>
              <w:t>。</w:t>
            </w:r>
          </w:p>
          <w:p w14:paraId="4F9075E9">
            <w:pPr>
              <w:pStyle w:val="33"/>
              <w:numPr>
                <w:ilvl w:val="0"/>
                <w:numId w:val="8"/>
              </w:numPr>
              <w:rPr>
                <w:rFonts w:hint="default" w:ascii="Times New Roman" w:hAnsi="Times New Roman" w:cs="Times New Roman" w:eastAsiaTheme="minorEastAsia"/>
                <w:b w:val="0"/>
                <w:bCs w:val="0"/>
                <w:color w:val="auto"/>
                <w:sz w:val="24"/>
                <w:szCs w:val="24"/>
                <w:highlight w:val="none"/>
                <w:u w:val="none"/>
                <w:vertAlign w:val="baseline"/>
                <w:lang w:eastAsia="zh-CN"/>
              </w:rPr>
            </w:pPr>
            <w:r>
              <w:rPr>
                <w:rFonts w:hint="default" w:ascii="Times New Roman" w:hAnsi="Times New Roman" w:cs="Times New Roman" w:eastAsiaTheme="minorEastAsia"/>
                <w:b w:val="0"/>
                <w:bCs w:val="0"/>
                <w:color w:val="auto"/>
                <w:sz w:val="24"/>
                <w:szCs w:val="24"/>
                <w:highlight w:val="none"/>
                <w:u w:val="none"/>
                <w:vertAlign w:val="baseline"/>
                <w:lang w:eastAsia="zh-CN"/>
              </w:rPr>
              <w:t>显示屏模组器件</w:t>
            </w:r>
          </w:p>
          <w:p w14:paraId="733C1D5B">
            <w:pPr>
              <w:pStyle w:val="35"/>
              <w:rPr>
                <w:rFonts w:hint="eastAsia" w:cs="Times New Roman"/>
                <w:color w:val="auto"/>
                <w:sz w:val="24"/>
                <w:szCs w:val="24"/>
                <w:highlight w:val="none"/>
                <w:lang w:eastAsia="zh-CN"/>
              </w:rPr>
            </w:pPr>
            <w:r>
              <w:rPr>
                <w:rFonts w:hint="eastAsia" w:cs="Times New Roman"/>
                <w:color w:val="auto"/>
                <w:sz w:val="24"/>
                <w:szCs w:val="24"/>
                <w:highlight w:val="none"/>
                <w:lang w:eastAsia="zh-CN"/>
              </w:rPr>
              <w:pict>
                <v:shape id="_x0000_s1031" o:spid="_x0000_s1031" o:spt="75" type="#_x0000_t75" style="position:absolute;left:0pt;margin-left:38.95pt;margin-top:0.75pt;height:245.35pt;width:359.25pt;z-index:-251656192;mso-width-relative:page;mso-height-relative:page;" o:ole="t" filled="f" o:preferrelative="t" stroked="f" coordsize="21600,21600">
                  <v:path/>
                  <v:fill on="f" focussize="0,0"/>
                  <v:stroke on="f"/>
                  <v:imagedata r:id="rId15" o:title=""/>
                  <o:lock v:ext="edit" aspectratio="f"/>
                </v:shape>
                <o:OLEObject Type="Embed" ProgID="Visio.Drawing.15" ShapeID="_x0000_s1031" DrawAspect="Content" ObjectID="_1468075727" r:id="rId14">
                  <o:LockedField>false</o:LockedField>
                </o:OLEObject>
              </w:pict>
            </w:r>
          </w:p>
          <w:p w14:paraId="65069C12">
            <w:pPr>
              <w:pStyle w:val="35"/>
              <w:rPr>
                <w:rFonts w:hint="eastAsia" w:cs="Times New Roman"/>
                <w:color w:val="auto"/>
                <w:sz w:val="24"/>
                <w:szCs w:val="24"/>
                <w:highlight w:val="none"/>
                <w:lang w:eastAsia="zh-CN"/>
              </w:rPr>
            </w:pPr>
          </w:p>
          <w:p w14:paraId="1B7457CA">
            <w:pPr>
              <w:pStyle w:val="35"/>
              <w:rPr>
                <w:rFonts w:hint="eastAsia" w:cs="Times New Roman"/>
                <w:color w:val="auto"/>
                <w:sz w:val="24"/>
                <w:szCs w:val="24"/>
                <w:highlight w:val="none"/>
                <w:lang w:eastAsia="zh-CN"/>
              </w:rPr>
            </w:pPr>
          </w:p>
          <w:p w14:paraId="682C9EB9">
            <w:pPr>
              <w:pStyle w:val="35"/>
              <w:rPr>
                <w:rFonts w:hint="eastAsia" w:cs="Times New Roman"/>
                <w:color w:val="auto"/>
                <w:sz w:val="24"/>
                <w:szCs w:val="24"/>
                <w:highlight w:val="none"/>
                <w:lang w:eastAsia="zh-CN"/>
              </w:rPr>
            </w:pPr>
          </w:p>
          <w:p w14:paraId="18F3EB6D">
            <w:pPr>
              <w:pStyle w:val="35"/>
              <w:rPr>
                <w:rFonts w:hint="eastAsia" w:cs="Times New Roman"/>
                <w:color w:val="auto"/>
                <w:sz w:val="24"/>
                <w:szCs w:val="24"/>
                <w:highlight w:val="none"/>
                <w:lang w:eastAsia="zh-CN"/>
              </w:rPr>
            </w:pPr>
          </w:p>
          <w:p w14:paraId="06B10F6C">
            <w:pPr>
              <w:pStyle w:val="35"/>
              <w:rPr>
                <w:rFonts w:hint="eastAsia" w:cs="Times New Roman"/>
                <w:color w:val="auto"/>
                <w:sz w:val="24"/>
                <w:szCs w:val="24"/>
                <w:highlight w:val="none"/>
                <w:lang w:eastAsia="zh-CN"/>
              </w:rPr>
            </w:pPr>
          </w:p>
          <w:p w14:paraId="0B2F0F26">
            <w:pPr>
              <w:pStyle w:val="35"/>
              <w:rPr>
                <w:rFonts w:hint="eastAsia" w:cs="Times New Roman"/>
                <w:color w:val="auto"/>
                <w:sz w:val="24"/>
                <w:szCs w:val="24"/>
                <w:highlight w:val="none"/>
                <w:lang w:eastAsia="zh-CN"/>
              </w:rPr>
            </w:pPr>
          </w:p>
          <w:p w14:paraId="446DFA65">
            <w:pPr>
              <w:pStyle w:val="35"/>
              <w:rPr>
                <w:rFonts w:hint="eastAsia" w:cs="Times New Roman"/>
                <w:color w:val="auto"/>
                <w:sz w:val="24"/>
                <w:szCs w:val="24"/>
                <w:highlight w:val="none"/>
                <w:lang w:eastAsia="zh-CN"/>
              </w:rPr>
            </w:pPr>
          </w:p>
          <w:p w14:paraId="7F364310">
            <w:pPr>
              <w:pStyle w:val="35"/>
              <w:rPr>
                <w:rFonts w:hint="eastAsia" w:cs="Times New Roman"/>
                <w:color w:val="auto"/>
                <w:sz w:val="24"/>
                <w:szCs w:val="24"/>
                <w:highlight w:val="none"/>
                <w:lang w:eastAsia="zh-CN"/>
              </w:rPr>
            </w:pPr>
          </w:p>
          <w:p w14:paraId="0D4F50B1">
            <w:pPr>
              <w:pStyle w:val="35"/>
              <w:rPr>
                <w:rFonts w:hint="eastAsia" w:cs="Times New Roman"/>
                <w:color w:val="auto"/>
                <w:sz w:val="24"/>
                <w:szCs w:val="24"/>
                <w:highlight w:val="none"/>
                <w:lang w:eastAsia="zh-CN"/>
              </w:rPr>
            </w:pPr>
          </w:p>
          <w:p w14:paraId="744F7BA5">
            <w:pPr>
              <w:pStyle w:val="35"/>
              <w:rPr>
                <w:rFonts w:hint="eastAsia" w:cs="Times New Roman"/>
                <w:color w:val="auto"/>
                <w:sz w:val="24"/>
                <w:szCs w:val="24"/>
                <w:highlight w:val="none"/>
                <w:lang w:eastAsia="zh-CN"/>
              </w:rPr>
            </w:pPr>
          </w:p>
          <w:p w14:paraId="7DD77510">
            <w:pPr>
              <w:pStyle w:val="35"/>
              <w:rPr>
                <w:rFonts w:hint="eastAsia" w:cs="Times New Roman"/>
                <w:color w:val="auto"/>
                <w:sz w:val="24"/>
                <w:szCs w:val="24"/>
                <w:highlight w:val="none"/>
                <w:lang w:eastAsia="zh-CN"/>
              </w:rPr>
            </w:pPr>
          </w:p>
          <w:p w14:paraId="6F038704">
            <w:pPr>
              <w:pStyle w:val="35"/>
              <w:ind w:left="0" w:leftChars="0" w:firstLine="0" w:firstLineChars="0"/>
              <w:jc w:val="center"/>
              <w:rPr>
                <w:rFonts w:hint="default" w:ascii="Times New Roman" w:hAnsi="Times New Roman" w:cs="Times New Roman"/>
                <w:color w:val="auto"/>
                <w:sz w:val="24"/>
                <w:szCs w:val="24"/>
                <w:highlight w:val="none"/>
                <w:lang w:eastAsia="zh-CN"/>
              </w:rPr>
            </w:pPr>
            <w:r>
              <w:rPr>
                <w:rFonts w:hint="default" w:ascii="Times New Roman" w:hAnsi="Times New Roman" w:cs="Times New Roman"/>
                <w:b/>
                <w:bCs/>
                <w:color w:val="auto"/>
                <w:sz w:val="21"/>
                <w:szCs w:val="21"/>
                <w:highlight w:val="none"/>
                <w:lang w:eastAsia="zh-CN"/>
              </w:rPr>
              <w:t>图</w:t>
            </w:r>
            <w:r>
              <w:rPr>
                <w:rFonts w:hint="default" w:ascii="Times New Roman" w:hAnsi="Times New Roman" w:cs="Times New Roman"/>
                <w:b/>
                <w:bCs/>
                <w:color w:val="auto"/>
                <w:sz w:val="21"/>
                <w:szCs w:val="21"/>
                <w:highlight w:val="none"/>
                <w:lang w:val="en-US" w:eastAsia="zh-CN"/>
              </w:rPr>
              <w:t>2-3  显示屏模组器件生产工艺及产污环节图</w:t>
            </w:r>
          </w:p>
          <w:p w14:paraId="4D33D641">
            <w:pPr>
              <w:pStyle w:val="35"/>
              <w:spacing w:line="360" w:lineRule="auto"/>
              <w:ind w:left="0" w:leftChars="0" w:firstLine="0" w:firstLineChars="0"/>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    工艺流程说明：</w:t>
            </w:r>
          </w:p>
          <w:p w14:paraId="5A3C4974">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烘料：PS</w:t>
            </w:r>
            <w:r>
              <w:rPr>
                <w:rFonts w:hint="eastAsia" w:ascii="Times New Roman" w:hAnsi="Times New Roman" w:eastAsia="宋体" w:cs="Times New Roman"/>
                <w:color w:val="auto"/>
                <w:sz w:val="24"/>
                <w:szCs w:val="24"/>
                <w:highlight w:val="none"/>
                <w:lang w:eastAsia="zh-CN"/>
              </w:rPr>
              <w:t>等物料放进</w:t>
            </w:r>
            <w:r>
              <w:rPr>
                <w:rFonts w:hint="eastAsia" w:cs="Times New Roman"/>
                <w:color w:val="auto"/>
                <w:sz w:val="24"/>
                <w:szCs w:val="24"/>
                <w:highlight w:val="none"/>
                <w:lang w:eastAsia="zh-CN"/>
              </w:rPr>
              <w:t>烘</w:t>
            </w:r>
            <w:r>
              <w:rPr>
                <w:rFonts w:hint="eastAsia" w:ascii="Times New Roman" w:hAnsi="Times New Roman" w:eastAsia="宋体" w:cs="Times New Roman"/>
                <w:color w:val="auto"/>
                <w:sz w:val="24"/>
                <w:szCs w:val="24"/>
                <w:highlight w:val="none"/>
                <w:lang w:eastAsia="zh-CN"/>
              </w:rPr>
              <w:t>箱</w:t>
            </w:r>
            <w:r>
              <w:rPr>
                <w:rFonts w:hint="eastAsia" w:cs="Times New Roman"/>
                <w:color w:val="auto"/>
                <w:sz w:val="24"/>
                <w:szCs w:val="24"/>
                <w:highlight w:val="none"/>
                <w:lang w:val="en-US" w:eastAsia="zh-CN"/>
              </w:rPr>
              <w:t>进行干燥</w:t>
            </w:r>
            <w:r>
              <w:rPr>
                <w:rFonts w:hint="eastAsia" w:ascii="Times New Roman" w:hAnsi="Times New Roman" w:eastAsia="宋体" w:cs="Times New Roman"/>
                <w:color w:val="auto"/>
                <w:sz w:val="24"/>
                <w:szCs w:val="24"/>
                <w:highlight w:val="none"/>
                <w:lang w:eastAsia="zh-CN"/>
              </w:rPr>
              <w:t>，烘干温度为</w:t>
            </w:r>
            <w:r>
              <w:rPr>
                <w:rFonts w:hint="eastAsia" w:cs="Times New Roman"/>
                <w:color w:val="auto"/>
                <w:sz w:val="24"/>
                <w:szCs w:val="24"/>
                <w:highlight w:val="none"/>
                <w:lang w:val="en-US" w:eastAsia="zh-CN"/>
              </w:rPr>
              <w:t>30</w:t>
            </w:r>
            <w:r>
              <w:rPr>
                <w:rFonts w:hint="default"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eastAsia="zh-CN"/>
              </w:rPr>
              <w:t>，烘箱采用电加热，</w:t>
            </w:r>
            <w:r>
              <w:rPr>
                <w:rFonts w:hint="eastAsia" w:cs="Times New Roman"/>
                <w:color w:val="auto"/>
                <w:sz w:val="24"/>
                <w:szCs w:val="24"/>
                <w:highlight w:val="none"/>
                <w:lang w:val="en-US" w:eastAsia="zh-CN"/>
              </w:rPr>
              <w:t>烘干温度未达到塑料粒子的分解温度，故不产生烘料废气。</w:t>
            </w:r>
          </w:p>
          <w:p w14:paraId="64C2C61B">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挤出成型：烘干后的塑料颗粒通过人工投入挤出机，塑料粒子为颗粒状（粒径均在2-3mm），故上料过程不会产生粉尘，本项目原料均为外购新料，不使用再生塑料粒子。挤出机温度加热至约160℃，挤出机采用电加热，粒子呈熔融状态，之后通过挤出机挤出后在成型机内使产品成型。</w:t>
            </w:r>
            <w:r>
              <w:rPr>
                <w:rFonts w:hint="eastAsia" w:ascii="Times New Roman" w:hAnsi="Times New Roman" w:eastAsia="宋体" w:cs="Times New Roman"/>
                <w:color w:val="auto"/>
                <w:sz w:val="24"/>
                <w:szCs w:val="24"/>
                <w:highlight w:val="none"/>
                <w:lang w:eastAsia="zh-CN"/>
              </w:rPr>
              <w:t>此工序产生的污染物主要为</w:t>
            </w:r>
            <w:r>
              <w:rPr>
                <w:rFonts w:hint="eastAsia" w:cs="Times New Roman"/>
                <w:color w:val="auto"/>
                <w:sz w:val="24"/>
                <w:szCs w:val="24"/>
                <w:highlight w:val="none"/>
                <w:lang w:val="en-US" w:eastAsia="zh-CN"/>
              </w:rPr>
              <w:t>N设备噪声及G</w:t>
            </w:r>
            <w:r>
              <w:rPr>
                <w:rFonts w:hint="eastAsia" w:cs="Times New Roman"/>
                <w:color w:val="auto"/>
                <w:sz w:val="24"/>
                <w:szCs w:val="24"/>
                <w:highlight w:val="none"/>
                <w:vertAlign w:val="subscript"/>
                <w:lang w:val="en-US" w:eastAsia="zh-CN"/>
              </w:rPr>
              <w:t>2-1</w:t>
            </w:r>
            <w:r>
              <w:rPr>
                <w:rFonts w:hint="eastAsia" w:cs="Times New Roman"/>
                <w:color w:val="auto"/>
                <w:sz w:val="24"/>
                <w:szCs w:val="24"/>
                <w:highlight w:val="none"/>
                <w:lang w:val="en-US" w:eastAsia="zh-CN"/>
              </w:rPr>
              <w:t>挤出成型废气。</w:t>
            </w:r>
          </w:p>
          <w:p w14:paraId="68279702">
            <w:pPr>
              <w:pStyle w:val="35"/>
              <w:spacing w:line="360" w:lineRule="auto"/>
              <w:ind w:left="0" w:leftChars="0" w:firstLine="0" w:firstLineChars="0"/>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val="en-US" w:eastAsia="zh-CN"/>
              </w:rPr>
              <w:t>冷却：成型后的产品利用冷却塔进行间接冷却，冷却水不添加任何药剂，循环使用，定期补充损耗，定期外排。此工序产生的污染物主要为N设备噪声及</w:t>
            </w:r>
            <w:r>
              <w:rPr>
                <w:rFonts w:hint="eastAsia" w:ascii="Times New Roman" w:hAnsi="Times New Roman" w:cs="Times New Roman"/>
                <w:color w:val="auto"/>
                <w:sz w:val="24"/>
                <w:szCs w:val="24"/>
                <w:highlight w:val="none"/>
                <w:lang w:val="en-US" w:eastAsia="zh-CN"/>
              </w:rPr>
              <w:t>W</w:t>
            </w:r>
            <w:r>
              <w:rPr>
                <w:rFonts w:hint="eastAsia" w:ascii="Times New Roman" w:hAnsi="Times New Roman" w:cs="Times New Roman"/>
                <w:color w:val="auto"/>
                <w:sz w:val="24"/>
                <w:szCs w:val="24"/>
                <w:highlight w:val="none"/>
                <w:vertAlign w:val="subscript"/>
                <w:lang w:val="en-US" w:eastAsia="zh-CN"/>
              </w:rPr>
              <w:t>2-1</w:t>
            </w:r>
            <w:r>
              <w:rPr>
                <w:rFonts w:hint="eastAsia" w:ascii="Times New Roman" w:hAnsi="Times New Roman" w:cs="Times New Roman"/>
                <w:color w:val="auto"/>
                <w:sz w:val="24"/>
                <w:szCs w:val="24"/>
                <w:highlight w:val="none"/>
                <w:lang w:val="en-US" w:eastAsia="zh-CN"/>
              </w:rPr>
              <w:t>冷却循环外排水。</w:t>
            </w:r>
          </w:p>
          <w:p w14:paraId="76488D59">
            <w:pPr>
              <w:pStyle w:val="35"/>
              <w:spacing w:line="360" w:lineRule="auto"/>
              <w:ind w:left="0" w:leftChars="0" w:firstLine="0" w:firstLineChars="0"/>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    打孔：按照产品技术要求，使用打孔机在冷却后的产品上打孔。此工序产生的污染物主要为</w:t>
            </w:r>
            <w:r>
              <w:rPr>
                <w:rFonts w:hint="default" w:ascii="Times New Roman" w:hAnsi="Times New Roman" w:cs="Times New Roman"/>
                <w:color w:val="auto"/>
                <w:sz w:val="24"/>
                <w:szCs w:val="24"/>
                <w:highlight w:val="none"/>
                <w:lang w:val="en-US" w:eastAsia="zh-CN"/>
              </w:rPr>
              <w:t>N设备噪声及</w:t>
            </w:r>
            <w:r>
              <w:rPr>
                <w:rFonts w:hint="eastAsia" w:ascii="Times New Roman" w:hAnsi="Times New Roman" w:cs="Times New Roman"/>
                <w:color w:val="auto"/>
                <w:sz w:val="24"/>
                <w:szCs w:val="24"/>
                <w:highlight w:val="none"/>
                <w:lang w:val="en-US" w:eastAsia="zh-CN"/>
              </w:rPr>
              <w:t>G</w:t>
            </w:r>
            <w:r>
              <w:rPr>
                <w:rFonts w:hint="eastAsia" w:ascii="Times New Roman" w:hAnsi="Times New Roman" w:cs="Times New Roman"/>
                <w:color w:val="auto"/>
                <w:sz w:val="24"/>
                <w:szCs w:val="24"/>
                <w:highlight w:val="none"/>
                <w:vertAlign w:val="subscript"/>
                <w:lang w:val="en-US" w:eastAsia="zh-CN"/>
              </w:rPr>
              <w:t>2-2</w:t>
            </w:r>
            <w:r>
              <w:rPr>
                <w:rFonts w:hint="eastAsia" w:ascii="Times New Roman" w:hAnsi="Times New Roman" w:cs="Times New Roman"/>
                <w:color w:val="auto"/>
                <w:sz w:val="24"/>
                <w:szCs w:val="24"/>
                <w:highlight w:val="none"/>
                <w:lang w:val="en-US" w:eastAsia="zh-CN"/>
              </w:rPr>
              <w:t>打孔粉尘。</w:t>
            </w:r>
          </w:p>
          <w:p w14:paraId="692A27A9">
            <w:pPr>
              <w:pStyle w:val="35"/>
              <w:spacing w:line="360" w:lineRule="auto"/>
              <w:ind w:left="0" w:leftChars="0" w:firstLine="0" w:firstLineChars="0"/>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    分切：使用分切机将完成打孔的产品按规定尺寸进行分切。此工序产生的污染物主要为</w:t>
            </w:r>
            <w:r>
              <w:rPr>
                <w:rFonts w:hint="default" w:ascii="Times New Roman" w:hAnsi="Times New Roman" w:cs="Times New Roman"/>
                <w:color w:val="auto"/>
                <w:sz w:val="24"/>
                <w:szCs w:val="24"/>
                <w:highlight w:val="none"/>
                <w:lang w:val="en-US" w:eastAsia="zh-CN"/>
              </w:rPr>
              <w:t>N设备噪声及</w:t>
            </w:r>
            <w:r>
              <w:rPr>
                <w:rFonts w:hint="eastAsia" w:ascii="Times New Roman" w:hAnsi="Times New Roman" w:cs="Times New Roman"/>
                <w:color w:val="auto"/>
                <w:sz w:val="24"/>
                <w:szCs w:val="24"/>
                <w:highlight w:val="none"/>
                <w:lang w:val="en-US" w:eastAsia="zh-CN"/>
              </w:rPr>
              <w:t>S</w:t>
            </w:r>
            <w:r>
              <w:rPr>
                <w:rFonts w:hint="eastAsia" w:ascii="Times New Roman" w:hAnsi="Times New Roman" w:cs="Times New Roman"/>
                <w:color w:val="auto"/>
                <w:sz w:val="24"/>
                <w:szCs w:val="24"/>
                <w:highlight w:val="none"/>
                <w:vertAlign w:val="subscript"/>
                <w:lang w:val="en-US" w:eastAsia="zh-CN"/>
              </w:rPr>
              <w:t>2-1</w:t>
            </w:r>
            <w:r>
              <w:rPr>
                <w:rFonts w:hint="eastAsia" w:ascii="Times New Roman" w:hAnsi="Times New Roman" w:cs="Times New Roman"/>
                <w:color w:val="auto"/>
                <w:sz w:val="24"/>
                <w:szCs w:val="24"/>
                <w:highlight w:val="none"/>
                <w:lang w:val="en-US" w:eastAsia="zh-CN"/>
              </w:rPr>
              <w:t>废边角料。</w:t>
            </w:r>
          </w:p>
          <w:p w14:paraId="7D517FE9">
            <w:pPr>
              <w:pStyle w:val="35"/>
              <w:spacing w:line="360" w:lineRule="auto"/>
              <w:ind w:left="0" w:leftChars="0" w:firstLine="0" w:firstLineChars="0"/>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val="en-US" w:eastAsia="zh-CN"/>
              </w:rPr>
              <w:t>收卷：通过收卷机进行收卷。此工序产生的污染物主要为N设备噪声。</w:t>
            </w:r>
          </w:p>
          <w:p w14:paraId="30103F1B">
            <w:pPr>
              <w:pStyle w:val="35"/>
              <w:spacing w:line="360" w:lineRule="auto"/>
              <w:ind w:left="0" w:leftChars="0" w:firstLine="0" w:firstLineChars="0"/>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    成品检验：对成品进行检验，主要检验产品外观、尺寸等物理性能。此工序产生的污染物主要为S</w:t>
            </w:r>
            <w:r>
              <w:rPr>
                <w:rFonts w:hint="default" w:ascii="Times New Roman" w:hAnsi="Times New Roman" w:cs="Times New Roman"/>
                <w:color w:val="auto"/>
                <w:sz w:val="24"/>
                <w:szCs w:val="24"/>
                <w:highlight w:val="none"/>
                <w:vertAlign w:val="subscript"/>
                <w:lang w:val="en-US" w:eastAsia="zh-CN"/>
              </w:rPr>
              <w:t>2-2</w:t>
            </w:r>
            <w:r>
              <w:rPr>
                <w:rFonts w:hint="default" w:ascii="Times New Roman" w:hAnsi="Times New Roman" w:cs="Times New Roman"/>
                <w:color w:val="auto"/>
                <w:sz w:val="24"/>
                <w:szCs w:val="24"/>
                <w:highlight w:val="none"/>
                <w:lang w:val="en-US" w:eastAsia="zh-CN"/>
              </w:rPr>
              <w:t>不合格品</w:t>
            </w:r>
            <w:r>
              <w:rPr>
                <w:rFonts w:hint="eastAsia" w:ascii="Times New Roman" w:hAnsi="Times New Roman" w:cs="Times New Roman"/>
                <w:color w:val="auto"/>
                <w:sz w:val="24"/>
                <w:szCs w:val="24"/>
                <w:highlight w:val="none"/>
                <w:lang w:val="en-US" w:eastAsia="zh-CN"/>
              </w:rPr>
              <w:t>。</w:t>
            </w:r>
          </w:p>
          <w:p w14:paraId="65E292FA">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包装入库：合格产品包装后存放于成品库，等待销售</w:t>
            </w:r>
            <w:r>
              <w:rPr>
                <w:rFonts w:hint="eastAsia" w:ascii="Times New Roman" w:hAnsi="Times New Roman" w:eastAsia="宋体" w:cs="Times New Roman"/>
                <w:color w:val="auto"/>
                <w:sz w:val="24"/>
                <w:szCs w:val="24"/>
                <w:highlight w:val="none"/>
                <w:lang w:eastAsia="zh-CN"/>
              </w:rPr>
              <w:t>。此工序产生的污染物主要为</w:t>
            </w:r>
            <w:r>
              <w:rPr>
                <w:rFonts w:hint="eastAsia" w:cs="Times New Roman"/>
                <w:color w:val="auto"/>
                <w:sz w:val="24"/>
                <w:szCs w:val="24"/>
                <w:highlight w:val="none"/>
                <w:lang w:val="en-US" w:eastAsia="zh-CN"/>
              </w:rPr>
              <w:t>S</w:t>
            </w:r>
            <w:r>
              <w:rPr>
                <w:rFonts w:hint="eastAsia" w:cs="Times New Roman"/>
                <w:color w:val="auto"/>
                <w:sz w:val="24"/>
                <w:szCs w:val="24"/>
                <w:highlight w:val="none"/>
                <w:vertAlign w:val="subscript"/>
                <w:lang w:val="en-US" w:eastAsia="zh-CN"/>
              </w:rPr>
              <w:t>2-3</w:t>
            </w:r>
            <w:r>
              <w:rPr>
                <w:rFonts w:hint="eastAsia" w:ascii="Times New Roman" w:hAnsi="Times New Roman" w:eastAsia="宋体" w:cs="Times New Roman"/>
                <w:color w:val="auto"/>
                <w:sz w:val="24"/>
                <w:szCs w:val="24"/>
                <w:highlight w:val="none"/>
                <w:lang w:eastAsia="zh-CN"/>
              </w:rPr>
              <w:t>废包装</w:t>
            </w:r>
            <w:r>
              <w:rPr>
                <w:rFonts w:hint="eastAsia" w:cs="Times New Roman"/>
                <w:color w:val="auto"/>
                <w:sz w:val="24"/>
                <w:szCs w:val="24"/>
                <w:highlight w:val="none"/>
                <w:lang w:val="en-US" w:eastAsia="zh-CN"/>
              </w:rPr>
              <w:t>箱</w:t>
            </w:r>
            <w:r>
              <w:rPr>
                <w:rFonts w:hint="eastAsia" w:ascii="Times New Roman" w:hAnsi="Times New Roman" w:eastAsia="宋体" w:cs="Times New Roman"/>
                <w:color w:val="auto"/>
                <w:sz w:val="24"/>
                <w:szCs w:val="24"/>
                <w:highlight w:val="none"/>
                <w:lang w:eastAsia="zh-CN"/>
              </w:rPr>
              <w:t>。</w:t>
            </w:r>
          </w:p>
          <w:p w14:paraId="2F3C0EE0">
            <w:pPr>
              <w:pStyle w:val="35"/>
              <w:numPr>
                <w:ilvl w:val="0"/>
                <w:numId w:val="4"/>
              </w:numPr>
              <w:spacing w:line="360" w:lineRule="auto"/>
              <w:ind w:left="0" w:leftChars="0" w:firstLine="482" w:firstLineChars="200"/>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产污情况</w:t>
            </w:r>
          </w:p>
          <w:p w14:paraId="57FEF25D">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i w:val="0"/>
                <w:color w:val="auto"/>
                <w:kern w:val="2"/>
                <w:sz w:val="21"/>
                <w:szCs w:val="21"/>
                <w:highlight w:val="none"/>
                <w:lang w:val="en-US" w:eastAsia="zh-CN" w:bidi="ar-SA"/>
              </w:rPr>
            </w:pPr>
          </w:p>
          <w:p w14:paraId="6D30E348">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i w:val="0"/>
                <w:color w:val="auto"/>
                <w:kern w:val="2"/>
                <w:sz w:val="21"/>
                <w:szCs w:val="21"/>
                <w:highlight w:val="none"/>
                <w:lang w:val="en-US" w:eastAsia="zh-CN" w:bidi="ar-SA"/>
              </w:rPr>
            </w:pPr>
          </w:p>
          <w:p w14:paraId="061FB982">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i w:val="0"/>
                <w:color w:val="auto"/>
                <w:kern w:val="2"/>
                <w:sz w:val="21"/>
                <w:szCs w:val="21"/>
                <w:highlight w:val="none"/>
                <w:lang w:val="en-US" w:eastAsia="zh-CN" w:bidi="ar-SA"/>
              </w:rPr>
            </w:pPr>
          </w:p>
          <w:p w14:paraId="6EC53209">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i w:val="0"/>
                <w:color w:val="auto"/>
                <w:kern w:val="2"/>
                <w:sz w:val="21"/>
                <w:szCs w:val="21"/>
                <w:highlight w:val="none"/>
                <w:lang w:val="en-US" w:eastAsia="zh-CN" w:bidi="ar-SA"/>
              </w:rPr>
            </w:pPr>
          </w:p>
          <w:p w14:paraId="78C5106D">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i w:val="0"/>
                <w:color w:val="auto"/>
                <w:kern w:val="2"/>
                <w:sz w:val="21"/>
                <w:szCs w:val="21"/>
                <w:highlight w:val="none"/>
                <w:lang w:val="en-US" w:eastAsia="zh-CN" w:bidi="ar-SA"/>
              </w:rPr>
            </w:pPr>
          </w:p>
          <w:p w14:paraId="655331F3">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i w:val="0"/>
                <w:color w:val="auto"/>
                <w:kern w:val="2"/>
                <w:sz w:val="21"/>
                <w:szCs w:val="21"/>
                <w:highlight w:val="none"/>
                <w:lang w:val="en-US" w:eastAsia="zh-CN" w:bidi="ar-SA"/>
              </w:rPr>
            </w:pPr>
          </w:p>
          <w:p w14:paraId="6214CBB4">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i w:val="0"/>
                <w:color w:val="auto"/>
                <w:kern w:val="2"/>
                <w:sz w:val="21"/>
                <w:szCs w:val="21"/>
                <w:highlight w:val="none"/>
                <w:lang w:val="en-US" w:eastAsia="zh-CN" w:bidi="ar-SA"/>
              </w:rPr>
            </w:pPr>
          </w:p>
          <w:p w14:paraId="435E39B9">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i w:val="0"/>
                <w:color w:val="auto"/>
                <w:kern w:val="2"/>
                <w:sz w:val="21"/>
                <w:szCs w:val="21"/>
                <w:highlight w:val="none"/>
                <w:lang w:val="en-US" w:eastAsia="zh-CN" w:bidi="ar-SA"/>
              </w:rPr>
            </w:pPr>
          </w:p>
          <w:p w14:paraId="6385CDA0">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i w:val="0"/>
                <w:color w:val="auto"/>
                <w:kern w:val="2"/>
                <w:sz w:val="21"/>
                <w:szCs w:val="21"/>
                <w:highlight w:val="none"/>
                <w:lang w:val="en-US" w:eastAsia="zh-CN" w:bidi="ar-SA"/>
              </w:rPr>
            </w:pPr>
          </w:p>
          <w:p w14:paraId="13BEB327">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eastAsia"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i w:val="0"/>
                <w:color w:val="auto"/>
                <w:kern w:val="2"/>
                <w:sz w:val="21"/>
                <w:szCs w:val="21"/>
                <w:highlight w:val="none"/>
                <w:lang w:val="en-US" w:eastAsia="zh-CN" w:bidi="ar-SA"/>
              </w:rPr>
              <w:t>表2-</w:t>
            </w:r>
            <w:r>
              <w:rPr>
                <w:rFonts w:hint="eastAsia" w:ascii="Times New Roman" w:hAnsi="Times New Roman" w:cs="Times New Roman"/>
                <w:b/>
                <w:bCs/>
                <w:i w:val="0"/>
                <w:color w:val="auto"/>
                <w:kern w:val="2"/>
                <w:sz w:val="21"/>
                <w:szCs w:val="21"/>
                <w:highlight w:val="none"/>
                <w:lang w:val="en-US" w:eastAsia="zh-CN" w:bidi="ar-SA"/>
              </w:rPr>
              <w:t xml:space="preserve">8  </w:t>
            </w:r>
            <w:r>
              <w:rPr>
                <w:rFonts w:hint="eastAsia" w:ascii="Times New Roman" w:hAnsi="Times New Roman" w:cs="Times New Roman"/>
                <w:b/>
                <w:bCs/>
                <w:color w:val="auto"/>
                <w:sz w:val="21"/>
                <w:szCs w:val="21"/>
                <w:highlight w:val="none"/>
                <w:lang w:val="en-US" w:eastAsia="zh-CN"/>
              </w:rPr>
              <w:t>项目产污情况汇总表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
              <w:gridCol w:w="772"/>
              <w:gridCol w:w="1044"/>
              <w:gridCol w:w="1666"/>
              <w:gridCol w:w="2104"/>
              <w:gridCol w:w="2374"/>
            </w:tblGrid>
            <w:tr w14:paraId="3CBC3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253"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2EBC314">
                  <w:pPr>
                    <w:pStyle w:val="69"/>
                    <w:bidi w:val="0"/>
                    <w:rPr>
                      <w:rFonts w:hint="eastAsia" w:eastAsia="宋体"/>
                      <w:b/>
                      <w:bCs/>
                      <w:color w:val="auto"/>
                      <w:sz w:val="18"/>
                      <w:szCs w:val="18"/>
                      <w:highlight w:val="none"/>
                      <w:lang w:eastAsia="zh-CN"/>
                    </w:rPr>
                  </w:pPr>
                  <w:r>
                    <w:rPr>
                      <w:rFonts w:hint="eastAsia"/>
                      <w:b/>
                      <w:bCs/>
                      <w:color w:val="auto"/>
                      <w:sz w:val="18"/>
                      <w:szCs w:val="18"/>
                      <w:highlight w:val="none"/>
                      <w:lang w:val="en-US" w:eastAsia="zh-CN"/>
                    </w:rPr>
                    <w:t>项目</w:t>
                  </w:r>
                </w:p>
              </w:tc>
              <w:tc>
                <w:tcPr>
                  <w:tcW w:w="46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7B9580E">
                  <w:pPr>
                    <w:pStyle w:val="69"/>
                    <w:bidi w:val="0"/>
                    <w:rPr>
                      <w:rFonts w:hint="eastAsia"/>
                      <w:b/>
                      <w:bCs/>
                      <w:color w:val="auto"/>
                      <w:sz w:val="18"/>
                      <w:szCs w:val="18"/>
                      <w:highlight w:val="none"/>
                      <w:lang w:val="en-US" w:eastAsia="zh-CN"/>
                    </w:rPr>
                  </w:pPr>
                  <w:r>
                    <w:rPr>
                      <w:rFonts w:hint="eastAsia"/>
                      <w:b/>
                      <w:bCs/>
                      <w:color w:val="auto"/>
                      <w:sz w:val="18"/>
                      <w:szCs w:val="18"/>
                      <w:highlight w:val="none"/>
                    </w:rPr>
                    <w:t>污染物编号</w:t>
                  </w:r>
                </w:p>
              </w:tc>
              <w:tc>
                <w:tcPr>
                  <w:tcW w:w="62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16FB504">
                  <w:pPr>
                    <w:pStyle w:val="69"/>
                    <w:bidi w:val="0"/>
                    <w:rPr>
                      <w:rFonts w:hint="default"/>
                      <w:b/>
                      <w:bCs/>
                      <w:color w:val="auto"/>
                      <w:sz w:val="18"/>
                      <w:szCs w:val="18"/>
                      <w:highlight w:val="none"/>
                    </w:rPr>
                  </w:pPr>
                  <w:r>
                    <w:rPr>
                      <w:rFonts w:hint="eastAsia"/>
                      <w:b/>
                      <w:bCs/>
                      <w:color w:val="auto"/>
                      <w:sz w:val="18"/>
                      <w:szCs w:val="18"/>
                      <w:highlight w:val="none"/>
                    </w:rPr>
                    <w:t>生产工序</w:t>
                  </w:r>
                </w:p>
              </w:tc>
              <w:tc>
                <w:tcPr>
                  <w:tcW w:w="993"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A76B397">
                  <w:pPr>
                    <w:pStyle w:val="69"/>
                    <w:bidi w:val="0"/>
                    <w:rPr>
                      <w:rFonts w:hint="default" w:eastAsia="宋体"/>
                      <w:b/>
                      <w:bCs/>
                      <w:color w:val="auto"/>
                      <w:sz w:val="18"/>
                      <w:szCs w:val="18"/>
                      <w:highlight w:val="none"/>
                      <w:lang w:val="en-US" w:eastAsia="zh-CN"/>
                    </w:rPr>
                  </w:pPr>
                  <w:r>
                    <w:rPr>
                      <w:rFonts w:hint="eastAsia"/>
                      <w:b/>
                      <w:bCs/>
                      <w:color w:val="auto"/>
                      <w:sz w:val="18"/>
                      <w:szCs w:val="18"/>
                      <w:highlight w:val="none"/>
                      <w:lang w:val="en-US" w:eastAsia="zh-CN"/>
                    </w:rPr>
                    <w:t>污染物</w:t>
                  </w: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A2F1E69">
                  <w:pPr>
                    <w:pStyle w:val="69"/>
                    <w:bidi w:val="0"/>
                    <w:rPr>
                      <w:rFonts w:hint="default" w:eastAsia="宋体"/>
                      <w:b/>
                      <w:bCs/>
                      <w:color w:val="auto"/>
                      <w:sz w:val="18"/>
                      <w:szCs w:val="18"/>
                      <w:highlight w:val="none"/>
                      <w:lang w:val="en-US" w:eastAsia="zh-CN"/>
                    </w:rPr>
                  </w:pPr>
                  <w:r>
                    <w:rPr>
                      <w:rFonts w:hint="eastAsia"/>
                      <w:b/>
                      <w:bCs/>
                      <w:color w:val="auto"/>
                      <w:sz w:val="18"/>
                      <w:szCs w:val="18"/>
                      <w:highlight w:val="none"/>
                      <w:lang w:val="en-US" w:eastAsia="zh-CN"/>
                    </w:rPr>
                    <w:t>主要成份</w:t>
                  </w:r>
                </w:p>
              </w:tc>
              <w:tc>
                <w:tcPr>
                  <w:tcW w:w="1415"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AD8B9E0">
                  <w:pPr>
                    <w:pStyle w:val="69"/>
                    <w:bidi w:val="0"/>
                    <w:rPr>
                      <w:rFonts w:hint="default"/>
                      <w:b/>
                      <w:bCs/>
                      <w:color w:val="auto"/>
                      <w:sz w:val="18"/>
                      <w:szCs w:val="18"/>
                      <w:highlight w:val="none"/>
                    </w:rPr>
                  </w:pPr>
                  <w:r>
                    <w:rPr>
                      <w:rFonts w:hint="eastAsia"/>
                      <w:b/>
                      <w:bCs/>
                      <w:color w:val="auto"/>
                      <w:sz w:val="18"/>
                      <w:szCs w:val="18"/>
                      <w:highlight w:val="none"/>
                    </w:rPr>
                    <w:t>处置方法/去向</w:t>
                  </w:r>
                </w:p>
              </w:tc>
            </w:tr>
            <w:tr w14:paraId="62777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3" w:type="pct"/>
                  <w:vMerge w:val="restart"/>
                  <w:tcBorders>
                    <w:top w:val="single" w:color="auto" w:sz="4" w:space="0"/>
                    <w:left w:val="single" w:color="auto" w:sz="4" w:space="0"/>
                    <w:right w:val="single" w:color="auto" w:sz="4" w:space="0"/>
                    <w:tl2br w:val="nil"/>
                    <w:tr2bl w:val="nil"/>
                  </w:tcBorders>
                  <w:noWrap w:val="0"/>
                  <w:vAlign w:val="center"/>
                </w:tcPr>
                <w:p w14:paraId="1941D7B4">
                  <w:pPr>
                    <w:pStyle w:val="69"/>
                    <w:bidi w:val="0"/>
                    <w:rPr>
                      <w:rFonts w:hint="eastAsia" w:eastAsia="宋体"/>
                      <w:color w:val="auto"/>
                      <w:sz w:val="18"/>
                      <w:szCs w:val="18"/>
                      <w:highlight w:val="none"/>
                      <w:lang w:val="en-US" w:eastAsia="zh-CN"/>
                    </w:rPr>
                  </w:pPr>
                  <w:r>
                    <w:rPr>
                      <w:rFonts w:hint="eastAsia"/>
                      <w:color w:val="auto"/>
                      <w:sz w:val="18"/>
                      <w:szCs w:val="18"/>
                      <w:highlight w:val="none"/>
                      <w:lang w:val="en-US" w:eastAsia="zh-CN"/>
                    </w:rPr>
                    <w:t>废气</w:t>
                  </w:r>
                </w:p>
              </w:tc>
              <w:tc>
                <w:tcPr>
                  <w:tcW w:w="460" w:type="pct"/>
                  <w:tcBorders>
                    <w:top w:val="single" w:color="auto" w:sz="4" w:space="0"/>
                    <w:left w:val="single" w:color="auto" w:sz="4" w:space="0"/>
                    <w:right w:val="single" w:color="auto" w:sz="4" w:space="0"/>
                    <w:tl2br w:val="nil"/>
                    <w:tr2bl w:val="nil"/>
                  </w:tcBorders>
                  <w:shd w:val="clear" w:color="auto" w:fill="auto"/>
                  <w:noWrap w:val="0"/>
                  <w:vAlign w:val="center"/>
                </w:tcPr>
                <w:p w14:paraId="388D76BE">
                  <w:pPr>
                    <w:pStyle w:val="69"/>
                    <w:bidi w:val="0"/>
                    <w:ind w:firstLine="0" w:firstLineChars="0"/>
                    <w:rPr>
                      <w:rFonts w:hint="default" w:ascii="Times New Roman" w:hAnsi="Times New Roman" w:eastAsia="宋体" w:cs="Times New Roman"/>
                      <w:b w:val="0"/>
                      <w:color w:val="auto"/>
                      <w:kern w:val="2"/>
                      <w:sz w:val="18"/>
                      <w:szCs w:val="18"/>
                      <w:highlight w:val="none"/>
                      <w:lang w:val="en-US" w:eastAsia="zh-CN" w:bidi="ar-SA"/>
                    </w:rPr>
                  </w:pPr>
                  <w:r>
                    <w:rPr>
                      <w:rFonts w:hint="default"/>
                      <w:color w:val="auto"/>
                      <w:sz w:val="18"/>
                      <w:szCs w:val="18"/>
                      <w:highlight w:val="none"/>
                      <w:lang w:val="en-US" w:eastAsia="zh-CN"/>
                    </w:rPr>
                    <w:t>G</w:t>
                  </w:r>
                  <w:r>
                    <w:rPr>
                      <w:rFonts w:hint="default"/>
                      <w:color w:val="auto"/>
                      <w:sz w:val="18"/>
                      <w:szCs w:val="18"/>
                      <w:highlight w:val="none"/>
                      <w:vertAlign w:val="subscript"/>
                      <w:lang w:val="en-US" w:eastAsia="zh-CN"/>
                    </w:rPr>
                    <w:t>1</w:t>
                  </w:r>
                  <w:r>
                    <w:rPr>
                      <w:rFonts w:hint="eastAsia"/>
                      <w:color w:val="auto"/>
                      <w:sz w:val="18"/>
                      <w:szCs w:val="18"/>
                      <w:highlight w:val="none"/>
                      <w:vertAlign w:val="subscript"/>
                      <w:lang w:val="en-US" w:eastAsia="zh-CN"/>
                    </w:rPr>
                    <w:t>-1</w:t>
                  </w:r>
                </w:p>
              </w:tc>
              <w:tc>
                <w:tcPr>
                  <w:tcW w:w="622" w:type="pct"/>
                  <w:tcBorders>
                    <w:top w:val="single" w:color="auto" w:sz="4" w:space="0"/>
                    <w:left w:val="single" w:color="auto" w:sz="4" w:space="0"/>
                    <w:right w:val="single" w:color="auto" w:sz="4" w:space="0"/>
                    <w:tl2br w:val="nil"/>
                    <w:tr2bl w:val="nil"/>
                  </w:tcBorders>
                  <w:shd w:val="clear" w:color="auto" w:fill="auto"/>
                  <w:noWrap w:val="0"/>
                  <w:vAlign w:val="center"/>
                </w:tcPr>
                <w:p w14:paraId="6B48B40B">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锡膏印刷</w:t>
                  </w:r>
                </w:p>
              </w:tc>
              <w:tc>
                <w:tcPr>
                  <w:tcW w:w="993"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61A80CC4">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锡膏印刷废气</w:t>
                  </w:r>
                </w:p>
              </w:tc>
              <w:tc>
                <w:tcPr>
                  <w:tcW w:w="1254"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3793DFF2">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非甲烷总烃</w:t>
                  </w:r>
                </w:p>
              </w:tc>
              <w:tc>
                <w:tcPr>
                  <w:tcW w:w="1415" w:type="pct"/>
                  <w:vMerge w:val="restart"/>
                  <w:tcBorders>
                    <w:top w:val="single" w:color="auto" w:sz="4" w:space="0"/>
                    <w:left w:val="single" w:color="auto" w:sz="4" w:space="0"/>
                    <w:right w:val="single" w:color="auto" w:sz="4" w:space="0"/>
                    <w:tl2br w:val="nil"/>
                    <w:tr2bl w:val="nil"/>
                  </w:tcBorders>
                  <w:noWrap w:val="0"/>
                  <w:vAlign w:val="center"/>
                </w:tcPr>
                <w:p w14:paraId="0CAB484F">
                  <w:pPr>
                    <w:pStyle w:val="69"/>
                    <w:bidi w:val="0"/>
                    <w:rPr>
                      <w:rFonts w:hint="eastAsia"/>
                      <w:color w:val="auto"/>
                      <w:sz w:val="18"/>
                      <w:szCs w:val="18"/>
                      <w:highlight w:val="none"/>
                      <w:lang w:val="en-US" w:eastAsia="zh-CN"/>
                    </w:rPr>
                  </w:pPr>
                  <w:r>
                    <w:rPr>
                      <w:rFonts w:hint="eastAsia"/>
                      <w:color w:val="auto"/>
                      <w:sz w:val="18"/>
                      <w:szCs w:val="18"/>
                      <w:highlight w:val="none"/>
                      <w:lang w:val="en-US" w:eastAsia="zh-CN"/>
                    </w:rPr>
                    <w:t>干式过滤器+二级活性炭吸附装置+23m高排气筒（DA001）</w:t>
                  </w:r>
                </w:p>
              </w:tc>
            </w:tr>
            <w:tr w14:paraId="129C1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3" w:type="pct"/>
                  <w:vMerge w:val="continue"/>
                  <w:tcBorders>
                    <w:left w:val="single" w:color="auto" w:sz="4" w:space="0"/>
                    <w:right w:val="single" w:color="auto" w:sz="4" w:space="0"/>
                    <w:tl2br w:val="nil"/>
                    <w:tr2bl w:val="nil"/>
                  </w:tcBorders>
                  <w:noWrap w:val="0"/>
                  <w:vAlign w:val="center"/>
                </w:tcPr>
                <w:p w14:paraId="64AF0CDD">
                  <w:pPr>
                    <w:pStyle w:val="69"/>
                    <w:bidi w:val="0"/>
                    <w:rPr>
                      <w:rFonts w:hint="eastAsia"/>
                      <w:color w:val="auto"/>
                      <w:sz w:val="18"/>
                      <w:szCs w:val="18"/>
                      <w:highlight w:val="none"/>
                    </w:rPr>
                  </w:pPr>
                </w:p>
              </w:tc>
              <w:tc>
                <w:tcPr>
                  <w:tcW w:w="460" w:type="pct"/>
                  <w:tcBorders>
                    <w:top w:val="single" w:color="auto" w:sz="4" w:space="0"/>
                    <w:left w:val="single" w:color="auto" w:sz="4" w:space="0"/>
                    <w:right w:val="single" w:color="auto" w:sz="4" w:space="0"/>
                    <w:tl2br w:val="nil"/>
                    <w:tr2bl w:val="nil"/>
                  </w:tcBorders>
                  <w:shd w:val="clear" w:color="auto" w:fill="auto"/>
                  <w:noWrap w:val="0"/>
                  <w:vAlign w:val="center"/>
                </w:tcPr>
                <w:p w14:paraId="690F2A8B">
                  <w:pPr>
                    <w:pStyle w:val="69"/>
                    <w:bidi w:val="0"/>
                    <w:ind w:firstLine="0" w:firstLineChars="0"/>
                    <w:rPr>
                      <w:rFonts w:hint="default" w:ascii="Times New Roman" w:hAnsi="Times New Roman" w:eastAsia="宋体" w:cs="Times New Roman"/>
                      <w:b w:val="0"/>
                      <w:color w:val="auto"/>
                      <w:kern w:val="2"/>
                      <w:sz w:val="18"/>
                      <w:szCs w:val="18"/>
                      <w:highlight w:val="none"/>
                      <w:lang w:val="en-US" w:eastAsia="zh-CN" w:bidi="ar-SA"/>
                    </w:rPr>
                  </w:pPr>
                  <w:r>
                    <w:rPr>
                      <w:rFonts w:hint="default"/>
                      <w:color w:val="auto"/>
                      <w:sz w:val="18"/>
                      <w:szCs w:val="18"/>
                      <w:highlight w:val="none"/>
                      <w:lang w:val="en-US" w:eastAsia="zh-CN"/>
                    </w:rPr>
                    <w:t>G</w:t>
                  </w:r>
                  <w:r>
                    <w:rPr>
                      <w:rFonts w:hint="eastAsia"/>
                      <w:color w:val="auto"/>
                      <w:sz w:val="18"/>
                      <w:szCs w:val="18"/>
                      <w:highlight w:val="none"/>
                      <w:vertAlign w:val="subscript"/>
                      <w:lang w:val="en-US" w:eastAsia="zh-CN"/>
                    </w:rPr>
                    <w:t>1-</w:t>
                  </w:r>
                  <w:r>
                    <w:rPr>
                      <w:rFonts w:hint="default"/>
                      <w:color w:val="auto"/>
                      <w:sz w:val="18"/>
                      <w:szCs w:val="18"/>
                      <w:highlight w:val="none"/>
                      <w:vertAlign w:val="subscript"/>
                      <w:lang w:val="en-US" w:eastAsia="zh-CN"/>
                    </w:rPr>
                    <w:t>2</w:t>
                  </w:r>
                </w:p>
              </w:tc>
              <w:tc>
                <w:tcPr>
                  <w:tcW w:w="622" w:type="pct"/>
                  <w:tcBorders>
                    <w:top w:val="single" w:color="auto" w:sz="4" w:space="0"/>
                    <w:left w:val="single" w:color="auto" w:sz="4" w:space="0"/>
                    <w:right w:val="single" w:color="auto" w:sz="4" w:space="0"/>
                    <w:tl2br w:val="nil"/>
                    <w:tr2bl w:val="nil"/>
                  </w:tcBorders>
                  <w:shd w:val="clear" w:color="auto" w:fill="auto"/>
                  <w:noWrap w:val="0"/>
                  <w:vAlign w:val="center"/>
                </w:tcPr>
                <w:p w14:paraId="4E68B23F">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钢网擦拭</w:t>
                  </w:r>
                </w:p>
              </w:tc>
              <w:tc>
                <w:tcPr>
                  <w:tcW w:w="993"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54A3C2D3">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钢网擦拭废气</w:t>
                  </w:r>
                </w:p>
              </w:tc>
              <w:tc>
                <w:tcPr>
                  <w:tcW w:w="1254"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4CE4D819">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非甲烷总烃</w:t>
                  </w:r>
                </w:p>
              </w:tc>
              <w:tc>
                <w:tcPr>
                  <w:tcW w:w="1415" w:type="pct"/>
                  <w:vMerge w:val="continue"/>
                  <w:tcBorders>
                    <w:left w:val="single" w:color="auto" w:sz="4" w:space="0"/>
                    <w:right w:val="single" w:color="auto" w:sz="4" w:space="0"/>
                    <w:tl2br w:val="nil"/>
                    <w:tr2bl w:val="nil"/>
                  </w:tcBorders>
                  <w:noWrap w:val="0"/>
                  <w:vAlign w:val="center"/>
                </w:tcPr>
                <w:p w14:paraId="12C112FC">
                  <w:pPr>
                    <w:pStyle w:val="69"/>
                    <w:bidi w:val="0"/>
                    <w:rPr>
                      <w:rFonts w:hint="eastAsia"/>
                      <w:color w:val="auto"/>
                      <w:sz w:val="18"/>
                      <w:szCs w:val="18"/>
                      <w:highlight w:val="none"/>
                      <w:lang w:val="en-US" w:eastAsia="zh-CN"/>
                    </w:rPr>
                  </w:pPr>
                </w:p>
              </w:tc>
            </w:tr>
            <w:tr w14:paraId="0D566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3" w:type="pct"/>
                  <w:vMerge w:val="continue"/>
                  <w:tcBorders>
                    <w:left w:val="single" w:color="auto" w:sz="4" w:space="0"/>
                    <w:right w:val="single" w:color="auto" w:sz="4" w:space="0"/>
                    <w:tl2br w:val="nil"/>
                    <w:tr2bl w:val="nil"/>
                  </w:tcBorders>
                  <w:noWrap w:val="0"/>
                  <w:vAlign w:val="center"/>
                </w:tcPr>
                <w:p w14:paraId="56E289A4">
                  <w:pPr>
                    <w:pStyle w:val="69"/>
                    <w:bidi w:val="0"/>
                    <w:rPr>
                      <w:rFonts w:hint="eastAsia"/>
                      <w:color w:val="auto"/>
                      <w:sz w:val="18"/>
                      <w:szCs w:val="18"/>
                      <w:highlight w:val="none"/>
                    </w:rPr>
                  </w:pPr>
                </w:p>
              </w:tc>
              <w:tc>
                <w:tcPr>
                  <w:tcW w:w="460" w:type="pct"/>
                  <w:vMerge w:val="restart"/>
                  <w:tcBorders>
                    <w:top w:val="single" w:color="auto" w:sz="4" w:space="0"/>
                    <w:left w:val="single" w:color="auto" w:sz="4" w:space="0"/>
                    <w:right w:val="single" w:color="auto" w:sz="4" w:space="0"/>
                    <w:tl2br w:val="nil"/>
                    <w:tr2bl w:val="nil"/>
                  </w:tcBorders>
                  <w:noWrap w:val="0"/>
                  <w:vAlign w:val="center"/>
                </w:tcPr>
                <w:p w14:paraId="09FA41EB">
                  <w:pPr>
                    <w:pStyle w:val="69"/>
                    <w:bidi w:val="0"/>
                    <w:rPr>
                      <w:rFonts w:hint="default"/>
                      <w:color w:val="auto"/>
                      <w:sz w:val="18"/>
                      <w:szCs w:val="18"/>
                      <w:highlight w:val="none"/>
                      <w:lang w:val="en-US" w:eastAsia="zh-CN"/>
                    </w:rPr>
                  </w:pPr>
                  <w:r>
                    <w:rPr>
                      <w:rFonts w:hint="default"/>
                      <w:color w:val="auto"/>
                      <w:sz w:val="18"/>
                      <w:szCs w:val="18"/>
                      <w:highlight w:val="none"/>
                      <w:lang w:val="en-US" w:eastAsia="zh-CN"/>
                    </w:rPr>
                    <w:t>G</w:t>
                  </w:r>
                  <w:r>
                    <w:rPr>
                      <w:rFonts w:hint="eastAsia"/>
                      <w:color w:val="auto"/>
                      <w:sz w:val="18"/>
                      <w:szCs w:val="18"/>
                      <w:highlight w:val="none"/>
                      <w:vertAlign w:val="subscript"/>
                      <w:lang w:val="en-US" w:eastAsia="zh-CN"/>
                    </w:rPr>
                    <w:t>1-3</w:t>
                  </w:r>
                </w:p>
              </w:tc>
              <w:tc>
                <w:tcPr>
                  <w:tcW w:w="622" w:type="pct"/>
                  <w:tcBorders>
                    <w:top w:val="single" w:color="auto" w:sz="4" w:space="0"/>
                    <w:left w:val="single" w:color="auto" w:sz="4" w:space="0"/>
                    <w:right w:val="single" w:color="auto" w:sz="4" w:space="0"/>
                    <w:tl2br w:val="nil"/>
                    <w:tr2bl w:val="nil"/>
                  </w:tcBorders>
                  <w:noWrap w:val="0"/>
                  <w:vAlign w:val="center"/>
                </w:tcPr>
                <w:p w14:paraId="2B1A4089">
                  <w:pPr>
                    <w:pStyle w:val="69"/>
                    <w:bidi w:val="0"/>
                    <w:rPr>
                      <w:rFonts w:hint="default"/>
                      <w:color w:val="auto"/>
                      <w:sz w:val="18"/>
                      <w:szCs w:val="18"/>
                      <w:highlight w:val="none"/>
                      <w:lang w:val="en-US" w:eastAsia="zh-CN"/>
                    </w:rPr>
                  </w:pPr>
                  <w:r>
                    <w:rPr>
                      <w:rFonts w:hint="eastAsia"/>
                      <w:color w:val="auto"/>
                      <w:sz w:val="18"/>
                      <w:szCs w:val="18"/>
                      <w:highlight w:val="none"/>
                      <w:lang w:val="en-US" w:eastAsia="zh-CN"/>
                    </w:rPr>
                    <w:t>芯片面回流焊</w:t>
                  </w:r>
                </w:p>
              </w:tc>
              <w:tc>
                <w:tcPr>
                  <w:tcW w:w="993"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29E54DB">
                  <w:pPr>
                    <w:pStyle w:val="69"/>
                    <w:bidi w:val="0"/>
                    <w:rPr>
                      <w:rFonts w:hint="default"/>
                      <w:color w:val="auto"/>
                      <w:sz w:val="18"/>
                      <w:szCs w:val="18"/>
                      <w:highlight w:val="none"/>
                      <w:lang w:val="en-US" w:eastAsia="zh-CN"/>
                    </w:rPr>
                  </w:pPr>
                  <w:r>
                    <w:rPr>
                      <w:rFonts w:hint="eastAsia"/>
                      <w:color w:val="auto"/>
                      <w:sz w:val="18"/>
                      <w:szCs w:val="18"/>
                      <w:highlight w:val="none"/>
                      <w:lang w:val="en-US" w:eastAsia="zh-CN"/>
                    </w:rPr>
                    <w:t>回流焊焊接废气</w:t>
                  </w:r>
                </w:p>
              </w:tc>
              <w:tc>
                <w:tcPr>
                  <w:tcW w:w="1254" w:type="pct"/>
                  <w:vMerge w:val="restart"/>
                  <w:tcBorders>
                    <w:top w:val="single" w:color="auto" w:sz="4" w:space="0"/>
                    <w:left w:val="single" w:color="auto" w:sz="4" w:space="0"/>
                    <w:right w:val="single" w:color="auto" w:sz="4" w:space="0"/>
                    <w:tl2br w:val="nil"/>
                    <w:tr2bl w:val="nil"/>
                  </w:tcBorders>
                  <w:noWrap w:val="0"/>
                  <w:vAlign w:val="center"/>
                </w:tcPr>
                <w:p w14:paraId="2048AA3E">
                  <w:pPr>
                    <w:bidi w:val="0"/>
                    <w:jc w:val="center"/>
                    <w:rPr>
                      <w:rFonts w:hint="eastAsia"/>
                      <w:color w:val="auto"/>
                      <w:sz w:val="18"/>
                      <w:szCs w:val="18"/>
                      <w:highlight w:val="none"/>
                      <w:lang w:val="en-US" w:eastAsia="zh-CN"/>
                    </w:rPr>
                  </w:pPr>
                  <w:r>
                    <w:rPr>
                      <w:rFonts w:hint="eastAsia"/>
                      <w:color w:val="auto"/>
                      <w:sz w:val="18"/>
                      <w:szCs w:val="18"/>
                      <w:highlight w:val="none"/>
                      <w:lang w:val="en-US" w:eastAsia="zh-CN"/>
                    </w:rPr>
                    <w:t>非甲烷总烃、颗粒物、锡及其化合物</w:t>
                  </w:r>
                </w:p>
              </w:tc>
              <w:tc>
                <w:tcPr>
                  <w:tcW w:w="1415" w:type="pct"/>
                  <w:vMerge w:val="continue"/>
                  <w:tcBorders>
                    <w:left w:val="single" w:color="auto" w:sz="4" w:space="0"/>
                    <w:right w:val="single" w:color="auto" w:sz="4" w:space="0"/>
                    <w:tl2br w:val="nil"/>
                    <w:tr2bl w:val="nil"/>
                  </w:tcBorders>
                  <w:noWrap w:val="0"/>
                  <w:vAlign w:val="center"/>
                </w:tcPr>
                <w:p w14:paraId="1322C724">
                  <w:pPr>
                    <w:pStyle w:val="69"/>
                    <w:bidi w:val="0"/>
                    <w:rPr>
                      <w:rFonts w:hint="eastAsia"/>
                      <w:color w:val="auto"/>
                      <w:sz w:val="18"/>
                      <w:szCs w:val="18"/>
                      <w:highlight w:val="none"/>
                      <w:lang w:val="en-US" w:eastAsia="zh-CN"/>
                    </w:rPr>
                  </w:pPr>
                </w:p>
              </w:tc>
            </w:tr>
            <w:tr w14:paraId="11FE6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3" w:type="pct"/>
                  <w:vMerge w:val="continue"/>
                  <w:tcBorders>
                    <w:left w:val="single" w:color="auto" w:sz="4" w:space="0"/>
                    <w:right w:val="single" w:color="auto" w:sz="4" w:space="0"/>
                    <w:tl2br w:val="nil"/>
                    <w:tr2bl w:val="nil"/>
                  </w:tcBorders>
                  <w:noWrap w:val="0"/>
                  <w:vAlign w:val="center"/>
                </w:tcPr>
                <w:p w14:paraId="766225B1">
                  <w:pPr>
                    <w:pStyle w:val="69"/>
                    <w:bidi w:val="0"/>
                    <w:rPr>
                      <w:rFonts w:hint="eastAsia"/>
                      <w:color w:val="auto"/>
                      <w:sz w:val="18"/>
                      <w:szCs w:val="18"/>
                      <w:highlight w:val="none"/>
                    </w:rPr>
                  </w:pPr>
                </w:p>
              </w:tc>
              <w:tc>
                <w:tcPr>
                  <w:tcW w:w="460" w:type="pct"/>
                  <w:vMerge w:val="continue"/>
                  <w:tcBorders>
                    <w:left w:val="single" w:color="auto" w:sz="4" w:space="0"/>
                    <w:right w:val="single" w:color="auto" w:sz="4" w:space="0"/>
                    <w:tl2br w:val="nil"/>
                    <w:tr2bl w:val="nil"/>
                  </w:tcBorders>
                  <w:noWrap w:val="0"/>
                  <w:vAlign w:val="center"/>
                </w:tcPr>
                <w:p w14:paraId="6E64078C">
                  <w:pPr>
                    <w:pStyle w:val="69"/>
                    <w:bidi w:val="0"/>
                    <w:rPr>
                      <w:rFonts w:hint="default"/>
                      <w:color w:val="auto"/>
                      <w:sz w:val="18"/>
                      <w:szCs w:val="18"/>
                      <w:highlight w:val="none"/>
                      <w:lang w:val="en-US" w:eastAsia="zh-CN"/>
                    </w:rPr>
                  </w:pPr>
                </w:p>
              </w:tc>
              <w:tc>
                <w:tcPr>
                  <w:tcW w:w="622" w:type="pct"/>
                  <w:tcBorders>
                    <w:top w:val="single" w:color="auto" w:sz="4" w:space="0"/>
                    <w:left w:val="single" w:color="auto" w:sz="4" w:space="0"/>
                    <w:right w:val="single" w:color="auto" w:sz="4" w:space="0"/>
                    <w:tl2br w:val="nil"/>
                    <w:tr2bl w:val="nil"/>
                  </w:tcBorders>
                  <w:noWrap w:val="0"/>
                  <w:vAlign w:val="center"/>
                </w:tcPr>
                <w:p w14:paraId="41FE570A">
                  <w:pPr>
                    <w:pStyle w:val="69"/>
                    <w:bidi w:val="0"/>
                    <w:rPr>
                      <w:rFonts w:hint="eastAsia"/>
                      <w:color w:val="auto"/>
                      <w:sz w:val="18"/>
                      <w:szCs w:val="18"/>
                      <w:highlight w:val="none"/>
                      <w:lang w:val="en-US" w:eastAsia="zh-CN"/>
                    </w:rPr>
                  </w:pPr>
                  <w:r>
                    <w:rPr>
                      <w:rFonts w:hint="eastAsia"/>
                      <w:color w:val="auto"/>
                      <w:sz w:val="18"/>
                      <w:szCs w:val="18"/>
                      <w:highlight w:val="none"/>
                      <w:lang w:val="en-US" w:eastAsia="zh-CN"/>
                    </w:rPr>
                    <w:t>灯珠面回流焊</w:t>
                  </w:r>
                </w:p>
              </w:tc>
              <w:tc>
                <w:tcPr>
                  <w:tcW w:w="993"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6E19E3B">
                  <w:pPr>
                    <w:pStyle w:val="69"/>
                    <w:bidi w:val="0"/>
                    <w:rPr>
                      <w:rFonts w:hint="eastAsia"/>
                      <w:color w:val="auto"/>
                      <w:sz w:val="18"/>
                      <w:szCs w:val="18"/>
                      <w:highlight w:val="none"/>
                      <w:lang w:val="en-US" w:eastAsia="zh-CN"/>
                    </w:rPr>
                  </w:pPr>
                  <w:r>
                    <w:rPr>
                      <w:rFonts w:hint="eastAsia"/>
                      <w:color w:val="auto"/>
                      <w:sz w:val="18"/>
                      <w:szCs w:val="18"/>
                      <w:highlight w:val="none"/>
                      <w:lang w:val="en-US" w:eastAsia="zh-CN"/>
                    </w:rPr>
                    <w:t>回流焊焊接废气</w:t>
                  </w:r>
                </w:p>
              </w:tc>
              <w:tc>
                <w:tcPr>
                  <w:tcW w:w="1254" w:type="pct"/>
                  <w:vMerge w:val="continue"/>
                  <w:tcBorders>
                    <w:left w:val="single" w:color="auto" w:sz="4" w:space="0"/>
                    <w:bottom w:val="single" w:color="auto" w:sz="4" w:space="0"/>
                    <w:right w:val="single" w:color="auto" w:sz="4" w:space="0"/>
                    <w:tl2br w:val="nil"/>
                    <w:tr2bl w:val="nil"/>
                  </w:tcBorders>
                  <w:noWrap w:val="0"/>
                  <w:vAlign w:val="center"/>
                </w:tcPr>
                <w:p w14:paraId="7E9F8888">
                  <w:pPr>
                    <w:bidi w:val="0"/>
                    <w:rPr>
                      <w:rFonts w:hint="eastAsia"/>
                      <w:color w:val="auto"/>
                      <w:sz w:val="18"/>
                      <w:szCs w:val="18"/>
                      <w:highlight w:val="none"/>
                      <w:lang w:val="en-US" w:eastAsia="zh-CN"/>
                    </w:rPr>
                  </w:pPr>
                </w:p>
              </w:tc>
              <w:tc>
                <w:tcPr>
                  <w:tcW w:w="1415" w:type="pct"/>
                  <w:vMerge w:val="continue"/>
                  <w:tcBorders>
                    <w:left w:val="single" w:color="auto" w:sz="4" w:space="0"/>
                    <w:right w:val="single" w:color="auto" w:sz="4" w:space="0"/>
                    <w:tl2br w:val="nil"/>
                    <w:tr2bl w:val="nil"/>
                  </w:tcBorders>
                  <w:noWrap w:val="0"/>
                  <w:vAlign w:val="center"/>
                </w:tcPr>
                <w:p w14:paraId="3AD31F7E">
                  <w:pPr>
                    <w:pStyle w:val="69"/>
                    <w:bidi w:val="0"/>
                    <w:rPr>
                      <w:rFonts w:hint="eastAsia"/>
                      <w:color w:val="auto"/>
                      <w:sz w:val="18"/>
                      <w:szCs w:val="18"/>
                      <w:highlight w:val="none"/>
                      <w:lang w:val="en-US" w:eastAsia="zh-CN"/>
                    </w:rPr>
                  </w:pPr>
                </w:p>
              </w:tc>
            </w:tr>
            <w:tr w14:paraId="31D0A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3" w:type="pct"/>
                  <w:vMerge w:val="continue"/>
                  <w:tcBorders>
                    <w:left w:val="single" w:color="auto" w:sz="4" w:space="0"/>
                    <w:right w:val="single" w:color="auto" w:sz="4" w:space="0"/>
                    <w:tl2br w:val="nil"/>
                    <w:tr2bl w:val="nil"/>
                  </w:tcBorders>
                  <w:noWrap w:val="0"/>
                  <w:vAlign w:val="center"/>
                </w:tcPr>
                <w:p w14:paraId="72B81CD3">
                  <w:pPr>
                    <w:pStyle w:val="69"/>
                    <w:bidi w:val="0"/>
                    <w:rPr>
                      <w:rFonts w:hint="eastAsia"/>
                      <w:color w:val="auto"/>
                      <w:sz w:val="18"/>
                      <w:szCs w:val="18"/>
                      <w:highlight w:val="none"/>
                    </w:rPr>
                  </w:pPr>
                </w:p>
              </w:tc>
              <w:tc>
                <w:tcPr>
                  <w:tcW w:w="460" w:type="pct"/>
                  <w:tcBorders>
                    <w:left w:val="single" w:color="auto" w:sz="4" w:space="0"/>
                    <w:right w:val="single" w:color="auto" w:sz="4" w:space="0"/>
                    <w:tl2br w:val="nil"/>
                    <w:tr2bl w:val="nil"/>
                  </w:tcBorders>
                  <w:shd w:val="clear" w:color="auto" w:fill="auto"/>
                  <w:noWrap w:val="0"/>
                  <w:vAlign w:val="center"/>
                </w:tcPr>
                <w:p w14:paraId="5017712C">
                  <w:pPr>
                    <w:pStyle w:val="69"/>
                    <w:bidi w:val="0"/>
                    <w:ind w:firstLine="0" w:firstLineChars="0"/>
                    <w:rPr>
                      <w:rFonts w:hint="default" w:ascii="Times New Roman" w:hAnsi="Times New Roman" w:eastAsia="宋体" w:cs="Times New Roman"/>
                      <w:b w:val="0"/>
                      <w:color w:val="auto"/>
                      <w:kern w:val="2"/>
                      <w:sz w:val="18"/>
                      <w:szCs w:val="18"/>
                      <w:highlight w:val="none"/>
                      <w:lang w:val="en-US" w:eastAsia="zh-CN" w:bidi="ar-SA"/>
                    </w:rPr>
                  </w:pPr>
                  <w:r>
                    <w:rPr>
                      <w:rFonts w:hint="default"/>
                      <w:color w:val="auto"/>
                      <w:sz w:val="18"/>
                      <w:szCs w:val="18"/>
                      <w:highlight w:val="none"/>
                      <w:lang w:val="en-US" w:eastAsia="zh-CN"/>
                    </w:rPr>
                    <w:t>G</w:t>
                  </w:r>
                  <w:r>
                    <w:rPr>
                      <w:rFonts w:hint="eastAsia"/>
                      <w:color w:val="auto"/>
                      <w:sz w:val="18"/>
                      <w:szCs w:val="18"/>
                      <w:highlight w:val="none"/>
                      <w:vertAlign w:val="subscript"/>
                      <w:lang w:val="en-US" w:eastAsia="zh-CN"/>
                    </w:rPr>
                    <w:t>2-1</w:t>
                  </w:r>
                </w:p>
              </w:tc>
              <w:tc>
                <w:tcPr>
                  <w:tcW w:w="622" w:type="pct"/>
                  <w:tcBorders>
                    <w:top w:val="single" w:color="auto" w:sz="4" w:space="0"/>
                    <w:left w:val="single" w:color="auto" w:sz="4" w:space="0"/>
                    <w:right w:val="single" w:color="auto" w:sz="4" w:space="0"/>
                    <w:tl2br w:val="nil"/>
                    <w:tr2bl w:val="nil"/>
                  </w:tcBorders>
                  <w:shd w:val="clear" w:color="auto" w:fill="auto"/>
                  <w:noWrap w:val="0"/>
                  <w:vAlign w:val="center"/>
                </w:tcPr>
                <w:p w14:paraId="443B765B">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挤出成型</w:t>
                  </w:r>
                </w:p>
              </w:tc>
              <w:tc>
                <w:tcPr>
                  <w:tcW w:w="993"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2C1E8DDD">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挤出成型废气</w:t>
                  </w:r>
                </w:p>
              </w:tc>
              <w:tc>
                <w:tcPr>
                  <w:tcW w:w="1254" w:type="pct"/>
                  <w:tcBorders>
                    <w:left w:val="single" w:color="auto" w:sz="4" w:space="0"/>
                    <w:bottom w:val="single" w:color="auto" w:sz="4" w:space="0"/>
                    <w:right w:val="single" w:color="auto" w:sz="4" w:space="0"/>
                    <w:tl2br w:val="nil"/>
                    <w:tr2bl w:val="nil"/>
                  </w:tcBorders>
                  <w:shd w:val="clear" w:color="auto" w:fill="auto"/>
                  <w:noWrap w:val="0"/>
                  <w:vAlign w:val="center"/>
                </w:tcPr>
                <w:p w14:paraId="69CA7856">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甲苯、乙苯、苯乙烯</w:t>
                  </w:r>
                </w:p>
              </w:tc>
              <w:tc>
                <w:tcPr>
                  <w:tcW w:w="1415" w:type="pct"/>
                  <w:vMerge w:val="continue"/>
                  <w:tcBorders>
                    <w:left w:val="single" w:color="auto" w:sz="4" w:space="0"/>
                    <w:right w:val="single" w:color="auto" w:sz="4" w:space="0"/>
                    <w:tl2br w:val="nil"/>
                    <w:tr2bl w:val="nil"/>
                  </w:tcBorders>
                  <w:shd w:val="clear" w:color="auto" w:fill="auto"/>
                  <w:noWrap w:val="0"/>
                  <w:vAlign w:val="center"/>
                </w:tcPr>
                <w:p w14:paraId="3AE6EC8C">
                  <w:pPr>
                    <w:pStyle w:val="69"/>
                    <w:bidi w:val="0"/>
                    <w:ind w:firstLine="0" w:firstLineChars="0"/>
                    <w:rPr>
                      <w:rFonts w:hint="eastAsia"/>
                      <w:color w:val="auto"/>
                      <w:sz w:val="18"/>
                      <w:szCs w:val="18"/>
                      <w:highlight w:val="none"/>
                      <w:lang w:val="en-US" w:eastAsia="zh-CN"/>
                    </w:rPr>
                  </w:pPr>
                </w:p>
              </w:tc>
            </w:tr>
            <w:tr w14:paraId="57333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3" w:type="pct"/>
                  <w:vMerge w:val="continue"/>
                  <w:tcBorders>
                    <w:left w:val="single" w:color="auto" w:sz="4" w:space="0"/>
                    <w:right w:val="single" w:color="auto" w:sz="4" w:space="0"/>
                    <w:tl2br w:val="nil"/>
                    <w:tr2bl w:val="nil"/>
                  </w:tcBorders>
                  <w:noWrap w:val="0"/>
                  <w:vAlign w:val="center"/>
                </w:tcPr>
                <w:p w14:paraId="57490677">
                  <w:pPr>
                    <w:pStyle w:val="69"/>
                    <w:bidi w:val="0"/>
                    <w:rPr>
                      <w:rFonts w:hint="eastAsia"/>
                      <w:color w:val="auto"/>
                      <w:sz w:val="18"/>
                      <w:szCs w:val="18"/>
                      <w:highlight w:val="none"/>
                    </w:rPr>
                  </w:pPr>
                </w:p>
              </w:tc>
              <w:tc>
                <w:tcPr>
                  <w:tcW w:w="460" w:type="pct"/>
                  <w:tcBorders>
                    <w:left w:val="single" w:color="auto" w:sz="4" w:space="0"/>
                    <w:right w:val="single" w:color="auto" w:sz="4" w:space="0"/>
                    <w:tl2br w:val="nil"/>
                    <w:tr2bl w:val="nil"/>
                  </w:tcBorders>
                  <w:noWrap w:val="0"/>
                  <w:vAlign w:val="center"/>
                </w:tcPr>
                <w:p w14:paraId="0208E18A">
                  <w:pPr>
                    <w:pStyle w:val="69"/>
                    <w:bidi w:val="0"/>
                    <w:rPr>
                      <w:rFonts w:hint="default"/>
                      <w:color w:val="auto"/>
                      <w:sz w:val="18"/>
                      <w:szCs w:val="18"/>
                      <w:highlight w:val="none"/>
                      <w:lang w:val="en-US" w:eastAsia="zh-CN"/>
                    </w:rPr>
                  </w:pPr>
                  <w:r>
                    <w:rPr>
                      <w:rFonts w:hint="default"/>
                      <w:color w:val="auto"/>
                      <w:sz w:val="18"/>
                      <w:szCs w:val="18"/>
                      <w:highlight w:val="none"/>
                      <w:lang w:val="en-US" w:eastAsia="zh-CN"/>
                    </w:rPr>
                    <w:t>G</w:t>
                  </w:r>
                  <w:r>
                    <w:rPr>
                      <w:rFonts w:hint="eastAsia"/>
                      <w:color w:val="auto"/>
                      <w:sz w:val="18"/>
                      <w:szCs w:val="18"/>
                      <w:highlight w:val="none"/>
                      <w:vertAlign w:val="subscript"/>
                      <w:lang w:val="en-US" w:eastAsia="zh-CN"/>
                    </w:rPr>
                    <w:t>1-4</w:t>
                  </w:r>
                </w:p>
              </w:tc>
              <w:tc>
                <w:tcPr>
                  <w:tcW w:w="622" w:type="pct"/>
                  <w:tcBorders>
                    <w:top w:val="single" w:color="auto" w:sz="4" w:space="0"/>
                    <w:left w:val="single" w:color="auto" w:sz="4" w:space="0"/>
                    <w:right w:val="single" w:color="auto" w:sz="4" w:space="0"/>
                    <w:tl2br w:val="nil"/>
                    <w:tr2bl w:val="nil"/>
                  </w:tcBorders>
                  <w:shd w:val="clear" w:color="auto" w:fill="auto"/>
                  <w:noWrap w:val="0"/>
                  <w:vAlign w:val="center"/>
                </w:tcPr>
                <w:p w14:paraId="1544337D">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手工焊接</w:t>
                  </w:r>
                </w:p>
              </w:tc>
              <w:tc>
                <w:tcPr>
                  <w:tcW w:w="993"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2032BE56">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手工焊焊接废气</w:t>
                  </w:r>
                </w:p>
              </w:tc>
              <w:tc>
                <w:tcPr>
                  <w:tcW w:w="1254" w:type="pct"/>
                  <w:tcBorders>
                    <w:left w:val="single" w:color="auto" w:sz="4" w:space="0"/>
                    <w:bottom w:val="single" w:color="auto" w:sz="4" w:space="0"/>
                    <w:right w:val="single" w:color="auto" w:sz="4" w:space="0"/>
                    <w:tl2br w:val="nil"/>
                    <w:tr2bl w:val="nil"/>
                  </w:tcBorders>
                  <w:shd w:val="clear" w:color="auto" w:fill="auto"/>
                  <w:noWrap w:val="0"/>
                  <w:vAlign w:val="center"/>
                </w:tcPr>
                <w:p w14:paraId="48552735">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颗粒物、锡及其化合物</w:t>
                  </w:r>
                </w:p>
              </w:tc>
              <w:tc>
                <w:tcPr>
                  <w:tcW w:w="1415" w:type="pct"/>
                  <w:tcBorders>
                    <w:top w:val="single" w:color="auto" w:sz="4" w:space="0"/>
                    <w:left w:val="single" w:color="auto" w:sz="4" w:space="0"/>
                    <w:right w:val="single" w:color="auto" w:sz="4" w:space="0"/>
                    <w:tl2br w:val="nil"/>
                    <w:tr2bl w:val="nil"/>
                  </w:tcBorders>
                  <w:shd w:val="clear" w:color="auto" w:fill="auto"/>
                  <w:noWrap w:val="0"/>
                  <w:vAlign w:val="center"/>
                </w:tcPr>
                <w:p w14:paraId="6D9ECB2E">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少量废气无组织排放</w:t>
                  </w:r>
                </w:p>
              </w:tc>
            </w:tr>
            <w:tr w14:paraId="6C6BD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3" w:type="pct"/>
                  <w:vMerge w:val="continue"/>
                  <w:tcBorders>
                    <w:left w:val="single" w:color="auto" w:sz="4" w:space="0"/>
                    <w:right w:val="single" w:color="auto" w:sz="4" w:space="0"/>
                    <w:tl2br w:val="nil"/>
                    <w:tr2bl w:val="nil"/>
                  </w:tcBorders>
                  <w:noWrap w:val="0"/>
                  <w:vAlign w:val="center"/>
                </w:tcPr>
                <w:p w14:paraId="56C2FB0C">
                  <w:pPr>
                    <w:pStyle w:val="69"/>
                    <w:bidi w:val="0"/>
                    <w:rPr>
                      <w:rFonts w:hint="eastAsia"/>
                      <w:color w:val="auto"/>
                      <w:sz w:val="18"/>
                      <w:szCs w:val="18"/>
                      <w:highlight w:val="none"/>
                    </w:rPr>
                  </w:pPr>
                </w:p>
              </w:tc>
              <w:tc>
                <w:tcPr>
                  <w:tcW w:w="460" w:type="pct"/>
                  <w:tcBorders>
                    <w:left w:val="single" w:color="auto" w:sz="4" w:space="0"/>
                    <w:right w:val="single" w:color="auto" w:sz="4" w:space="0"/>
                    <w:tl2br w:val="nil"/>
                    <w:tr2bl w:val="nil"/>
                  </w:tcBorders>
                  <w:noWrap w:val="0"/>
                  <w:vAlign w:val="center"/>
                </w:tcPr>
                <w:p w14:paraId="2CDE2D8B">
                  <w:pPr>
                    <w:pStyle w:val="69"/>
                    <w:bidi w:val="0"/>
                    <w:rPr>
                      <w:rFonts w:hint="default"/>
                      <w:color w:val="auto"/>
                      <w:sz w:val="18"/>
                      <w:szCs w:val="18"/>
                      <w:highlight w:val="none"/>
                      <w:lang w:val="en-US" w:eastAsia="zh-CN"/>
                    </w:rPr>
                  </w:pPr>
                  <w:r>
                    <w:rPr>
                      <w:rFonts w:hint="default"/>
                      <w:color w:val="auto"/>
                      <w:sz w:val="18"/>
                      <w:szCs w:val="18"/>
                      <w:highlight w:val="none"/>
                      <w:lang w:val="en-US" w:eastAsia="zh-CN"/>
                    </w:rPr>
                    <w:t>G</w:t>
                  </w:r>
                  <w:r>
                    <w:rPr>
                      <w:rFonts w:hint="eastAsia"/>
                      <w:color w:val="auto"/>
                      <w:sz w:val="18"/>
                      <w:szCs w:val="18"/>
                      <w:highlight w:val="none"/>
                      <w:vertAlign w:val="subscript"/>
                      <w:lang w:val="en-US" w:eastAsia="zh-CN"/>
                    </w:rPr>
                    <w:t>2-2</w:t>
                  </w:r>
                </w:p>
              </w:tc>
              <w:tc>
                <w:tcPr>
                  <w:tcW w:w="622" w:type="pct"/>
                  <w:tcBorders>
                    <w:top w:val="single" w:color="auto" w:sz="4" w:space="0"/>
                    <w:left w:val="single" w:color="auto" w:sz="4" w:space="0"/>
                    <w:right w:val="single" w:color="auto" w:sz="4" w:space="0"/>
                    <w:tl2br w:val="nil"/>
                    <w:tr2bl w:val="nil"/>
                  </w:tcBorders>
                  <w:shd w:val="clear" w:color="auto" w:fill="auto"/>
                  <w:noWrap w:val="0"/>
                  <w:vAlign w:val="center"/>
                </w:tcPr>
                <w:p w14:paraId="2B0CA45F">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打孔</w:t>
                  </w:r>
                </w:p>
              </w:tc>
              <w:tc>
                <w:tcPr>
                  <w:tcW w:w="993"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45707259">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打孔粉尘</w:t>
                  </w:r>
                </w:p>
              </w:tc>
              <w:tc>
                <w:tcPr>
                  <w:tcW w:w="1254" w:type="pct"/>
                  <w:tcBorders>
                    <w:left w:val="single" w:color="auto" w:sz="4" w:space="0"/>
                    <w:bottom w:val="single" w:color="auto" w:sz="4" w:space="0"/>
                    <w:right w:val="single" w:color="auto" w:sz="4" w:space="0"/>
                    <w:tl2br w:val="nil"/>
                    <w:tr2bl w:val="nil"/>
                  </w:tcBorders>
                  <w:shd w:val="clear" w:color="auto" w:fill="auto"/>
                  <w:noWrap w:val="0"/>
                  <w:vAlign w:val="center"/>
                </w:tcPr>
                <w:p w14:paraId="6E0F83DF">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颗粒物</w:t>
                  </w:r>
                </w:p>
              </w:tc>
              <w:tc>
                <w:tcPr>
                  <w:tcW w:w="1415" w:type="pct"/>
                  <w:tcBorders>
                    <w:top w:val="single" w:color="auto" w:sz="4" w:space="0"/>
                    <w:left w:val="single" w:color="auto" w:sz="4" w:space="0"/>
                    <w:right w:val="single" w:color="auto" w:sz="4" w:space="0"/>
                    <w:tl2br w:val="nil"/>
                    <w:tr2bl w:val="nil"/>
                  </w:tcBorders>
                  <w:shd w:val="clear" w:color="auto" w:fill="auto"/>
                  <w:noWrap w:val="0"/>
                  <w:vAlign w:val="center"/>
                </w:tcPr>
                <w:p w14:paraId="144BDD31">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少量废气无组织排放</w:t>
                  </w:r>
                </w:p>
              </w:tc>
            </w:tr>
            <w:tr w14:paraId="66CE8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3" w:type="pct"/>
                  <w:vMerge w:val="restart"/>
                  <w:tcBorders>
                    <w:top w:val="single" w:color="auto" w:sz="4" w:space="0"/>
                    <w:left w:val="single" w:color="auto" w:sz="4" w:space="0"/>
                    <w:right w:val="single" w:color="auto" w:sz="4" w:space="0"/>
                    <w:tl2br w:val="nil"/>
                    <w:tr2bl w:val="nil"/>
                  </w:tcBorders>
                  <w:noWrap w:val="0"/>
                  <w:vAlign w:val="center"/>
                </w:tcPr>
                <w:p w14:paraId="594717EF">
                  <w:pPr>
                    <w:pStyle w:val="69"/>
                    <w:bidi w:val="0"/>
                    <w:rPr>
                      <w:rFonts w:hint="eastAsia" w:eastAsia="宋体"/>
                      <w:color w:val="auto"/>
                      <w:sz w:val="18"/>
                      <w:szCs w:val="18"/>
                      <w:highlight w:val="none"/>
                      <w:lang w:val="en-US" w:eastAsia="zh-CN"/>
                    </w:rPr>
                  </w:pPr>
                  <w:r>
                    <w:rPr>
                      <w:rFonts w:hint="eastAsia"/>
                      <w:color w:val="auto"/>
                      <w:sz w:val="18"/>
                      <w:szCs w:val="18"/>
                      <w:highlight w:val="none"/>
                      <w:lang w:val="en-US" w:eastAsia="zh-CN"/>
                    </w:rPr>
                    <w:t>废水</w:t>
                  </w:r>
                </w:p>
              </w:tc>
              <w:tc>
                <w:tcPr>
                  <w:tcW w:w="460" w:type="pct"/>
                  <w:tcBorders>
                    <w:left w:val="single" w:color="auto" w:sz="4" w:space="0"/>
                    <w:right w:val="single" w:color="auto" w:sz="4" w:space="0"/>
                    <w:tl2br w:val="nil"/>
                    <w:tr2bl w:val="nil"/>
                  </w:tcBorders>
                  <w:noWrap w:val="0"/>
                  <w:vAlign w:val="center"/>
                </w:tcPr>
                <w:p w14:paraId="1DD7F4BD">
                  <w:pPr>
                    <w:pStyle w:val="69"/>
                    <w:bidi w:val="0"/>
                    <w:rPr>
                      <w:rFonts w:hint="default"/>
                      <w:color w:val="auto"/>
                      <w:sz w:val="18"/>
                      <w:szCs w:val="18"/>
                      <w:highlight w:val="none"/>
                      <w:lang w:val="en-US" w:eastAsia="zh-CN"/>
                    </w:rPr>
                  </w:pPr>
                  <w:r>
                    <w:rPr>
                      <w:rFonts w:hint="eastAsia"/>
                      <w:color w:val="auto"/>
                      <w:sz w:val="18"/>
                      <w:szCs w:val="18"/>
                      <w:highlight w:val="none"/>
                      <w:lang w:val="en-US" w:eastAsia="zh-CN"/>
                    </w:rPr>
                    <w:t>/</w:t>
                  </w:r>
                </w:p>
              </w:tc>
              <w:tc>
                <w:tcPr>
                  <w:tcW w:w="622" w:type="pct"/>
                  <w:tcBorders>
                    <w:top w:val="single" w:color="auto" w:sz="4" w:space="0"/>
                    <w:left w:val="single" w:color="auto" w:sz="4" w:space="0"/>
                    <w:right w:val="single" w:color="auto" w:sz="4" w:space="0"/>
                    <w:tl2br w:val="nil"/>
                    <w:tr2bl w:val="nil"/>
                  </w:tcBorders>
                  <w:shd w:val="clear" w:color="auto" w:fill="auto"/>
                  <w:noWrap w:val="0"/>
                  <w:vAlign w:val="center"/>
                </w:tcPr>
                <w:p w14:paraId="49771D63">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办公生活</w:t>
                  </w:r>
                </w:p>
              </w:tc>
              <w:tc>
                <w:tcPr>
                  <w:tcW w:w="993"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021D2B8C">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生活污水</w:t>
                  </w:r>
                </w:p>
              </w:tc>
              <w:tc>
                <w:tcPr>
                  <w:tcW w:w="1254" w:type="pct"/>
                  <w:tcBorders>
                    <w:left w:val="single" w:color="auto" w:sz="4" w:space="0"/>
                    <w:bottom w:val="single" w:color="auto" w:sz="4" w:space="0"/>
                    <w:right w:val="single" w:color="auto" w:sz="4" w:space="0"/>
                    <w:tl2br w:val="nil"/>
                    <w:tr2bl w:val="nil"/>
                  </w:tcBorders>
                  <w:shd w:val="clear" w:color="auto" w:fill="auto"/>
                  <w:noWrap w:val="0"/>
                  <w:vAlign w:val="center"/>
                </w:tcPr>
                <w:p w14:paraId="315309F3">
                  <w:pPr>
                    <w:pStyle w:val="69"/>
                    <w:bidi w:val="0"/>
                    <w:ind w:firstLine="0" w:firstLineChars="0"/>
                    <w:rPr>
                      <w:rFonts w:hint="eastAsia"/>
                      <w:color w:val="auto"/>
                      <w:sz w:val="18"/>
                      <w:szCs w:val="18"/>
                      <w:highlight w:val="none"/>
                      <w:lang w:val="en-US" w:eastAsia="zh-CN"/>
                    </w:rPr>
                  </w:pPr>
                  <w:r>
                    <w:rPr>
                      <w:rFonts w:hint="eastAsia"/>
                      <w:color w:val="auto"/>
                      <w:sz w:val="18"/>
                      <w:szCs w:val="18"/>
                      <w:highlight w:val="none"/>
                      <w:lang w:val="en-US" w:eastAsia="zh-CN"/>
                    </w:rPr>
                    <w:t>pH、</w:t>
                  </w:r>
                  <w:r>
                    <w:rPr>
                      <w:rFonts w:hint="default"/>
                      <w:color w:val="auto"/>
                      <w:sz w:val="18"/>
                      <w:szCs w:val="18"/>
                      <w:highlight w:val="none"/>
                    </w:rPr>
                    <w:t>COD</w:t>
                  </w:r>
                  <w:r>
                    <w:rPr>
                      <w:rFonts w:hint="eastAsia"/>
                      <w:color w:val="auto"/>
                      <w:sz w:val="18"/>
                      <w:szCs w:val="18"/>
                      <w:highlight w:val="none"/>
                    </w:rPr>
                    <w:t>、</w:t>
                  </w:r>
                  <w:r>
                    <w:rPr>
                      <w:rFonts w:hint="eastAsia"/>
                      <w:color w:val="auto"/>
                      <w:sz w:val="18"/>
                      <w:szCs w:val="18"/>
                      <w:highlight w:val="none"/>
                      <w:lang w:val="en-US" w:eastAsia="zh-CN"/>
                    </w:rPr>
                    <w:t>BOD</w:t>
                  </w:r>
                  <w:r>
                    <w:rPr>
                      <w:rFonts w:hint="eastAsia"/>
                      <w:color w:val="auto"/>
                      <w:sz w:val="18"/>
                      <w:szCs w:val="18"/>
                      <w:highlight w:val="none"/>
                      <w:vertAlign w:val="subscript"/>
                      <w:lang w:val="en-US" w:eastAsia="zh-CN"/>
                    </w:rPr>
                    <w:t>5</w:t>
                  </w:r>
                  <w:r>
                    <w:rPr>
                      <w:rFonts w:hint="eastAsia"/>
                      <w:color w:val="auto"/>
                      <w:sz w:val="18"/>
                      <w:szCs w:val="18"/>
                      <w:highlight w:val="none"/>
                      <w:lang w:val="en-US" w:eastAsia="zh-CN"/>
                    </w:rPr>
                    <w:t>、SS、</w:t>
                  </w:r>
                  <w:r>
                    <w:rPr>
                      <w:rFonts w:hint="eastAsia"/>
                      <w:color w:val="auto"/>
                      <w:sz w:val="18"/>
                      <w:szCs w:val="18"/>
                      <w:highlight w:val="none"/>
                    </w:rPr>
                    <w:t>NH</w:t>
                  </w:r>
                  <w:r>
                    <w:rPr>
                      <w:rFonts w:hint="default"/>
                      <w:color w:val="auto"/>
                      <w:sz w:val="18"/>
                      <w:szCs w:val="18"/>
                      <w:highlight w:val="none"/>
                      <w:vertAlign w:val="subscript"/>
                    </w:rPr>
                    <w:t>3</w:t>
                  </w:r>
                  <w:r>
                    <w:rPr>
                      <w:rFonts w:hint="default"/>
                      <w:color w:val="auto"/>
                      <w:sz w:val="18"/>
                      <w:szCs w:val="18"/>
                      <w:highlight w:val="none"/>
                    </w:rPr>
                    <w:t>-N</w:t>
                  </w:r>
                  <w:r>
                    <w:rPr>
                      <w:rFonts w:hint="eastAsia"/>
                      <w:color w:val="auto"/>
                      <w:sz w:val="18"/>
                      <w:szCs w:val="18"/>
                      <w:highlight w:val="none"/>
                    </w:rPr>
                    <w:t>等</w:t>
                  </w:r>
                </w:p>
              </w:tc>
              <w:tc>
                <w:tcPr>
                  <w:tcW w:w="1415" w:type="pct"/>
                  <w:tcBorders>
                    <w:top w:val="single" w:color="auto" w:sz="4" w:space="0"/>
                    <w:left w:val="single" w:color="auto" w:sz="4" w:space="0"/>
                    <w:right w:val="single" w:color="auto" w:sz="4" w:space="0"/>
                    <w:tl2br w:val="nil"/>
                    <w:tr2bl w:val="nil"/>
                  </w:tcBorders>
                  <w:shd w:val="clear" w:color="auto" w:fill="auto"/>
                  <w:noWrap w:val="0"/>
                  <w:vAlign w:val="center"/>
                </w:tcPr>
                <w:p w14:paraId="4E6812C8">
                  <w:pPr>
                    <w:pStyle w:val="69"/>
                    <w:bidi w:val="0"/>
                    <w:ind w:firstLine="0" w:firstLineChars="0"/>
                    <w:rPr>
                      <w:rFonts w:hint="default"/>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科技孵化园园区化粪池</w:t>
                  </w:r>
                  <w:r>
                    <w:rPr>
                      <w:rFonts w:hint="eastAsia" w:cs="Times New Roman"/>
                      <w:color w:val="auto"/>
                      <w:sz w:val="18"/>
                      <w:szCs w:val="18"/>
                      <w:highlight w:val="none"/>
                      <w:lang w:val="en-US" w:eastAsia="zh-CN"/>
                    </w:rPr>
                    <w:t>-</w:t>
                  </w:r>
                  <w:r>
                    <w:rPr>
                      <w:rFonts w:hint="eastAsia" w:ascii="Times New Roman" w:hAnsi="Times New Roman" w:eastAsia="宋体" w:cs="Times New Roman"/>
                      <w:color w:val="auto"/>
                      <w:sz w:val="18"/>
                      <w:szCs w:val="18"/>
                      <w:highlight w:val="none"/>
                      <w:lang w:val="en-US" w:eastAsia="zh-CN"/>
                    </w:rPr>
                    <w:t>科技孵化园园区</w:t>
                  </w:r>
                  <w:r>
                    <w:rPr>
                      <w:rFonts w:hint="eastAsia" w:cs="Times New Roman"/>
                      <w:color w:val="auto"/>
                      <w:sz w:val="18"/>
                      <w:szCs w:val="18"/>
                      <w:highlight w:val="none"/>
                      <w:lang w:val="en-US" w:eastAsia="zh-CN"/>
                    </w:rPr>
                    <w:t>污水排口-市政污水管网-皖江江南新兴产业集中区第一污水处理厂</w:t>
                  </w:r>
                </w:p>
              </w:tc>
            </w:tr>
            <w:tr w14:paraId="0913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3" w:type="pct"/>
                  <w:vMerge w:val="continue"/>
                  <w:tcBorders>
                    <w:left w:val="single" w:color="auto" w:sz="4" w:space="0"/>
                    <w:right w:val="single" w:color="auto" w:sz="4" w:space="0"/>
                    <w:tl2br w:val="nil"/>
                    <w:tr2bl w:val="nil"/>
                  </w:tcBorders>
                  <w:noWrap w:val="0"/>
                  <w:vAlign w:val="center"/>
                </w:tcPr>
                <w:p w14:paraId="075AFB96">
                  <w:pPr>
                    <w:pStyle w:val="69"/>
                    <w:bidi w:val="0"/>
                    <w:rPr>
                      <w:rFonts w:hint="eastAsia"/>
                      <w:color w:val="auto"/>
                      <w:sz w:val="18"/>
                      <w:szCs w:val="18"/>
                      <w:highlight w:val="none"/>
                    </w:rPr>
                  </w:pPr>
                </w:p>
              </w:tc>
              <w:tc>
                <w:tcPr>
                  <w:tcW w:w="460" w:type="pct"/>
                  <w:tcBorders>
                    <w:left w:val="single" w:color="auto" w:sz="4" w:space="0"/>
                    <w:right w:val="single" w:color="auto" w:sz="4" w:space="0"/>
                    <w:tl2br w:val="nil"/>
                    <w:tr2bl w:val="nil"/>
                  </w:tcBorders>
                  <w:noWrap w:val="0"/>
                  <w:vAlign w:val="center"/>
                </w:tcPr>
                <w:p w14:paraId="3AC6D41B">
                  <w:pPr>
                    <w:pStyle w:val="69"/>
                    <w:bidi w:val="0"/>
                    <w:rPr>
                      <w:rFonts w:hint="default"/>
                      <w:color w:val="auto"/>
                      <w:sz w:val="18"/>
                      <w:szCs w:val="18"/>
                      <w:highlight w:val="none"/>
                      <w:lang w:val="en-US" w:eastAsia="zh-CN"/>
                    </w:rPr>
                  </w:pPr>
                  <w:r>
                    <w:rPr>
                      <w:rFonts w:hint="eastAsia"/>
                      <w:color w:val="auto"/>
                      <w:sz w:val="18"/>
                      <w:szCs w:val="18"/>
                      <w:highlight w:val="none"/>
                      <w:lang w:val="en-US" w:eastAsia="zh-CN"/>
                    </w:rPr>
                    <w:t>W</w:t>
                  </w:r>
                  <w:r>
                    <w:rPr>
                      <w:rFonts w:hint="eastAsia"/>
                      <w:color w:val="auto"/>
                      <w:sz w:val="18"/>
                      <w:szCs w:val="18"/>
                      <w:highlight w:val="none"/>
                      <w:vertAlign w:val="subscript"/>
                      <w:lang w:val="en-US" w:eastAsia="zh-CN"/>
                    </w:rPr>
                    <w:t>2-1</w:t>
                  </w:r>
                </w:p>
              </w:tc>
              <w:tc>
                <w:tcPr>
                  <w:tcW w:w="622" w:type="pct"/>
                  <w:tcBorders>
                    <w:top w:val="single" w:color="auto" w:sz="4" w:space="0"/>
                    <w:left w:val="single" w:color="auto" w:sz="4" w:space="0"/>
                    <w:right w:val="single" w:color="auto" w:sz="4" w:space="0"/>
                    <w:tl2br w:val="nil"/>
                    <w:tr2bl w:val="nil"/>
                  </w:tcBorders>
                  <w:shd w:val="clear" w:color="auto" w:fill="auto"/>
                  <w:noWrap w:val="0"/>
                  <w:vAlign w:val="center"/>
                </w:tcPr>
                <w:p w14:paraId="3D72D44D">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冷却</w:t>
                  </w:r>
                </w:p>
              </w:tc>
              <w:tc>
                <w:tcPr>
                  <w:tcW w:w="993"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2DD6E09D">
                  <w:pPr>
                    <w:pStyle w:val="69"/>
                    <w:bidi w:val="0"/>
                    <w:ind w:firstLine="0" w:firstLineChars="0"/>
                    <w:rPr>
                      <w:rFonts w:hint="eastAsia"/>
                      <w:color w:val="auto"/>
                      <w:sz w:val="18"/>
                      <w:szCs w:val="18"/>
                      <w:highlight w:val="none"/>
                      <w:lang w:val="en-US" w:eastAsia="zh-CN"/>
                    </w:rPr>
                  </w:pPr>
                  <w:r>
                    <w:rPr>
                      <w:rFonts w:hint="eastAsia"/>
                      <w:color w:val="auto"/>
                      <w:sz w:val="18"/>
                      <w:szCs w:val="18"/>
                      <w:highlight w:val="none"/>
                      <w:lang w:val="en-US" w:eastAsia="zh-CN"/>
                    </w:rPr>
                    <w:t>冷却循环外排水</w:t>
                  </w:r>
                </w:p>
              </w:tc>
              <w:tc>
                <w:tcPr>
                  <w:tcW w:w="1254" w:type="pct"/>
                  <w:tcBorders>
                    <w:left w:val="single" w:color="auto" w:sz="4" w:space="0"/>
                    <w:bottom w:val="single" w:color="auto" w:sz="4" w:space="0"/>
                    <w:right w:val="single" w:color="auto" w:sz="4" w:space="0"/>
                    <w:tl2br w:val="nil"/>
                    <w:tr2bl w:val="nil"/>
                  </w:tcBorders>
                  <w:shd w:val="clear" w:color="auto" w:fill="auto"/>
                  <w:noWrap w:val="0"/>
                  <w:vAlign w:val="center"/>
                </w:tcPr>
                <w:p w14:paraId="057C4C9D">
                  <w:pPr>
                    <w:pStyle w:val="69"/>
                    <w:bidi w:val="0"/>
                    <w:ind w:firstLine="0" w:firstLineChars="0"/>
                    <w:rPr>
                      <w:rFonts w:hint="eastAsia"/>
                      <w:color w:val="auto"/>
                      <w:sz w:val="18"/>
                      <w:szCs w:val="18"/>
                      <w:highlight w:val="none"/>
                      <w:lang w:val="en-US" w:eastAsia="zh-CN"/>
                    </w:rPr>
                  </w:pPr>
                  <w:r>
                    <w:rPr>
                      <w:rFonts w:hint="default"/>
                      <w:color w:val="auto"/>
                      <w:sz w:val="18"/>
                      <w:szCs w:val="18"/>
                      <w:highlight w:val="none"/>
                    </w:rPr>
                    <w:t>COD</w:t>
                  </w:r>
                  <w:r>
                    <w:rPr>
                      <w:rFonts w:hint="eastAsia"/>
                      <w:color w:val="auto"/>
                      <w:sz w:val="18"/>
                      <w:szCs w:val="18"/>
                      <w:highlight w:val="none"/>
                    </w:rPr>
                    <w:t>、</w:t>
                  </w:r>
                  <w:r>
                    <w:rPr>
                      <w:rFonts w:hint="eastAsia"/>
                      <w:color w:val="auto"/>
                      <w:sz w:val="18"/>
                      <w:szCs w:val="18"/>
                      <w:highlight w:val="none"/>
                      <w:lang w:val="en-US" w:eastAsia="zh-CN"/>
                    </w:rPr>
                    <w:t>SS</w:t>
                  </w:r>
                </w:p>
              </w:tc>
              <w:tc>
                <w:tcPr>
                  <w:tcW w:w="1415" w:type="pct"/>
                  <w:tcBorders>
                    <w:top w:val="single" w:color="auto" w:sz="4" w:space="0"/>
                    <w:left w:val="single" w:color="auto" w:sz="4" w:space="0"/>
                    <w:right w:val="single" w:color="auto" w:sz="4" w:space="0"/>
                    <w:tl2br w:val="nil"/>
                    <w:tr2bl w:val="nil"/>
                  </w:tcBorders>
                  <w:shd w:val="clear" w:color="auto" w:fill="auto"/>
                  <w:noWrap w:val="0"/>
                  <w:vAlign w:val="center"/>
                </w:tcPr>
                <w:p w14:paraId="55168B87">
                  <w:pPr>
                    <w:pStyle w:val="69"/>
                    <w:bidi w:val="0"/>
                    <w:ind w:firstLine="0" w:firstLineChars="0"/>
                    <w:rPr>
                      <w:rFonts w:hint="default"/>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科技孵化园园区</w:t>
                  </w:r>
                  <w:r>
                    <w:rPr>
                      <w:rFonts w:hint="eastAsia" w:cs="Times New Roman"/>
                      <w:color w:val="auto"/>
                      <w:sz w:val="18"/>
                      <w:szCs w:val="18"/>
                      <w:highlight w:val="none"/>
                      <w:lang w:val="en-US" w:eastAsia="zh-CN"/>
                    </w:rPr>
                    <w:t>污水排口-市政污水管网-皖江江南新兴产业集中区第一污水处理厂</w:t>
                  </w:r>
                </w:p>
              </w:tc>
            </w:tr>
            <w:tr w14:paraId="3B59E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3"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6EF8616">
                  <w:pPr>
                    <w:pStyle w:val="69"/>
                    <w:bidi w:val="0"/>
                    <w:rPr>
                      <w:rFonts w:hint="default"/>
                      <w:color w:val="auto"/>
                      <w:sz w:val="18"/>
                      <w:szCs w:val="18"/>
                      <w:highlight w:val="none"/>
                    </w:rPr>
                  </w:pPr>
                  <w:r>
                    <w:rPr>
                      <w:rFonts w:hint="eastAsia"/>
                      <w:color w:val="auto"/>
                      <w:sz w:val="18"/>
                      <w:szCs w:val="18"/>
                      <w:highlight w:val="none"/>
                    </w:rPr>
                    <w:t>噪声</w:t>
                  </w:r>
                </w:p>
              </w:tc>
              <w:tc>
                <w:tcPr>
                  <w:tcW w:w="46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6D12813">
                  <w:pPr>
                    <w:pStyle w:val="69"/>
                    <w:bidi w:val="0"/>
                    <w:rPr>
                      <w:rFonts w:hint="eastAsia"/>
                      <w:color w:val="auto"/>
                      <w:sz w:val="18"/>
                      <w:szCs w:val="18"/>
                      <w:highlight w:val="none"/>
                      <w:lang w:val="en-US" w:eastAsia="zh-CN"/>
                    </w:rPr>
                  </w:pPr>
                  <w:r>
                    <w:rPr>
                      <w:rFonts w:hint="default"/>
                      <w:color w:val="auto"/>
                      <w:sz w:val="18"/>
                      <w:szCs w:val="18"/>
                      <w:highlight w:val="none"/>
                    </w:rPr>
                    <w:t>N</w:t>
                  </w:r>
                </w:p>
              </w:tc>
              <w:tc>
                <w:tcPr>
                  <w:tcW w:w="62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6D3AD2D">
                  <w:pPr>
                    <w:pStyle w:val="69"/>
                    <w:bidi w:val="0"/>
                    <w:rPr>
                      <w:rFonts w:hint="default"/>
                      <w:color w:val="auto"/>
                      <w:sz w:val="18"/>
                      <w:szCs w:val="18"/>
                      <w:highlight w:val="none"/>
                    </w:rPr>
                  </w:pPr>
                  <w:r>
                    <w:rPr>
                      <w:rFonts w:hint="eastAsia"/>
                      <w:color w:val="auto"/>
                      <w:sz w:val="18"/>
                      <w:szCs w:val="18"/>
                      <w:highlight w:val="none"/>
                    </w:rPr>
                    <w:t>设备运行噪声</w:t>
                  </w:r>
                </w:p>
              </w:tc>
              <w:tc>
                <w:tcPr>
                  <w:tcW w:w="993"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A90E50D">
                  <w:pPr>
                    <w:pStyle w:val="69"/>
                    <w:bidi w:val="0"/>
                    <w:rPr>
                      <w:rFonts w:hint="eastAsia" w:eastAsia="宋体"/>
                      <w:color w:val="auto"/>
                      <w:sz w:val="18"/>
                      <w:szCs w:val="18"/>
                      <w:highlight w:val="none"/>
                      <w:lang w:val="en-US" w:eastAsia="zh-CN"/>
                    </w:rPr>
                  </w:pPr>
                  <w:r>
                    <w:rPr>
                      <w:rFonts w:hint="eastAsia"/>
                      <w:color w:val="auto"/>
                      <w:sz w:val="18"/>
                      <w:szCs w:val="18"/>
                      <w:highlight w:val="none"/>
                      <w:lang w:val="en-US" w:eastAsia="zh-CN"/>
                    </w:rPr>
                    <w:t>/</w:t>
                  </w: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CAC2561">
                  <w:pPr>
                    <w:pStyle w:val="69"/>
                    <w:bidi w:val="0"/>
                    <w:rPr>
                      <w:rFonts w:hint="default"/>
                      <w:color w:val="auto"/>
                      <w:sz w:val="18"/>
                      <w:szCs w:val="18"/>
                      <w:highlight w:val="none"/>
                    </w:rPr>
                  </w:pPr>
                  <w:r>
                    <w:rPr>
                      <w:rFonts w:hint="eastAsia"/>
                      <w:color w:val="auto"/>
                      <w:sz w:val="18"/>
                      <w:szCs w:val="18"/>
                      <w:highlight w:val="none"/>
                    </w:rPr>
                    <w:t>噪声</w:t>
                  </w:r>
                </w:p>
              </w:tc>
              <w:tc>
                <w:tcPr>
                  <w:tcW w:w="1415"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F4E30E3">
                  <w:pPr>
                    <w:pStyle w:val="69"/>
                    <w:bidi w:val="0"/>
                    <w:rPr>
                      <w:rFonts w:hint="default"/>
                      <w:color w:val="auto"/>
                      <w:sz w:val="18"/>
                      <w:szCs w:val="18"/>
                      <w:highlight w:val="none"/>
                    </w:rPr>
                  </w:pPr>
                  <w:r>
                    <w:rPr>
                      <w:rFonts w:hint="eastAsia"/>
                      <w:color w:val="auto"/>
                      <w:sz w:val="18"/>
                      <w:szCs w:val="18"/>
                      <w:highlight w:val="none"/>
                    </w:rPr>
                    <w:t>设备减振、风机消声、厂房隔声、距离衰减</w:t>
                  </w:r>
                </w:p>
              </w:tc>
            </w:tr>
            <w:tr w14:paraId="572FA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3" w:type="pct"/>
                  <w:vMerge w:val="restart"/>
                  <w:tcBorders>
                    <w:top w:val="single" w:color="auto" w:sz="4" w:space="0"/>
                    <w:left w:val="single" w:color="auto" w:sz="4" w:space="0"/>
                    <w:right w:val="single" w:color="auto" w:sz="4" w:space="0"/>
                    <w:tl2br w:val="nil"/>
                    <w:tr2bl w:val="nil"/>
                  </w:tcBorders>
                  <w:noWrap w:val="0"/>
                  <w:vAlign w:val="center"/>
                </w:tcPr>
                <w:p w14:paraId="1955FF2A">
                  <w:pPr>
                    <w:pStyle w:val="69"/>
                    <w:bidi w:val="0"/>
                    <w:rPr>
                      <w:rFonts w:hint="default"/>
                      <w:color w:val="auto"/>
                      <w:sz w:val="18"/>
                      <w:szCs w:val="18"/>
                      <w:highlight w:val="none"/>
                    </w:rPr>
                  </w:pPr>
                  <w:r>
                    <w:rPr>
                      <w:rFonts w:hint="eastAsia"/>
                      <w:color w:val="auto"/>
                      <w:sz w:val="18"/>
                      <w:szCs w:val="18"/>
                      <w:highlight w:val="none"/>
                    </w:rPr>
                    <w:t>固体废物</w:t>
                  </w:r>
                </w:p>
              </w:tc>
              <w:tc>
                <w:tcPr>
                  <w:tcW w:w="460" w:type="pct"/>
                  <w:tcBorders>
                    <w:top w:val="single" w:color="auto" w:sz="4" w:space="0"/>
                    <w:left w:val="single" w:color="auto" w:sz="4" w:space="0"/>
                    <w:right w:val="single" w:color="auto" w:sz="4" w:space="0"/>
                    <w:tl2br w:val="nil"/>
                    <w:tr2bl w:val="nil"/>
                  </w:tcBorders>
                  <w:noWrap w:val="0"/>
                  <w:vAlign w:val="center"/>
                </w:tcPr>
                <w:p w14:paraId="0594E084">
                  <w:pPr>
                    <w:pStyle w:val="69"/>
                    <w:bidi w:val="0"/>
                    <w:ind w:firstLine="0" w:firstLineChars="0"/>
                    <w:rPr>
                      <w:rFonts w:hint="default"/>
                      <w:color w:val="auto"/>
                      <w:sz w:val="18"/>
                      <w:szCs w:val="18"/>
                      <w:highlight w:val="none"/>
                      <w:lang w:val="en-US" w:eastAsia="zh-CN"/>
                    </w:rPr>
                  </w:pPr>
                  <w:r>
                    <w:rPr>
                      <w:rFonts w:hint="default"/>
                      <w:color w:val="auto"/>
                      <w:sz w:val="18"/>
                      <w:szCs w:val="18"/>
                      <w:highlight w:val="none"/>
                      <w:lang w:val="en-US" w:eastAsia="zh-CN"/>
                    </w:rPr>
                    <w:t>S</w:t>
                  </w:r>
                  <w:r>
                    <w:rPr>
                      <w:rFonts w:hint="eastAsia"/>
                      <w:color w:val="auto"/>
                      <w:sz w:val="18"/>
                      <w:szCs w:val="18"/>
                      <w:highlight w:val="none"/>
                      <w:vertAlign w:val="subscript"/>
                      <w:lang w:val="en-US" w:eastAsia="zh-CN"/>
                    </w:rPr>
                    <w:t>1-1</w:t>
                  </w:r>
                </w:p>
              </w:tc>
              <w:tc>
                <w:tcPr>
                  <w:tcW w:w="622" w:type="pct"/>
                  <w:tcBorders>
                    <w:top w:val="single" w:color="auto" w:sz="4" w:space="0"/>
                    <w:left w:val="single" w:color="auto" w:sz="4" w:space="0"/>
                    <w:right w:val="single" w:color="auto" w:sz="4" w:space="0"/>
                    <w:tl2br w:val="nil"/>
                    <w:tr2bl w:val="nil"/>
                  </w:tcBorders>
                  <w:noWrap w:val="0"/>
                  <w:vAlign w:val="center"/>
                </w:tcPr>
                <w:p w14:paraId="2EC2C811">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原料包装</w:t>
                  </w:r>
                </w:p>
              </w:tc>
              <w:tc>
                <w:tcPr>
                  <w:tcW w:w="993" w:type="pct"/>
                  <w:tcBorders>
                    <w:top w:val="single" w:color="auto" w:sz="4" w:space="0"/>
                    <w:left w:val="single" w:color="auto" w:sz="4" w:space="0"/>
                    <w:right w:val="single" w:color="auto" w:sz="4" w:space="0"/>
                    <w:tl2br w:val="nil"/>
                    <w:tr2bl w:val="nil"/>
                  </w:tcBorders>
                  <w:noWrap w:val="0"/>
                  <w:vAlign w:val="center"/>
                </w:tcPr>
                <w:p w14:paraId="06A6FFAE">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废包装材料</w:t>
                  </w:r>
                </w:p>
              </w:tc>
              <w:tc>
                <w:tcPr>
                  <w:tcW w:w="1254" w:type="pct"/>
                  <w:tcBorders>
                    <w:top w:val="single" w:color="auto" w:sz="4" w:space="0"/>
                    <w:left w:val="single" w:color="auto" w:sz="4" w:space="0"/>
                    <w:right w:val="single" w:color="auto" w:sz="4" w:space="0"/>
                    <w:tl2br w:val="nil"/>
                    <w:tr2bl w:val="nil"/>
                  </w:tcBorders>
                  <w:noWrap w:val="0"/>
                  <w:vAlign w:val="center"/>
                </w:tcPr>
                <w:p w14:paraId="1529988E">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沾染锡膏、酒精的包装材料</w:t>
                  </w:r>
                </w:p>
              </w:tc>
              <w:tc>
                <w:tcPr>
                  <w:tcW w:w="1415" w:type="pct"/>
                  <w:vMerge w:val="restart"/>
                  <w:tcBorders>
                    <w:top w:val="single" w:color="auto" w:sz="4" w:space="0"/>
                    <w:left w:val="single" w:color="auto" w:sz="4" w:space="0"/>
                    <w:right w:val="single" w:color="auto" w:sz="4" w:space="0"/>
                    <w:tl2br w:val="nil"/>
                    <w:tr2bl w:val="nil"/>
                  </w:tcBorders>
                  <w:noWrap w:val="0"/>
                  <w:vAlign w:val="center"/>
                </w:tcPr>
                <w:p w14:paraId="73C7A4EE">
                  <w:pPr>
                    <w:pStyle w:val="69"/>
                    <w:bidi w:val="0"/>
                    <w:rPr>
                      <w:rFonts w:hint="default" w:eastAsia="宋体"/>
                      <w:color w:val="auto"/>
                      <w:sz w:val="18"/>
                      <w:szCs w:val="18"/>
                      <w:highlight w:val="none"/>
                      <w:lang w:val="en-US" w:eastAsia="zh-CN"/>
                    </w:rPr>
                  </w:pPr>
                  <w:r>
                    <w:rPr>
                      <w:rFonts w:hint="eastAsia"/>
                      <w:color w:val="auto"/>
                      <w:sz w:val="18"/>
                      <w:szCs w:val="18"/>
                      <w:highlight w:val="none"/>
                      <w:lang w:val="en-US" w:eastAsia="zh-CN"/>
                    </w:rPr>
                    <w:t>委托资质单位安全处置</w:t>
                  </w:r>
                </w:p>
              </w:tc>
            </w:tr>
            <w:tr w14:paraId="445D4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3" w:type="pct"/>
                  <w:vMerge w:val="continue"/>
                  <w:tcBorders>
                    <w:left w:val="single" w:color="auto" w:sz="4" w:space="0"/>
                    <w:right w:val="single" w:color="auto" w:sz="4" w:space="0"/>
                    <w:tl2br w:val="nil"/>
                    <w:tr2bl w:val="nil"/>
                  </w:tcBorders>
                  <w:noWrap w:val="0"/>
                  <w:vAlign w:val="center"/>
                </w:tcPr>
                <w:p w14:paraId="2E2B7130">
                  <w:pPr>
                    <w:pStyle w:val="69"/>
                    <w:bidi w:val="0"/>
                    <w:rPr>
                      <w:rFonts w:hint="eastAsia"/>
                      <w:color w:val="auto"/>
                      <w:sz w:val="18"/>
                      <w:szCs w:val="18"/>
                      <w:highlight w:val="none"/>
                    </w:rPr>
                  </w:pPr>
                </w:p>
              </w:tc>
              <w:tc>
                <w:tcPr>
                  <w:tcW w:w="460" w:type="pct"/>
                  <w:tcBorders>
                    <w:top w:val="single" w:color="auto" w:sz="4" w:space="0"/>
                    <w:left w:val="single" w:color="auto" w:sz="4" w:space="0"/>
                    <w:right w:val="single" w:color="auto" w:sz="4" w:space="0"/>
                    <w:tl2br w:val="nil"/>
                    <w:tr2bl w:val="nil"/>
                  </w:tcBorders>
                  <w:noWrap w:val="0"/>
                  <w:vAlign w:val="center"/>
                </w:tcPr>
                <w:p w14:paraId="613E5129">
                  <w:pPr>
                    <w:pStyle w:val="69"/>
                    <w:bidi w:val="0"/>
                    <w:ind w:firstLine="0" w:firstLineChars="0"/>
                    <w:rPr>
                      <w:rFonts w:hint="default"/>
                      <w:color w:val="auto"/>
                      <w:sz w:val="18"/>
                      <w:szCs w:val="18"/>
                      <w:highlight w:val="none"/>
                      <w:lang w:val="en-US" w:eastAsia="zh-CN"/>
                    </w:rPr>
                  </w:pPr>
                  <w:r>
                    <w:rPr>
                      <w:rFonts w:hint="default"/>
                      <w:color w:val="auto"/>
                      <w:sz w:val="18"/>
                      <w:szCs w:val="18"/>
                      <w:highlight w:val="none"/>
                      <w:lang w:val="en-US" w:eastAsia="zh-CN"/>
                    </w:rPr>
                    <w:t>S</w:t>
                  </w:r>
                  <w:r>
                    <w:rPr>
                      <w:rFonts w:hint="eastAsia"/>
                      <w:color w:val="auto"/>
                      <w:sz w:val="18"/>
                      <w:szCs w:val="18"/>
                      <w:highlight w:val="none"/>
                      <w:vertAlign w:val="subscript"/>
                      <w:lang w:val="en-US" w:eastAsia="zh-CN"/>
                    </w:rPr>
                    <w:t>1-2</w:t>
                  </w:r>
                </w:p>
              </w:tc>
              <w:tc>
                <w:tcPr>
                  <w:tcW w:w="622" w:type="pct"/>
                  <w:tcBorders>
                    <w:top w:val="single" w:color="auto" w:sz="4" w:space="0"/>
                    <w:left w:val="single" w:color="auto" w:sz="4" w:space="0"/>
                    <w:right w:val="single" w:color="auto" w:sz="4" w:space="0"/>
                    <w:tl2br w:val="nil"/>
                    <w:tr2bl w:val="nil"/>
                  </w:tcBorders>
                  <w:noWrap w:val="0"/>
                  <w:vAlign w:val="center"/>
                </w:tcPr>
                <w:p w14:paraId="22DE5C58">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钢网擦拭</w:t>
                  </w:r>
                </w:p>
              </w:tc>
              <w:tc>
                <w:tcPr>
                  <w:tcW w:w="993" w:type="pct"/>
                  <w:tcBorders>
                    <w:top w:val="single" w:color="auto" w:sz="4" w:space="0"/>
                    <w:left w:val="single" w:color="auto" w:sz="4" w:space="0"/>
                    <w:right w:val="single" w:color="auto" w:sz="4" w:space="0"/>
                    <w:tl2br w:val="nil"/>
                    <w:tr2bl w:val="nil"/>
                  </w:tcBorders>
                  <w:noWrap w:val="0"/>
                  <w:vAlign w:val="center"/>
                </w:tcPr>
                <w:p w14:paraId="0FA76E74">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擦拭废纸</w:t>
                  </w:r>
                </w:p>
              </w:tc>
              <w:tc>
                <w:tcPr>
                  <w:tcW w:w="1254" w:type="pct"/>
                  <w:tcBorders>
                    <w:top w:val="single" w:color="auto" w:sz="4" w:space="0"/>
                    <w:left w:val="single" w:color="auto" w:sz="4" w:space="0"/>
                    <w:right w:val="single" w:color="auto" w:sz="4" w:space="0"/>
                    <w:tl2br w:val="nil"/>
                    <w:tr2bl w:val="nil"/>
                  </w:tcBorders>
                  <w:noWrap w:val="0"/>
                  <w:vAlign w:val="center"/>
                </w:tcPr>
                <w:p w14:paraId="0C51F5AA">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沾染酒精的擦拭废纸</w:t>
                  </w:r>
                </w:p>
              </w:tc>
              <w:tc>
                <w:tcPr>
                  <w:tcW w:w="1415" w:type="pct"/>
                  <w:vMerge w:val="continue"/>
                  <w:tcBorders>
                    <w:left w:val="single" w:color="auto" w:sz="4" w:space="0"/>
                    <w:right w:val="single" w:color="auto" w:sz="4" w:space="0"/>
                    <w:tl2br w:val="nil"/>
                    <w:tr2bl w:val="nil"/>
                  </w:tcBorders>
                  <w:noWrap w:val="0"/>
                  <w:vAlign w:val="center"/>
                </w:tcPr>
                <w:p w14:paraId="0DE6065C">
                  <w:pPr>
                    <w:pStyle w:val="69"/>
                    <w:bidi w:val="0"/>
                    <w:rPr>
                      <w:rFonts w:hint="eastAsia"/>
                      <w:color w:val="auto"/>
                      <w:sz w:val="18"/>
                      <w:szCs w:val="18"/>
                      <w:highlight w:val="none"/>
                      <w:lang w:val="en-US" w:eastAsia="zh-CN"/>
                    </w:rPr>
                  </w:pPr>
                </w:p>
              </w:tc>
            </w:tr>
            <w:tr w14:paraId="0B1B0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3" w:type="pct"/>
                  <w:vMerge w:val="continue"/>
                  <w:tcBorders>
                    <w:left w:val="single" w:color="auto" w:sz="4" w:space="0"/>
                    <w:right w:val="single" w:color="auto" w:sz="4" w:space="0"/>
                    <w:tl2br w:val="nil"/>
                    <w:tr2bl w:val="nil"/>
                  </w:tcBorders>
                  <w:noWrap w:val="0"/>
                  <w:vAlign w:val="center"/>
                </w:tcPr>
                <w:p w14:paraId="3FB605BB">
                  <w:pPr>
                    <w:pStyle w:val="69"/>
                    <w:bidi w:val="0"/>
                    <w:rPr>
                      <w:rFonts w:hint="eastAsia"/>
                      <w:color w:val="auto"/>
                      <w:sz w:val="18"/>
                      <w:szCs w:val="18"/>
                      <w:highlight w:val="none"/>
                    </w:rPr>
                  </w:pPr>
                </w:p>
              </w:tc>
              <w:tc>
                <w:tcPr>
                  <w:tcW w:w="460" w:type="pct"/>
                  <w:vMerge w:val="restart"/>
                  <w:tcBorders>
                    <w:top w:val="single" w:color="auto" w:sz="4" w:space="0"/>
                    <w:left w:val="single" w:color="auto" w:sz="4" w:space="0"/>
                    <w:right w:val="single" w:color="auto" w:sz="4" w:space="0"/>
                    <w:tl2br w:val="nil"/>
                    <w:tr2bl w:val="nil"/>
                  </w:tcBorders>
                  <w:noWrap w:val="0"/>
                  <w:vAlign w:val="center"/>
                </w:tcPr>
                <w:p w14:paraId="0473FA2E">
                  <w:pPr>
                    <w:pStyle w:val="69"/>
                    <w:bidi w:val="0"/>
                    <w:ind w:firstLine="0" w:firstLineChars="0"/>
                    <w:rPr>
                      <w:rFonts w:hint="default"/>
                      <w:color w:val="auto"/>
                      <w:sz w:val="18"/>
                      <w:szCs w:val="18"/>
                      <w:highlight w:val="none"/>
                      <w:lang w:val="en-US" w:eastAsia="zh-CN"/>
                    </w:rPr>
                  </w:pPr>
                  <w:r>
                    <w:rPr>
                      <w:rFonts w:hint="default"/>
                      <w:color w:val="auto"/>
                      <w:sz w:val="18"/>
                      <w:szCs w:val="18"/>
                      <w:highlight w:val="none"/>
                      <w:lang w:val="en-US" w:eastAsia="zh-CN"/>
                    </w:rPr>
                    <w:t>S</w:t>
                  </w:r>
                  <w:r>
                    <w:rPr>
                      <w:rFonts w:hint="eastAsia"/>
                      <w:color w:val="auto"/>
                      <w:sz w:val="18"/>
                      <w:szCs w:val="18"/>
                      <w:highlight w:val="none"/>
                      <w:vertAlign w:val="subscript"/>
                      <w:lang w:val="en-US" w:eastAsia="zh-CN"/>
                    </w:rPr>
                    <w:t>1-3</w:t>
                  </w:r>
                </w:p>
              </w:tc>
              <w:tc>
                <w:tcPr>
                  <w:tcW w:w="622" w:type="pct"/>
                  <w:tcBorders>
                    <w:top w:val="single" w:color="auto" w:sz="4" w:space="0"/>
                    <w:left w:val="single" w:color="auto" w:sz="4" w:space="0"/>
                    <w:right w:val="single" w:color="auto" w:sz="4" w:space="0"/>
                    <w:tl2br w:val="nil"/>
                    <w:tr2bl w:val="nil"/>
                  </w:tcBorders>
                  <w:shd w:val="clear" w:color="auto" w:fill="auto"/>
                  <w:noWrap w:val="0"/>
                  <w:vAlign w:val="center"/>
                </w:tcPr>
                <w:p w14:paraId="3F122040">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芯片面回流焊</w:t>
                  </w:r>
                </w:p>
              </w:tc>
              <w:tc>
                <w:tcPr>
                  <w:tcW w:w="993" w:type="pct"/>
                  <w:vMerge w:val="restart"/>
                  <w:tcBorders>
                    <w:top w:val="single" w:color="auto" w:sz="4" w:space="0"/>
                    <w:left w:val="single" w:color="auto" w:sz="4" w:space="0"/>
                    <w:right w:val="single" w:color="auto" w:sz="4" w:space="0"/>
                    <w:tl2br w:val="nil"/>
                    <w:tr2bl w:val="nil"/>
                  </w:tcBorders>
                  <w:noWrap w:val="0"/>
                  <w:vAlign w:val="center"/>
                </w:tcPr>
                <w:p w14:paraId="393AD740">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锡焊焊渣</w:t>
                  </w:r>
                </w:p>
              </w:tc>
              <w:tc>
                <w:tcPr>
                  <w:tcW w:w="1254" w:type="pct"/>
                  <w:vMerge w:val="restart"/>
                  <w:tcBorders>
                    <w:top w:val="single" w:color="auto" w:sz="4" w:space="0"/>
                    <w:left w:val="single" w:color="auto" w:sz="4" w:space="0"/>
                    <w:right w:val="single" w:color="auto" w:sz="4" w:space="0"/>
                    <w:tl2br w:val="nil"/>
                    <w:tr2bl w:val="nil"/>
                  </w:tcBorders>
                  <w:noWrap w:val="0"/>
                  <w:vAlign w:val="center"/>
                </w:tcPr>
                <w:p w14:paraId="4269A0FB">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焊渣</w:t>
                  </w:r>
                </w:p>
              </w:tc>
              <w:tc>
                <w:tcPr>
                  <w:tcW w:w="1415" w:type="pct"/>
                  <w:vMerge w:val="restart"/>
                  <w:tcBorders>
                    <w:left w:val="single" w:color="auto" w:sz="4" w:space="0"/>
                    <w:right w:val="single" w:color="auto" w:sz="4" w:space="0"/>
                    <w:tl2br w:val="nil"/>
                    <w:tr2bl w:val="nil"/>
                  </w:tcBorders>
                  <w:noWrap w:val="0"/>
                  <w:vAlign w:val="center"/>
                </w:tcPr>
                <w:p w14:paraId="24E065BC">
                  <w:pPr>
                    <w:pStyle w:val="69"/>
                    <w:bidi w:val="0"/>
                    <w:rPr>
                      <w:rFonts w:hint="default"/>
                      <w:color w:val="auto"/>
                      <w:sz w:val="18"/>
                      <w:szCs w:val="18"/>
                      <w:highlight w:val="none"/>
                      <w:lang w:val="en-US" w:eastAsia="zh-CN"/>
                    </w:rPr>
                  </w:pPr>
                  <w:r>
                    <w:rPr>
                      <w:rFonts w:hint="eastAsia"/>
                      <w:color w:val="auto"/>
                      <w:sz w:val="18"/>
                      <w:szCs w:val="18"/>
                      <w:highlight w:val="none"/>
                      <w:lang w:val="en-US" w:eastAsia="zh-CN"/>
                    </w:rPr>
                    <w:t>外售综合利用</w:t>
                  </w:r>
                </w:p>
              </w:tc>
            </w:tr>
            <w:tr w14:paraId="5FECC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3" w:type="pct"/>
                  <w:vMerge w:val="continue"/>
                  <w:tcBorders>
                    <w:left w:val="single" w:color="auto" w:sz="4" w:space="0"/>
                    <w:right w:val="single" w:color="auto" w:sz="4" w:space="0"/>
                    <w:tl2br w:val="nil"/>
                    <w:tr2bl w:val="nil"/>
                  </w:tcBorders>
                  <w:noWrap w:val="0"/>
                  <w:vAlign w:val="center"/>
                </w:tcPr>
                <w:p w14:paraId="7AB939AC">
                  <w:pPr>
                    <w:pStyle w:val="69"/>
                    <w:bidi w:val="0"/>
                    <w:rPr>
                      <w:rFonts w:hint="eastAsia"/>
                      <w:color w:val="auto"/>
                      <w:sz w:val="18"/>
                      <w:szCs w:val="18"/>
                      <w:highlight w:val="none"/>
                    </w:rPr>
                  </w:pPr>
                </w:p>
              </w:tc>
              <w:tc>
                <w:tcPr>
                  <w:tcW w:w="460" w:type="pct"/>
                  <w:vMerge w:val="continue"/>
                  <w:tcBorders>
                    <w:left w:val="single" w:color="auto" w:sz="4" w:space="0"/>
                    <w:right w:val="single" w:color="auto" w:sz="4" w:space="0"/>
                    <w:tl2br w:val="nil"/>
                    <w:tr2bl w:val="nil"/>
                  </w:tcBorders>
                  <w:noWrap w:val="0"/>
                  <w:vAlign w:val="center"/>
                </w:tcPr>
                <w:p w14:paraId="2426CDB8">
                  <w:pPr>
                    <w:pStyle w:val="69"/>
                    <w:bidi w:val="0"/>
                    <w:ind w:firstLine="0" w:firstLineChars="0"/>
                    <w:rPr>
                      <w:rFonts w:hint="default"/>
                      <w:color w:val="auto"/>
                      <w:sz w:val="18"/>
                      <w:szCs w:val="18"/>
                      <w:highlight w:val="none"/>
                      <w:lang w:val="en-US" w:eastAsia="zh-CN"/>
                    </w:rPr>
                  </w:pPr>
                </w:p>
              </w:tc>
              <w:tc>
                <w:tcPr>
                  <w:tcW w:w="622" w:type="pct"/>
                  <w:tcBorders>
                    <w:top w:val="single" w:color="auto" w:sz="4" w:space="0"/>
                    <w:left w:val="single" w:color="auto" w:sz="4" w:space="0"/>
                    <w:right w:val="single" w:color="auto" w:sz="4" w:space="0"/>
                    <w:tl2br w:val="nil"/>
                    <w:tr2bl w:val="nil"/>
                  </w:tcBorders>
                  <w:shd w:val="clear" w:color="auto" w:fill="auto"/>
                  <w:noWrap w:val="0"/>
                  <w:vAlign w:val="center"/>
                </w:tcPr>
                <w:p w14:paraId="74A20CEE">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灯珠面回流焊</w:t>
                  </w:r>
                </w:p>
              </w:tc>
              <w:tc>
                <w:tcPr>
                  <w:tcW w:w="993" w:type="pct"/>
                  <w:vMerge w:val="continue"/>
                  <w:tcBorders>
                    <w:left w:val="single" w:color="auto" w:sz="4" w:space="0"/>
                    <w:right w:val="single" w:color="auto" w:sz="4" w:space="0"/>
                    <w:tl2br w:val="nil"/>
                    <w:tr2bl w:val="nil"/>
                  </w:tcBorders>
                  <w:noWrap w:val="0"/>
                  <w:vAlign w:val="center"/>
                </w:tcPr>
                <w:p w14:paraId="359D5521">
                  <w:pPr>
                    <w:pStyle w:val="69"/>
                    <w:bidi w:val="0"/>
                    <w:ind w:firstLine="0" w:firstLineChars="0"/>
                    <w:rPr>
                      <w:rFonts w:hint="eastAsia"/>
                      <w:color w:val="auto"/>
                      <w:sz w:val="18"/>
                      <w:szCs w:val="18"/>
                      <w:highlight w:val="none"/>
                      <w:lang w:val="en-US" w:eastAsia="zh-CN"/>
                    </w:rPr>
                  </w:pPr>
                </w:p>
              </w:tc>
              <w:tc>
                <w:tcPr>
                  <w:tcW w:w="1254" w:type="pct"/>
                  <w:vMerge w:val="continue"/>
                  <w:tcBorders>
                    <w:left w:val="single" w:color="auto" w:sz="4" w:space="0"/>
                    <w:right w:val="single" w:color="auto" w:sz="4" w:space="0"/>
                    <w:tl2br w:val="nil"/>
                    <w:tr2bl w:val="nil"/>
                  </w:tcBorders>
                  <w:noWrap w:val="0"/>
                  <w:vAlign w:val="center"/>
                </w:tcPr>
                <w:p w14:paraId="7325A8DC">
                  <w:pPr>
                    <w:pStyle w:val="69"/>
                    <w:bidi w:val="0"/>
                    <w:ind w:firstLine="0" w:firstLineChars="0"/>
                    <w:rPr>
                      <w:rFonts w:hint="eastAsia"/>
                      <w:color w:val="auto"/>
                      <w:sz w:val="18"/>
                      <w:szCs w:val="18"/>
                      <w:highlight w:val="none"/>
                      <w:lang w:val="en-US" w:eastAsia="zh-CN"/>
                    </w:rPr>
                  </w:pPr>
                </w:p>
              </w:tc>
              <w:tc>
                <w:tcPr>
                  <w:tcW w:w="1415" w:type="pct"/>
                  <w:vMerge w:val="continue"/>
                  <w:tcBorders>
                    <w:left w:val="single" w:color="auto" w:sz="4" w:space="0"/>
                    <w:right w:val="single" w:color="auto" w:sz="4" w:space="0"/>
                    <w:tl2br w:val="nil"/>
                    <w:tr2bl w:val="nil"/>
                  </w:tcBorders>
                  <w:noWrap w:val="0"/>
                  <w:vAlign w:val="center"/>
                </w:tcPr>
                <w:p w14:paraId="64EB83CB">
                  <w:pPr>
                    <w:pStyle w:val="69"/>
                    <w:bidi w:val="0"/>
                    <w:rPr>
                      <w:rFonts w:hint="eastAsia"/>
                      <w:color w:val="auto"/>
                      <w:sz w:val="18"/>
                      <w:szCs w:val="18"/>
                      <w:highlight w:val="none"/>
                      <w:lang w:val="en-US" w:eastAsia="zh-CN"/>
                    </w:rPr>
                  </w:pPr>
                </w:p>
              </w:tc>
            </w:tr>
            <w:tr w14:paraId="23F7F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3" w:type="pct"/>
                  <w:vMerge w:val="continue"/>
                  <w:tcBorders>
                    <w:left w:val="single" w:color="auto" w:sz="4" w:space="0"/>
                    <w:right w:val="single" w:color="auto" w:sz="4" w:space="0"/>
                    <w:tl2br w:val="nil"/>
                    <w:tr2bl w:val="nil"/>
                  </w:tcBorders>
                  <w:noWrap w:val="0"/>
                  <w:vAlign w:val="center"/>
                </w:tcPr>
                <w:p w14:paraId="72F4F3D2">
                  <w:pPr>
                    <w:pStyle w:val="69"/>
                    <w:bidi w:val="0"/>
                    <w:rPr>
                      <w:rFonts w:hint="eastAsia"/>
                      <w:color w:val="auto"/>
                      <w:sz w:val="18"/>
                      <w:szCs w:val="18"/>
                      <w:highlight w:val="none"/>
                    </w:rPr>
                  </w:pPr>
                </w:p>
              </w:tc>
              <w:tc>
                <w:tcPr>
                  <w:tcW w:w="460" w:type="pct"/>
                  <w:vMerge w:val="continue"/>
                  <w:tcBorders>
                    <w:left w:val="single" w:color="auto" w:sz="4" w:space="0"/>
                    <w:right w:val="single" w:color="auto" w:sz="4" w:space="0"/>
                    <w:tl2br w:val="nil"/>
                    <w:tr2bl w:val="nil"/>
                  </w:tcBorders>
                  <w:noWrap w:val="0"/>
                  <w:vAlign w:val="center"/>
                </w:tcPr>
                <w:p w14:paraId="06B9580E">
                  <w:pPr>
                    <w:pStyle w:val="69"/>
                    <w:bidi w:val="0"/>
                    <w:ind w:firstLine="0" w:firstLineChars="0"/>
                    <w:rPr>
                      <w:rFonts w:hint="default"/>
                      <w:color w:val="auto"/>
                      <w:sz w:val="18"/>
                      <w:szCs w:val="18"/>
                      <w:highlight w:val="none"/>
                      <w:lang w:val="en-US" w:eastAsia="zh-CN"/>
                    </w:rPr>
                  </w:pPr>
                </w:p>
              </w:tc>
              <w:tc>
                <w:tcPr>
                  <w:tcW w:w="622" w:type="pct"/>
                  <w:tcBorders>
                    <w:top w:val="single" w:color="auto" w:sz="4" w:space="0"/>
                    <w:left w:val="single" w:color="auto" w:sz="4" w:space="0"/>
                    <w:right w:val="single" w:color="auto" w:sz="4" w:space="0"/>
                    <w:tl2br w:val="nil"/>
                    <w:tr2bl w:val="nil"/>
                  </w:tcBorders>
                  <w:noWrap w:val="0"/>
                  <w:vAlign w:val="center"/>
                </w:tcPr>
                <w:p w14:paraId="49E5E882">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手工焊接</w:t>
                  </w:r>
                </w:p>
              </w:tc>
              <w:tc>
                <w:tcPr>
                  <w:tcW w:w="993" w:type="pct"/>
                  <w:vMerge w:val="continue"/>
                  <w:tcBorders>
                    <w:left w:val="single" w:color="auto" w:sz="4" w:space="0"/>
                    <w:right w:val="single" w:color="auto" w:sz="4" w:space="0"/>
                    <w:tl2br w:val="nil"/>
                    <w:tr2bl w:val="nil"/>
                  </w:tcBorders>
                  <w:noWrap w:val="0"/>
                  <w:vAlign w:val="center"/>
                </w:tcPr>
                <w:p w14:paraId="3A99EBE9">
                  <w:pPr>
                    <w:pStyle w:val="69"/>
                    <w:bidi w:val="0"/>
                    <w:ind w:firstLine="0" w:firstLineChars="0"/>
                    <w:rPr>
                      <w:rFonts w:hint="eastAsia"/>
                      <w:color w:val="auto"/>
                      <w:sz w:val="18"/>
                      <w:szCs w:val="18"/>
                      <w:highlight w:val="none"/>
                      <w:lang w:val="en-US" w:eastAsia="zh-CN"/>
                    </w:rPr>
                  </w:pPr>
                </w:p>
              </w:tc>
              <w:tc>
                <w:tcPr>
                  <w:tcW w:w="1254" w:type="pct"/>
                  <w:vMerge w:val="continue"/>
                  <w:tcBorders>
                    <w:left w:val="single" w:color="auto" w:sz="4" w:space="0"/>
                    <w:right w:val="single" w:color="auto" w:sz="4" w:space="0"/>
                    <w:tl2br w:val="nil"/>
                    <w:tr2bl w:val="nil"/>
                  </w:tcBorders>
                  <w:noWrap w:val="0"/>
                  <w:vAlign w:val="center"/>
                </w:tcPr>
                <w:p w14:paraId="3CAE8A04">
                  <w:pPr>
                    <w:pStyle w:val="69"/>
                    <w:bidi w:val="0"/>
                    <w:ind w:firstLine="0" w:firstLineChars="0"/>
                    <w:rPr>
                      <w:rFonts w:hint="eastAsia"/>
                      <w:color w:val="auto"/>
                      <w:sz w:val="18"/>
                      <w:szCs w:val="18"/>
                      <w:highlight w:val="none"/>
                      <w:lang w:val="en-US" w:eastAsia="zh-CN"/>
                    </w:rPr>
                  </w:pPr>
                </w:p>
              </w:tc>
              <w:tc>
                <w:tcPr>
                  <w:tcW w:w="1415" w:type="pct"/>
                  <w:vMerge w:val="continue"/>
                  <w:tcBorders>
                    <w:left w:val="single" w:color="auto" w:sz="4" w:space="0"/>
                    <w:right w:val="single" w:color="auto" w:sz="4" w:space="0"/>
                    <w:tl2br w:val="nil"/>
                    <w:tr2bl w:val="nil"/>
                  </w:tcBorders>
                  <w:noWrap w:val="0"/>
                  <w:vAlign w:val="center"/>
                </w:tcPr>
                <w:p w14:paraId="0F30DABE">
                  <w:pPr>
                    <w:pStyle w:val="69"/>
                    <w:bidi w:val="0"/>
                    <w:rPr>
                      <w:rFonts w:hint="eastAsia"/>
                      <w:color w:val="auto"/>
                      <w:sz w:val="18"/>
                      <w:szCs w:val="18"/>
                      <w:highlight w:val="none"/>
                      <w:lang w:val="en-US" w:eastAsia="zh-CN"/>
                    </w:rPr>
                  </w:pPr>
                </w:p>
              </w:tc>
            </w:tr>
            <w:tr w14:paraId="2ABC1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3" w:type="pct"/>
                  <w:vMerge w:val="continue"/>
                  <w:tcBorders>
                    <w:left w:val="single" w:color="auto" w:sz="4" w:space="0"/>
                    <w:right w:val="single" w:color="auto" w:sz="4" w:space="0"/>
                    <w:tl2br w:val="nil"/>
                    <w:tr2bl w:val="nil"/>
                  </w:tcBorders>
                  <w:noWrap w:val="0"/>
                  <w:vAlign w:val="center"/>
                </w:tcPr>
                <w:p w14:paraId="474D51CB">
                  <w:pPr>
                    <w:pStyle w:val="69"/>
                    <w:bidi w:val="0"/>
                    <w:rPr>
                      <w:rFonts w:hint="eastAsia"/>
                      <w:color w:val="auto"/>
                      <w:sz w:val="18"/>
                      <w:szCs w:val="18"/>
                      <w:highlight w:val="none"/>
                    </w:rPr>
                  </w:pPr>
                </w:p>
              </w:tc>
              <w:tc>
                <w:tcPr>
                  <w:tcW w:w="460" w:type="pct"/>
                  <w:vMerge w:val="restart"/>
                  <w:tcBorders>
                    <w:top w:val="single" w:color="auto" w:sz="4" w:space="0"/>
                    <w:left w:val="single" w:color="auto" w:sz="4" w:space="0"/>
                    <w:right w:val="single" w:color="auto" w:sz="4" w:space="0"/>
                    <w:tl2br w:val="nil"/>
                    <w:tr2bl w:val="nil"/>
                  </w:tcBorders>
                  <w:noWrap w:val="0"/>
                  <w:vAlign w:val="center"/>
                </w:tcPr>
                <w:p w14:paraId="36EBD181">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S</w:t>
                  </w:r>
                  <w:r>
                    <w:rPr>
                      <w:rFonts w:hint="eastAsia"/>
                      <w:color w:val="auto"/>
                      <w:sz w:val="18"/>
                      <w:szCs w:val="18"/>
                      <w:highlight w:val="none"/>
                      <w:vertAlign w:val="subscript"/>
                      <w:lang w:val="en-US" w:eastAsia="zh-CN"/>
                    </w:rPr>
                    <w:t>1-4</w:t>
                  </w:r>
                </w:p>
              </w:tc>
              <w:tc>
                <w:tcPr>
                  <w:tcW w:w="622" w:type="pct"/>
                  <w:tcBorders>
                    <w:top w:val="single" w:color="auto" w:sz="4" w:space="0"/>
                    <w:left w:val="single" w:color="auto" w:sz="4" w:space="0"/>
                    <w:right w:val="single" w:color="auto" w:sz="4" w:space="0"/>
                    <w:tl2br w:val="nil"/>
                    <w:tr2bl w:val="nil"/>
                  </w:tcBorders>
                  <w:noWrap w:val="0"/>
                  <w:vAlign w:val="center"/>
                </w:tcPr>
                <w:p w14:paraId="54077B42">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老化</w:t>
                  </w:r>
                </w:p>
              </w:tc>
              <w:tc>
                <w:tcPr>
                  <w:tcW w:w="993" w:type="pct"/>
                  <w:tcBorders>
                    <w:top w:val="single" w:color="auto" w:sz="4" w:space="0"/>
                    <w:left w:val="single" w:color="auto" w:sz="4" w:space="0"/>
                    <w:right w:val="single" w:color="auto" w:sz="4" w:space="0"/>
                    <w:tl2br w:val="nil"/>
                    <w:tr2bl w:val="nil"/>
                  </w:tcBorders>
                  <w:noWrap w:val="0"/>
                  <w:vAlign w:val="center"/>
                </w:tcPr>
                <w:p w14:paraId="11A27823">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不合格品</w:t>
                  </w:r>
                </w:p>
              </w:tc>
              <w:tc>
                <w:tcPr>
                  <w:tcW w:w="1254" w:type="pct"/>
                  <w:vMerge w:val="restart"/>
                  <w:tcBorders>
                    <w:top w:val="single" w:color="auto" w:sz="4" w:space="0"/>
                    <w:left w:val="single" w:color="auto" w:sz="4" w:space="0"/>
                    <w:right w:val="single" w:color="auto" w:sz="4" w:space="0"/>
                    <w:tl2br w:val="nil"/>
                    <w:tr2bl w:val="nil"/>
                  </w:tcBorders>
                  <w:noWrap w:val="0"/>
                  <w:vAlign w:val="center"/>
                </w:tcPr>
                <w:p w14:paraId="59D98E73">
                  <w:pPr>
                    <w:pStyle w:val="69"/>
                    <w:bidi w:val="0"/>
                    <w:ind w:firstLine="0" w:firstLineChars="0"/>
                    <w:rPr>
                      <w:rFonts w:hint="eastAsia"/>
                      <w:color w:val="auto"/>
                      <w:sz w:val="18"/>
                      <w:szCs w:val="18"/>
                      <w:highlight w:val="none"/>
                      <w:lang w:val="en-US" w:eastAsia="zh-CN"/>
                    </w:rPr>
                  </w:pPr>
                  <w:r>
                    <w:rPr>
                      <w:rFonts w:hint="eastAsia"/>
                      <w:color w:val="auto"/>
                      <w:sz w:val="18"/>
                      <w:szCs w:val="18"/>
                      <w:highlight w:val="none"/>
                      <w:lang w:val="en-US" w:eastAsia="zh-CN"/>
                    </w:rPr>
                    <w:t>不合格LED显示屏模组</w:t>
                  </w:r>
                </w:p>
              </w:tc>
              <w:tc>
                <w:tcPr>
                  <w:tcW w:w="1415" w:type="pct"/>
                  <w:vMerge w:val="restart"/>
                  <w:tcBorders>
                    <w:left w:val="single" w:color="auto" w:sz="4" w:space="0"/>
                    <w:right w:val="single" w:color="auto" w:sz="4" w:space="0"/>
                    <w:tl2br w:val="nil"/>
                    <w:tr2bl w:val="nil"/>
                  </w:tcBorders>
                  <w:noWrap w:val="0"/>
                  <w:vAlign w:val="center"/>
                </w:tcPr>
                <w:p w14:paraId="497359F7">
                  <w:pPr>
                    <w:pStyle w:val="69"/>
                    <w:bidi w:val="0"/>
                    <w:rPr>
                      <w:rFonts w:hint="eastAsia"/>
                      <w:color w:val="auto"/>
                      <w:sz w:val="18"/>
                      <w:szCs w:val="18"/>
                      <w:highlight w:val="none"/>
                      <w:lang w:val="en-US" w:eastAsia="zh-CN"/>
                    </w:rPr>
                  </w:pPr>
                  <w:r>
                    <w:rPr>
                      <w:rFonts w:hint="eastAsia"/>
                      <w:color w:val="auto"/>
                      <w:sz w:val="18"/>
                      <w:szCs w:val="18"/>
                      <w:highlight w:val="none"/>
                      <w:lang w:val="en-US" w:eastAsia="zh-CN"/>
                    </w:rPr>
                    <w:t>委托资质单位安全处置</w:t>
                  </w:r>
                </w:p>
              </w:tc>
            </w:tr>
            <w:tr w14:paraId="1299F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3" w:type="pct"/>
                  <w:vMerge w:val="continue"/>
                  <w:tcBorders>
                    <w:left w:val="single" w:color="auto" w:sz="4" w:space="0"/>
                    <w:right w:val="single" w:color="auto" w:sz="4" w:space="0"/>
                    <w:tl2br w:val="nil"/>
                    <w:tr2bl w:val="nil"/>
                  </w:tcBorders>
                  <w:noWrap w:val="0"/>
                  <w:vAlign w:val="center"/>
                </w:tcPr>
                <w:p w14:paraId="1BBB44D6">
                  <w:pPr>
                    <w:pStyle w:val="69"/>
                    <w:bidi w:val="0"/>
                    <w:rPr>
                      <w:rFonts w:hint="eastAsia"/>
                      <w:color w:val="auto"/>
                      <w:sz w:val="18"/>
                      <w:szCs w:val="18"/>
                      <w:highlight w:val="none"/>
                    </w:rPr>
                  </w:pPr>
                </w:p>
              </w:tc>
              <w:tc>
                <w:tcPr>
                  <w:tcW w:w="460" w:type="pct"/>
                  <w:vMerge w:val="continue"/>
                  <w:tcBorders>
                    <w:left w:val="single" w:color="auto" w:sz="4" w:space="0"/>
                    <w:right w:val="single" w:color="auto" w:sz="4" w:space="0"/>
                    <w:tl2br w:val="nil"/>
                    <w:tr2bl w:val="nil"/>
                  </w:tcBorders>
                  <w:noWrap w:val="0"/>
                  <w:vAlign w:val="center"/>
                </w:tcPr>
                <w:p w14:paraId="66283762">
                  <w:pPr>
                    <w:pStyle w:val="69"/>
                    <w:bidi w:val="0"/>
                    <w:ind w:firstLine="0" w:firstLineChars="0"/>
                    <w:rPr>
                      <w:rFonts w:hint="default"/>
                      <w:color w:val="auto"/>
                      <w:sz w:val="18"/>
                      <w:szCs w:val="18"/>
                      <w:highlight w:val="none"/>
                      <w:lang w:val="en-US" w:eastAsia="zh-CN"/>
                    </w:rPr>
                  </w:pPr>
                </w:p>
              </w:tc>
              <w:tc>
                <w:tcPr>
                  <w:tcW w:w="622" w:type="pct"/>
                  <w:tcBorders>
                    <w:top w:val="single" w:color="auto" w:sz="4" w:space="0"/>
                    <w:left w:val="single" w:color="auto" w:sz="4" w:space="0"/>
                    <w:right w:val="single" w:color="auto" w:sz="4" w:space="0"/>
                    <w:tl2br w:val="nil"/>
                    <w:tr2bl w:val="nil"/>
                  </w:tcBorders>
                  <w:noWrap w:val="0"/>
                  <w:vAlign w:val="center"/>
                </w:tcPr>
                <w:p w14:paraId="1CAB62AB">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测试</w:t>
                  </w:r>
                </w:p>
              </w:tc>
              <w:tc>
                <w:tcPr>
                  <w:tcW w:w="993" w:type="pct"/>
                  <w:tcBorders>
                    <w:top w:val="single" w:color="auto" w:sz="4" w:space="0"/>
                    <w:left w:val="single" w:color="auto" w:sz="4" w:space="0"/>
                    <w:right w:val="single" w:color="auto" w:sz="4" w:space="0"/>
                    <w:tl2br w:val="nil"/>
                    <w:tr2bl w:val="nil"/>
                  </w:tcBorders>
                  <w:noWrap w:val="0"/>
                  <w:vAlign w:val="center"/>
                </w:tcPr>
                <w:p w14:paraId="53BBC955">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不合格品</w:t>
                  </w:r>
                </w:p>
              </w:tc>
              <w:tc>
                <w:tcPr>
                  <w:tcW w:w="1254" w:type="pct"/>
                  <w:vMerge w:val="continue"/>
                  <w:tcBorders>
                    <w:left w:val="single" w:color="auto" w:sz="4" w:space="0"/>
                    <w:right w:val="single" w:color="auto" w:sz="4" w:space="0"/>
                    <w:tl2br w:val="nil"/>
                    <w:tr2bl w:val="nil"/>
                  </w:tcBorders>
                  <w:noWrap w:val="0"/>
                  <w:vAlign w:val="center"/>
                </w:tcPr>
                <w:p w14:paraId="5C26A04F">
                  <w:pPr>
                    <w:pStyle w:val="69"/>
                    <w:bidi w:val="0"/>
                    <w:ind w:firstLine="0" w:firstLineChars="0"/>
                    <w:rPr>
                      <w:rFonts w:hint="eastAsia"/>
                      <w:color w:val="auto"/>
                      <w:sz w:val="18"/>
                      <w:szCs w:val="18"/>
                      <w:highlight w:val="none"/>
                      <w:lang w:val="en-US" w:eastAsia="zh-CN"/>
                    </w:rPr>
                  </w:pPr>
                </w:p>
              </w:tc>
              <w:tc>
                <w:tcPr>
                  <w:tcW w:w="1415" w:type="pct"/>
                  <w:vMerge w:val="continue"/>
                  <w:tcBorders>
                    <w:left w:val="single" w:color="auto" w:sz="4" w:space="0"/>
                    <w:right w:val="single" w:color="auto" w:sz="4" w:space="0"/>
                    <w:tl2br w:val="nil"/>
                    <w:tr2bl w:val="nil"/>
                  </w:tcBorders>
                  <w:noWrap w:val="0"/>
                  <w:vAlign w:val="center"/>
                </w:tcPr>
                <w:p w14:paraId="5C545ECA">
                  <w:pPr>
                    <w:pStyle w:val="69"/>
                    <w:bidi w:val="0"/>
                    <w:rPr>
                      <w:rFonts w:hint="eastAsia"/>
                      <w:color w:val="auto"/>
                      <w:sz w:val="18"/>
                      <w:szCs w:val="18"/>
                      <w:highlight w:val="none"/>
                      <w:lang w:val="en-US" w:eastAsia="zh-CN"/>
                    </w:rPr>
                  </w:pPr>
                </w:p>
              </w:tc>
            </w:tr>
            <w:tr w14:paraId="5502E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3" w:type="pct"/>
                  <w:vMerge w:val="continue"/>
                  <w:tcBorders>
                    <w:left w:val="single" w:color="auto" w:sz="4" w:space="0"/>
                    <w:right w:val="single" w:color="auto" w:sz="4" w:space="0"/>
                    <w:tl2br w:val="nil"/>
                    <w:tr2bl w:val="nil"/>
                  </w:tcBorders>
                  <w:noWrap w:val="0"/>
                  <w:vAlign w:val="center"/>
                </w:tcPr>
                <w:p w14:paraId="58F7082E">
                  <w:pPr>
                    <w:pStyle w:val="69"/>
                    <w:bidi w:val="0"/>
                    <w:rPr>
                      <w:rFonts w:hint="eastAsia"/>
                      <w:color w:val="auto"/>
                      <w:sz w:val="18"/>
                      <w:szCs w:val="18"/>
                      <w:highlight w:val="none"/>
                    </w:rPr>
                  </w:pPr>
                </w:p>
              </w:tc>
              <w:tc>
                <w:tcPr>
                  <w:tcW w:w="460" w:type="pct"/>
                  <w:tcBorders>
                    <w:top w:val="single" w:color="auto" w:sz="4" w:space="0"/>
                    <w:left w:val="single" w:color="auto" w:sz="4" w:space="0"/>
                    <w:right w:val="single" w:color="auto" w:sz="4" w:space="0"/>
                    <w:tl2br w:val="nil"/>
                    <w:tr2bl w:val="nil"/>
                  </w:tcBorders>
                  <w:noWrap w:val="0"/>
                  <w:vAlign w:val="center"/>
                </w:tcPr>
                <w:p w14:paraId="7039EAA6">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S</w:t>
                  </w:r>
                  <w:r>
                    <w:rPr>
                      <w:rFonts w:hint="eastAsia"/>
                      <w:color w:val="auto"/>
                      <w:sz w:val="18"/>
                      <w:szCs w:val="18"/>
                      <w:highlight w:val="none"/>
                      <w:vertAlign w:val="subscript"/>
                      <w:lang w:val="en-US" w:eastAsia="zh-CN"/>
                    </w:rPr>
                    <w:t>1-5</w:t>
                  </w:r>
                </w:p>
              </w:tc>
              <w:tc>
                <w:tcPr>
                  <w:tcW w:w="622" w:type="pct"/>
                  <w:tcBorders>
                    <w:top w:val="single" w:color="auto" w:sz="4" w:space="0"/>
                    <w:left w:val="single" w:color="auto" w:sz="4" w:space="0"/>
                    <w:right w:val="single" w:color="auto" w:sz="4" w:space="0"/>
                    <w:tl2br w:val="nil"/>
                    <w:tr2bl w:val="nil"/>
                  </w:tcBorders>
                  <w:noWrap w:val="0"/>
                  <w:vAlign w:val="center"/>
                </w:tcPr>
                <w:p w14:paraId="56FAE5A7">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包装</w:t>
                  </w:r>
                </w:p>
              </w:tc>
              <w:tc>
                <w:tcPr>
                  <w:tcW w:w="993" w:type="pct"/>
                  <w:tcBorders>
                    <w:top w:val="single" w:color="auto" w:sz="4" w:space="0"/>
                    <w:left w:val="single" w:color="auto" w:sz="4" w:space="0"/>
                    <w:right w:val="single" w:color="auto" w:sz="4" w:space="0"/>
                    <w:tl2br w:val="nil"/>
                    <w:tr2bl w:val="nil"/>
                  </w:tcBorders>
                  <w:noWrap w:val="0"/>
                  <w:vAlign w:val="center"/>
                </w:tcPr>
                <w:p w14:paraId="36EA03D3">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废包装箱</w:t>
                  </w:r>
                </w:p>
              </w:tc>
              <w:tc>
                <w:tcPr>
                  <w:tcW w:w="1254" w:type="pct"/>
                  <w:tcBorders>
                    <w:top w:val="single" w:color="auto" w:sz="4" w:space="0"/>
                    <w:left w:val="single" w:color="auto" w:sz="4" w:space="0"/>
                    <w:right w:val="single" w:color="auto" w:sz="4" w:space="0"/>
                    <w:tl2br w:val="nil"/>
                    <w:tr2bl w:val="nil"/>
                  </w:tcBorders>
                  <w:noWrap w:val="0"/>
                  <w:vAlign w:val="center"/>
                </w:tcPr>
                <w:p w14:paraId="0AAF9869">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包装箱</w:t>
                  </w:r>
                </w:p>
              </w:tc>
              <w:tc>
                <w:tcPr>
                  <w:tcW w:w="1415" w:type="pct"/>
                  <w:vMerge w:val="restart"/>
                  <w:tcBorders>
                    <w:left w:val="single" w:color="auto" w:sz="4" w:space="0"/>
                    <w:right w:val="single" w:color="auto" w:sz="4" w:space="0"/>
                    <w:tl2br w:val="nil"/>
                    <w:tr2bl w:val="nil"/>
                  </w:tcBorders>
                  <w:noWrap w:val="0"/>
                  <w:vAlign w:val="center"/>
                </w:tcPr>
                <w:p w14:paraId="32DB8CDE">
                  <w:pPr>
                    <w:pStyle w:val="69"/>
                    <w:bidi w:val="0"/>
                    <w:rPr>
                      <w:rFonts w:hint="eastAsia"/>
                      <w:color w:val="auto"/>
                      <w:sz w:val="18"/>
                      <w:szCs w:val="18"/>
                      <w:highlight w:val="none"/>
                      <w:lang w:val="en-US" w:eastAsia="zh-CN"/>
                    </w:rPr>
                  </w:pPr>
                  <w:r>
                    <w:rPr>
                      <w:rFonts w:hint="eastAsia"/>
                      <w:color w:val="auto"/>
                      <w:sz w:val="18"/>
                      <w:szCs w:val="18"/>
                      <w:highlight w:val="none"/>
                      <w:lang w:val="en-US" w:eastAsia="zh-CN"/>
                    </w:rPr>
                    <w:t>外售综合利用</w:t>
                  </w:r>
                </w:p>
              </w:tc>
            </w:tr>
            <w:tr w14:paraId="13035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3" w:type="pct"/>
                  <w:vMerge w:val="continue"/>
                  <w:tcBorders>
                    <w:left w:val="single" w:color="auto" w:sz="4" w:space="0"/>
                    <w:right w:val="single" w:color="auto" w:sz="4" w:space="0"/>
                    <w:tl2br w:val="nil"/>
                    <w:tr2bl w:val="nil"/>
                  </w:tcBorders>
                  <w:noWrap w:val="0"/>
                  <w:vAlign w:val="center"/>
                </w:tcPr>
                <w:p w14:paraId="657C0704">
                  <w:pPr>
                    <w:pStyle w:val="69"/>
                    <w:bidi w:val="0"/>
                    <w:rPr>
                      <w:rFonts w:hint="eastAsia"/>
                      <w:color w:val="auto"/>
                      <w:sz w:val="18"/>
                      <w:szCs w:val="18"/>
                      <w:highlight w:val="none"/>
                    </w:rPr>
                  </w:pPr>
                </w:p>
              </w:tc>
              <w:tc>
                <w:tcPr>
                  <w:tcW w:w="460" w:type="pct"/>
                  <w:tcBorders>
                    <w:top w:val="single" w:color="auto" w:sz="4" w:space="0"/>
                    <w:left w:val="single" w:color="auto" w:sz="4" w:space="0"/>
                    <w:right w:val="single" w:color="auto" w:sz="4" w:space="0"/>
                    <w:tl2br w:val="nil"/>
                    <w:tr2bl w:val="nil"/>
                  </w:tcBorders>
                  <w:noWrap w:val="0"/>
                  <w:vAlign w:val="center"/>
                </w:tcPr>
                <w:p w14:paraId="78F9E70B">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S</w:t>
                  </w:r>
                  <w:r>
                    <w:rPr>
                      <w:rFonts w:hint="eastAsia"/>
                      <w:color w:val="auto"/>
                      <w:sz w:val="18"/>
                      <w:szCs w:val="18"/>
                      <w:highlight w:val="none"/>
                      <w:vertAlign w:val="subscript"/>
                      <w:lang w:val="en-US" w:eastAsia="zh-CN"/>
                    </w:rPr>
                    <w:t>2-1</w:t>
                  </w:r>
                </w:p>
              </w:tc>
              <w:tc>
                <w:tcPr>
                  <w:tcW w:w="622" w:type="pct"/>
                  <w:tcBorders>
                    <w:top w:val="single" w:color="auto" w:sz="4" w:space="0"/>
                    <w:left w:val="single" w:color="auto" w:sz="4" w:space="0"/>
                    <w:right w:val="single" w:color="auto" w:sz="4" w:space="0"/>
                    <w:tl2br w:val="nil"/>
                    <w:tr2bl w:val="nil"/>
                  </w:tcBorders>
                  <w:noWrap w:val="0"/>
                  <w:vAlign w:val="center"/>
                </w:tcPr>
                <w:p w14:paraId="07ED61BE">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分切</w:t>
                  </w:r>
                </w:p>
              </w:tc>
              <w:tc>
                <w:tcPr>
                  <w:tcW w:w="993" w:type="pct"/>
                  <w:tcBorders>
                    <w:top w:val="single" w:color="auto" w:sz="4" w:space="0"/>
                    <w:left w:val="single" w:color="auto" w:sz="4" w:space="0"/>
                    <w:right w:val="single" w:color="auto" w:sz="4" w:space="0"/>
                    <w:tl2br w:val="nil"/>
                    <w:tr2bl w:val="nil"/>
                  </w:tcBorders>
                  <w:shd w:val="clear" w:color="auto" w:fill="auto"/>
                  <w:noWrap w:val="0"/>
                  <w:vAlign w:val="center"/>
                </w:tcPr>
                <w:p w14:paraId="6C0B0824">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废边角料</w:t>
                  </w:r>
                </w:p>
              </w:tc>
              <w:tc>
                <w:tcPr>
                  <w:tcW w:w="1254" w:type="pct"/>
                  <w:tcBorders>
                    <w:top w:val="single" w:color="auto" w:sz="4" w:space="0"/>
                    <w:left w:val="single" w:color="auto" w:sz="4" w:space="0"/>
                    <w:right w:val="single" w:color="auto" w:sz="4" w:space="0"/>
                    <w:tl2br w:val="nil"/>
                    <w:tr2bl w:val="nil"/>
                  </w:tcBorders>
                  <w:noWrap w:val="0"/>
                  <w:vAlign w:val="center"/>
                </w:tcPr>
                <w:p w14:paraId="72BB4FA0">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塑料边角料</w:t>
                  </w:r>
                </w:p>
              </w:tc>
              <w:tc>
                <w:tcPr>
                  <w:tcW w:w="1415" w:type="pct"/>
                  <w:vMerge w:val="continue"/>
                  <w:tcBorders>
                    <w:left w:val="single" w:color="auto" w:sz="4" w:space="0"/>
                    <w:right w:val="single" w:color="auto" w:sz="4" w:space="0"/>
                    <w:tl2br w:val="nil"/>
                    <w:tr2bl w:val="nil"/>
                  </w:tcBorders>
                  <w:noWrap w:val="0"/>
                  <w:vAlign w:val="center"/>
                </w:tcPr>
                <w:p w14:paraId="277E9856">
                  <w:pPr>
                    <w:pStyle w:val="69"/>
                    <w:bidi w:val="0"/>
                    <w:rPr>
                      <w:rFonts w:hint="eastAsia"/>
                      <w:color w:val="auto"/>
                      <w:sz w:val="18"/>
                      <w:szCs w:val="18"/>
                      <w:highlight w:val="none"/>
                      <w:lang w:val="en-US" w:eastAsia="zh-CN"/>
                    </w:rPr>
                  </w:pPr>
                </w:p>
              </w:tc>
            </w:tr>
            <w:tr w14:paraId="5E043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3" w:type="pct"/>
                  <w:vMerge w:val="continue"/>
                  <w:tcBorders>
                    <w:left w:val="single" w:color="auto" w:sz="4" w:space="0"/>
                    <w:right w:val="single" w:color="auto" w:sz="4" w:space="0"/>
                    <w:tl2br w:val="nil"/>
                    <w:tr2bl w:val="nil"/>
                  </w:tcBorders>
                  <w:noWrap w:val="0"/>
                  <w:vAlign w:val="center"/>
                </w:tcPr>
                <w:p w14:paraId="14BAB9EC">
                  <w:pPr>
                    <w:pStyle w:val="69"/>
                    <w:bidi w:val="0"/>
                    <w:rPr>
                      <w:rFonts w:hint="eastAsia"/>
                      <w:color w:val="auto"/>
                      <w:sz w:val="18"/>
                      <w:szCs w:val="18"/>
                      <w:highlight w:val="none"/>
                    </w:rPr>
                  </w:pPr>
                </w:p>
              </w:tc>
              <w:tc>
                <w:tcPr>
                  <w:tcW w:w="460" w:type="pct"/>
                  <w:tcBorders>
                    <w:top w:val="single" w:color="auto" w:sz="4" w:space="0"/>
                    <w:left w:val="single" w:color="auto" w:sz="4" w:space="0"/>
                    <w:right w:val="single" w:color="auto" w:sz="4" w:space="0"/>
                    <w:tl2br w:val="nil"/>
                    <w:tr2bl w:val="nil"/>
                  </w:tcBorders>
                  <w:noWrap w:val="0"/>
                  <w:vAlign w:val="center"/>
                </w:tcPr>
                <w:p w14:paraId="342C5B44">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S</w:t>
                  </w:r>
                  <w:r>
                    <w:rPr>
                      <w:rFonts w:hint="eastAsia"/>
                      <w:color w:val="auto"/>
                      <w:sz w:val="18"/>
                      <w:szCs w:val="18"/>
                      <w:highlight w:val="none"/>
                      <w:vertAlign w:val="subscript"/>
                      <w:lang w:val="en-US" w:eastAsia="zh-CN"/>
                    </w:rPr>
                    <w:t>2-2</w:t>
                  </w:r>
                </w:p>
              </w:tc>
              <w:tc>
                <w:tcPr>
                  <w:tcW w:w="622" w:type="pct"/>
                  <w:tcBorders>
                    <w:top w:val="single" w:color="auto" w:sz="4" w:space="0"/>
                    <w:left w:val="single" w:color="auto" w:sz="4" w:space="0"/>
                    <w:right w:val="single" w:color="auto" w:sz="4" w:space="0"/>
                    <w:tl2br w:val="nil"/>
                    <w:tr2bl w:val="nil"/>
                  </w:tcBorders>
                  <w:noWrap w:val="0"/>
                  <w:vAlign w:val="center"/>
                </w:tcPr>
                <w:p w14:paraId="075E7BE6">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成品检验</w:t>
                  </w:r>
                </w:p>
              </w:tc>
              <w:tc>
                <w:tcPr>
                  <w:tcW w:w="993" w:type="pct"/>
                  <w:tcBorders>
                    <w:top w:val="single" w:color="auto" w:sz="4" w:space="0"/>
                    <w:left w:val="single" w:color="auto" w:sz="4" w:space="0"/>
                    <w:right w:val="single" w:color="auto" w:sz="4" w:space="0"/>
                    <w:tl2br w:val="nil"/>
                    <w:tr2bl w:val="nil"/>
                  </w:tcBorders>
                  <w:shd w:val="clear" w:color="auto" w:fill="auto"/>
                  <w:noWrap w:val="0"/>
                  <w:vAlign w:val="center"/>
                </w:tcPr>
                <w:p w14:paraId="5AADDF4F">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不合格品</w:t>
                  </w:r>
                </w:p>
              </w:tc>
              <w:tc>
                <w:tcPr>
                  <w:tcW w:w="1254" w:type="pct"/>
                  <w:tcBorders>
                    <w:top w:val="single" w:color="auto" w:sz="4" w:space="0"/>
                    <w:left w:val="single" w:color="auto" w:sz="4" w:space="0"/>
                    <w:right w:val="single" w:color="auto" w:sz="4" w:space="0"/>
                    <w:tl2br w:val="nil"/>
                    <w:tr2bl w:val="nil"/>
                  </w:tcBorders>
                  <w:noWrap w:val="0"/>
                  <w:vAlign w:val="center"/>
                </w:tcPr>
                <w:p w14:paraId="1718A55F">
                  <w:pPr>
                    <w:pStyle w:val="69"/>
                    <w:bidi w:val="0"/>
                    <w:ind w:firstLine="0" w:firstLineChars="0"/>
                    <w:rPr>
                      <w:rFonts w:hint="eastAsia"/>
                      <w:color w:val="auto"/>
                      <w:sz w:val="18"/>
                      <w:szCs w:val="18"/>
                      <w:highlight w:val="none"/>
                      <w:lang w:val="en-US" w:eastAsia="zh-CN"/>
                    </w:rPr>
                  </w:pPr>
                  <w:r>
                    <w:rPr>
                      <w:rFonts w:hint="eastAsia"/>
                      <w:color w:val="auto"/>
                      <w:sz w:val="18"/>
                      <w:szCs w:val="18"/>
                      <w:highlight w:val="none"/>
                      <w:lang w:val="en-US" w:eastAsia="zh-CN"/>
                    </w:rPr>
                    <w:t>不合格显示屏模组器件</w:t>
                  </w:r>
                </w:p>
              </w:tc>
              <w:tc>
                <w:tcPr>
                  <w:tcW w:w="1415" w:type="pct"/>
                  <w:vMerge w:val="continue"/>
                  <w:tcBorders>
                    <w:left w:val="single" w:color="auto" w:sz="4" w:space="0"/>
                    <w:right w:val="single" w:color="auto" w:sz="4" w:space="0"/>
                    <w:tl2br w:val="nil"/>
                    <w:tr2bl w:val="nil"/>
                  </w:tcBorders>
                  <w:noWrap w:val="0"/>
                  <w:vAlign w:val="center"/>
                </w:tcPr>
                <w:p w14:paraId="4AAE37B7">
                  <w:pPr>
                    <w:pStyle w:val="69"/>
                    <w:bidi w:val="0"/>
                    <w:rPr>
                      <w:rFonts w:hint="eastAsia"/>
                      <w:color w:val="auto"/>
                      <w:sz w:val="18"/>
                      <w:szCs w:val="18"/>
                      <w:highlight w:val="none"/>
                      <w:lang w:val="en-US" w:eastAsia="zh-CN"/>
                    </w:rPr>
                  </w:pPr>
                </w:p>
              </w:tc>
            </w:tr>
            <w:tr w14:paraId="14F6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3" w:type="pct"/>
                  <w:vMerge w:val="continue"/>
                  <w:tcBorders>
                    <w:left w:val="single" w:color="auto" w:sz="4" w:space="0"/>
                    <w:right w:val="single" w:color="auto" w:sz="4" w:space="0"/>
                    <w:tl2br w:val="nil"/>
                    <w:tr2bl w:val="nil"/>
                  </w:tcBorders>
                  <w:noWrap w:val="0"/>
                  <w:vAlign w:val="center"/>
                </w:tcPr>
                <w:p w14:paraId="703DCA74">
                  <w:pPr>
                    <w:pStyle w:val="69"/>
                    <w:bidi w:val="0"/>
                    <w:rPr>
                      <w:rFonts w:hint="eastAsia"/>
                      <w:color w:val="auto"/>
                      <w:sz w:val="18"/>
                      <w:szCs w:val="18"/>
                      <w:highlight w:val="none"/>
                    </w:rPr>
                  </w:pPr>
                </w:p>
              </w:tc>
              <w:tc>
                <w:tcPr>
                  <w:tcW w:w="460" w:type="pct"/>
                  <w:tcBorders>
                    <w:top w:val="single" w:color="auto" w:sz="4" w:space="0"/>
                    <w:left w:val="single" w:color="auto" w:sz="4" w:space="0"/>
                    <w:right w:val="single" w:color="auto" w:sz="4" w:space="0"/>
                    <w:tl2br w:val="nil"/>
                    <w:tr2bl w:val="nil"/>
                  </w:tcBorders>
                  <w:noWrap w:val="0"/>
                  <w:vAlign w:val="center"/>
                </w:tcPr>
                <w:p w14:paraId="08C98E5B">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S</w:t>
                  </w:r>
                  <w:r>
                    <w:rPr>
                      <w:rFonts w:hint="eastAsia"/>
                      <w:color w:val="auto"/>
                      <w:sz w:val="18"/>
                      <w:szCs w:val="18"/>
                      <w:highlight w:val="none"/>
                      <w:vertAlign w:val="subscript"/>
                      <w:lang w:val="en-US" w:eastAsia="zh-CN"/>
                    </w:rPr>
                    <w:t>2-3</w:t>
                  </w:r>
                </w:p>
              </w:tc>
              <w:tc>
                <w:tcPr>
                  <w:tcW w:w="622" w:type="pct"/>
                  <w:tcBorders>
                    <w:top w:val="single" w:color="auto" w:sz="4" w:space="0"/>
                    <w:left w:val="single" w:color="auto" w:sz="4" w:space="0"/>
                    <w:right w:val="single" w:color="auto" w:sz="4" w:space="0"/>
                    <w:tl2br w:val="nil"/>
                    <w:tr2bl w:val="nil"/>
                  </w:tcBorders>
                  <w:noWrap w:val="0"/>
                  <w:vAlign w:val="center"/>
                </w:tcPr>
                <w:p w14:paraId="75FDE606">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包装</w:t>
                  </w:r>
                </w:p>
              </w:tc>
              <w:tc>
                <w:tcPr>
                  <w:tcW w:w="993" w:type="pct"/>
                  <w:tcBorders>
                    <w:top w:val="single" w:color="auto" w:sz="4" w:space="0"/>
                    <w:left w:val="single" w:color="auto" w:sz="4" w:space="0"/>
                    <w:right w:val="single" w:color="auto" w:sz="4" w:space="0"/>
                    <w:tl2br w:val="nil"/>
                    <w:tr2bl w:val="nil"/>
                  </w:tcBorders>
                  <w:shd w:val="clear" w:color="auto" w:fill="auto"/>
                  <w:noWrap w:val="0"/>
                  <w:vAlign w:val="center"/>
                </w:tcPr>
                <w:p w14:paraId="3208D841">
                  <w:pPr>
                    <w:pStyle w:val="69"/>
                    <w:bidi w:val="0"/>
                    <w:ind w:firstLine="0" w:firstLineChars="0"/>
                    <w:rPr>
                      <w:rFonts w:hint="eastAsia" w:ascii="Times New Roman" w:hAnsi="Times New Roman" w:eastAsia="宋体" w:cs="Times New Roman"/>
                      <w:b w:val="0"/>
                      <w:color w:val="auto"/>
                      <w:kern w:val="2"/>
                      <w:sz w:val="18"/>
                      <w:szCs w:val="18"/>
                      <w:highlight w:val="none"/>
                      <w:lang w:val="en-US" w:eastAsia="zh-CN" w:bidi="ar-SA"/>
                    </w:rPr>
                  </w:pPr>
                  <w:r>
                    <w:rPr>
                      <w:rFonts w:hint="eastAsia"/>
                      <w:color w:val="auto"/>
                      <w:sz w:val="18"/>
                      <w:szCs w:val="18"/>
                      <w:highlight w:val="none"/>
                      <w:lang w:val="en-US" w:eastAsia="zh-CN"/>
                    </w:rPr>
                    <w:t>废包装箱</w:t>
                  </w:r>
                </w:p>
              </w:tc>
              <w:tc>
                <w:tcPr>
                  <w:tcW w:w="1254" w:type="pct"/>
                  <w:tcBorders>
                    <w:top w:val="single" w:color="auto" w:sz="4" w:space="0"/>
                    <w:left w:val="single" w:color="auto" w:sz="4" w:space="0"/>
                    <w:right w:val="single" w:color="auto" w:sz="4" w:space="0"/>
                    <w:tl2br w:val="nil"/>
                    <w:tr2bl w:val="nil"/>
                  </w:tcBorders>
                  <w:noWrap w:val="0"/>
                  <w:vAlign w:val="center"/>
                </w:tcPr>
                <w:p w14:paraId="457B85B4">
                  <w:pPr>
                    <w:pStyle w:val="69"/>
                    <w:bidi w:val="0"/>
                    <w:ind w:firstLine="0" w:firstLineChars="0"/>
                    <w:rPr>
                      <w:rFonts w:hint="eastAsia"/>
                      <w:color w:val="auto"/>
                      <w:sz w:val="18"/>
                      <w:szCs w:val="18"/>
                      <w:highlight w:val="none"/>
                      <w:lang w:val="en-US" w:eastAsia="zh-CN"/>
                    </w:rPr>
                  </w:pPr>
                  <w:r>
                    <w:rPr>
                      <w:rFonts w:hint="eastAsia"/>
                      <w:color w:val="auto"/>
                      <w:sz w:val="18"/>
                      <w:szCs w:val="18"/>
                      <w:highlight w:val="none"/>
                      <w:lang w:val="en-US" w:eastAsia="zh-CN"/>
                    </w:rPr>
                    <w:t>包装箱</w:t>
                  </w:r>
                </w:p>
              </w:tc>
              <w:tc>
                <w:tcPr>
                  <w:tcW w:w="1415" w:type="pct"/>
                  <w:vMerge w:val="continue"/>
                  <w:tcBorders>
                    <w:left w:val="single" w:color="auto" w:sz="4" w:space="0"/>
                    <w:right w:val="single" w:color="auto" w:sz="4" w:space="0"/>
                    <w:tl2br w:val="nil"/>
                    <w:tr2bl w:val="nil"/>
                  </w:tcBorders>
                  <w:noWrap w:val="0"/>
                  <w:vAlign w:val="center"/>
                </w:tcPr>
                <w:p w14:paraId="66AA2354">
                  <w:pPr>
                    <w:pStyle w:val="69"/>
                    <w:bidi w:val="0"/>
                    <w:rPr>
                      <w:rFonts w:hint="eastAsia"/>
                      <w:color w:val="auto"/>
                      <w:sz w:val="18"/>
                      <w:szCs w:val="18"/>
                      <w:highlight w:val="none"/>
                      <w:lang w:val="en-US" w:eastAsia="zh-CN"/>
                    </w:rPr>
                  </w:pPr>
                </w:p>
              </w:tc>
            </w:tr>
            <w:tr w14:paraId="7B8FF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3" w:type="pct"/>
                  <w:vMerge w:val="continue"/>
                  <w:tcBorders>
                    <w:left w:val="single" w:color="auto" w:sz="4" w:space="0"/>
                    <w:right w:val="single" w:color="auto" w:sz="4" w:space="0"/>
                    <w:tl2br w:val="nil"/>
                    <w:tr2bl w:val="nil"/>
                  </w:tcBorders>
                  <w:noWrap w:val="0"/>
                  <w:vAlign w:val="center"/>
                </w:tcPr>
                <w:p w14:paraId="6A5E7163">
                  <w:pPr>
                    <w:pStyle w:val="69"/>
                    <w:bidi w:val="0"/>
                    <w:rPr>
                      <w:rFonts w:hint="eastAsia"/>
                      <w:color w:val="auto"/>
                      <w:sz w:val="18"/>
                      <w:szCs w:val="18"/>
                      <w:highlight w:val="none"/>
                    </w:rPr>
                  </w:pPr>
                </w:p>
              </w:tc>
              <w:tc>
                <w:tcPr>
                  <w:tcW w:w="460" w:type="pct"/>
                  <w:tcBorders>
                    <w:top w:val="single" w:color="auto" w:sz="4" w:space="0"/>
                    <w:left w:val="single" w:color="auto" w:sz="4" w:space="0"/>
                    <w:right w:val="single" w:color="auto" w:sz="4" w:space="0"/>
                    <w:tl2br w:val="nil"/>
                    <w:tr2bl w:val="nil"/>
                  </w:tcBorders>
                  <w:noWrap w:val="0"/>
                  <w:vAlign w:val="center"/>
                </w:tcPr>
                <w:p w14:paraId="689BD7FA">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w:t>
                  </w:r>
                </w:p>
              </w:tc>
              <w:tc>
                <w:tcPr>
                  <w:tcW w:w="622" w:type="pct"/>
                  <w:vMerge w:val="restart"/>
                  <w:tcBorders>
                    <w:top w:val="single" w:color="auto" w:sz="4" w:space="0"/>
                    <w:left w:val="single" w:color="auto" w:sz="4" w:space="0"/>
                    <w:right w:val="single" w:color="auto" w:sz="4" w:space="0"/>
                    <w:tl2br w:val="nil"/>
                    <w:tr2bl w:val="nil"/>
                  </w:tcBorders>
                  <w:noWrap w:val="0"/>
                  <w:vAlign w:val="center"/>
                </w:tcPr>
                <w:p w14:paraId="68C34AC0">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废气治理</w:t>
                  </w:r>
                </w:p>
              </w:tc>
              <w:tc>
                <w:tcPr>
                  <w:tcW w:w="993" w:type="pct"/>
                  <w:tcBorders>
                    <w:top w:val="single" w:color="auto" w:sz="4" w:space="0"/>
                    <w:left w:val="single" w:color="auto" w:sz="4" w:space="0"/>
                    <w:right w:val="single" w:color="auto" w:sz="4" w:space="0"/>
                    <w:tl2br w:val="nil"/>
                    <w:tr2bl w:val="nil"/>
                  </w:tcBorders>
                  <w:noWrap w:val="0"/>
                  <w:vAlign w:val="center"/>
                </w:tcPr>
                <w:p w14:paraId="6A108827">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废活性炭</w:t>
                  </w:r>
                </w:p>
              </w:tc>
              <w:tc>
                <w:tcPr>
                  <w:tcW w:w="1254" w:type="pct"/>
                  <w:tcBorders>
                    <w:top w:val="single" w:color="auto" w:sz="4" w:space="0"/>
                    <w:left w:val="single" w:color="auto" w:sz="4" w:space="0"/>
                    <w:right w:val="single" w:color="auto" w:sz="4" w:space="0"/>
                    <w:tl2br w:val="nil"/>
                    <w:tr2bl w:val="nil"/>
                  </w:tcBorders>
                  <w:noWrap w:val="0"/>
                  <w:vAlign w:val="center"/>
                </w:tcPr>
                <w:p w14:paraId="6D673AF4">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吸附废气的活性炭</w:t>
                  </w:r>
                </w:p>
              </w:tc>
              <w:tc>
                <w:tcPr>
                  <w:tcW w:w="1415" w:type="pct"/>
                  <w:vMerge w:val="restart"/>
                  <w:tcBorders>
                    <w:left w:val="single" w:color="auto" w:sz="4" w:space="0"/>
                    <w:right w:val="single" w:color="auto" w:sz="4" w:space="0"/>
                    <w:tl2br w:val="nil"/>
                    <w:tr2bl w:val="nil"/>
                  </w:tcBorders>
                  <w:noWrap w:val="0"/>
                  <w:vAlign w:val="center"/>
                </w:tcPr>
                <w:p w14:paraId="11EA12DF">
                  <w:pPr>
                    <w:pStyle w:val="69"/>
                    <w:bidi w:val="0"/>
                    <w:rPr>
                      <w:rFonts w:hint="eastAsia"/>
                      <w:color w:val="auto"/>
                      <w:sz w:val="18"/>
                      <w:szCs w:val="18"/>
                      <w:highlight w:val="none"/>
                      <w:lang w:val="en-US" w:eastAsia="zh-CN"/>
                    </w:rPr>
                  </w:pPr>
                  <w:r>
                    <w:rPr>
                      <w:rFonts w:hint="eastAsia"/>
                      <w:color w:val="auto"/>
                      <w:sz w:val="18"/>
                      <w:szCs w:val="18"/>
                      <w:highlight w:val="none"/>
                      <w:lang w:val="en-US" w:eastAsia="zh-CN"/>
                    </w:rPr>
                    <w:t>委托资质单位安全处置</w:t>
                  </w:r>
                </w:p>
              </w:tc>
            </w:tr>
            <w:tr w14:paraId="2F2D8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253" w:type="pct"/>
                  <w:vMerge w:val="continue"/>
                  <w:tcBorders>
                    <w:left w:val="single" w:color="auto" w:sz="4" w:space="0"/>
                    <w:right w:val="single" w:color="auto" w:sz="4" w:space="0"/>
                    <w:tl2br w:val="nil"/>
                    <w:tr2bl w:val="nil"/>
                  </w:tcBorders>
                  <w:noWrap w:val="0"/>
                  <w:vAlign w:val="center"/>
                </w:tcPr>
                <w:p w14:paraId="0AFDE3A2">
                  <w:pPr>
                    <w:pStyle w:val="69"/>
                    <w:bidi w:val="0"/>
                    <w:rPr>
                      <w:rFonts w:hint="eastAsia"/>
                      <w:color w:val="auto"/>
                      <w:sz w:val="18"/>
                      <w:szCs w:val="18"/>
                      <w:highlight w:val="none"/>
                    </w:rPr>
                  </w:pPr>
                </w:p>
              </w:tc>
              <w:tc>
                <w:tcPr>
                  <w:tcW w:w="460" w:type="pct"/>
                  <w:tcBorders>
                    <w:left w:val="single" w:color="auto" w:sz="4" w:space="0"/>
                    <w:right w:val="single" w:color="auto" w:sz="4" w:space="0"/>
                    <w:tl2br w:val="nil"/>
                    <w:tr2bl w:val="nil"/>
                  </w:tcBorders>
                  <w:noWrap w:val="0"/>
                  <w:vAlign w:val="center"/>
                </w:tcPr>
                <w:p w14:paraId="29C0FF89">
                  <w:pPr>
                    <w:bidi w:val="0"/>
                    <w:jc w:val="center"/>
                    <w:rPr>
                      <w:rFonts w:hint="default"/>
                      <w:color w:val="auto"/>
                      <w:sz w:val="18"/>
                      <w:szCs w:val="18"/>
                      <w:highlight w:val="none"/>
                      <w:lang w:val="en-US" w:eastAsia="zh-CN"/>
                    </w:rPr>
                  </w:pPr>
                  <w:r>
                    <w:rPr>
                      <w:rFonts w:hint="eastAsia"/>
                      <w:color w:val="auto"/>
                      <w:sz w:val="18"/>
                      <w:szCs w:val="18"/>
                      <w:highlight w:val="none"/>
                      <w:lang w:val="en-US" w:eastAsia="zh-CN"/>
                    </w:rPr>
                    <w:t>/</w:t>
                  </w:r>
                </w:p>
              </w:tc>
              <w:tc>
                <w:tcPr>
                  <w:tcW w:w="622" w:type="pct"/>
                  <w:vMerge w:val="continue"/>
                  <w:tcBorders>
                    <w:left w:val="single" w:color="auto" w:sz="4" w:space="0"/>
                    <w:bottom w:val="single" w:color="auto" w:sz="4" w:space="0"/>
                    <w:right w:val="single" w:color="auto" w:sz="4" w:space="0"/>
                    <w:tl2br w:val="nil"/>
                    <w:tr2bl w:val="nil"/>
                  </w:tcBorders>
                  <w:noWrap w:val="0"/>
                  <w:vAlign w:val="center"/>
                </w:tcPr>
                <w:p w14:paraId="5C670176">
                  <w:pPr>
                    <w:pStyle w:val="69"/>
                    <w:bidi w:val="0"/>
                    <w:ind w:firstLine="0" w:firstLineChars="0"/>
                    <w:rPr>
                      <w:rFonts w:hint="default" w:ascii="Times New Roman" w:hAnsi="Times New Roman" w:eastAsia="宋体" w:cs="Times New Roman"/>
                      <w:b w:val="0"/>
                      <w:color w:val="auto"/>
                      <w:kern w:val="2"/>
                      <w:sz w:val="18"/>
                      <w:szCs w:val="18"/>
                      <w:highlight w:val="none"/>
                      <w:lang w:val="en-US" w:eastAsia="zh-CN" w:bidi="ar-SA"/>
                    </w:rPr>
                  </w:pPr>
                </w:p>
              </w:tc>
              <w:tc>
                <w:tcPr>
                  <w:tcW w:w="993" w:type="pct"/>
                  <w:tcBorders>
                    <w:left w:val="single" w:color="auto" w:sz="4" w:space="0"/>
                    <w:right w:val="single" w:color="auto" w:sz="4" w:space="0"/>
                    <w:tl2br w:val="nil"/>
                    <w:tr2bl w:val="nil"/>
                  </w:tcBorders>
                  <w:noWrap w:val="0"/>
                  <w:vAlign w:val="center"/>
                </w:tcPr>
                <w:p w14:paraId="4A1DBBBC">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废滤料</w:t>
                  </w:r>
                </w:p>
              </w:tc>
              <w:tc>
                <w:tcPr>
                  <w:tcW w:w="1254" w:type="pct"/>
                  <w:tcBorders>
                    <w:left w:val="single" w:color="auto" w:sz="4" w:space="0"/>
                    <w:right w:val="single" w:color="auto" w:sz="4" w:space="0"/>
                    <w:tl2br w:val="nil"/>
                    <w:tr2bl w:val="nil"/>
                  </w:tcBorders>
                  <w:noWrap w:val="0"/>
                  <w:vAlign w:val="center"/>
                </w:tcPr>
                <w:p w14:paraId="24ECA24F">
                  <w:pPr>
                    <w:pStyle w:val="69"/>
                    <w:bidi w:val="0"/>
                    <w:ind w:firstLine="0" w:firstLineChars="0"/>
                    <w:rPr>
                      <w:rFonts w:hint="default" w:ascii="Times New Roman" w:hAnsi="Times New Roman" w:eastAsia="宋体" w:cs="Times New Roman"/>
                      <w:b w:val="0"/>
                      <w:color w:val="auto"/>
                      <w:kern w:val="2"/>
                      <w:sz w:val="18"/>
                      <w:szCs w:val="18"/>
                      <w:highlight w:val="none"/>
                      <w:lang w:val="en-US" w:eastAsia="zh-CN" w:bidi="ar-SA"/>
                    </w:rPr>
                  </w:pPr>
                  <w:r>
                    <w:rPr>
                      <w:rFonts w:hint="eastAsia" w:cs="Times New Roman"/>
                      <w:b w:val="0"/>
                      <w:color w:val="auto"/>
                      <w:kern w:val="2"/>
                      <w:sz w:val="18"/>
                      <w:szCs w:val="18"/>
                      <w:highlight w:val="none"/>
                      <w:lang w:val="en-US" w:eastAsia="zh-CN" w:bidi="ar-SA"/>
                    </w:rPr>
                    <w:t>沾染废气的滤料</w:t>
                  </w:r>
                </w:p>
              </w:tc>
              <w:tc>
                <w:tcPr>
                  <w:tcW w:w="1415" w:type="pct"/>
                  <w:vMerge w:val="continue"/>
                  <w:tcBorders>
                    <w:left w:val="single" w:color="auto" w:sz="4" w:space="0"/>
                    <w:right w:val="single" w:color="auto" w:sz="4" w:space="0"/>
                    <w:tl2br w:val="nil"/>
                    <w:tr2bl w:val="nil"/>
                  </w:tcBorders>
                  <w:noWrap w:val="0"/>
                  <w:vAlign w:val="center"/>
                </w:tcPr>
                <w:p w14:paraId="0649B937">
                  <w:pPr>
                    <w:pStyle w:val="69"/>
                    <w:bidi w:val="0"/>
                    <w:rPr>
                      <w:rFonts w:hint="default" w:eastAsia="宋体"/>
                      <w:color w:val="auto"/>
                      <w:sz w:val="18"/>
                      <w:szCs w:val="18"/>
                      <w:highlight w:val="none"/>
                      <w:lang w:val="en-US" w:eastAsia="zh-CN"/>
                    </w:rPr>
                  </w:pPr>
                </w:p>
              </w:tc>
            </w:tr>
            <w:tr w14:paraId="63840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3" w:type="pct"/>
                  <w:vMerge w:val="continue"/>
                  <w:tcBorders>
                    <w:left w:val="single" w:color="auto" w:sz="4" w:space="0"/>
                    <w:right w:val="single" w:color="auto" w:sz="4" w:space="0"/>
                    <w:tl2br w:val="nil"/>
                    <w:tr2bl w:val="nil"/>
                  </w:tcBorders>
                  <w:noWrap w:val="0"/>
                  <w:vAlign w:val="center"/>
                </w:tcPr>
                <w:p w14:paraId="6D8C732F">
                  <w:pPr>
                    <w:pStyle w:val="69"/>
                    <w:bidi w:val="0"/>
                    <w:rPr>
                      <w:rFonts w:hint="default"/>
                      <w:color w:val="auto"/>
                      <w:sz w:val="18"/>
                      <w:szCs w:val="18"/>
                      <w:highlight w:val="none"/>
                    </w:rPr>
                  </w:pPr>
                </w:p>
              </w:tc>
              <w:tc>
                <w:tcPr>
                  <w:tcW w:w="460" w:type="pct"/>
                  <w:tcBorders>
                    <w:top w:val="single" w:color="auto" w:sz="4" w:space="0"/>
                    <w:left w:val="single" w:color="auto" w:sz="4" w:space="0"/>
                    <w:right w:val="single" w:color="auto" w:sz="4" w:space="0"/>
                    <w:tl2br w:val="nil"/>
                    <w:tr2bl w:val="nil"/>
                  </w:tcBorders>
                  <w:noWrap w:val="0"/>
                  <w:vAlign w:val="center"/>
                </w:tcPr>
                <w:p w14:paraId="3AEFC3CA">
                  <w:pPr>
                    <w:bidi w:val="0"/>
                    <w:jc w:val="center"/>
                    <w:rPr>
                      <w:rFonts w:hint="eastAsia"/>
                      <w:color w:val="auto"/>
                      <w:sz w:val="18"/>
                      <w:szCs w:val="18"/>
                      <w:highlight w:val="none"/>
                      <w:lang w:val="en-US" w:eastAsia="zh-CN"/>
                    </w:rPr>
                  </w:pPr>
                  <w:r>
                    <w:rPr>
                      <w:rFonts w:hint="eastAsia"/>
                      <w:color w:val="auto"/>
                      <w:sz w:val="18"/>
                      <w:szCs w:val="18"/>
                      <w:highlight w:val="none"/>
                      <w:lang w:val="en-US" w:eastAsia="zh-CN"/>
                    </w:rPr>
                    <w:t>/</w:t>
                  </w:r>
                </w:p>
              </w:tc>
              <w:tc>
                <w:tcPr>
                  <w:tcW w:w="622" w:type="pct"/>
                  <w:vMerge w:val="restart"/>
                  <w:tcBorders>
                    <w:top w:val="single" w:color="auto" w:sz="4" w:space="0"/>
                    <w:left w:val="single" w:color="auto" w:sz="4" w:space="0"/>
                    <w:right w:val="single" w:color="auto" w:sz="4" w:space="0"/>
                    <w:tl2br w:val="nil"/>
                    <w:tr2bl w:val="nil"/>
                  </w:tcBorders>
                  <w:noWrap w:val="0"/>
                  <w:vAlign w:val="center"/>
                </w:tcPr>
                <w:p w14:paraId="791B8C73">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设备维修保养</w:t>
                  </w:r>
                </w:p>
              </w:tc>
              <w:tc>
                <w:tcPr>
                  <w:tcW w:w="993"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F0E99FF">
                  <w:pPr>
                    <w:pStyle w:val="69"/>
                    <w:bidi w:val="0"/>
                    <w:ind w:firstLine="0" w:firstLineChars="0"/>
                    <w:rPr>
                      <w:rFonts w:hint="default" w:eastAsia="宋体"/>
                      <w:color w:val="auto"/>
                      <w:sz w:val="18"/>
                      <w:szCs w:val="18"/>
                      <w:highlight w:val="none"/>
                      <w:lang w:val="en-US" w:eastAsia="zh-CN"/>
                    </w:rPr>
                  </w:pPr>
                  <w:r>
                    <w:rPr>
                      <w:rFonts w:hint="eastAsia"/>
                      <w:color w:val="auto"/>
                      <w:sz w:val="18"/>
                      <w:szCs w:val="18"/>
                      <w:highlight w:val="none"/>
                      <w:lang w:val="en-US" w:eastAsia="zh-CN"/>
                    </w:rPr>
                    <w:t>废机油及油桶</w:t>
                  </w: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CEC1145">
                  <w:pPr>
                    <w:pStyle w:val="69"/>
                    <w:bidi w:val="0"/>
                    <w:ind w:firstLine="0" w:firstLineChars="0"/>
                    <w:rPr>
                      <w:rFonts w:hint="default" w:eastAsia="宋体"/>
                      <w:color w:val="auto"/>
                      <w:sz w:val="18"/>
                      <w:szCs w:val="18"/>
                      <w:highlight w:val="none"/>
                      <w:lang w:val="en-US" w:eastAsia="zh-CN"/>
                    </w:rPr>
                  </w:pPr>
                  <w:r>
                    <w:rPr>
                      <w:rFonts w:hint="eastAsia"/>
                      <w:color w:val="auto"/>
                      <w:sz w:val="18"/>
                      <w:szCs w:val="18"/>
                      <w:highlight w:val="none"/>
                      <w:lang w:val="en-US" w:eastAsia="zh-CN"/>
                    </w:rPr>
                    <w:t>机油</w:t>
                  </w:r>
                </w:p>
              </w:tc>
              <w:tc>
                <w:tcPr>
                  <w:tcW w:w="1415" w:type="pct"/>
                  <w:vMerge w:val="continue"/>
                  <w:tcBorders>
                    <w:left w:val="single" w:color="auto" w:sz="4" w:space="0"/>
                    <w:right w:val="single" w:color="auto" w:sz="4" w:space="0"/>
                    <w:tl2br w:val="nil"/>
                    <w:tr2bl w:val="nil"/>
                  </w:tcBorders>
                  <w:noWrap w:val="0"/>
                  <w:vAlign w:val="center"/>
                </w:tcPr>
                <w:p w14:paraId="24C8F033">
                  <w:pPr>
                    <w:pStyle w:val="69"/>
                    <w:bidi w:val="0"/>
                    <w:rPr>
                      <w:rFonts w:hint="default"/>
                      <w:color w:val="auto"/>
                      <w:sz w:val="18"/>
                      <w:szCs w:val="18"/>
                      <w:highlight w:val="none"/>
                    </w:rPr>
                  </w:pPr>
                </w:p>
              </w:tc>
            </w:tr>
            <w:tr w14:paraId="4AAC4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3" w:type="pct"/>
                  <w:vMerge w:val="continue"/>
                  <w:tcBorders>
                    <w:left w:val="single" w:color="auto" w:sz="4" w:space="0"/>
                    <w:right w:val="single" w:color="auto" w:sz="4" w:space="0"/>
                    <w:tl2br w:val="nil"/>
                    <w:tr2bl w:val="nil"/>
                  </w:tcBorders>
                  <w:noWrap w:val="0"/>
                  <w:vAlign w:val="center"/>
                </w:tcPr>
                <w:p w14:paraId="2ABE41C6">
                  <w:pPr>
                    <w:pStyle w:val="69"/>
                    <w:bidi w:val="0"/>
                    <w:rPr>
                      <w:rFonts w:hint="default"/>
                      <w:color w:val="auto"/>
                      <w:sz w:val="18"/>
                      <w:szCs w:val="18"/>
                      <w:highlight w:val="none"/>
                    </w:rPr>
                  </w:pPr>
                </w:p>
              </w:tc>
              <w:tc>
                <w:tcPr>
                  <w:tcW w:w="460" w:type="pct"/>
                  <w:tcBorders>
                    <w:top w:val="single" w:color="auto" w:sz="4" w:space="0"/>
                    <w:left w:val="single" w:color="auto" w:sz="4" w:space="0"/>
                    <w:right w:val="single" w:color="auto" w:sz="4" w:space="0"/>
                    <w:tl2br w:val="nil"/>
                    <w:tr2bl w:val="nil"/>
                  </w:tcBorders>
                  <w:noWrap w:val="0"/>
                  <w:vAlign w:val="center"/>
                </w:tcPr>
                <w:p w14:paraId="1C92010A">
                  <w:pPr>
                    <w:bidi w:val="0"/>
                    <w:ind w:firstLine="0" w:firstLineChars="0"/>
                    <w:jc w:val="center"/>
                    <w:rPr>
                      <w:rFonts w:hint="default"/>
                      <w:color w:val="auto"/>
                      <w:sz w:val="18"/>
                      <w:szCs w:val="18"/>
                      <w:highlight w:val="none"/>
                      <w:lang w:val="en-US" w:eastAsia="zh-CN"/>
                    </w:rPr>
                  </w:pPr>
                  <w:r>
                    <w:rPr>
                      <w:rFonts w:hint="eastAsia"/>
                      <w:color w:val="auto"/>
                      <w:sz w:val="18"/>
                      <w:szCs w:val="18"/>
                      <w:highlight w:val="none"/>
                      <w:lang w:val="en-US" w:eastAsia="zh-CN"/>
                    </w:rPr>
                    <w:t>/</w:t>
                  </w:r>
                </w:p>
              </w:tc>
              <w:tc>
                <w:tcPr>
                  <w:tcW w:w="622" w:type="pct"/>
                  <w:vMerge w:val="continue"/>
                  <w:tcBorders>
                    <w:left w:val="single" w:color="auto" w:sz="4" w:space="0"/>
                    <w:bottom w:val="single" w:color="auto" w:sz="4" w:space="0"/>
                    <w:right w:val="single" w:color="auto" w:sz="4" w:space="0"/>
                    <w:tl2br w:val="nil"/>
                    <w:tr2bl w:val="nil"/>
                  </w:tcBorders>
                  <w:noWrap w:val="0"/>
                  <w:vAlign w:val="center"/>
                </w:tcPr>
                <w:p w14:paraId="7228533F">
                  <w:pPr>
                    <w:pStyle w:val="69"/>
                    <w:bidi w:val="0"/>
                    <w:ind w:firstLine="0" w:firstLineChars="0"/>
                    <w:rPr>
                      <w:rFonts w:hint="eastAsia"/>
                      <w:color w:val="auto"/>
                      <w:sz w:val="18"/>
                      <w:szCs w:val="18"/>
                      <w:highlight w:val="none"/>
                      <w:lang w:val="en-US" w:eastAsia="zh-CN"/>
                    </w:rPr>
                  </w:pPr>
                </w:p>
              </w:tc>
              <w:tc>
                <w:tcPr>
                  <w:tcW w:w="993"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1FACD22">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含油抹布及手套</w:t>
                  </w: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7D9B8A5">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含油抹布及手套</w:t>
                  </w:r>
                </w:p>
              </w:tc>
              <w:tc>
                <w:tcPr>
                  <w:tcW w:w="1415" w:type="pct"/>
                  <w:vMerge w:val="continue"/>
                  <w:tcBorders>
                    <w:left w:val="single" w:color="auto" w:sz="4" w:space="0"/>
                    <w:right w:val="single" w:color="auto" w:sz="4" w:space="0"/>
                    <w:tl2br w:val="nil"/>
                    <w:tr2bl w:val="nil"/>
                  </w:tcBorders>
                  <w:noWrap w:val="0"/>
                  <w:vAlign w:val="center"/>
                </w:tcPr>
                <w:p w14:paraId="779989BC">
                  <w:pPr>
                    <w:pStyle w:val="69"/>
                    <w:bidi w:val="0"/>
                    <w:rPr>
                      <w:rFonts w:hint="eastAsia"/>
                      <w:color w:val="auto"/>
                      <w:sz w:val="18"/>
                      <w:szCs w:val="18"/>
                      <w:highlight w:val="none"/>
                    </w:rPr>
                  </w:pPr>
                </w:p>
              </w:tc>
            </w:tr>
            <w:tr w14:paraId="0045B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3" w:type="pct"/>
                  <w:vMerge w:val="continue"/>
                  <w:tcBorders>
                    <w:left w:val="single" w:color="auto" w:sz="4" w:space="0"/>
                    <w:right w:val="single" w:color="auto" w:sz="4" w:space="0"/>
                    <w:tl2br w:val="nil"/>
                    <w:tr2bl w:val="nil"/>
                  </w:tcBorders>
                  <w:noWrap w:val="0"/>
                  <w:vAlign w:val="center"/>
                </w:tcPr>
                <w:p w14:paraId="6F9C6FD3">
                  <w:pPr>
                    <w:pStyle w:val="69"/>
                    <w:bidi w:val="0"/>
                    <w:rPr>
                      <w:rFonts w:hint="default"/>
                      <w:color w:val="auto"/>
                      <w:sz w:val="18"/>
                      <w:szCs w:val="18"/>
                      <w:highlight w:val="none"/>
                    </w:rPr>
                  </w:pPr>
                </w:p>
              </w:tc>
              <w:tc>
                <w:tcPr>
                  <w:tcW w:w="460" w:type="pct"/>
                  <w:tcBorders>
                    <w:top w:val="single" w:color="auto" w:sz="4" w:space="0"/>
                    <w:left w:val="single" w:color="auto" w:sz="4" w:space="0"/>
                    <w:right w:val="single" w:color="auto" w:sz="4" w:space="0"/>
                    <w:tl2br w:val="nil"/>
                    <w:tr2bl w:val="nil"/>
                  </w:tcBorders>
                  <w:noWrap w:val="0"/>
                  <w:vAlign w:val="center"/>
                </w:tcPr>
                <w:p w14:paraId="51DCD9A1">
                  <w:pPr>
                    <w:bidi w:val="0"/>
                    <w:ind w:firstLine="0" w:firstLineChars="0"/>
                    <w:jc w:val="center"/>
                    <w:rPr>
                      <w:rFonts w:hint="default"/>
                      <w:color w:val="auto"/>
                      <w:sz w:val="18"/>
                      <w:szCs w:val="18"/>
                      <w:highlight w:val="none"/>
                    </w:rPr>
                  </w:pPr>
                  <w:r>
                    <w:rPr>
                      <w:rFonts w:hint="eastAsia"/>
                      <w:color w:val="auto"/>
                      <w:sz w:val="18"/>
                      <w:szCs w:val="18"/>
                      <w:highlight w:val="none"/>
                      <w:lang w:val="en-US" w:eastAsia="zh-CN"/>
                    </w:rPr>
                    <w:t>/</w:t>
                  </w:r>
                </w:p>
              </w:tc>
              <w:tc>
                <w:tcPr>
                  <w:tcW w:w="62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FBF6906">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办公生活</w:t>
                  </w:r>
                </w:p>
              </w:tc>
              <w:tc>
                <w:tcPr>
                  <w:tcW w:w="993"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B76AB13">
                  <w:pPr>
                    <w:pStyle w:val="69"/>
                    <w:bidi w:val="0"/>
                    <w:ind w:firstLine="0" w:firstLineChars="0"/>
                    <w:rPr>
                      <w:rFonts w:hint="default"/>
                      <w:color w:val="auto"/>
                      <w:sz w:val="18"/>
                      <w:szCs w:val="18"/>
                      <w:highlight w:val="none"/>
                      <w:lang w:val="en-US" w:eastAsia="zh-CN"/>
                    </w:rPr>
                  </w:pPr>
                  <w:r>
                    <w:rPr>
                      <w:rFonts w:hint="eastAsia"/>
                      <w:color w:val="auto"/>
                      <w:sz w:val="18"/>
                      <w:szCs w:val="18"/>
                      <w:highlight w:val="none"/>
                      <w:lang w:val="en-US" w:eastAsia="zh-CN"/>
                    </w:rPr>
                    <w:t>生活垃圾</w:t>
                  </w:r>
                </w:p>
              </w:tc>
              <w:tc>
                <w:tcPr>
                  <w:tcW w:w="125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051201C">
                  <w:pPr>
                    <w:pStyle w:val="69"/>
                    <w:bidi w:val="0"/>
                    <w:ind w:firstLine="0" w:firstLineChars="0"/>
                    <w:rPr>
                      <w:rFonts w:hint="eastAsia"/>
                      <w:color w:val="auto"/>
                      <w:sz w:val="18"/>
                      <w:szCs w:val="18"/>
                      <w:highlight w:val="none"/>
                      <w:lang w:val="en-US" w:eastAsia="zh-CN"/>
                    </w:rPr>
                  </w:pPr>
                  <w:r>
                    <w:rPr>
                      <w:rFonts w:hint="eastAsia"/>
                      <w:color w:val="auto"/>
                      <w:sz w:val="18"/>
                      <w:szCs w:val="18"/>
                      <w:highlight w:val="none"/>
                      <w:lang w:val="en-US" w:eastAsia="zh-CN"/>
                    </w:rPr>
                    <w:t>废纸、废塑料袋等</w:t>
                  </w:r>
                </w:p>
              </w:tc>
              <w:tc>
                <w:tcPr>
                  <w:tcW w:w="1415" w:type="pct"/>
                  <w:vMerge w:val="continue"/>
                  <w:tcBorders>
                    <w:left w:val="single" w:color="auto" w:sz="4" w:space="0"/>
                    <w:right w:val="single" w:color="auto" w:sz="4" w:space="0"/>
                    <w:tl2br w:val="nil"/>
                    <w:tr2bl w:val="nil"/>
                  </w:tcBorders>
                  <w:noWrap w:val="0"/>
                  <w:vAlign w:val="center"/>
                </w:tcPr>
                <w:p w14:paraId="6231D39D">
                  <w:pPr>
                    <w:pStyle w:val="69"/>
                    <w:bidi w:val="0"/>
                    <w:rPr>
                      <w:rFonts w:hint="eastAsia"/>
                      <w:color w:val="auto"/>
                      <w:sz w:val="18"/>
                      <w:szCs w:val="18"/>
                      <w:highlight w:val="none"/>
                    </w:rPr>
                  </w:pPr>
                </w:p>
              </w:tc>
            </w:tr>
          </w:tbl>
          <w:p w14:paraId="1496C144">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jc w:val="center"/>
              <w:textAlignment w:val="auto"/>
              <w:rPr>
                <w:rFonts w:hint="eastAsia" w:ascii="Times New Roman" w:hAnsi="Times New Roman" w:eastAsia="宋体" w:cs="Times New Roman"/>
                <w:b/>
                <w:bCs/>
                <w:color w:val="auto"/>
                <w:sz w:val="21"/>
                <w:szCs w:val="21"/>
                <w:highlight w:val="none"/>
                <w:lang w:val="en-US" w:eastAsia="zh-CN"/>
              </w:rPr>
            </w:pPr>
          </w:p>
          <w:p w14:paraId="2D2A8415">
            <w:pPr>
              <w:pStyle w:val="43"/>
              <w:ind w:firstLine="0" w:firstLineChars="0"/>
              <w:rPr>
                <w:rFonts w:hint="default" w:ascii="Times New Roman" w:hAnsi="Times New Roman" w:cs="Times New Roman"/>
                <w:color w:val="auto"/>
                <w:highlight w:val="none"/>
              </w:rPr>
            </w:pPr>
          </w:p>
        </w:tc>
      </w:tr>
      <w:tr w14:paraId="7A4A2E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888" w:hRule="atLeast"/>
          <w:jc w:val="center"/>
        </w:trPr>
        <w:tc>
          <w:tcPr>
            <w:tcW w:w="471" w:type="dxa"/>
            <w:noWrap w:val="0"/>
            <w:vAlign w:val="center"/>
          </w:tcPr>
          <w:p w14:paraId="7F752B74">
            <w:pPr>
              <w:pStyle w:val="23"/>
              <w:adjustRightInd w:val="0"/>
              <w:snapToGrid w:val="0"/>
              <w:spacing w:before="0" w:beforeAutospacing="0" w:after="0" w:afterAutospacing="0"/>
              <w:jc w:val="center"/>
              <w:rPr>
                <w:rFonts w:hint="default" w:ascii="Times New Roman" w:hAnsi="Times New Roman" w:cs="Times New Roman"/>
                <w:b/>
                <w:bCs/>
                <w:color w:val="auto"/>
                <w:kern w:val="2"/>
                <w:sz w:val="24"/>
                <w:szCs w:val="24"/>
                <w:highlight w:val="none"/>
              </w:rPr>
            </w:pPr>
            <w:r>
              <w:rPr>
                <w:rFonts w:hint="default" w:ascii="Times New Roman" w:hAnsi="Times New Roman" w:cs="Times New Roman"/>
                <w:b/>
                <w:bCs/>
                <w:color w:val="auto"/>
                <w:kern w:val="2"/>
                <w:sz w:val="24"/>
                <w:szCs w:val="24"/>
                <w:highlight w:val="none"/>
              </w:rPr>
              <w:t>与项目有关的原有环境污染问题</w:t>
            </w:r>
          </w:p>
        </w:tc>
        <w:tc>
          <w:tcPr>
            <w:tcW w:w="8537" w:type="dxa"/>
            <w:noWrap w:val="0"/>
            <w:vAlign w:val="center"/>
          </w:tcPr>
          <w:p w14:paraId="3369B853">
            <w:pPr>
              <w:pStyle w:val="22"/>
              <w:adjustRightInd w:val="0"/>
              <w:snapToGrid w:val="0"/>
              <w:spacing w:after="0" w:line="360" w:lineRule="auto"/>
              <w:ind w:firstLine="480" w:firstLineChars="200"/>
              <w:jc w:val="both"/>
              <w:rPr>
                <w:rFonts w:hint="eastAsia" w:ascii="Times New Roman" w:hAnsi="Times New Roman" w:eastAsia="宋体" w:cs="Times New Roman"/>
                <w:color w:val="auto"/>
                <w:sz w:val="24"/>
                <w:szCs w:val="32"/>
                <w:highlight w:val="none"/>
                <w:lang w:val="en-US" w:eastAsia="zh-CN"/>
              </w:rPr>
            </w:pPr>
          </w:p>
          <w:p w14:paraId="13E8A9FD">
            <w:pPr>
              <w:pStyle w:val="22"/>
              <w:adjustRightInd w:val="0"/>
              <w:snapToGrid w:val="0"/>
              <w:spacing w:after="0" w:line="360" w:lineRule="auto"/>
              <w:ind w:firstLine="480" w:firstLineChars="200"/>
              <w:jc w:val="both"/>
              <w:rPr>
                <w:rFonts w:hint="eastAsia" w:ascii="Times New Roman" w:hAnsi="Times New Roman" w:eastAsia="宋体" w:cs="Times New Roman"/>
                <w:color w:val="auto"/>
                <w:sz w:val="24"/>
                <w:szCs w:val="32"/>
                <w:highlight w:val="none"/>
                <w:lang w:val="en-US" w:eastAsia="zh-CN"/>
              </w:rPr>
            </w:pPr>
          </w:p>
          <w:p w14:paraId="1D420294">
            <w:pPr>
              <w:pStyle w:val="22"/>
              <w:adjustRightInd w:val="0"/>
              <w:snapToGrid w:val="0"/>
              <w:spacing w:after="0" w:line="360" w:lineRule="auto"/>
              <w:ind w:firstLine="480" w:firstLineChars="200"/>
              <w:jc w:val="both"/>
              <w:rPr>
                <w:rFonts w:hint="eastAsia" w:ascii="Times New Roman" w:hAnsi="Times New Roman" w:eastAsia="宋体" w:cs="Times New Roman"/>
                <w:color w:val="auto"/>
                <w:sz w:val="24"/>
                <w:szCs w:val="32"/>
                <w:highlight w:val="none"/>
                <w:lang w:val="en-US" w:eastAsia="zh-CN"/>
              </w:rPr>
            </w:pPr>
          </w:p>
          <w:p w14:paraId="0A6C5F69">
            <w:pPr>
              <w:rPr>
                <w:rFonts w:hint="eastAsia" w:ascii="Times New Roman" w:hAnsi="Times New Roman" w:eastAsia="宋体" w:cs="Times New Roman"/>
                <w:color w:val="auto"/>
                <w:sz w:val="24"/>
                <w:szCs w:val="32"/>
                <w:highlight w:val="none"/>
                <w:lang w:val="en-US" w:eastAsia="zh-CN"/>
              </w:rPr>
            </w:pPr>
          </w:p>
          <w:p w14:paraId="50D75D15">
            <w:pPr>
              <w:pStyle w:val="35"/>
              <w:rPr>
                <w:rFonts w:hint="eastAsia" w:ascii="Times New Roman" w:hAnsi="Times New Roman" w:eastAsia="宋体" w:cs="Times New Roman"/>
                <w:color w:val="auto"/>
                <w:sz w:val="24"/>
                <w:szCs w:val="32"/>
                <w:highlight w:val="none"/>
                <w:lang w:val="en-US" w:eastAsia="zh-CN"/>
              </w:rPr>
            </w:pPr>
          </w:p>
          <w:p w14:paraId="03D892BF">
            <w:pPr>
              <w:pStyle w:val="35"/>
              <w:rPr>
                <w:rFonts w:hint="eastAsia" w:ascii="Times New Roman" w:hAnsi="Times New Roman" w:eastAsia="宋体" w:cs="Times New Roman"/>
                <w:color w:val="auto"/>
                <w:sz w:val="24"/>
                <w:szCs w:val="32"/>
                <w:highlight w:val="none"/>
                <w:lang w:val="en-US" w:eastAsia="zh-CN"/>
              </w:rPr>
            </w:pPr>
          </w:p>
          <w:p w14:paraId="6243025E">
            <w:pPr>
              <w:pStyle w:val="35"/>
              <w:rPr>
                <w:rFonts w:hint="eastAsia" w:ascii="Times New Roman" w:hAnsi="Times New Roman" w:eastAsia="宋体" w:cs="Times New Roman"/>
                <w:color w:val="auto"/>
                <w:sz w:val="24"/>
                <w:szCs w:val="32"/>
                <w:highlight w:val="none"/>
                <w:lang w:val="en-US" w:eastAsia="zh-CN"/>
              </w:rPr>
            </w:pPr>
          </w:p>
          <w:p w14:paraId="18BA4458">
            <w:pPr>
              <w:pStyle w:val="35"/>
              <w:rPr>
                <w:rFonts w:hint="eastAsia" w:ascii="Times New Roman" w:hAnsi="Times New Roman" w:eastAsia="宋体" w:cs="Times New Roman"/>
                <w:color w:val="auto"/>
                <w:sz w:val="24"/>
                <w:szCs w:val="32"/>
                <w:highlight w:val="none"/>
                <w:lang w:val="en-US" w:eastAsia="zh-CN"/>
              </w:rPr>
            </w:pPr>
          </w:p>
          <w:p w14:paraId="6CB2F1C1">
            <w:pPr>
              <w:pStyle w:val="35"/>
              <w:rPr>
                <w:rFonts w:hint="eastAsia" w:ascii="Times New Roman" w:hAnsi="Times New Roman" w:eastAsia="宋体" w:cs="Times New Roman"/>
                <w:color w:val="auto"/>
                <w:sz w:val="24"/>
                <w:szCs w:val="32"/>
                <w:highlight w:val="none"/>
                <w:lang w:val="en-US" w:eastAsia="zh-CN"/>
              </w:rPr>
            </w:pPr>
          </w:p>
          <w:p w14:paraId="71BB2A6C">
            <w:pPr>
              <w:pStyle w:val="35"/>
              <w:rPr>
                <w:rFonts w:hint="eastAsia" w:ascii="Times New Roman" w:hAnsi="Times New Roman" w:eastAsia="宋体" w:cs="Times New Roman"/>
                <w:color w:val="auto"/>
                <w:sz w:val="24"/>
                <w:szCs w:val="32"/>
                <w:highlight w:val="none"/>
                <w:lang w:val="en-US" w:eastAsia="zh-CN"/>
              </w:rPr>
            </w:pPr>
          </w:p>
          <w:p w14:paraId="27565F63">
            <w:pPr>
              <w:pStyle w:val="35"/>
              <w:rPr>
                <w:rFonts w:hint="eastAsia" w:ascii="Times New Roman" w:hAnsi="Times New Roman" w:eastAsia="宋体" w:cs="Times New Roman"/>
                <w:color w:val="auto"/>
                <w:sz w:val="24"/>
                <w:szCs w:val="32"/>
                <w:highlight w:val="none"/>
                <w:lang w:val="en-US" w:eastAsia="zh-CN"/>
              </w:rPr>
            </w:pPr>
          </w:p>
          <w:p w14:paraId="6D24CB10">
            <w:pPr>
              <w:pStyle w:val="35"/>
              <w:rPr>
                <w:rFonts w:hint="eastAsia" w:ascii="Times New Roman" w:hAnsi="Times New Roman" w:eastAsia="宋体" w:cs="Times New Roman"/>
                <w:color w:val="auto"/>
                <w:sz w:val="24"/>
                <w:szCs w:val="32"/>
                <w:highlight w:val="none"/>
                <w:lang w:val="en-US" w:eastAsia="zh-CN"/>
              </w:rPr>
            </w:pPr>
          </w:p>
          <w:p w14:paraId="6A5C2B8D">
            <w:pPr>
              <w:pStyle w:val="35"/>
              <w:rPr>
                <w:rFonts w:hint="eastAsia" w:ascii="Times New Roman" w:hAnsi="Times New Roman" w:eastAsia="宋体" w:cs="Times New Roman"/>
                <w:color w:val="auto"/>
                <w:sz w:val="24"/>
                <w:szCs w:val="32"/>
                <w:highlight w:val="none"/>
                <w:lang w:val="en-US" w:eastAsia="zh-CN"/>
              </w:rPr>
            </w:pPr>
          </w:p>
          <w:p w14:paraId="0C314BED">
            <w:pPr>
              <w:pStyle w:val="35"/>
              <w:rPr>
                <w:rFonts w:hint="eastAsia" w:ascii="Times New Roman" w:hAnsi="Times New Roman" w:eastAsia="宋体" w:cs="Times New Roman"/>
                <w:color w:val="auto"/>
                <w:sz w:val="24"/>
                <w:szCs w:val="32"/>
                <w:highlight w:val="none"/>
                <w:lang w:val="en-US" w:eastAsia="zh-CN"/>
              </w:rPr>
            </w:pPr>
          </w:p>
          <w:p w14:paraId="0A8675C3">
            <w:pPr>
              <w:pStyle w:val="35"/>
              <w:rPr>
                <w:rFonts w:hint="eastAsia" w:ascii="Times New Roman" w:hAnsi="Times New Roman" w:eastAsia="宋体" w:cs="Times New Roman"/>
                <w:color w:val="auto"/>
                <w:sz w:val="24"/>
                <w:szCs w:val="32"/>
                <w:highlight w:val="none"/>
                <w:lang w:val="en-US" w:eastAsia="zh-CN"/>
              </w:rPr>
            </w:pPr>
          </w:p>
          <w:p w14:paraId="00A243B2">
            <w:pPr>
              <w:pStyle w:val="22"/>
              <w:adjustRightInd w:val="0"/>
              <w:snapToGrid w:val="0"/>
              <w:spacing w:after="0" w:line="360" w:lineRule="auto"/>
              <w:jc w:val="both"/>
              <w:rPr>
                <w:rFonts w:hint="eastAsia" w:ascii="Times New Roman" w:hAnsi="Times New Roman" w:eastAsia="宋体" w:cs="Times New Roman"/>
                <w:color w:val="auto"/>
                <w:sz w:val="24"/>
                <w:szCs w:val="32"/>
                <w:highlight w:val="none"/>
                <w:lang w:val="en-US" w:eastAsia="zh-CN"/>
              </w:rPr>
            </w:pPr>
          </w:p>
          <w:p w14:paraId="47B1F9DD">
            <w:pPr>
              <w:pStyle w:val="22"/>
              <w:adjustRightInd w:val="0"/>
              <w:snapToGrid w:val="0"/>
              <w:spacing w:after="0" w:line="360" w:lineRule="auto"/>
              <w:ind w:firstLine="480" w:firstLineChars="200"/>
              <w:jc w:val="both"/>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本项目为新建项目，</w:t>
            </w:r>
            <w:r>
              <w:rPr>
                <w:rFonts w:hint="default" w:ascii="Times New Roman" w:hAnsi="Times New Roman" w:cs="Times New Roman"/>
                <w:color w:val="auto"/>
                <w:sz w:val="24"/>
                <w:szCs w:val="24"/>
                <w:highlight w:val="none"/>
              </w:rPr>
              <w:t>项目租赁池州市皖江江南新兴产业集中区孵化园</w:t>
            </w:r>
            <w:r>
              <w:rPr>
                <w:rFonts w:hint="eastAsia" w:cs="Times New Roman"/>
                <w:color w:val="auto"/>
                <w:sz w:val="24"/>
                <w:szCs w:val="24"/>
                <w:highlight w:val="none"/>
                <w:lang w:val="en-US" w:eastAsia="zh-CN"/>
              </w:rPr>
              <w:t>A4</w:t>
            </w:r>
            <w:r>
              <w:rPr>
                <w:rFonts w:hint="default" w:ascii="Times New Roman" w:hAnsi="Times New Roman" w:cs="Times New Roman"/>
                <w:color w:val="auto"/>
                <w:sz w:val="24"/>
                <w:szCs w:val="24"/>
                <w:highlight w:val="none"/>
              </w:rPr>
              <w:t>厂房</w:t>
            </w:r>
            <w:r>
              <w:rPr>
                <w:rFonts w:hint="eastAsia" w:cs="Times New Roman"/>
                <w:color w:val="auto"/>
                <w:sz w:val="24"/>
                <w:szCs w:val="24"/>
                <w:highlight w:val="none"/>
                <w:lang w:val="en-US" w:eastAsia="zh-CN"/>
              </w:rPr>
              <w:t>1层部分区域以及2、3层全部区域共计约6544.11m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val="en-US" w:eastAsia="zh-CN"/>
              </w:rPr>
              <w:t>。</w:t>
            </w:r>
            <w:r>
              <w:rPr>
                <w:rFonts w:hint="eastAsia" w:cs="Times New Roman"/>
                <w:color w:val="auto"/>
                <w:sz w:val="24"/>
                <w:szCs w:val="32"/>
                <w:highlight w:val="none"/>
                <w:lang w:val="en-US" w:eastAsia="zh-CN"/>
              </w:rPr>
              <w:t>根据调查，</w:t>
            </w:r>
            <w:r>
              <w:rPr>
                <w:rFonts w:hint="eastAsia" w:cs="Times New Roman"/>
                <w:color w:val="auto"/>
                <w:sz w:val="24"/>
                <w:szCs w:val="24"/>
                <w:highlight w:val="none"/>
                <w:lang w:val="en-US" w:eastAsia="zh-CN"/>
              </w:rPr>
              <w:t>项目租赁的厂房现状空置，现场</w:t>
            </w:r>
            <w:r>
              <w:rPr>
                <w:rFonts w:hint="eastAsia" w:ascii="Times New Roman" w:hAnsi="Times New Roman" w:eastAsia="宋体" w:cs="Times New Roman"/>
                <w:color w:val="auto"/>
                <w:sz w:val="24"/>
                <w:szCs w:val="32"/>
                <w:highlight w:val="none"/>
                <w:lang w:val="en-US" w:eastAsia="zh-CN"/>
              </w:rPr>
              <w:t>无</w:t>
            </w:r>
            <w:r>
              <w:rPr>
                <w:rFonts w:hint="eastAsia" w:cs="Times New Roman"/>
                <w:color w:val="auto"/>
                <w:sz w:val="24"/>
                <w:szCs w:val="32"/>
                <w:highlight w:val="none"/>
                <w:lang w:val="en-US" w:eastAsia="zh-CN"/>
              </w:rPr>
              <w:t>与本项目有关的</w:t>
            </w:r>
            <w:r>
              <w:rPr>
                <w:rFonts w:hint="eastAsia" w:ascii="Times New Roman" w:hAnsi="Times New Roman" w:eastAsia="宋体" w:cs="Times New Roman"/>
                <w:color w:val="auto"/>
                <w:sz w:val="24"/>
                <w:szCs w:val="32"/>
                <w:highlight w:val="none"/>
                <w:lang w:val="en-US" w:eastAsia="zh-CN"/>
              </w:rPr>
              <w:t>原有环境污染问题。</w:t>
            </w:r>
          </w:p>
          <w:p w14:paraId="761B8566">
            <w:pPr>
              <w:rPr>
                <w:rFonts w:hint="eastAsia" w:ascii="Times New Roman" w:hAnsi="Times New Roman" w:eastAsia="宋体" w:cs="Times New Roman"/>
                <w:color w:val="auto"/>
                <w:sz w:val="24"/>
                <w:szCs w:val="32"/>
                <w:highlight w:val="none"/>
                <w:lang w:val="en-US" w:eastAsia="zh-CN"/>
              </w:rPr>
            </w:pPr>
          </w:p>
          <w:p w14:paraId="7EE2A0DD">
            <w:pPr>
              <w:pStyle w:val="33"/>
              <w:numPr>
                <w:ilvl w:val="0"/>
                <w:numId w:val="0"/>
              </w:numPr>
              <w:ind w:left="1560" w:leftChars="0"/>
              <w:rPr>
                <w:rFonts w:hint="eastAsia" w:ascii="Times New Roman" w:hAnsi="Times New Roman" w:eastAsia="宋体" w:cs="Times New Roman"/>
                <w:color w:val="auto"/>
                <w:sz w:val="24"/>
                <w:szCs w:val="32"/>
                <w:highlight w:val="none"/>
                <w:lang w:val="en-US" w:eastAsia="zh-CN"/>
              </w:rPr>
            </w:pPr>
          </w:p>
          <w:p w14:paraId="733005FC">
            <w:pPr>
              <w:pStyle w:val="35"/>
              <w:rPr>
                <w:rFonts w:hint="eastAsia" w:ascii="Times New Roman" w:hAnsi="Times New Roman" w:eastAsia="宋体" w:cs="Times New Roman"/>
                <w:color w:val="auto"/>
                <w:sz w:val="24"/>
                <w:szCs w:val="32"/>
                <w:highlight w:val="none"/>
                <w:lang w:val="en-US" w:eastAsia="zh-CN"/>
              </w:rPr>
            </w:pPr>
          </w:p>
          <w:p w14:paraId="10BF4A64">
            <w:pPr>
              <w:pStyle w:val="35"/>
              <w:rPr>
                <w:rFonts w:hint="eastAsia" w:ascii="Times New Roman" w:hAnsi="Times New Roman" w:eastAsia="宋体" w:cs="Times New Roman"/>
                <w:color w:val="auto"/>
                <w:sz w:val="24"/>
                <w:szCs w:val="32"/>
                <w:highlight w:val="none"/>
                <w:lang w:val="en-US" w:eastAsia="zh-CN"/>
              </w:rPr>
            </w:pPr>
          </w:p>
          <w:p w14:paraId="253F3E14">
            <w:pPr>
              <w:pStyle w:val="35"/>
              <w:rPr>
                <w:rFonts w:hint="eastAsia" w:ascii="Times New Roman" w:hAnsi="Times New Roman" w:eastAsia="宋体" w:cs="Times New Roman"/>
                <w:color w:val="auto"/>
                <w:sz w:val="24"/>
                <w:szCs w:val="32"/>
                <w:highlight w:val="none"/>
                <w:lang w:val="en-US" w:eastAsia="zh-CN"/>
              </w:rPr>
            </w:pPr>
          </w:p>
          <w:p w14:paraId="0C1B0D17">
            <w:pPr>
              <w:pStyle w:val="35"/>
              <w:rPr>
                <w:rFonts w:hint="eastAsia" w:ascii="Times New Roman" w:hAnsi="Times New Roman" w:eastAsia="宋体" w:cs="Times New Roman"/>
                <w:color w:val="auto"/>
                <w:sz w:val="24"/>
                <w:szCs w:val="32"/>
                <w:highlight w:val="none"/>
                <w:lang w:val="en-US" w:eastAsia="zh-CN"/>
              </w:rPr>
            </w:pPr>
          </w:p>
          <w:p w14:paraId="3FF63BBC">
            <w:pPr>
              <w:pStyle w:val="35"/>
              <w:rPr>
                <w:rFonts w:hint="eastAsia" w:ascii="Times New Roman" w:hAnsi="Times New Roman" w:eastAsia="宋体" w:cs="Times New Roman"/>
                <w:color w:val="auto"/>
                <w:sz w:val="24"/>
                <w:szCs w:val="32"/>
                <w:highlight w:val="none"/>
                <w:lang w:val="en-US" w:eastAsia="zh-CN"/>
              </w:rPr>
            </w:pPr>
          </w:p>
          <w:p w14:paraId="74339F6C">
            <w:pPr>
              <w:pStyle w:val="35"/>
              <w:rPr>
                <w:rFonts w:hint="eastAsia" w:ascii="Times New Roman" w:hAnsi="Times New Roman" w:eastAsia="宋体" w:cs="Times New Roman"/>
                <w:color w:val="auto"/>
                <w:sz w:val="24"/>
                <w:szCs w:val="32"/>
                <w:highlight w:val="none"/>
                <w:lang w:val="en-US" w:eastAsia="zh-CN"/>
              </w:rPr>
            </w:pPr>
          </w:p>
          <w:p w14:paraId="5A88C8C9">
            <w:pPr>
              <w:pStyle w:val="35"/>
              <w:rPr>
                <w:rFonts w:hint="eastAsia" w:ascii="Times New Roman" w:hAnsi="Times New Roman" w:eastAsia="宋体" w:cs="Times New Roman"/>
                <w:color w:val="auto"/>
                <w:sz w:val="24"/>
                <w:szCs w:val="32"/>
                <w:highlight w:val="none"/>
                <w:lang w:val="en-US" w:eastAsia="zh-CN"/>
              </w:rPr>
            </w:pPr>
          </w:p>
          <w:p w14:paraId="717C5AC4">
            <w:pPr>
              <w:pStyle w:val="35"/>
              <w:rPr>
                <w:rFonts w:hint="eastAsia" w:ascii="Times New Roman" w:hAnsi="Times New Roman" w:eastAsia="宋体" w:cs="Times New Roman"/>
                <w:color w:val="auto"/>
                <w:sz w:val="24"/>
                <w:szCs w:val="32"/>
                <w:highlight w:val="none"/>
                <w:lang w:val="en-US" w:eastAsia="zh-CN"/>
              </w:rPr>
            </w:pPr>
          </w:p>
          <w:p w14:paraId="1F53C184">
            <w:pPr>
              <w:pStyle w:val="35"/>
              <w:rPr>
                <w:rFonts w:hint="eastAsia" w:ascii="Times New Roman" w:hAnsi="Times New Roman" w:eastAsia="宋体" w:cs="Times New Roman"/>
                <w:color w:val="auto"/>
                <w:sz w:val="24"/>
                <w:szCs w:val="32"/>
                <w:highlight w:val="none"/>
                <w:lang w:val="en-US" w:eastAsia="zh-CN"/>
              </w:rPr>
            </w:pPr>
          </w:p>
          <w:p w14:paraId="15044B29">
            <w:pPr>
              <w:pStyle w:val="35"/>
              <w:rPr>
                <w:rFonts w:hint="eastAsia" w:ascii="Times New Roman" w:hAnsi="Times New Roman" w:eastAsia="宋体" w:cs="Times New Roman"/>
                <w:color w:val="auto"/>
                <w:sz w:val="24"/>
                <w:szCs w:val="32"/>
                <w:highlight w:val="none"/>
                <w:lang w:val="en-US" w:eastAsia="zh-CN"/>
              </w:rPr>
            </w:pPr>
          </w:p>
          <w:p w14:paraId="2A599044">
            <w:pPr>
              <w:pStyle w:val="35"/>
              <w:rPr>
                <w:rFonts w:hint="eastAsia" w:ascii="Times New Roman" w:hAnsi="Times New Roman" w:eastAsia="宋体" w:cs="Times New Roman"/>
                <w:color w:val="auto"/>
                <w:sz w:val="24"/>
                <w:szCs w:val="32"/>
                <w:highlight w:val="none"/>
                <w:lang w:val="en-US" w:eastAsia="zh-CN"/>
              </w:rPr>
            </w:pPr>
          </w:p>
          <w:p w14:paraId="0883198D">
            <w:pPr>
              <w:pStyle w:val="35"/>
              <w:rPr>
                <w:rFonts w:hint="eastAsia" w:ascii="Times New Roman" w:hAnsi="Times New Roman" w:eastAsia="宋体" w:cs="Times New Roman"/>
                <w:color w:val="auto"/>
                <w:sz w:val="24"/>
                <w:szCs w:val="32"/>
                <w:highlight w:val="none"/>
                <w:lang w:val="en-US" w:eastAsia="zh-CN"/>
              </w:rPr>
            </w:pPr>
          </w:p>
          <w:p w14:paraId="0BAF247D">
            <w:pPr>
              <w:pStyle w:val="35"/>
              <w:ind w:left="0" w:leftChars="0" w:firstLine="0" w:firstLineChars="0"/>
              <w:rPr>
                <w:rFonts w:hint="eastAsia" w:ascii="Times New Roman" w:hAnsi="Times New Roman" w:eastAsia="宋体" w:cs="Times New Roman"/>
                <w:color w:val="auto"/>
                <w:sz w:val="24"/>
                <w:szCs w:val="32"/>
                <w:highlight w:val="none"/>
                <w:lang w:val="en-US" w:eastAsia="zh-CN"/>
              </w:rPr>
            </w:pPr>
          </w:p>
          <w:p w14:paraId="07EAD868">
            <w:pPr>
              <w:pStyle w:val="35"/>
              <w:rPr>
                <w:rFonts w:hint="default" w:ascii="Times New Roman" w:hAnsi="Times New Roman" w:eastAsia="宋体" w:cs="Times New Roman"/>
                <w:color w:val="auto"/>
                <w:sz w:val="24"/>
                <w:szCs w:val="32"/>
                <w:highlight w:val="none"/>
                <w:lang w:val="en-US" w:eastAsia="zh-CN"/>
              </w:rPr>
            </w:pPr>
          </w:p>
        </w:tc>
      </w:tr>
    </w:tbl>
    <w:p w14:paraId="609A2E2A">
      <w:pPr>
        <w:pStyle w:val="23"/>
        <w:jc w:val="center"/>
        <w:rPr>
          <w:rFonts w:hint="default" w:ascii="Times New Roman" w:hAnsi="Times New Roman" w:eastAsia="黑体" w:cs="Times New Roman"/>
          <w:snapToGrid w:val="0"/>
          <w:color w:val="auto"/>
          <w:sz w:val="36"/>
          <w:szCs w:val="36"/>
          <w:highlight w:val="none"/>
        </w:rPr>
        <w:sectPr>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14:paraId="76990C89">
      <w:pPr>
        <w:pStyle w:val="23"/>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三、区域环境质量现状、环境保护目标及评价标准</w:t>
      </w:r>
    </w:p>
    <w:tbl>
      <w:tblPr>
        <w:tblStyle w:val="2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8603"/>
      </w:tblGrid>
      <w:tr w14:paraId="443CBF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85" w:hRule="atLeast"/>
          <w:jc w:val="center"/>
        </w:trPr>
        <w:tc>
          <w:tcPr>
            <w:tcW w:w="443" w:type="dxa"/>
            <w:noWrap w:val="0"/>
            <w:vAlign w:val="center"/>
          </w:tcPr>
          <w:p w14:paraId="51F59EAA">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区域</w:t>
            </w:r>
          </w:p>
          <w:p w14:paraId="4B7D5FEB">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环境</w:t>
            </w:r>
          </w:p>
          <w:p w14:paraId="5814D3FD">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质量</w:t>
            </w:r>
          </w:p>
          <w:p w14:paraId="0667203B">
            <w:pPr>
              <w:adjustRightInd w:val="0"/>
              <w:snapToGri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4"/>
                <w:szCs w:val="24"/>
                <w:highlight w:val="none"/>
              </w:rPr>
              <w:t>现状</w:t>
            </w:r>
          </w:p>
        </w:tc>
        <w:tc>
          <w:tcPr>
            <w:tcW w:w="8617" w:type="dxa"/>
            <w:noWrap w:val="0"/>
            <w:vAlign w:val="center"/>
          </w:tcPr>
          <w:p w14:paraId="665B7290">
            <w:pPr>
              <w:pStyle w:val="4"/>
              <w:keepNext w:val="0"/>
              <w:keepLines w:val="0"/>
              <w:pageBreakBefore w:val="0"/>
              <w:numPr>
                <w:ilvl w:val="0"/>
                <w:numId w:val="0"/>
              </w:numPr>
              <w:tabs>
                <w:tab w:val="clear" w:pos="794"/>
              </w:tabs>
              <w:kinsoku/>
              <w:wordWrap/>
              <w:overflowPunct/>
              <w:topLinePunct w:val="0"/>
              <w:bidi w:val="0"/>
              <w:snapToGrid/>
              <w:spacing w:before="0" w:beforeLines="0" w:after="0" w:afterLines="0" w:line="360" w:lineRule="auto"/>
              <w:ind w:firstLine="482"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1、环境空气质量现状</w:t>
            </w:r>
          </w:p>
          <w:p w14:paraId="430323DC">
            <w:pPr>
              <w:keepNext w:val="0"/>
              <w:keepLines w:val="0"/>
              <w:pageBreakBefore w:val="0"/>
              <w:kinsoku/>
              <w:wordWrap/>
              <w:overflowPunct/>
              <w:topLinePunct w:val="0"/>
              <w:bidi w:val="0"/>
              <w:snapToGrid/>
              <w:spacing w:line="360" w:lineRule="auto"/>
              <w:ind w:firstLine="482" w:firstLineChars="200"/>
              <w:jc w:val="both"/>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（1）基本污染物环境质量现状</w:t>
            </w:r>
          </w:p>
          <w:p w14:paraId="4612B2B7">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影响报告表编制技术指南（污染影响类）（试行）》，“常规污染物引用与建设项目距离近的有效数据，包括近3年的规划环境影响评价的监测数据，国家、地方环境空气质量监测网数据或生态环境主管部门公开发布的质量数据等”。</w:t>
            </w:r>
          </w:p>
          <w:p w14:paraId="4EEA8DEE">
            <w:pPr>
              <w:keepNext w:val="0"/>
              <w:keepLines w:val="0"/>
              <w:pageBreakBefore w:val="0"/>
              <w:widowControl w:val="0"/>
              <w:kinsoku/>
              <w:wordWrap/>
              <w:overflowPunct/>
              <w:topLinePunct w:val="0"/>
              <w:bidi w:val="0"/>
              <w:snapToGrid/>
              <w:spacing w:line="360" w:lineRule="auto"/>
              <w:ind w:left="0" w:leftChars="0" w:firstLine="480" w:firstLineChars="200"/>
              <w:jc w:val="both"/>
              <w:textAlignment w:val="auto"/>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根据《202</w:t>
            </w:r>
            <w:r>
              <w:rPr>
                <w:rFonts w:hint="default" w:ascii="Times New Roman" w:hAnsi="Times New Roman"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年池州市生态环境状况公报》相关数据可知，池州市2024年SO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、NO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10</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2.5</w:t>
            </w:r>
            <w:r>
              <w:rPr>
                <w:rFonts w:hint="default" w:ascii="Times New Roman" w:hAnsi="Times New Roman" w:eastAsia="宋体" w:cs="Times New Roman"/>
                <w:color w:val="auto"/>
                <w:kern w:val="0"/>
                <w:sz w:val="24"/>
                <w:szCs w:val="24"/>
                <w:highlight w:val="none"/>
                <w:lang w:val="en-US" w:eastAsia="zh-CN" w:bidi="ar-SA"/>
              </w:rPr>
              <w:t>年均浓度分别为5μg/m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、20μg/m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、47μg/m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、31μg/m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；CO 24小时平均第95百分位数为1mg/m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，O</w:t>
            </w:r>
            <w:r>
              <w:rPr>
                <w:rFonts w:hint="default" w:ascii="Times New Roman" w:hAnsi="Times New Roman" w:eastAsia="宋体" w:cs="Times New Roman"/>
                <w:color w:val="auto"/>
                <w:kern w:val="0"/>
                <w:sz w:val="24"/>
                <w:szCs w:val="24"/>
                <w:highlight w:val="none"/>
                <w:vertAlign w:val="sub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日最大8小时平均第90百分位数为154μg/m</w:t>
            </w:r>
            <w:r>
              <w:rPr>
                <w:rFonts w:hint="default" w:ascii="Times New Roman" w:hAnsi="Times New Roman" w:eastAsia="宋体" w:cs="Times New Roman"/>
                <w:color w:val="auto"/>
                <w:kern w:val="0"/>
                <w:sz w:val="24"/>
                <w:szCs w:val="24"/>
                <w:highlight w:val="none"/>
                <w:vertAlign w:val="super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；各污染物平均浓度均优于《环境空气质量标准》（GB3095-2012）中二级标准限值</w:t>
            </w:r>
            <w:r>
              <w:rPr>
                <w:rFonts w:hint="default" w:ascii="Times New Roman" w:hAnsi="Times New Roman" w:cs="Times New Roman"/>
                <w:color w:val="auto"/>
                <w:kern w:val="0"/>
                <w:sz w:val="24"/>
                <w:szCs w:val="24"/>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SA"/>
              </w:rPr>
              <w:t>202</w:t>
            </w:r>
            <w:r>
              <w:rPr>
                <w:rFonts w:hint="default" w:ascii="Times New Roman" w:hAnsi="Times New Roman" w:cs="Times New Roman"/>
                <w:color w:val="auto"/>
                <w:kern w:val="0"/>
                <w:sz w:val="24"/>
                <w:szCs w:val="24"/>
                <w:highlight w:val="none"/>
                <w:lang w:val="en-US" w:eastAsia="zh-CN" w:bidi="ar-SA"/>
              </w:rPr>
              <w:t>4</w:t>
            </w:r>
            <w:r>
              <w:rPr>
                <w:rFonts w:hint="default" w:ascii="Times New Roman" w:hAnsi="Times New Roman" w:eastAsia="宋体" w:cs="Times New Roman"/>
                <w:color w:val="auto"/>
                <w:kern w:val="0"/>
                <w:sz w:val="24"/>
                <w:szCs w:val="24"/>
                <w:highlight w:val="none"/>
                <w:lang w:val="en-US" w:eastAsia="zh-CN" w:bidi="ar-SA"/>
              </w:rPr>
              <w:t>年池州市环境空气中SO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、NO</w:t>
            </w:r>
            <w:r>
              <w:rPr>
                <w:rFonts w:hint="default" w:ascii="Times New Roman" w:hAnsi="Times New Roman" w:eastAsia="宋体" w:cs="Times New Roman"/>
                <w:color w:val="auto"/>
                <w:kern w:val="0"/>
                <w:sz w:val="24"/>
                <w:szCs w:val="24"/>
                <w:highlight w:val="none"/>
                <w:vertAlign w:val="subscript"/>
                <w:lang w:val="en-US" w:eastAsia="zh-CN" w:bidi="ar-SA"/>
              </w:rPr>
              <w:t>2</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10</w:t>
            </w:r>
            <w:r>
              <w:rPr>
                <w:rFonts w:hint="default" w:ascii="Times New Roman" w:hAnsi="Times New Roman" w:eastAsia="宋体" w:cs="Times New Roman"/>
                <w:color w:val="auto"/>
                <w:kern w:val="0"/>
                <w:sz w:val="24"/>
                <w:szCs w:val="24"/>
                <w:highlight w:val="none"/>
                <w:lang w:val="en-US" w:eastAsia="zh-CN" w:bidi="ar-SA"/>
              </w:rPr>
              <w:t>、PM</w:t>
            </w:r>
            <w:r>
              <w:rPr>
                <w:rFonts w:hint="default" w:ascii="Times New Roman" w:hAnsi="Times New Roman" w:eastAsia="宋体" w:cs="Times New Roman"/>
                <w:color w:val="auto"/>
                <w:kern w:val="0"/>
                <w:sz w:val="24"/>
                <w:szCs w:val="24"/>
                <w:highlight w:val="none"/>
                <w:vertAlign w:val="subscript"/>
                <w:lang w:val="en-US" w:eastAsia="zh-CN" w:bidi="ar-SA"/>
              </w:rPr>
              <w:t>2.5</w:t>
            </w:r>
            <w:r>
              <w:rPr>
                <w:rFonts w:hint="default" w:ascii="Times New Roman" w:hAnsi="Times New Roman" w:eastAsia="宋体" w:cs="Times New Roman"/>
                <w:color w:val="auto"/>
                <w:kern w:val="0"/>
                <w:sz w:val="24"/>
                <w:szCs w:val="24"/>
                <w:highlight w:val="none"/>
                <w:lang w:val="en-US" w:eastAsia="zh-CN" w:bidi="ar-SA"/>
              </w:rPr>
              <w:t>、CO和O</w:t>
            </w:r>
            <w:r>
              <w:rPr>
                <w:rFonts w:hint="default" w:ascii="Times New Roman" w:hAnsi="Times New Roman" w:eastAsia="宋体" w:cs="Times New Roman"/>
                <w:color w:val="auto"/>
                <w:kern w:val="0"/>
                <w:sz w:val="24"/>
                <w:szCs w:val="24"/>
                <w:highlight w:val="none"/>
                <w:vertAlign w:val="subscript"/>
                <w:lang w:val="en-US" w:eastAsia="zh-CN" w:bidi="ar-SA"/>
              </w:rPr>
              <w:t>3</w:t>
            </w:r>
            <w:r>
              <w:rPr>
                <w:rFonts w:hint="default" w:ascii="Times New Roman" w:hAnsi="Times New Roman" w:eastAsia="宋体" w:cs="Times New Roman"/>
                <w:color w:val="auto"/>
                <w:kern w:val="0"/>
                <w:sz w:val="24"/>
                <w:szCs w:val="24"/>
                <w:highlight w:val="none"/>
                <w:lang w:val="en-US" w:eastAsia="zh-CN" w:bidi="ar-SA"/>
              </w:rPr>
              <w:t>等六项基本污染物全部达标，故项目所在地区域为“达标区”。项目所在区域空气质量现状评价结果见下表。</w:t>
            </w:r>
          </w:p>
          <w:p w14:paraId="00A65877">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i w:val="0"/>
                <w:color w:val="auto"/>
                <w:kern w:val="2"/>
                <w:sz w:val="21"/>
                <w:szCs w:val="21"/>
                <w:highlight w:val="none"/>
                <w:lang w:val="en-US" w:eastAsia="zh-CN" w:bidi="ar-SA"/>
              </w:rPr>
              <w:t>表3-1</w:t>
            </w:r>
            <w:r>
              <w:rPr>
                <w:rFonts w:hint="eastAsia" w:ascii="Times New Roman" w:hAnsi="Times New Roman" w:cs="Times New Roman"/>
                <w:b/>
                <w:i w:val="0"/>
                <w:color w:val="auto"/>
                <w:kern w:val="2"/>
                <w:sz w:val="21"/>
                <w:szCs w:val="21"/>
                <w:highlight w:val="none"/>
                <w:lang w:val="en-US" w:eastAsia="zh-CN" w:bidi="ar-SA"/>
              </w:rPr>
              <w:t xml:space="preserve">  </w:t>
            </w:r>
            <w:r>
              <w:rPr>
                <w:rFonts w:hint="default" w:ascii="Times New Roman" w:hAnsi="Times New Roman" w:eastAsia="宋体" w:cs="Times New Roman"/>
                <w:color w:val="auto"/>
                <w:highlight w:val="none"/>
                <w:lang w:val="en-US" w:eastAsia="zh-CN"/>
              </w:rPr>
              <w:t>项目所在区域空气质量现状评价结果一览表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5"/>
              <w:gridCol w:w="2319"/>
              <w:gridCol w:w="1230"/>
              <w:gridCol w:w="1317"/>
              <w:gridCol w:w="1334"/>
              <w:gridCol w:w="1269"/>
            </w:tblGrid>
            <w:tr w14:paraId="5ED15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126093E7">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1384" w:type="pct"/>
                  <w:noWrap w:val="0"/>
                  <w:vAlign w:val="center"/>
                </w:tcPr>
                <w:p w14:paraId="789FD71E">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年评价指标</w:t>
                  </w:r>
                </w:p>
              </w:tc>
              <w:tc>
                <w:tcPr>
                  <w:tcW w:w="734" w:type="pct"/>
                  <w:noWrap w:val="0"/>
                  <w:vAlign w:val="center"/>
                </w:tcPr>
                <w:p w14:paraId="6ACFFC66">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现状浓度</w:t>
                  </w:r>
                </w:p>
              </w:tc>
              <w:tc>
                <w:tcPr>
                  <w:tcW w:w="786" w:type="pct"/>
                  <w:noWrap w:val="0"/>
                  <w:vAlign w:val="center"/>
                </w:tcPr>
                <w:p w14:paraId="2633A12D">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标准值</w:t>
                  </w:r>
                </w:p>
              </w:tc>
              <w:tc>
                <w:tcPr>
                  <w:tcW w:w="796" w:type="pct"/>
                  <w:noWrap w:val="0"/>
                  <w:vAlign w:val="center"/>
                </w:tcPr>
                <w:p w14:paraId="50ACA832">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占标率(%)</w:t>
                  </w:r>
                </w:p>
              </w:tc>
              <w:tc>
                <w:tcPr>
                  <w:tcW w:w="757" w:type="pct"/>
                  <w:noWrap w:val="0"/>
                  <w:vAlign w:val="center"/>
                </w:tcPr>
                <w:p w14:paraId="311FCD24">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达标情况</w:t>
                  </w:r>
                </w:p>
              </w:tc>
            </w:tr>
            <w:tr w14:paraId="37D9F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111F6CE7">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PM</w:t>
                  </w:r>
                  <w:r>
                    <w:rPr>
                      <w:rFonts w:hint="default" w:ascii="Times New Roman" w:hAnsi="Times New Roman" w:eastAsia="宋体" w:cs="Times New Roman"/>
                      <w:b w:val="0"/>
                      <w:bCs/>
                      <w:color w:val="auto"/>
                      <w:sz w:val="21"/>
                      <w:szCs w:val="21"/>
                      <w:highlight w:val="none"/>
                      <w:vertAlign w:val="subscript"/>
                      <w:lang w:val="en-US" w:eastAsia="zh-CN"/>
                    </w:rPr>
                    <w:t>2.5</w:t>
                  </w:r>
                </w:p>
              </w:tc>
              <w:tc>
                <w:tcPr>
                  <w:tcW w:w="1384" w:type="pct"/>
                  <w:noWrap w:val="0"/>
                  <w:vAlign w:val="center"/>
                </w:tcPr>
                <w:p w14:paraId="391DEC72">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年平均质量浓度</w:t>
                  </w:r>
                </w:p>
              </w:tc>
              <w:tc>
                <w:tcPr>
                  <w:tcW w:w="734" w:type="pct"/>
                  <w:noWrap w:val="0"/>
                  <w:vAlign w:val="center"/>
                </w:tcPr>
                <w:p w14:paraId="36DEF9EA">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3</w:t>
                  </w:r>
                  <w:r>
                    <w:rPr>
                      <w:rFonts w:hint="default" w:ascii="Times New Roman" w:hAnsi="Times New Roman" w:cs="Times New Roman"/>
                      <w:b w:val="0"/>
                      <w:bCs/>
                      <w:color w:val="auto"/>
                      <w:sz w:val="21"/>
                      <w:szCs w:val="21"/>
                      <w:highlight w:val="none"/>
                      <w:vertAlign w:val="baseline"/>
                      <w:lang w:val="en-US" w:eastAsia="zh-CN"/>
                    </w:rPr>
                    <w:t>1</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26078EA1">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35</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550B5B54">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88</w:t>
                  </w:r>
                  <w:r>
                    <w:rPr>
                      <w:rFonts w:hint="eastAsia" w:ascii="Times New Roman" w:hAnsi="Times New Roman" w:cs="Times New Roman"/>
                      <w:b w:val="0"/>
                      <w:bCs/>
                      <w:color w:val="auto"/>
                      <w:sz w:val="21"/>
                      <w:szCs w:val="21"/>
                      <w:highlight w:val="none"/>
                      <w:vertAlign w:val="baseline"/>
                      <w:lang w:val="en-US" w:eastAsia="zh-CN"/>
                    </w:rPr>
                    <w:t>.</w:t>
                  </w:r>
                  <w:r>
                    <w:rPr>
                      <w:rFonts w:hint="default" w:ascii="Times New Roman" w:hAnsi="Times New Roman" w:cs="Times New Roman"/>
                      <w:b w:val="0"/>
                      <w:bCs/>
                      <w:color w:val="auto"/>
                      <w:sz w:val="21"/>
                      <w:szCs w:val="21"/>
                      <w:highlight w:val="none"/>
                      <w:vertAlign w:val="baseline"/>
                      <w:lang w:val="en-US" w:eastAsia="zh-CN"/>
                    </w:rPr>
                    <w:t>57</w:t>
                  </w:r>
                </w:p>
              </w:tc>
              <w:tc>
                <w:tcPr>
                  <w:tcW w:w="757" w:type="pct"/>
                  <w:noWrap w:val="0"/>
                  <w:vAlign w:val="center"/>
                </w:tcPr>
                <w:p w14:paraId="40A68F08">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7F2DD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6162FED7">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PM</w:t>
                  </w:r>
                  <w:r>
                    <w:rPr>
                      <w:rFonts w:hint="default" w:ascii="Times New Roman" w:hAnsi="Times New Roman" w:eastAsia="宋体" w:cs="Times New Roman"/>
                      <w:b w:val="0"/>
                      <w:bCs/>
                      <w:color w:val="auto"/>
                      <w:sz w:val="21"/>
                      <w:szCs w:val="21"/>
                      <w:highlight w:val="none"/>
                      <w:vertAlign w:val="subscript"/>
                      <w:lang w:val="en-US" w:eastAsia="zh-CN"/>
                    </w:rPr>
                    <w:t>10</w:t>
                  </w:r>
                </w:p>
              </w:tc>
              <w:tc>
                <w:tcPr>
                  <w:tcW w:w="1384" w:type="pct"/>
                  <w:noWrap w:val="0"/>
                  <w:vAlign w:val="center"/>
                </w:tcPr>
                <w:p w14:paraId="16325704">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年平均质量浓度</w:t>
                  </w:r>
                </w:p>
              </w:tc>
              <w:tc>
                <w:tcPr>
                  <w:tcW w:w="734" w:type="pct"/>
                  <w:noWrap w:val="0"/>
                  <w:vAlign w:val="center"/>
                </w:tcPr>
                <w:p w14:paraId="05DA12AB">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47</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28EA3132">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70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178F54F5">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67.14</w:t>
                  </w:r>
                </w:p>
              </w:tc>
              <w:tc>
                <w:tcPr>
                  <w:tcW w:w="757" w:type="pct"/>
                  <w:noWrap w:val="0"/>
                  <w:vAlign w:val="center"/>
                </w:tcPr>
                <w:p w14:paraId="4127E0FD">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384A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03DA40FB">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SO</w:t>
                  </w:r>
                  <w:r>
                    <w:rPr>
                      <w:rFonts w:hint="default" w:ascii="Times New Roman" w:hAnsi="Times New Roman" w:eastAsia="宋体" w:cs="Times New Roman"/>
                      <w:b w:val="0"/>
                      <w:bCs/>
                      <w:color w:val="auto"/>
                      <w:sz w:val="21"/>
                      <w:szCs w:val="21"/>
                      <w:highlight w:val="none"/>
                      <w:vertAlign w:val="subscript"/>
                      <w:lang w:val="en-US" w:eastAsia="zh-CN"/>
                    </w:rPr>
                    <w:t>2</w:t>
                  </w:r>
                </w:p>
              </w:tc>
              <w:tc>
                <w:tcPr>
                  <w:tcW w:w="1384" w:type="pct"/>
                  <w:noWrap w:val="0"/>
                  <w:vAlign w:val="center"/>
                </w:tcPr>
                <w:p w14:paraId="679F70D0">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年平均质量浓度</w:t>
                  </w:r>
                </w:p>
              </w:tc>
              <w:tc>
                <w:tcPr>
                  <w:tcW w:w="734" w:type="pct"/>
                  <w:noWrap w:val="0"/>
                  <w:vAlign w:val="center"/>
                </w:tcPr>
                <w:p w14:paraId="0C534B97">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5</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06BFA7D7">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60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475E0038">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cs="Times New Roman"/>
                      <w:b w:val="0"/>
                      <w:bCs/>
                      <w:color w:val="auto"/>
                      <w:sz w:val="21"/>
                      <w:szCs w:val="21"/>
                      <w:highlight w:val="none"/>
                      <w:vertAlign w:val="baseline"/>
                      <w:lang w:val="en-US" w:eastAsia="zh-CN"/>
                    </w:rPr>
                    <w:t>8.33</w:t>
                  </w:r>
                </w:p>
              </w:tc>
              <w:tc>
                <w:tcPr>
                  <w:tcW w:w="757" w:type="pct"/>
                  <w:noWrap w:val="0"/>
                  <w:vAlign w:val="center"/>
                </w:tcPr>
                <w:p w14:paraId="4FE20067">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330FC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45C4EBD9">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NO</w:t>
                  </w:r>
                  <w:r>
                    <w:rPr>
                      <w:rFonts w:hint="default" w:ascii="Times New Roman" w:hAnsi="Times New Roman" w:eastAsia="宋体" w:cs="Times New Roman"/>
                      <w:b w:val="0"/>
                      <w:bCs/>
                      <w:color w:val="auto"/>
                      <w:sz w:val="21"/>
                      <w:szCs w:val="21"/>
                      <w:highlight w:val="none"/>
                      <w:vertAlign w:val="subscript"/>
                      <w:lang w:val="en-US" w:eastAsia="zh-CN"/>
                    </w:rPr>
                    <w:t>2</w:t>
                  </w:r>
                </w:p>
              </w:tc>
              <w:tc>
                <w:tcPr>
                  <w:tcW w:w="1384" w:type="pct"/>
                  <w:noWrap w:val="0"/>
                  <w:vAlign w:val="center"/>
                </w:tcPr>
                <w:p w14:paraId="42F077D0">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年平均质量浓度</w:t>
                  </w:r>
                </w:p>
              </w:tc>
              <w:tc>
                <w:tcPr>
                  <w:tcW w:w="734" w:type="pct"/>
                  <w:noWrap w:val="0"/>
                  <w:vAlign w:val="center"/>
                </w:tcPr>
                <w:p w14:paraId="61F23943">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20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7CCCDEB3">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40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401E4580">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50.00</w:t>
                  </w:r>
                </w:p>
              </w:tc>
              <w:tc>
                <w:tcPr>
                  <w:tcW w:w="757" w:type="pct"/>
                  <w:noWrap w:val="0"/>
                  <w:vAlign w:val="center"/>
                </w:tcPr>
                <w:p w14:paraId="26484584">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6FD1D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5B036B37">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CO</w:t>
                  </w:r>
                </w:p>
              </w:tc>
              <w:tc>
                <w:tcPr>
                  <w:tcW w:w="1384" w:type="pct"/>
                  <w:noWrap w:val="0"/>
                  <w:vAlign w:val="center"/>
                </w:tcPr>
                <w:p w14:paraId="0D2A286C">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第95百分位数24h平均浓度</w:t>
                  </w:r>
                </w:p>
              </w:tc>
              <w:tc>
                <w:tcPr>
                  <w:tcW w:w="734" w:type="pct"/>
                  <w:noWrap w:val="0"/>
                  <w:vAlign w:val="center"/>
                </w:tcPr>
                <w:p w14:paraId="05691C32">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1000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4F3B8C2C">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4000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0061ED6C">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25.00</w:t>
                  </w:r>
                </w:p>
              </w:tc>
              <w:tc>
                <w:tcPr>
                  <w:tcW w:w="757" w:type="pct"/>
                  <w:noWrap w:val="0"/>
                  <w:vAlign w:val="center"/>
                </w:tcPr>
                <w:p w14:paraId="0A27698A">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r w14:paraId="48427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21AD06BB">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O</w:t>
                  </w:r>
                  <w:r>
                    <w:rPr>
                      <w:rFonts w:hint="default" w:ascii="Times New Roman" w:hAnsi="Times New Roman" w:eastAsia="宋体" w:cs="Times New Roman"/>
                      <w:b w:val="0"/>
                      <w:bCs/>
                      <w:color w:val="auto"/>
                      <w:sz w:val="21"/>
                      <w:szCs w:val="21"/>
                      <w:highlight w:val="none"/>
                      <w:vertAlign w:val="subscript"/>
                      <w:lang w:val="en-US" w:eastAsia="zh-CN"/>
                    </w:rPr>
                    <w:t>3</w:t>
                  </w:r>
                </w:p>
              </w:tc>
              <w:tc>
                <w:tcPr>
                  <w:tcW w:w="1384" w:type="pct"/>
                  <w:noWrap w:val="0"/>
                  <w:vAlign w:val="center"/>
                </w:tcPr>
                <w:p w14:paraId="19E73169">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第90百分位数8h平均浓度</w:t>
                  </w:r>
                </w:p>
              </w:tc>
              <w:tc>
                <w:tcPr>
                  <w:tcW w:w="734" w:type="pct"/>
                  <w:noWrap w:val="0"/>
                  <w:vAlign w:val="center"/>
                </w:tcPr>
                <w:p w14:paraId="16514D4C">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15</w:t>
                  </w:r>
                  <w:r>
                    <w:rPr>
                      <w:rFonts w:hint="default" w:ascii="Times New Roman" w:hAnsi="Times New Roman" w:cs="Times New Roman"/>
                      <w:b w:val="0"/>
                      <w:bCs/>
                      <w:color w:val="auto"/>
                      <w:sz w:val="21"/>
                      <w:szCs w:val="21"/>
                      <w:highlight w:val="none"/>
                      <w:vertAlign w:val="baseline"/>
                      <w:lang w:val="en-US" w:eastAsia="zh-CN"/>
                    </w:rPr>
                    <w:t>4</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86" w:type="pct"/>
                  <w:noWrap w:val="0"/>
                  <w:vAlign w:val="center"/>
                </w:tcPr>
                <w:p w14:paraId="1D874F74">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160</w:t>
                  </w:r>
                  <w:r>
                    <w:rPr>
                      <w:rFonts w:hint="default" w:ascii="Times New Roman" w:hAnsi="Times New Roman" w:eastAsia="宋体" w:cs="Times New Roman"/>
                      <w:b w:val="0"/>
                      <w:bCs/>
                      <w:color w:val="auto"/>
                      <w:sz w:val="21"/>
                      <w:szCs w:val="21"/>
                      <w:highlight w:val="none"/>
                    </w:rPr>
                    <w:t>μg/m</w:t>
                  </w:r>
                  <w:r>
                    <w:rPr>
                      <w:rFonts w:hint="default" w:ascii="Times New Roman" w:hAnsi="Times New Roman" w:eastAsia="宋体" w:cs="Times New Roman"/>
                      <w:b w:val="0"/>
                      <w:bCs/>
                      <w:color w:val="auto"/>
                      <w:sz w:val="21"/>
                      <w:szCs w:val="21"/>
                      <w:highlight w:val="none"/>
                      <w:vertAlign w:val="superscript"/>
                    </w:rPr>
                    <w:t>3</w:t>
                  </w:r>
                </w:p>
              </w:tc>
              <w:tc>
                <w:tcPr>
                  <w:tcW w:w="796" w:type="pct"/>
                  <w:noWrap w:val="0"/>
                  <w:vAlign w:val="center"/>
                </w:tcPr>
                <w:p w14:paraId="1F0E0906">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9</w:t>
                  </w:r>
                  <w:r>
                    <w:rPr>
                      <w:rFonts w:hint="default" w:ascii="Times New Roman" w:hAnsi="Times New Roman" w:cs="Times New Roman"/>
                      <w:b w:val="0"/>
                      <w:bCs/>
                      <w:color w:val="auto"/>
                      <w:sz w:val="21"/>
                      <w:szCs w:val="21"/>
                      <w:highlight w:val="none"/>
                      <w:vertAlign w:val="baseline"/>
                      <w:lang w:val="en-US" w:eastAsia="zh-CN"/>
                    </w:rPr>
                    <w:t>3.25</w:t>
                  </w:r>
                </w:p>
              </w:tc>
              <w:tc>
                <w:tcPr>
                  <w:tcW w:w="757" w:type="pct"/>
                  <w:noWrap w:val="0"/>
                  <w:vAlign w:val="center"/>
                </w:tcPr>
                <w:p w14:paraId="198E9006">
                  <w:pPr>
                    <w:pStyle w:val="44"/>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default" w:ascii="Times New Roman" w:hAnsi="Times New Roman" w:eastAsia="宋体" w:cs="Times New Roman"/>
                      <w:b w:val="0"/>
                      <w:bCs/>
                      <w:color w:val="auto"/>
                      <w:sz w:val="21"/>
                      <w:szCs w:val="21"/>
                      <w:highlight w:val="none"/>
                      <w:vertAlign w:val="baseline"/>
                      <w:lang w:val="en-US" w:eastAsia="zh-CN"/>
                    </w:rPr>
                    <w:t>达标</w:t>
                  </w:r>
                </w:p>
              </w:tc>
            </w:tr>
          </w:tbl>
          <w:p w14:paraId="5EED071C">
            <w:pPr>
              <w:keepNext w:val="0"/>
              <w:keepLines w:val="0"/>
              <w:pageBreakBefore w:val="0"/>
              <w:kinsoku/>
              <w:wordWrap/>
              <w:overflowPunct/>
              <w:topLinePunct w:val="0"/>
              <w:bidi w:val="0"/>
              <w:snapToGrid/>
              <w:spacing w:line="360" w:lineRule="auto"/>
              <w:ind w:firstLine="482" w:firstLineChars="200"/>
              <w:jc w:val="both"/>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lang w:val="en-US" w:eastAsia="zh-CN"/>
              </w:rPr>
              <w:t>2</w:t>
            </w:r>
            <w:r>
              <w:rPr>
                <w:rFonts w:hint="default"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特征污染物环境质量现状</w:t>
            </w:r>
          </w:p>
          <w:p w14:paraId="0B65DC4D">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根据《建设项目环境影响报告表编制技术指南（污染影响类）</w:t>
            </w:r>
            <w:r>
              <w:rPr>
                <w:rFonts w:hint="eastAsia" w:ascii="Times New Roman" w:hAnsi="Times New Roman" w:cs="Times New Roman"/>
                <w:color w:val="auto"/>
                <w:sz w:val="24"/>
                <w:szCs w:val="24"/>
                <w:highlight w:val="none"/>
                <w:lang w:eastAsia="zh-CN"/>
              </w:rPr>
              <w:t>（试行）》</w:t>
            </w:r>
            <w:r>
              <w:rPr>
                <w:rFonts w:hint="default" w:ascii="Times New Roman" w:hAnsi="Times New Roman" w:cs="Times New Roman"/>
                <w:color w:val="auto"/>
                <w:sz w:val="24"/>
                <w:szCs w:val="24"/>
                <w:highlight w:val="none"/>
              </w:rPr>
              <w:t>，排放国家、地方环境空气质量标准中有标准限值要求的特征污染物时，引用建设项目周边5km范围内近3年的现有监测数据，无相关数据的选择当季主导风向下风向1个点位补充不少于3天的监测数据。</w:t>
            </w:r>
          </w:p>
          <w:p w14:paraId="7C9FF415">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本项目废气特征污染物</w:t>
            </w:r>
            <w:r>
              <w:rPr>
                <w:rFonts w:hint="default" w:ascii="Times New Roman" w:hAnsi="Times New Roman" w:cs="Times New Roman"/>
                <w:color w:val="auto"/>
                <w:sz w:val="24"/>
                <w:szCs w:val="24"/>
                <w:highlight w:val="none"/>
                <w:lang w:val="en-US" w:eastAsia="zh-CN"/>
              </w:rPr>
              <w:t>主要为</w:t>
            </w:r>
            <w:r>
              <w:rPr>
                <w:rFonts w:hint="default" w:ascii="Times New Roman" w:hAnsi="Times New Roman" w:cs="Times New Roman"/>
                <w:color w:val="auto"/>
                <w:sz w:val="24"/>
                <w:szCs w:val="24"/>
                <w:highlight w:val="none"/>
              </w:rPr>
              <w:t>非甲烷总烃</w:t>
            </w:r>
            <w:r>
              <w:rPr>
                <w:rFonts w:hint="default" w:ascii="Times New Roman" w:hAnsi="Times New Roman" w:cs="Times New Roman"/>
                <w:color w:val="auto"/>
                <w:sz w:val="24"/>
                <w:szCs w:val="24"/>
                <w:highlight w:val="none"/>
                <w:lang w:eastAsia="zh-CN"/>
              </w:rPr>
              <w:t>、颗粒物、锡及其化合物</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甲苯、乙苯、苯乙烯</w:t>
            </w:r>
            <w:r>
              <w:rPr>
                <w:rFonts w:hint="default" w:ascii="Times New Roman" w:hAnsi="Times New Roman" w:cs="Times New Roman"/>
                <w:color w:val="auto"/>
                <w:sz w:val="24"/>
                <w:szCs w:val="24"/>
                <w:highlight w:val="none"/>
                <w:lang w:eastAsia="zh-CN"/>
              </w:rPr>
              <w:t>。其中，</w:t>
            </w:r>
            <w:r>
              <w:rPr>
                <w:rFonts w:hint="default" w:ascii="Times New Roman" w:hAnsi="Times New Roman" w:cs="Times New Roman"/>
                <w:color w:val="auto"/>
                <w:sz w:val="24"/>
                <w:highlight w:val="none"/>
              </w:rPr>
              <w:t>国家</w:t>
            </w:r>
            <w:r>
              <w:rPr>
                <w:rFonts w:hint="default" w:ascii="Times New Roman" w:hAnsi="Times New Roman" w:eastAsia="宋体" w:cs="Times New Roman"/>
                <w:color w:val="auto"/>
                <w:sz w:val="24"/>
                <w:szCs w:val="24"/>
                <w:highlight w:val="none"/>
              </w:rPr>
              <w:t>、地方环境空气质量标准中</w:t>
            </w:r>
            <w:r>
              <w:rPr>
                <w:rFonts w:hint="default" w:ascii="Times New Roman" w:hAnsi="Times New Roman" w:eastAsia="宋体" w:cs="Times New Roman"/>
                <w:color w:val="auto"/>
                <w:sz w:val="24"/>
                <w:szCs w:val="24"/>
                <w:highlight w:val="none"/>
                <w:lang w:eastAsia="zh-CN"/>
              </w:rPr>
              <w:t>均</w:t>
            </w:r>
            <w:r>
              <w:rPr>
                <w:rFonts w:hint="default" w:ascii="Times New Roman" w:hAnsi="Times New Roman" w:eastAsia="宋体" w:cs="Times New Roman"/>
                <w:color w:val="auto"/>
                <w:sz w:val="24"/>
                <w:szCs w:val="24"/>
                <w:highlight w:val="none"/>
              </w:rPr>
              <w:t>没有</w:t>
            </w:r>
            <w:r>
              <w:rPr>
                <w:rFonts w:hint="default" w:ascii="Times New Roman" w:hAnsi="Times New Roman" w:eastAsia="宋体" w:cs="Times New Roman"/>
                <w:color w:val="auto"/>
                <w:sz w:val="24"/>
                <w:szCs w:val="24"/>
                <w:highlight w:val="none"/>
                <w:lang w:eastAsia="zh-CN"/>
              </w:rPr>
              <w:t>锡及其化合物</w:t>
            </w:r>
            <w:r>
              <w:rPr>
                <w:rFonts w:hint="eastAsia" w:cs="Times New Roman"/>
                <w:color w:val="auto"/>
                <w:sz w:val="24"/>
                <w:szCs w:val="24"/>
                <w:highlight w:val="none"/>
                <w:lang w:val="en-US" w:eastAsia="zh-CN"/>
              </w:rPr>
              <w:t>、甲苯、乙苯、苯乙烯等污染因子的</w:t>
            </w:r>
            <w:r>
              <w:rPr>
                <w:rFonts w:hint="default" w:ascii="Times New Roman" w:hAnsi="Times New Roman" w:eastAsia="宋体" w:cs="Times New Roman"/>
                <w:color w:val="auto"/>
                <w:sz w:val="24"/>
                <w:szCs w:val="24"/>
                <w:highlight w:val="none"/>
              </w:rPr>
              <w:t>标准限值要求，因此无需监测</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本次评价非甲烷总烃和TSP现状浓度引用《安徽华航电子科技有限公司智能终端研发生产基地项目环境影响报告表》中的现状监测数据（安徽绿健检测技术服务有限公司于2023年8月7日~8月9日进行监测），孵化园公租房</w:t>
            </w:r>
            <w:r>
              <w:rPr>
                <w:rFonts w:hint="default" w:ascii="Times New Roman" w:hAnsi="Times New Roman" w:eastAsia="宋体" w:cs="Times New Roman"/>
                <w:color w:val="auto"/>
                <w:sz w:val="24"/>
                <w:szCs w:val="24"/>
                <w:highlight w:val="none"/>
                <w:lang w:val="en-US" w:eastAsia="zh-CN"/>
              </w:rPr>
              <w:t>监测点</w:t>
            </w:r>
            <w:r>
              <w:rPr>
                <w:rFonts w:hint="default" w:ascii="Times New Roman" w:hAnsi="Times New Roman" w:cs="Times New Roman"/>
                <w:color w:val="auto"/>
                <w:sz w:val="24"/>
                <w:szCs w:val="24"/>
                <w:highlight w:val="none"/>
                <w:lang w:val="en-US" w:eastAsia="zh-CN"/>
              </w:rPr>
              <w:t>位于</w:t>
            </w:r>
            <w:r>
              <w:rPr>
                <w:rFonts w:hint="default" w:ascii="Times New Roman" w:hAnsi="Times New Roman" w:eastAsia="宋体" w:cs="Times New Roman"/>
                <w:color w:val="auto"/>
                <w:sz w:val="24"/>
                <w:szCs w:val="24"/>
                <w:highlight w:val="none"/>
              </w:rPr>
              <w:t>本项目区</w:t>
            </w:r>
            <w:r>
              <w:rPr>
                <w:rFonts w:hint="default" w:ascii="Times New Roman" w:hAnsi="Times New Roman" w:eastAsia="宋体" w:cs="Times New Roman"/>
                <w:color w:val="auto"/>
                <w:sz w:val="24"/>
                <w:szCs w:val="24"/>
                <w:highlight w:val="none"/>
                <w:lang w:val="en-US" w:eastAsia="zh-CN"/>
              </w:rPr>
              <w:t>西</w:t>
            </w:r>
            <w:r>
              <w:rPr>
                <w:rFonts w:hint="default" w:ascii="Times New Roman" w:hAnsi="Times New Roman" w:eastAsia="宋体" w:cs="Times New Roman"/>
                <w:color w:val="auto"/>
                <w:sz w:val="24"/>
                <w:szCs w:val="24"/>
                <w:highlight w:val="none"/>
              </w:rPr>
              <w:t>侧约</w:t>
            </w:r>
            <w:r>
              <w:rPr>
                <w:rFonts w:hint="default" w:ascii="Times New Roman" w:hAnsi="Times New Roman" w:eastAsia="宋体" w:cs="Times New Roman"/>
                <w:color w:val="auto"/>
                <w:sz w:val="24"/>
                <w:szCs w:val="24"/>
                <w:highlight w:val="none"/>
                <w:lang w:val="en-US" w:eastAsia="zh-CN"/>
              </w:rPr>
              <w:t>240</w:t>
            </w:r>
            <w:r>
              <w:rPr>
                <w:rFonts w:hint="default" w:ascii="Times New Roman" w:hAnsi="Times New Roman" w:eastAsia="宋体" w:cs="Times New Roman"/>
                <w:color w:val="auto"/>
                <w:sz w:val="24"/>
                <w:szCs w:val="24"/>
                <w:highlight w:val="none"/>
              </w:rPr>
              <w:t>m。具体监测内容如下：</w:t>
            </w:r>
          </w:p>
          <w:p w14:paraId="0BF155D9">
            <w:pPr>
              <w:pStyle w:val="68"/>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①监测因子：非甲烷总烃1h平均</w:t>
            </w:r>
            <w:r>
              <w:rPr>
                <w:rFonts w:hint="default" w:ascii="Times New Roman" w:hAnsi="Times New Roman" w:cs="Times New Roman"/>
                <w:color w:val="auto"/>
                <w:highlight w:val="none"/>
                <w:lang w:val="en-US" w:eastAsia="zh-CN"/>
              </w:rPr>
              <w:t>值</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TSP</w:t>
            </w:r>
            <w:r>
              <w:rPr>
                <w:rFonts w:hint="default" w:ascii="Times New Roman" w:hAnsi="Times New Roman" w:cs="Times New Roman"/>
                <w:color w:val="auto"/>
                <w:highlight w:val="none"/>
                <w:lang w:val="en-US" w:eastAsia="zh-CN"/>
              </w:rPr>
              <w:t>日均值</w:t>
            </w:r>
            <w:r>
              <w:rPr>
                <w:rFonts w:hint="default" w:ascii="Times New Roman" w:hAnsi="Times New Roman" w:cs="Times New Roman"/>
                <w:color w:val="auto"/>
                <w:highlight w:val="none"/>
              </w:rPr>
              <w:t>。</w:t>
            </w:r>
          </w:p>
          <w:p w14:paraId="24E28684">
            <w:pPr>
              <w:pStyle w:val="68"/>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②监测时间和频次：2023年8月7日~2023年8月9日，连续监测3天。</w:t>
            </w:r>
          </w:p>
          <w:p w14:paraId="4E94F2F5">
            <w:pPr>
              <w:pStyle w:val="68"/>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③监测点位：孵化园公租房。</w:t>
            </w:r>
          </w:p>
          <w:p w14:paraId="0DF74589">
            <w:pPr>
              <w:pStyle w:val="68"/>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监测点分布</w:t>
            </w:r>
            <w:r>
              <w:rPr>
                <w:rFonts w:hint="default" w:ascii="Times New Roman" w:hAnsi="Times New Roman" w:cs="Times New Roman"/>
                <w:color w:val="auto"/>
                <w:highlight w:val="none"/>
                <w:lang w:val="en-US" w:eastAsia="zh-CN"/>
              </w:rPr>
              <w:t>见</w:t>
            </w:r>
            <w:r>
              <w:rPr>
                <w:rFonts w:hint="default" w:ascii="Times New Roman" w:hAnsi="Times New Roman" w:cs="Times New Roman"/>
                <w:color w:val="auto"/>
                <w:highlight w:val="none"/>
              </w:rPr>
              <w:t>下表</w:t>
            </w:r>
            <w:r>
              <w:rPr>
                <w:rFonts w:hint="default" w:ascii="Times New Roman" w:hAnsi="Times New Roman" w:cs="Times New Roman"/>
                <w:color w:val="auto"/>
                <w:highlight w:val="none"/>
                <w:lang w:val="en-US" w:eastAsia="zh-CN"/>
              </w:rPr>
              <w:t>及下图</w:t>
            </w:r>
            <w:r>
              <w:rPr>
                <w:rFonts w:hint="default" w:ascii="Times New Roman" w:hAnsi="Times New Roman" w:cs="Times New Roman"/>
                <w:color w:val="auto"/>
                <w:highlight w:val="none"/>
              </w:rPr>
              <w:t>。</w:t>
            </w:r>
          </w:p>
          <w:p w14:paraId="2310E53C">
            <w:pPr>
              <w:pStyle w:val="70"/>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表3-</w:t>
            </w:r>
            <w:r>
              <w:rPr>
                <w:rFonts w:hint="default" w:ascii="Times New Roman" w:hAnsi="Times New Roman" w:cs="Times New Roman"/>
                <w:color w:val="auto"/>
                <w:highlight w:val="none"/>
                <w:lang w:val="en-US" w:eastAsia="zh-CN"/>
              </w:rPr>
              <w:t>2</w:t>
            </w:r>
            <w:r>
              <w:rPr>
                <w:rFonts w:hint="eastAsia"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大气环境监测点布设表</w:t>
            </w:r>
          </w:p>
          <w:tbl>
            <w:tblPr>
              <w:tblStyle w:val="25"/>
              <w:tblW w:w="5001"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011"/>
              <w:gridCol w:w="2078"/>
              <w:gridCol w:w="2586"/>
              <w:gridCol w:w="2709"/>
            </w:tblGrid>
            <w:tr w14:paraId="25D0705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603" w:type="pct"/>
                  <w:noWrap w:val="0"/>
                  <w:tcMar>
                    <w:left w:w="0" w:type="dxa"/>
                    <w:right w:w="0" w:type="dxa"/>
                  </w:tcMar>
                  <w:vAlign w:val="center"/>
                </w:tcPr>
                <w:p w14:paraId="5597F27A">
                  <w:pPr>
                    <w:pStyle w:val="69"/>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点位编号</w:t>
                  </w:r>
                </w:p>
              </w:tc>
              <w:tc>
                <w:tcPr>
                  <w:tcW w:w="1239" w:type="pct"/>
                  <w:noWrap w:val="0"/>
                  <w:tcMar>
                    <w:left w:w="0" w:type="dxa"/>
                    <w:right w:w="0" w:type="dxa"/>
                  </w:tcMar>
                  <w:vAlign w:val="center"/>
                </w:tcPr>
                <w:p w14:paraId="5D3AF7E0">
                  <w:pPr>
                    <w:pStyle w:val="69"/>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名称</w:t>
                  </w:r>
                </w:p>
              </w:tc>
              <w:tc>
                <w:tcPr>
                  <w:tcW w:w="1542" w:type="pct"/>
                  <w:noWrap w:val="0"/>
                  <w:tcMar>
                    <w:left w:w="0" w:type="dxa"/>
                    <w:right w:w="0" w:type="dxa"/>
                  </w:tcMar>
                  <w:vAlign w:val="center"/>
                </w:tcPr>
                <w:p w14:paraId="35D63866">
                  <w:pPr>
                    <w:pStyle w:val="69"/>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相对</w:t>
                  </w:r>
                  <w:r>
                    <w:rPr>
                      <w:rFonts w:hint="default" w:ascii="Times New Roman" w:hAnsi="Times New Roman" w:cs="Times New Roman"/>
                      <w:color w:val="auto"/>
                      <w:highlight w:val="none"/>
                      <w:lang w:val="en-US" w:eastAsia="zh-CN"/>
                    </w:rPr>
                    <w:t>厂址方位</w:t>
                  </w:r>
                </w:p>
              </w:tc>
              <w:tc>
                <w:tcPr>
                  <w:tcW w:w="1615" w:type="pct"/>
                  <w:noWrap w:val="0"/>
                  <w:tcMar>
                    <w:left w:w="0" w:type="dxa"/>
                    <w:right w:w="0" w:type="dxa"/>
                  </w:tcMar>
                  <w:vAlign w:val="center"/>
                </w:tcPr>
                <w:p w14:paraId="049E0CB8">
                  <w:pPr>
                    <w:pStyle w:val="69"/>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距离（m）</w:t>
                  </w:r>
                </w:p>
              </w:tc>
            </w:tr>
            <w:tr w14:paraId="255E5A8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603" w:type="pct"/>
                  <w:noWrap w:val="0"/>
                  <w:tcMar>
                    <w:left w:w="0" w:type="dxa"/>
                    <w:right w:w="0" w:type="dxa"/>
                  </w:tcMar>
                  <w:vAlign w:val="center"/>
                </w:tcPr>
                <w:p w14:paraId="7EBC7E09">
                  <w:pPr>
                    <w:pStyle w:val="69"/>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G1</w:t>
                  </w:r>
                </w:p>
              </w:tc>
              <w:tc>
                <w:tcPr>
                  <w:tcW w:w="1239" w:type="pct"/>
                  <w:noWrap w:val="0"/>
                  <w:tcMar>
                    <w:left w:w="0" w:type="dxa"/>
                    <w:right w:w="0" w:type="dxa"/>
                  </w:tcMar>
                  <w:vAlign w:val="center"/>
                </w:tcPr>
                <w:p w14:paraId="7AFBD180">
                  <w:pPr>
                    <w:pStyle w:val="69"/>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spacing w:val="-1"/>
                      <w:sz w:val="21"/>
                      <w:szCs w:val="21"/>
                      <w:highlight w:val="none"/>
                    </w:rPr>
                    <w:t>孵化园公租房</w:t>
                  </w:r>
                </w:p>
              </w:tc>
              <w:tc>
                <w:tcPr>
                  <w:tcW w:w="1542" w:type="pct"/>
                  <w:noWrap w:val="0"/>
                  <w:tcMar>
                    <w:left w:w="0" w:type="dxa"/>
                    <w:right w:w="0" w:type="dxa"/>
                  </w:tcMar>
                  <w:vAlign w:val="center"/>
                </w:tcPr>
                <w:p w14:paraId="33FBBFDF">
                  <w:pPr>
                    <w:pStyle w:val="69"/>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W</w:t>
                  </w:r>
                </w:p>
              </w:tc>
              <w:tc>
                <w:tcPr>
                  <w:tcW w:w="1615" w:type="pct"/>
                  <w:noWrap w:val="0"/>
                  <w:tcMar>
                    <w:left w:w="0" w:type="dxa"/>
                    <w:right w:w="0" w:type="dxa"/>
                  </w:tcMar>
                  <w:vAlign w:val="center"/>
                </w:tcPr>
                <w:p w14:paraId="67146CBC">
                  <w:pPr>
                    <w:pStyle w:val="69"/>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lang w:val="en-US" w:eastAsia="zh-CN"/>
                    </w:rPr>
                  </w:pPr>
                  <w:r>
                    <w:rPr>
                      <w:rFonts w:hint="eastAsia" w:cs="Times New Roman"/>
                      <w:color w:val="auto"/>
                      <w:highlight w:val="none"/>
                      <w:lang w:val="en-US" w:eastAsia="zh-CN"/>
                    </w:rPr>
                    <w:t>275</w:t>
                  </w:r>
                </w:p>
              </w:tc>
            </w:tr>
          </w:tbl>
          <w:p w14:paraId="2566C1CB">
            <w:pPr>
              <w:pStyle w:val="69"/>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drawing>
                <wp:inline distT="0" distB="0" distL="114300" distR="114300">
                  <wp:extent cx="5254625" cy="3940810"/>
                  <wp:effectExtent l="0" t="0" r="0" b="2540"/>
                  <wp:docPr id="2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5"/>
                          <pic:cNvPicPr>
                            <a:picLocks noChangeAspect="1"/>
                          </pic:cNvPicPr>
                        </pic:nvPicPr>
                        <pic:blipFill>
                          <a:blip r:embed="rId16"/>
                          <a:srcRect t="9450" r="-1189"/>
                          <a:stretch>
                            <a:fillRect/>
                          </a:stretch>
                        </pic:blipFill>
                        <pic:spPr>
                          <a:xfrm>
                            <a:off x="0" y="0"/>
                            <a:ext cx="5254625" cy="3940810"/>
                          </a:xfrm>
                          <a:prstGeom prst="rect">
                            <a:avLst/>
                          </a:prstGeom>
                          <a:noFill/>
                          <a:ln>
                            <a:noFill/>
                          </a:ln>
                        </pic:spPr>
                      </pic:pic>
                    </a:graphicData>
                  </a:graphic>
                </wp:inline>
              </w:drawing>
            </w:r>
          </w:p>
          <w:p w14:paraId="1541F3AD">
            <w:pPr>
              <w:pStyle w:val="70"/>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图</w:t>
            </w:r>
            <w:r>
              <w:rPr>
                <w:rFonts w:hint="default" w:ascii="Times New Roman" w:hAnsi="Times New Roman" w:cs="Times New Roman"/>
                <w:color w:val="auto"/>
                <w:highlight w:val="none"/>
              </w:rPr>
              <w:t>3-1</w:t>
            </w:r>
            <w:r>
              <w:rPr>
                <w:rFonts w:hint="eastAsia"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lang w:val="en-US" w:eastAsia="zh-CN"/>
              </w:rPr>
              <w:t>项目监测点位图</w:t>
            </w:r>
          </w:p>
          <w:p w14:paraId="0B7AAD86">
            <w:pPr>
              <w:pStyle w:val="6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④</w:t>
            </w:r>
            <w:r>
              <w:rPr>
                <w:rFonts w:hint="default" w:ascii="Times New Roman" w:hAnsi="Times New Roman" w:cs="Times New Roman"/>
                <w:color w:val="auto"/>
                <w:highlight w:val="none"/>
              </w:rPr>
              <w:t>监测结果</w:t>
            </w:r>
          </w:p>
          <w:p w14:paraId="3D48E2C3">
            <w:pPr>
              <w:pStyle w:val="70"/>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cs="Times New Roman"/>
                <w:color w:val="auto"/>
                <w:highlight w:val="none"/>
                <w:lang w:val="en-US" w:eastAsia="zh-CN"/>
              </w:rPr>
            </w:pPr>
          </w:p>
          <w:p w14:paraId="2DE92BB8">
            <w:pPr>
              <w:pStyle w:val="70"/>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cs="Times New Roman"/>
                <w:color w:val="auto"/>
                <w:highlight w:val="none"/>
                <w:lang w:val="en-US" w:eastAsia="zh-CN"/>
              </w:rPr>
            </w:pPr>
          </w:p>
          <w:p w14:paraId="6A5EE22D">
            <w:pPr>
              <w:pStyle w:val="70"/>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表3-3</w:t>
            </w:r>
            <w:r>
              <w:rPr>
                <w:rFonts w:hint="eastAsia"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lang w:val="en-US" w:eastAsia="zh-CN"/>
              </w:rPr>
              <w:t>环境空气质量监测结果一览表（引用）</w:t>
            </w:r>
          </w:p>
          <w:tbl>
            <w:tblPr>
              <w:tblStyle w:val="25"/>
              <w:tblW w:w="83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80"/>
              <w:gridCol w:w="1197"/>
              <w:gridCol w:w="1149"/>
              <w:gridCol w:w="859"/>
              <w:gridCol w:w="1706"/>
              <w:gridCol w:w="2194"/>
            </w:tblGrid>
            <w:tr w14:paraId="2B12A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restart"/>
                  <w:tcBorders>
                    <w:top w:val="single" w:color="000000" w:sz="4" w:space="0"/>
                    <w:left w:val="single" w:color="000000" w:sz="4" w:space="0"/>
                    <w:bottom w:val="single" w:color="000000" w:sz="4" w:space="0"/>
                    <w:right w:val="single" w:color="000000" w:sz="4" w:space="0"/>
                  </w:tcBorders>
                  <w:noWrap w:val="0"/>
                  <w:vAlign w:val="center"/>
                </w:tcPr>
                <w:p w14:paraId="184E243B">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采样日期</w:t>
                  </w:r>
                </w:p>
              </w:tc>
              <w:tc>
                <w:tcPr>
                  <w:tcW w:w="714" w:type="pct"/>
                  <w:vMerge w:val="restart"/>
                  <w:tcBorders>
                    <w:top w:val="single" w:color="000000" w:sz="4" w:space="0"/>
                    <w:left w:val="single" w:color="000000" w:sz="4" w:space="0"/>
                    <w:bottom w:val="single" w:color="000000" w:sz="4" w:space="0"/>
                    <w:right w:val="single" w:color="000000" w:sz="4" w:space="0"/>
                  </w:tcBorders>
                  <w:noWrap w:val="0"/>
                  <w:vAlign w:val="center"/>
                </w:tcPr>
                <w:p w14:paraId="2D676F14">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采样点位</w:t>
                  </w:r>
                </w:p>
              </w:tc>
              <w:tc>
                <w:tcPr>
                  <w:tcW w:w="685" w:type="pct"/>
                  <w:vMerge w:val="restart"/>
                  <w:tcBorders>
                    <w:top w:val="single" w:color="000000" w:sz="4" w:space="0"/>
                    <w:left w:val="single" w:color="000000" w:sz="4" w:space="0"/>
                    <w:bottom w:val="single" w:color="000000" w:sz="4" w:space="0"/>
                    <w:right w:val="single" w:color="000000" w:sz="4" w:space="0"/>
                  </w:tcBorders>
                  <w:noWrap w:val="0"/>
                  <w:vAlign w:val="center"/>
                </w:tcPr>
                <w:p w14:paraId="781876EB">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采样频次</w:t>
                  </w:r>
                </w:p>
              </w:tc>
              <w:tc>
                <w:tcPr>
                  <w:tcW w:w="512" w:type="pct"/>
                  <w:vMerge w:val="restart"/>
                  <w:tcBorders>
                    <w:top w:val="single" w:color="000000" w:sz="4" w:space="0"/>
                    <w:left w:val="single" w:color="000000" w:sz="4" w:space="0"/>
                    <w:bottom w:val="single" w:color="000000" w:sz="4" w:space="0"/>
                    <w:right w:val="single" w:color="000000" w:sz="4" w:space="0"/>
                  </w:tcBorders>
                  <w:noWrap w:val="0"/>
                  <w:vAlign w:val="center"/>
                </w:tcPr>
                <w:p w14:paraId="7EEAEEC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单位</w:t>
                  </w:r>
                </w:p>
              </w:tc>
              <w:tc>
                <w:tcPr>
                  <w:tcW w:w="2323" w:type="pct"/>
                  <w:gridSpan w:val="2"/>
                  <w:tcBorders>
                    <w:top w:val="single" w:color="000000" w:sz="4" w:space="0"/>
                    <w:left w:val="single" w:color="000000" w:sz="4" w:space="0"/>
                    <w:bottom w:val="single" w:color="000000" w:sz="4" w:space="0"/>
                    <w:right w:val="single" w:color="000000" w:sz="4" w:space="0"/>
                  </w:tcBorders>
                  <w:noWrap w:val="0"/>
                  <w:vAlign w:val="center"/>
                </w:tcPr>
                <w:p w14:paraId="36F1850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监测项目及监测结果</w:t>
                  </w:r>
                </w:p>
              </w:tc>
            </w:tr>
            <w:tr w14:paraId="001F8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E060CB">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71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082F9B">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F7A477">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51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2E5D20">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62D4BED0">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非甲烷总烃</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24E82587">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总悬浮颗粒物(TSP)</w:t>
                  </w:r>
                </w:p>
              </w:tc>
            </w:tr>
            <w:tr w14:paraId="14251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restart"/>
                  <w:tcBorders>
                    <w:top w:val="single" w:color="000000" w:sz="4" w:space="0"/>
                    <w:left w:val="single" w:color="000000" w:sz="4" w:space="0"/>
                    <w:right w:val="single" w:color="000000" w:sz="4" w:space="0"/>
                  </w:tcBorders>
                  <w:noWrap w:val="0"/>
                  <w:vAlign w:val="center"/>
                </w:tcPr>
                <w:p w14:paraId="1CA0EF2A">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2023.8.7</w:t>
                  </w:r>
                </w:p>
              </w:tc>
              <w:tc>
                <w:tcPr>
                  <w:tcW w:w="714" w:type="pct"/>
                  <w:vMerge w:val="restart"/>
                  <w:tcBorders>
                    <w:top w:val="single" w:color="000000" w:sz="4" w:space="0"/>
                    <w:left w:val="single" w:color="000000" w:sz="4" w:space="0"/>
                    <w:right w:val="single" w:color="000000" w:sz="4" w:space="0"/>
                  </w:tcBorders>
                  <w:noWrap w:val="0"/>
                  <w:vAlign w:val="center"/>
                </w:tcPr>
                <w:p w14:paraId="4863960D">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孵化园公租房</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10EFB0CF">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第一次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40B32C20">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6566B763">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1.08</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7C53E3D9">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5DA65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261CCF60">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714" w:type="pct"/>
                  <w:vMerge w:val="continue"/>
                  <w:tcBorders>
                    <w:left w:val="single" w:color="000000" w:sz="4" w:space="0"/>
                    <w:right w:val="single" w:color="000000" w:sz="4" w:space="0"/>
                  </w:tcBorders>
                  <w:noWrap w:val="0"/>
                  <w:vAlign w:val="center"/>
                </w:tcPr>
                <w:p w14:paraId="3D3F2883">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5FB164F0">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第二次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2E2983A0">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754B046B">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1.31</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2E31F6D1">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752C4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4" w:hRule="atLeast"/>
                <w:jc w:val="center"/>
              </w:trPr>
              <w:tc>
                <w:tcPr>
                  <w:tcW w:w="764" w:type="pct"/>
                  <w:vMerge w:val="continue"/>
                  <w:tcBorders>
                    <w:left w:val="single" w:color="000000" w:sz="4" w:space="0"/>
                    <w:right w:val="single" w:color="000000" w:sz="4" w:space="0"/>
                  </w:tcBorders>
                  <w:noWrap w:val="0"/>
                  <w:vAlign w:val="center"/>
                </w:tcPr>
                <w:p w14:paraId="70EE9EAD">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714" w:type="pct"/>
                  <w:vMerge w:val="continue"/>
                  <w:tcBorders>
                    <w:left w:val="single" w:color="000000" w:sz="4" w:space="0"/>
                    <w:right w:val="single" w:color="000000" w:sz="4" w:space="0"/>
                  </w:tcBorders>
                  <w:noWrap w:val="0"/>
                  <w:vAlign w:val="center"/>
                </w:tcPr>
                <w:p w14:paraId="52850C77">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38B4240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第三次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15EC7C64">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5678EEC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1.88</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025E296B">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48E98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21F8FB16">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714" w:type="pct"/>
                  <w:vMerge w:val="continue"/>
                  <w:tcBorders>
                    <w:left w:val="single" w:color="000000" w:sz="4" w:space="0"/>
                    <w:right w:val="single" w:color="000000" w:sz="4" w:space="0"/>
                  </w:tcBorders>
                  <w:noWrap w:val="0"/>
                  <w:vAlign w:val="center"/>
                </w:tcPr>
                <w:p w14:paraId="7365AF2B">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454CD3F2">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第四次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2B569687">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494DD6BF">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1.18</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0C1D9503">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13B0B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bottom w:val="single" w:color="000000" w:sz="4" w:space="0"/>
                    <w:right w:val="single" w:color="000000" w:sz="4" w:space="0"/>
                  </w:tcBorders>
                  <w:noWrap w:val="0"/>
                  <w:vAlign w:val="center"/>
                </w:tcPr>
                <w:p w14:paraId="35E6FB8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714" w:type="pct"/>
                  <w:vMerge w:val="continue"/>
                  <w:tcBorders>
                    <w:left w:val="single" w:color="000000" w:sz="4" w:space="0"/>
                    <w:bottom w:val="single" w:color="000000" w:sz="4" w:space="0"/>
                    <w:right w:val="single" w:color="000000" w:sz="4" w:space="0"/>
                  </w:tcBorders>
                  <w:noWrap w:val="0"/>
                  <w:vAlign w:val="center"/>
                </w:tcPr>
                <w:p w14:paraId="6E7659F7">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787E2E14">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日均值</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7B833AD5">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0C40B49C">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16518C70">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0.099</w:t>
                  </w:r>
                </w:p>
              </w:tc>
            </w:tr>
            <w:tr w14:paraId="4E91F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23DC58E1">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监测期间天气多云，气温33℃,气压99.9kPa,东南风，风速1.3m/s</w:t>
                  </w:r>
                </w:p>
              </w:tc>
            </w:tr>
            <w:tr w14:paraId="2010C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restart"/>
                  <w:tcBorders>
                    <w:top w:val="single" w:color="000000" w:sz="4" w:space="0"/>
                    <w:left w:val="single" w:color="000000" w:sz="4" w:space="0"/>
                    <w:right w:val="single" w:color="000000" w:sz="4" w:space="0"/>
                  </w:tcBorders>
                  <w:noWrap w:val="0"/>
                  <w:vAlign w:val="center"/>
                </w:tcPr>
                <w:p w14:paraId="7D053CE0">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2023.8.8</w:t>
                  </w:r>
                </w:p>
              </w:tc>
              <w:tc>
                <w:tcPr>
                  <w:tcW w:w="714" w:type="pct"/>
                  <w:vMerge w:val="restart"/>
                  <w:tcBorders>
                    <w:top w:val="single" w:color="000000" w:sz="4" w:space="0"/>
                    <w:left w:val="single" w:color="000000" w:sz="4" w:space="0"/>
                    <w:right w:val="single" w:color="000000" w:sz="4" w:space="0"/>
                  </w:tcBorders>
                  <w:noWrap w:val="0"/>
                  <w:vAlign w:val="center"/>
                </w:tcPr>
                <w:p w14:paraId="784F6305">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孵化园公租房</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559A9E47">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第一次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2A0712A1">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77AA8998">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1.59</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712433E3">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209D6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46083942">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714" w:type="pct"/>
                  <w:vMerge w:val="continue"/>
                  <w:tcBorders>
                    <w:left w:val="single" w:color="000000" w:sz="4" w:space="0"/>
                    <w:right w:val="single" w:color="000000" w:sz="4" w:space="0"/>
                  </w:tcBorders>
                  <w:noWrap w:val="0"/>
                  <w:vAlign w:val="center"/>
                </w:tcPr>
                <w:p w14:paraId="5D309BA8">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67307786">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第二次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4E02A094">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3B6A2515">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1.27</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3F24FFDC">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68916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4E8AD16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714" w:type="pct"/>
                  <w:vMerge w:val="continue"/>
                  <w:tcBorders>
                    <w:left w:val="single" w:color="000000" w:sz="4" w:space="0"/>
                    <w:right w:val="single" w:color="000000" w:sz="4" w:space="0"/>
                  </w:tcBorders>
                  <w:noWrap w:val="0"/>
                  <w:vAlign w:val="center"/>
                </w:tcPr>
                <w:p w14:paraId="69FFB561">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0C3B81D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第三次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6D4CA3EC">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5B7A98A4">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1.50</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6E48553D">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42BF5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786762F3">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714" w:type="pct"/>
                  <w:vMerge w:val="continue"/>
                  <w:tcBorders>
                    <w:left w:val="single" w:color="000000" w:sz="4" w:space="0"/>
                    <w:right w:val="single" w:color="000000" w:sz="4" w:space="0"/>
                  </w:tcBorders>
                  <w:noWrap w:val="0"/>
                  <w:vAlign w:val="center"/>
                </w:tcPr>
                <w:p w14:paraId="3BEB35B3">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01E95E1F">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第四次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2036B67A">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27C41332">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1.43</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7A665EA5">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1EBCA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bottom w:val="single" w:color="000000" w:sz="4" w:space="0"/>
                    <w:right w:val="single" w:color="000000" w:sz="4" w:space="0"/>
                  </w:tcBorders>
                  <w:noWrap w:val="0"/>
                  <w:vAlign w:val="center"/>
                </w:tcPr>
                <w:p w14:paraId="2A1DD6A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714" w:type="pct"/>
                  <w:vMerge w:val="continue"/>
                  <w:tcBorders>
                    <w:left w:val="single" w:color="000000" w:sz="4" w:space="0"/>
                    <w:bottom w:val="single" w:color="000000" w:sz="4" w:space="0"/>
                    <w:right w:val="single" w:color="000000" w:sz="4" w:space="0"/>
                  </w:tcBorders>
                  <w:noWrap w:val="0"/>
                  <w:vAlign w:val="center"/>
                </w:tcPr>
                <w:p w14:paraId="06ABC4F1">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3E3D019B">
                  <w:pPr>
                    <w:pStyle w:val="69"/>
                    <w:keepNext w:val="0"/>
                    <w:keepLines w:val="0"/>
                    <w:pageBreakBefore w:val="0"/>
                    <w:widowControl w:val="0"/>
                    <w:kinsoku/>
                    <w:wordWrap/>
                    <w:overflowPunct/>
                    <w:topLinePunct w:val="0"/>
                    <w:bidi w:val="0"/>
                    <w:adjustRightInd w:val="0"/>
                    <w:snapToGrid w:val="0"/>
                    <w:ind w:firstLine="0" w:firstLineChars="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日均值</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6B87EA69">
                  <w:pPr>
                    <w:pStyle w:val="69"/>
                    <w:keepNext w:val="0"/>
                    <w:keepLines w:val="0"/>
                    <w:pageBreakBefore w:val="0"/>
                    <w:widowControl w:val="0"/>
                    <w:kinsoku/>
                    <w:wordWrap/>
                    <w:overflowPunct/>
                    <w:topLinePunct w:val="0"/>
                    <w:bidi w:val="0"/>
                    <w:adjustRightInd w:val="0"/>
                    <w:snapToGrid w:val="0"/>
                    <w:ind w:firstLine="0" w:firstLineChars="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6229DFF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7667573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0.101</w:t>
                  </w:r>
                </w:p>
              </w:tc>
            </w:tr>
            <w:tr w14:paraId="161A7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795BE2A5">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监测期间天气多云转晴，气温31℃,气压99.9kPa,东北风，风速1.3~1.4m/s</w:t>
                  </w:r>
                </w:p>
              </w:tc>
            </w:tr>
            <w:tr w14:paraId="3AF44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restart"/>
                  <w:tcBorders>
                    <w:top w:val="single" w:color="000000" w:sz="4" w:space="0"/>
                    <w:left w:val="single" w:color="000000" w:sz="4" w:space="0"/>
                    <w:right w:val="single" w:color="000000" w:sz="4" w:space="0"/>
                  </w:tcBorders>
                  <w:noWrap w:val="0"/>
                  <w:vAlign w:val="center"/>
                </w:tcPr>
                <w:p w14:paraId="652AFFD4">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2023.8.9</w:t>
                  </w:r>
                </w:p>
              </w:tc>
              <w:tc>
                <w:tcPr>
                  <w:tcW w:w="714" w:type="pct"/>
                  <w:vMerge w:val="restart"/>
                  <w:tcBorders>
                    <w:top w:val="single" w:color="000000" w:sz="4" w:space="0"/>
                    <w:left w:val="single" w:color="000000" w:sz="4" w:space="0"/>
                    <w:right w:val="single" w:color="000000" w:sz="4" w:space="0"/>
                  </w:tcBorders>
                  <w:noWrap w:val="0"/>
                  <w:vAlign w:val="center"/>
                </w:tcPr>
                <w:p w14:paraId="43697CDF">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孵化园公租房</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07BEB399">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第一次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08AB0884">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2F1A4689">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1.49</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7DFB4119">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4A3A2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2E87764F">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714" w:type="pct"/>
                  <w:vMerge w:val="continue"/>
                  <w:tcBorders>
                    <w:left w:val="single" w:color="000000" w:sz="4" w:space="0"/>
                    <w:right w:val="single" w:color="000000" w:sz="4" w:space="0"/>
                  </w:tcBorders>
                  <w:noWrap w:val="0"/>
                  <w:vAlign w:val="center"/>
                </w:tcPr>
                <w:p w14:paraId="4CE60E1A">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2E14BBC0">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第二次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470DD1D2">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24F3EAC4">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1.12</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59B59C96">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776E5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1B4BA056">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714" w:type="pct"/>
                  <w:vMerge w:val="continue"/>
                  <w:tcBorders>
                    <w:left w:val="single" w:color="000000" w:sz="4" w:space="0"/>
                    <w:right w:val="single" w:color="000000" w:sz="4" w:space="0"/>
                  </w:tcBorders>
                  <w:noWrap w:val="0"/>
                  <w:vAlign w:val="center"/>
                </w:tcPr>
                <w:p w14:paraId="0B303691">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65E84993">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第三次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0193A01C">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53ED277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1.79</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47FB8911">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075C9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right w:val="single" w:color="000000" w:sz="4" w:space="0"/>
                  </w:tcBorders>
                  <w:noWrap w:val="0"/>
                  <w:vAlign w:val="center"/>
                </w:tcPr>
                <w:p w14:paraId="36B08C6C">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714" w:type="pct"/>
                  <w:vMerge w:val="continue"/>
                  <w:tcBorders>
                    <w:left w:val="single" w:color="000000" w:sz="4" w:space="0"/>
                    <w:right w:val="single" w:color="000000" w:sz="4" w:space="0"/>
                  </w:tcBorders>
                  <w:noWrap w:val="0"/>
                  <w:vAlign w:val="center"/>
                </w:tcPr>
                <w:p w14:paraId="7054618C">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00830B59">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第四次</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53DE7F86">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6F52395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1.58</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5CFCFB12">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w:t>
                  </w:r>
                </w:p>
              </w:tc>
            </w:tr>
            <w:tr w14:paraId="66B7B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764" w:type="pct"/>
                  <w:vMerge w:val="continue"/>
                  <w:tcBorders>
                    <w:left w:val="single" w:color="000000" w:sz="4" w:space="0"/>
                    <w:bottom w:val="single" w:color="000000" w:sz="4" w:space="0"/>
                    <w:right w:val="single" w:color="000000" w:sz="4" w:space="0"/>
                  </w:tcBorders>
                  <w:noWrap w:val="0"/>
                  <w:vAlign w:val="center"/>
                </w:tcPr>
                <w:p w14:paraId="0D4A2C66">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714" w:type="pct"/>
                  <w:vMerge w:val="continue"/>
                  <w:tcBorders>
                    <w:left w:val="single" w:color="000000" w:sz="4" w:space="0"/>
                    <w:bottom w:val="single" w:color="000000" w:sz="4" w:space="0"/>
                    <w:right w:val="single" w:color="000000" w:sz="4" w:space="0"/>
                  </w:tcBorders>
                  <w:noWrap w:val="0"/>
                  <w:vAlign w:val="center"/>
                </w:tcPr>
                <w:p w14:paraId="5CDC65CA">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5F6C5378">
                  <w:pPr>
                    <w:pStyle w:val="69"/>
                    <w:keepNext w:val="0"/>
                    <w:keepLines w:val="0"/>
                    <w:pageBreakBefore w:val="0"/>
                    <w:widowControl w:val="0"/>
                    <w:kinsoku/>
                    <w:wordWrap/>
                    <w:overflowPunct/>
                    <w:topLinePunct w:val="0"/>
                    <w:bidi w:val="0"/>
                    <w:adjustRightInd w:val="0"/>
                    <w:snapToGrid w:val="0"/>
                    <w:ind w:firstLine="0" w:firstLineChars="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日均值</w:t>
                  </w:r>
                </w:p>
              </w:tc>
              <w:tc>
                <w:tcPr>
                  <w:tcW w:w="512" w:type="pct"/>
                  <w:tcBorders>
                    <w:top w:val="single" w:color="000000" w:sz="4" w:space="0"/>
                    <w:left w:val="single" w:color="000000" w:sz="4" w:space="0"/>
                    <w:bottom w:val="single" w:color="000000" w:sz="4" w:space="0"/>
                    <w:right w:val="single" w:color="000000" w:sz="4" w:space="0"/>
                  </w:tcBorders>
                  <w:noWrap w:val="0"/>
                  <w:vAlign w:val="center"/>
                </w:tcPr>
                <w:p w14:paraId="2731D188">
                  <w:pPr>
                    <w:pStyle w:val="69"/>
                    <w:keepNext w:val="0"/>
                    <w:keepLines w:val="0"/>
                    <w:pageBreakBefore w:val="0"/>
                    <w:widowControl w:val="0"/>
                    <w:kinsoku/>
                    <w:wordWrap/>
                    <w:overflowPunct/>
                    <w:topLinePunct w:val="0"/>
                    <w:bidi w:val="0"/>
                    <w:adjustRightInd w:val="0"/>
                    <w:snapToGrid w:val="0"/>
                    <w:ind w:firstLine="0" w:firstLineChars="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mg/m³</w:t>
                  </w:r>
                </w:p>
              </w:tc>
              <w:tc>
                <w:tcPr>
                  <w:tcW w:w="1017" w:type="pct"/>
                  <w:tcBorders>
                    <w:top w:val="single" w:color="000000" w:sz="4" w:space="0"/>
                    <w:left w:val="single" w:color="000000" w:sz="4" w:space="0"/>
                    <w:bottom w:val="single" w:color="000000" w:sz="4" w:space="0"/>
                    <w:right w:val="single" w:color="000000" w:sz="4" w:space="0"/>
                  </w:tcBorders>
                  <w:noWrap w:val="0"/>
                  <w:vAlign w:val="center"/>
                </w:tcPr>
                <w:p w14:paraId="199452CB">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4270F32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0.105</w:t>
                  </w:r>
                </w:p>
              </w:tc>
            </w:tr>
            <w:tr w14:paraId="56484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50FF45BA">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监测期间天气多云，气温30~31℃,气压99.9kPa,东南风，风速1.2~1.3m/s</w:t>
                  </w:r>
                </w:p>
              </w:tc>
            </w:tr>
          </w:tbl>
          <w:p w14:paraId="001B8336">
            <w:pPr>
              <w:pStyle w:val="68"/>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⑤评价</w:t>
            </w:r>
            <w:r>
              <w:rPr>
                <w:rFonts w:hint="default" w:ascii="Times New Roman" w:hAnsi="Times New Roman" w:cs="Times New Roman"/>
                <w:color w:val="auto"/>
                <w:highlight w:val="none"/>
              </w:rPr>
              <w:t>结果</w:t>
            </w:r>
          </w:p>
          <w:p w14:paraId="338240AE">
            <w:pPr>
              <w:pStyle w:val="70"/>
              <w:keepNext w:val="0"/>
              <w:keepLines w:val="0"/>
              <w:pageBreakBefore w:val="0"/>
              <w:widowControl w:val="0"/>
              <w:kinsoku/>
              <w:wordWrap/>
              <w:overflowPunct/>
              <w:topLinePunct w:val="0"/>
              <w:bidi w:val="0"/>
              <w:adjustRightInd w:val="0"/>
              <w:snapToGrid w:val="0"/>
              <w:spacing w:line="360" w:lineRule="auto"/>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表3-</w:t>
            </w:r>
            <w:r>
              <w:rPr>
                <w:rFonts w:hint="eastAsia" w:ascii="Times New Roman" w:hAnsi="Times New Roman" w:cs="Times New Roman"/>
                <w:color w:val="auto"/>
                <w:highlight w:val="none"/>
                <w:lang w:val="en-US" w:eastAsia="zh-CN"/>
              </w:rPr>
              <w:t xml:space="preserve">4  </w:t>
            </w:r>
            <w:r>
              <w:rPr>
                <w:rFonts w:hint="default" w:ascii="Times New Roman" w:hAnsi="Times New Roman" w:cs="Times New Roman"/>
                <w:color w:val="auto"/>
                <w:highlight w:val="none"/>
                <w:lang w:val="en-US" w:eastAsia="zh-CN"/>
              </w:rPr>
              <w:t>空气环境现状监测结果</w:t>
            </w:r>
          </w:p>
          <w:tbl>
            <w:tblPr>
              <w:tblStyle w:val="2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814"/>
              <w:gridCol w:w="920"/>
              <w:gridCol w:w="1343"/>
              <w:gridCol w:w="673"/>
              <w:gridCol w:w="874"/>
              <w:gridCol w:w="843"/>
              <w:gridCol w:w="747"/>
              <w:gridCol w:w="764"/>
              <w:gridCol w:w="633"/>
            </w:tblGrid>
            <w:tr w14:paraId="7CE1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3" w:type="pct"/>
                  <w:noWrap w:val="0"/>
                  <w:vAlign w:val="center"/>
                </w:tcPr>
                <w:p w14:paraId="479951E4">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监测点位</w:t>
                  </w:r>
                </w:p>
              </w:tc>
              <w:tc>
                <w:tcPr>
                  <w:tcW w:w="486" w:type="pct"/>
                  <w:noWrap w:val="0"/>
                  <w:vAlign w:val="center"/>
                </w:tcPr>
                <w:p w14:paraId="201856E7">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污染物</w:t>
                  </w:r>
                </w:p>
              </w:tc>
              <w:tc>
                <w:tcPr>
                  <w:tcW w:w="549" w:type="pct"/>
                  <w:noWrap w:val="0"/>
                  <w:vAlign w:val="center"/>
                </w:tcPr>
                <w:p w14:paraId="08DEC187">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取值时间</w:t>
                  </w:r>
                </w:p>
              </w:tc>
              <w:tc>
                <w:tcPr>
                  <w:tcW w:w="802" w:type="pct"/>
                  <w:noWrap w:val="0"/>
                  <w:vAlign w:val="center"/>
                </w:tcPr>
                <w:p w14:paraId="26C8D79D">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浓度范围</w:t>
                  </w:r>
                </w:p>
              </w:tc>
              <w:tc>
                <w:tcPr>
                  <w:tcW w:w="402" w:type="pct"/>
                  <w:noWrap w:val="0"/>
                  <w:vAlign w:val="center"/>
                </w:tcPr>
                <w:p w14:paraId="2562DF2C">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标准限值</w:t>
                  </w:r>
                </w:p>
              </w:tc>
              <w:tc>
                <w:tcPr>
                  <w:tcW w:w="522" w:type="pct"/>
                  <w:noWrap w:val="0"/>
                  <w:vAlign w:val="center"/>
                </w:tcPr>
                <w:p w14:paraId="1F45CBE0">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最大占标率(%)</w:t>
                  </w:r>
                </w:p>
              </w:tc>
              <w:tc>
                <w:tcPr>
                  <w:tcW w:w="503" w:type="pct"/>
                  <w:noWrap w:val="0"/>
                  <w:vAlign w:val="center"/>
                </w:tcPr>
                <w:p w14:paraId="2FF53688">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超标数(个)</w:t>
                  </w:r>
                </w:p>
              </w:tc>
              <w:tc>
                <w:tcPr>
                  <w:tcW w:w="446" w:type="pct"/>
                  <w:noWrap w:val="0"/>
                  <w:vAlign w:val="center"/>
                </w:tcPr>
                <w:p w14:paraId="487DE454">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超标率(%)</w:t>
                  </w:r>
                </w:p>
              </w:tc>
              <w:tc>
                <w:tcPr>
                  <w:tcW w:w="456" w:type="pct"/>
                  <w:noWrap w:val="0"/>
                  <w:vAlign w:val="center"/>
                </w:tcPr>
                <w:p w14:paraId="5B2B9549">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最大超标倍数</w:t>
                  </w:r>
                </w:p>
              </w:tc>
              <w:tc>
                <w:tcPr>
                  <w:tcW w:w="378" w:type="pct"/>
                  <w:noWrap w:val="0"/>
                  <w:vAlign w:val="center"/>
                </w:tcPr>
                <w:p w14:paraId="64A4B7C5">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是否达标</w:t>
                  </w:r>
                </w:p>
              </w:tc>
            </w:tr>
            <w:tr w14:paraId="581E1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3" w:type="pct"/>
                  <w:vMerge w:val="restart"/>
                  <w:noWrap w:val="0"/>
                  <w:vAlign w:val="center"/>
                </w:tcPr>
                <w:p w14:paraId="24D1A5F8">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spacing w:val="-1"/>
                      <w:sz w:val="21"/>
                      <w:szCs w:val="21"/>
                      <w:highlight w:val="none"/>
                    </w:rPr>
                    <w:t>孵化园公租房</w:t>
                  </w:r>
                </w:p>
              </w:tc>
              <w:tc>
                <w:tcPr>
                  <w:tcW w:w="486" w:type="pct"/>
                  <w:noWrap w:val="0"/>
                  <w:vAlign w:val="center"/>
                </w:tcPr>
                <w:p w14:paraId="08F152C6">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非甲烷总烃</w:t>
                  </w:r>
                </w:p>
              </w:tc>
              <w:tc>
                <w:tcPr>
                  <w:tcW w:w="549" w:type="pct"/>
                  <w:vMerge w:val="restart"/>
                  <w:noWrap w:val="0"/>
                  <w:vAlign w:val="center"/>
                </w:tcPr>
                <w:p w14:paraId="1E15FEDE">
                  <w:pPr>
                    <w:pStyle w:val="69"/>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1小时平均浓度</w:t>
                  </w:r>
                </w:p>
              </w:tc>
              <w:tc>
                <w:tcPr>
                  <w:tcW w:w="802" w:type="pct"/>
                  <w:noWrap w:val="0"/>
                  <w:vAlign w:val="center"/>
                </w:tcPr>
                <w:p w14:paraId="3DD892E8">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1.08~1.88</w:t>
                  </w:r>
                </w:p>
              </w:tc>
              <w:tc>
                <w:tcPr>
                  <w:tcW w:w="402" w:type="pct"/>
                  <w:noWrap w:val="0"/>
                  <w:vAlign w:val="center"/>
                </w:tcPr>
                <w:p w14:paraId="28B24E60">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2.0</w:t>
                  </w:r>
                </w:p>
              </w:tc>
              <w:tc>
                <w:tcPr>
                  <w:tcW w:w="522" w:type="pct"/>
                  <w:noWrap w:val="0"/>
                  <w:vAlign w:val="center"/>
                </w:tcPr>
                <w:p w14:paraId="343C3302">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94%</w:t>
                  </w:r>
                </w:p>
              </w:tc>
              <w:tc>
                <w:tcPr>
                  <w:tcW w:w="503" w:type="pct"/>
                  <w:noWrap w:val="0"/>
                  <w:vAlign w:val="center"/>
                </w:tcPr>
                <w:p w14:paraId="166BDB0D">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0</w:t>
                  </w:r>
                </w:p>
              </w:tc>
              <w:tc>
                <w:tcPr>
                  <w:tcW w:w="446" w:type="pct"/>
                  <w:noWrap w:val="0"/>
                  <w:vAlign w:val="center"/>
                </w:tcPr>
                <w:p w14:paraId="446FCCDF">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0</w:t>
                  </w:r>
                </w:p>
              </w:tc>
              <w:tc>
                <w:tcPr>
                  <w:tcW w:w="456" w:type="pct"/>
                  <w:noWrap w:val="0"/>
                  <w:vAlign w:val="center"/>
                </w:tcPr>
                <w:p w14:paraId="4758C171">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0</w:t>
                  </w:r>
                </w:p>
              </w:tc>
              <w:tc>
                <w:tcPr>
                  <w:tcW w:w="378" w:type="pct"/>
                  <w:noWrap w:val="0"/>
                  <w:vAlign w:val="center"/>
                </w:tcPr>
                <w:p w14:paraId="6D998D2F">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是</w:t>
                  </w:r>
                </w:p>
              </w:tc>
            </w:tr>
            <w:tr w14:paraId="091C9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53" w:type="pct"/>
                  <w:vMerge w:val="continue"/>
                  <w:noWrap w:val="0"/>
                  <w:vAlign w:val="center"/>
                </w:tcPr>
                <w:p w14:paraId="466760D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p>
              </w:tc>
              <w:tc>
                <w:tcPr>
                  <w:tcW w:w="486" w:type="pct"/>
                  <w:noWrap w:val="0"/>
                  <w:vAlign w:val="center"/>
                </w:tcPr>
                <w:p w14:paraId="5DB584B3">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TSP</w:t>
                  </w:r>
                </w:p>
              </w:tc>
              <w:tc>
                <w:tcPr>
                  <w:tcW w:w="549" w:type="pct"/>
                  <w:vMerge w:val="continue"/>
                  <w:noWrap w:val="0"/>
                  <w:vAlign w:val="center"/>
                </w:tcPr>
                <w:p w14:paraId="56C3B31B">
                  <w:pPr>
                    <w:pStyle w:val="69"/>
                    <w:keepNext w:val="0"/>
                    <w:keepLines w:val="0"/>
                    <w:pageBreakBefore w:val="0"/>
                    <w:widowControl w:val="0"/>
                    <w:kinsoku/>
                    <w:wordWrap/>
                    <w:overflowPunct/>
                    <w:topLinePunct w:val="0"/>
                    <w:bidi w:val="0"/>
                    <w:adjustRightInd w:val="0"/>
                    <w:snapToGrid w:val="0"/>
                    <w:textAlignment w:val="auto"/>
                    <w:rPr>
                      <w:rFonts w:hint="default" w:ascii="Times New Roman" w:hAnsi="Times New Roman" w:cs="Times New Roman"/>
                      <w:color w:val="auto"/>
                      <w:highlight w:val="none"/>
                      <w:lang w:val="en-US" w:eastAsia="zh-CN"/>
                    </w:rPr>
                  </w:pPr>
                </w:p>
              </w:tc>
              <w:tc>
                <w:tcPr>
                  <w:tcW w:w="802" w:type="pct"/>
                  <w:noWrap w:val="0"/>
                  <w:vAlign w:val="center"/>
                </w:tcPr>
                <w:p w14:paraId="331C7736">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0.099~0.105</w:t>
                  </w:r>
                </w:p>
              </w:tc>
              <w:tc>
                <w:tcPr>
                  <w:tcW w:w="402" w:type="pct"/>
                  <w:noWrap w:val="0"/>
                  <w:vAlign w:val="center"/>
                </w:tcPr>
                <w:p w14:paraId="5C6FFFA5">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0.3</w:t>
                  </w:r>
                </w:p>
              </w:tc>
              <w:tc>
                <w:tcPr>
                  <w:tcW w:w="522" w:type="pct"/>
                  <w:noWrap w:val="0"/>
                  <w:vAlign w:val="center"/>
                </w:tcPr>
                <w:p w14:paraId="7A75378D">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21%</w:t>
                  </w:r>
                </w:p>
              </w:tc>
              <w:tc>
                <w:tcPr>
                  <w:tcW w:w="503" w:type="pct"/>
                  <w:noWrap w:val="0"/>
                  <w:vAlign w:val="center"/>
                </w:tcPr>
                <w:p w14:paraId="518EE4D9">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0</w:t>
                  </w:r>
                </w:p>
              </w:tc>
              <w:tc>
                <w:tcPr>
                  <w:tcW w:w="446" w:type="pct"/>
                  <w:noWrap w:val="0"/>
                  <w:vAlign w:val="center"/>
                </w:tcPr>
                <w:p w14:paraId="036D8B0C">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0</w:t>
                  </w:r>
                </w:p>
              </w:tc>
              <w:tc>
                <w:tcPr>
                  <w:tcW w:w="456" w:type="pct"/>
                  <w:noWrap w:val="0"/>
                  <w:vAlign w:val="center"/>
                </w:tcPr>
                <w:p w14:paraId="2680C382">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0</w:t>
                  </w:r>
                </w:p>
              </w:tc>
              <w:tc>
                <w:tcPr>
                  <w:tcW w:w="378" w:type="pct"/>
                  <w:noWrap w:val="0"/>
                  <w:vAlign w:val="center"/>
                </w:tcPr>
                <w:p w14:paraId="1AC2EB4E">
                  <w:pPr>
                    <w:pStyle w:val="69"/>
                    <w:keepNext w:val="0"/>
                    <w:keepLines w:val="0"/>
                    <w:pageBreakBefore w:val="0"/>
                    <w:widowControl w:val="0"/>
                    <w:kinsoku/>
                    <w:wordWrap/>
                    <w:overflowPunct/>
                    <w:topLinePunct w:val="0"/>
                    <w:bidi w:val="0"/>
                    <w:adjustRightInd w:val="0"/>
                    <w:snapToGrid w:val="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是</w:t>
                  </w:r>
                </w:p>
              </w:tc>
            </w:tr>
          </w:tbl>
          <w:p w14:paraId="1225506E">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由上表可知，</w:t>
            </w:r>
            <w:r>
              <w:rPr>
                <w:rFonts w:hint="default" w:ascii="Times New Roman" w:hAnsi="Times New Roman" w:cs="Times New Roman"/>
                <w:color w:val="auto"/>
                <w:sz w:val="24"/>
                <w:szCs w:val="24"/>
                <w:highlight w:val="none"/>
                <w:lang w:val="en-US" w:eastAsia="zh-CN"/>
              </w:rPr>
              <w:t>评价区域</w:t>
            </w:r>
            <w:r>
              <w:rPr>
                <w:rFonts w:hint="default" w:ascii="Times New Roman" w:hAnsi="Times New Roman" w:eastAsia="宋体" w:cs="Times New Roman"/>
                <w:color w:val="auto"/>
                <w:sz w:val="24"/>
                <w:szCs w:val="24"/>
                <w:highlight w:val="none"/>
                <w:lang w:val="en-US" w:eastAsia="zh-CN"/>
              </w:rPr>
              <w:t>非甲烷总烃满足《大气污染物综合排放标准详解》中的</w:t>
            </w:r>
            <w:r>
              <w:rPr>
                <w:rFonts w:hint="default" w:ascii="Times New Roman" w:hAnsi="Times New Roman" w:cs="Times New Roman"/>
                <w:color w:val="auto"/>
                <w:sz w:val="24"/>
                <w:szCs w:val="24"/>
                <w:highlight w:val="none"/>
                <w:lang w:val="en-US" w:eastAsia="zh-CN"/>
              </w:rPr>
              <w:t>限值</w:t>
            </w:r>
            <w:r>
              <w:rPr>
                <w:rFonts w:hint="default" w:ascii="Times New Roman" w:hAnsi="Times New Roman" w:eastAsia="宋体" w:cs="Times New Roman"/>
                <w:color w:val="auto"/>
                <w:sz w:val="24"/>
                <w:szCs w:val="24"/>
                <w:highlight w:val="none"/>
                <w:lang w:val="en-US" w:eastAsia="zh-CN"/>
              </w:rPr>
              <w:t>要求</w:t>
            </w:r>
            <w:r>
              <w:rPr>
                <w:rFonts w:hint="default" w:ascii="Times New Roman" w:hAnsi="Times New Roman" w:cs="Times New Roman"/>
                <w:color w:val="auto"/>
                <w:sz w:val="24"/>
                <w:szCs w:val="24"/>
                <w:highlight w:val="none"/>
                <w:lang w:val="en-US" w:eastAsia="zh-CN"/>
              </w:rPr>
              <w:t>，TSP满足《环境空气质量标准》（GB3095-2012）限值要求</w:t>
            </w:r>
            <w:r>
              <w:rPr>
                <w:rFonts w:hint="default" w:ascii="Times New Roman" w:hAnsi="Times New Roman" w:eastAsia="宋体" w:cs="Times New Roman"/>
                <w:color w:val="auto"/>
                <w:sz w:val="24"/>
                <w:szCs w:val="24"/>
                <w:highlight w:val="none"/>
                <w:lang w:val="en-US" w:eastAsia="zh-CN"/>
              </w:rPr>
              <w:t>。</w:t>
            </w:r>
          </w:p>
          <w:p w14:paraId="6668570F">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地表水环境质量现状</w:t>
            </w:r>
          </w:p>
          <w:p w14:paraId="0EE2DE11">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建设项目环境影响报告表编制技术指南（污染影响类）》（试行），地表水环境可引用与建设项目距离近的有效数据，包括近3年的规划环境影响评价的监测数据，所在流域控制单元内国家、地方控制断面监测数据，生态环境主管部门发布的水环境质量数据或地表水达标情况结论。</w:t>
            </w:r>
          </w:p>
          <w:p w14:paraId="100AF56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z w:val="24"/>
                <w:szCs w:val="24"/>
                <w:highlight w:val="none"/>
              </w:rPr>
              <w:t>根据</w:t>
            </w:r>
            <w:r>
              <w:rPr>
                <w:rFonts w:hint="default" w:ascii="Times New Roman" w:hAnsi="Times New Roman" w:cs="Times New Roman"/>
                <w:color w:val="auto"/>
                <w:sz w:val="24"/>
                <w:szCs w:val="24"/>
                <w:highlight w:val="none"/>
                <w:lang w:val="en-US" w:eastAsia="zh-CN"/>
              </w:rPr>
              <w:t>池州市生态环境局发布的</w:t>
            </w:r>
            <w:r>
              <w:rPr>
                <w:rFonts w:hint="default" w:ascii="Times New Roman" w:hAnsi="Times New Roman" w:eastAsia="宋体" w:cs="Times New Roman"/>
                <w:color w:val="auto"/>
                <w:sz w:val="24"/>
                <w:szCs w:val="24"/>
                <w:highlight w:val="none"/>
              </w:rPr>
              <w:t>2025</w:t>
            </w:r>
            <w:r>
              <w:rPr>
                <w:rFonts w:hint="default" w:ascii="Times New Roman" w:hAnsi="Times New Roman" w:cs="Times New Roman"/>
                <w:color w:val="auto"/>
                <w:sz w:val="24"/>
                <w:szCs w:val="24"/>
                <w:highlight w:val="none"/>
                <w:lang w:val="en-US" w:eastAsia="zh-CN"/>
              </w:rPr>
              <w:t>年</w:t>
            </w:r>
            <w:r>
              <w:rPr>
                <w:rFonts w:hint="default" w:ascii="Times New Roman" w:hAnsi="Times New Roman" w:eastAsia="宋体" w:cs="Times New Roman"/>
                <w:color w:val="auto"/>
                <w:sz w:val="24"/>
                <w:szCs w:val="24"/>
                <w:highlight w:val="none"/>
              </w:rPr>
              <w:t>池州市</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月份地表水环境状况(新版)</w:t>
            </w:r>
            <w:r>
              <w:rPr>
                <w:rFonts w:hint="default" w:ascii="Times New Roman" w:hAnsi="Times New Roman" w:cs="Times New Roman"/>
                <w:color w:val="auto"/>
                <w:sz w:val="24"/>
                <w:szCs w:val="24"/>
                <w:highlight w:val="none"/>
                <w:lang w:val="en-US" w:eastAsia="zh-CN"/>
              </w:rPr>
              <w:t>数据</w:t>
            </w:r>
            <w:r>
              <w:rPr>
                <w:rFonts w:hint="default" w:ascii="Times New Roman" w:hAnsi="Times New Roman" w:cs="Times New Roman"/>
                <w:color w:val="auto"/>
                <w:sz w:val="24"/>
                <w:szCs w:val="24"/>
                <w:highlight w:val="none"/>
                <w:lang w:eastAsia="zh-CN"/>
              </w:rPr>
              <w:t>（https://sthjj.chizhou.gov.cn/OpennessContent/show/1680196.html），</w:t>
            </w:r>
            <w:r>
              <w:rPr>
                <w:rFonts w:hint="default" w:ascii="Times New Roman" w:hAnsi="Times New Roman" w:eastAsia="宋体" w:cs="Times New Roman"/>
                <w:color w:val="auto"/>
                <w:sz w:val="24"/>
                <w:szCs w:val="24"/>
                <w:highlight w:val="none"/>
              </w:rPr>
              <w:t>按照《地表水环境质量标准》（GB3838—2002）和《地表水环境质量评价办法（试行）》（2011年3月）进行评价，202</w:t>
            </w:r>
            <w:r>
              <w:rPr>
                <w:rFonts w:hint="default"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月份长江五步沟右岸</w:t>
            </w:r>
            <w:r>
              <w:rPr>
                <w:rFonts w:hint="default" w:ascii="Times New Roman" w:hAnsi="Times New Roman" w:cs="Times New Roman"/>
                <w:color w:val="auto"/>
                <w:sz w:val="24"/>
                <w:szCs w:val="24"/>
                <w:highlight w:val="none"/>
                <w:lang w:val="en-US" w:eastAsia="zh-CN"/>
              </w:rPr>
              <w:t>断面、民生水厂</w:t>
            </w:r>
            <w:r>
              <w:rPr>
                <w:rFonts w:hint="default" w:ascii="Times New Roman" w:hAnsi="Times New Roman" w:eastAsia="宋体" w:cs="Times New Roman"/>
                <w:color w:val="auto"/>
                <w:sz w:val="24"/>
                <w:szCs w:val="24"/>
                <w:highlight w:val="none"/>
              </w:rPr>
              <w:t>右岸</w:t>
            </w:r>
            <w:r>
              <w:rPr>
                <w:rFonts w:hint="default" w:ascii="Times New Roman" w:hAnsi="Times New Roman" w:cs="Times New Roman"/>
                <w:color w:val="auto"/>
                <w:sz w:val="24"/>
                <w:szCs w:val="24"/>
                <w:highlight w:val="none"/>
                <w:lang w:val="en-US" w:eastAsia="zh-CN"/>
              </w:rPr>
              <w:t>断面、江口水厂断面</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各断面水质综合评价为Ⅱ</w:t>
            </w:r>
            <w:r>
              <w:rPr>
                <w:rFonts w:hint="default" w:ascii="Times New Roman" w:hAnsi="Times New Roman" w:eastAsia="宋体" w:cs="Times New Roman"/>
                <w:color w:val="auto"/>
                <w:sz w:val="24"/>
                <w:szCs w:val="24"/>
                <w:highlight w:val="none"/>
              </w:rPr>
              <w:t>类</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长江</w:t>
            </w:r>
            <w:r>
              <w:rPr>
                <w:rFonts w:hint="default" w:ascii="Times New Roman" w:hAnsi="Times New Roman" w:eastAsia="宋体" w:cs="Times New Roman"/>
                <w:color w:val="auto"/>
                <w:sz w:val="24"/>
                <w:szCs w:val="24"/>
                <w:highlight w:val="none"/>
                <w:lang w:val="en-US" w:eastAsia="zh-CN"/>
              </w:rPr>
              <w:t>水质</w:t>
            </w:r>
            <w:r>
              <w:rPr>
                <w:rFonts w:hint="default" w:ascii="Times New Roman" w:hAnsi="Times New Roman" w:eastAsia="宋体" w:cs="Times New Roman"/>
                <w:color w:val="auto"/>
                <w:sz w:val="24"/>
                <w:szCs w:val="24"/>
                <w:highlight w:val="none"/>
              </w:rPr>
              <w:t>满足《地表水环境质量标准》（GB3838-2002）中Ⅲ类标准要求</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九华河</w:t>
            </w:r>
            <w:r>
              <w:rPr>
                <w:rFonts w:hint="default" w:ascii="Times New Roman" w:hAnsi="Times New Roman" w:cs="Times New Roman"/>
                <w:color w:val="auto"/>
                <w:sz w:val="24"/>
                <w:szCs w:val="24"/>
                <w:highlight w:val="none"/>
                <w:lang w:val="en-US" w:eastAsia="zh-CN"/>
              </w:rPr>
              <w:t>梅垅断面水质综合评价为</w:t>
            </w:r>
            <w:r>
              <w:rPr>
                <w:rFonts w:hint="default" w:ascii="Times New Roman" w:hAnsi="Times New Roman" w:eastAsia="宋体" w:cs="Times New Roman"/>
                <w:color w:val="auto"/>
                <w:sz w:val="24"/>
                <w:szCs w:val="24"/>
                <w:highlight w:val="none"/>
              </w:rPr>
              <w:t>Ⅲ类</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九华河</w:t>
            </w:r>
            <w:r>
              <w:rPr>
                <w:rFonts w:hint="default" w:ascii="Times New Roman" w:hAnsi="Times New Roman" w:cs="Times New Roman"/>
                <w:color w:val="auto"/>
                <w:sz w:val="24"/>
                <w:szCs w:val="24"/>
                <w:highlight w:val="none"/>
                <w:lang w:val="en-US" w:eastAsia="zh-CN"/>
              </w:rPr>
              <w:t>青阳贵池县界水质综合评价为Ⅱ</w:t>
            </w:r>
            <w:r>
              <w:rPr>
                <w:rFonts w:hint="default" w:ascii="Times New Roman" w:hAnsi="Times New Roman" w:eastAsia="宋体" w:cs="Times New Roman"/>
                <w:color w:val="auto"/>
                <w:sz w:val="24"/>
                <w:szCs w:val="24"/>
                <w:highlight w:val="none"/>
              </w:rPr>
              <w:t>类</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九华河水质满足《地表水环境质量标准》（GB3838-2002）中Ⅲ类标准要求。</w:t>
            </w:r>
            <w:r>
              <w:rPr>
                <w:rFonts w:hint="default" w:ascii="Times New Roman" w:hAnsi="Times New Roman" w:cs="Times New Roman"/>
                <w:color w:val="auto"/>
                <w:sz w:val="24"/>
                <w:szCs w:val="24"/>
                <w:highlight w:val="none"/>
                <w:lang w:eastAsia="zh-CN"/>
              </w:rPr>
              <w:t>因此，</w:t>
            </w:r>
            <w:r>
              <w:rPr>
                <w:rFonts w:hint="default" w:ascii="Times New Roman" w:hAnsi="Times New Roman" w:cs="Times New Roman"/>
                <w:color w:val="auto"/>
                <w:sz w:val="24"/>
                <w:highlight w:val="none"/>
              </w:rPr>
              <w:t>评价区域地表水环境质量现状良好</w:t>
            </w:r>
            <w:r>
              <w:rPr>
                <w:rFonts w:hint="default" w:ascii="Times New Roman" w:hAnsi="Times New Roman" w:cs="Times New Roman"/>
                <w:color w:val="auto"/>
                <w:sz w:val="24"/>
                <w:highlight w:val="none"/>
                <w:lang w:eastAsia="zh-CN"/>
              </w:rPr>
              <w:t>。</w:t>
            </w:r>
          </w:p>
          <w:p w14:paraId="7466ECD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3、</w:t>
            </w:r>
            <w:r>
              <w:rPr>
                <w:rFonts w:hint="default" w:ascii="Times New Roman" w:hAnsi="Times New Roman" w:cs="Times New Roman"/>
                <w:b/>
                <w:color w:val="auto"/>
                <w:sz w:val="24"/>
                <w:szCs w:val="24"/>
                <w:highlight w:val="none"/>
              </w:rPr>
              <w:t>声环境质量现状</w:t>
            </w:r>
          </w:p>
          <w:p w14:paraId="398A8F46">
            <w:pPr>
              <w:pStyle w:val="68"/>
              <w:keepNext w:val="0"/>
              <w:keepLines w:val="0"/>
              <w:pageBreakBefore w:val="0"/>
              <w:widowControl w:val="0"/>
              <w:kinsoku/>
              <w:wordWrap/>
              <w:overflowPunct/>
              <w:topLinePunct w:val="0"/>
              <w:bidi w:val="0"/>
              <w:adjustRightInd w:val="0"/>
              <w:snapToGrid w:val="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根据《建设项目环境环境影响报告表编制技术指南（污染影响类）》（试行），“厂界外周边50米范围内存在声环境保护目标的建设项目，应监测保护目标声环境质量现状并评价达标情况”。本项目</w:t>
            </w:r>
            <w:r>
              <w:rPr>
                <w:rFonts w:hint="eastAsia" w:cs="Times New Roman"/>
                <w:color w:val="auto"/>
                <w:highlight w:val="none"/>
                <w:lang w:val="en-US" w:eastAsia="zh-CN"/>
              </w:rPr>
              <w:t>厂界外</w:t>
            </w:r>
            <w:r>
              <w:rPr>
                <w:rFonts w:hint="default" w:ascii="Times New Roman" w:hAnsi="Times New Roman" w:eastAsia="宋体" w:cs="Times New Roman"/>
                <w:color w:val="auto"/>
                <w:highlight w:val="none"/>
                <w:lang w:val="en-US" w:eastAsia="zh-CN"/>
              </w:rPr>
              <w:t>50米范围内无声环境保护目标，故本项目无需进行声环境现状监测。</w:t>
            </w:r>
          </w:p>
          <w:p w14:paraId="3BA3F19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color w:val="auto"/>
                <w:sz w:val="24"/>
                <w:szCs w:val="24"/>
                <w:highlight w:val="none"/>
                <w:lang w:val="en-US" w:eastAsia="zh-CN"/>
              </w:rPr>
            </w:pPr>
            <w:r>
              <w:rPr>
                <w:rFonts w:hint="default" w:ascii="Times New Roman" w:hAnsi="Times New Roman" w:cs="Times New Roman"/>
                <w:b/>
                <w:color w:val="auto"/>
                <w:sz w:val="24"/>
                <w:szCs w:val="24"/>
                <w:highlight w:val="none"/>
                <w:lang w:val="en-US" w:eastAsia="zh-CN"/>
              </w:rPr>
              <w:t>4、生态环境</w:t>
            </w:r>
          </w:p>
          <w:p w14:paraId="103FD9A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项目租赁</w:t>
            </w:r>
            <w:r>
              <w:rPr>
                <w:rFonts w:hint="eastAsia" w:cs="Times New Roman"/>
                <w:color w:val="auto"/>
                <w:sz w:val="24"/>
                <w:szCs w:val="24"/>
                <w:highlight w:val="none"/>
                <w:lang w:val="en-US" w:eastAsia="zh-CN"/>
              </w:rPr>
              <w:t>池州市皖江江南新兴产业集中区科技孵化园A4厂房</w:t>
            </w:r>
            <w:r>
              <w:rPr>
                <w:rFonts w:hint="default" w:ascii="Times New Roman" w:hAnsi="Times New Roman" w:cs="Times New Roman"/>
                <w:color w:val="auto"/>
                <w:sz w:val="24"/>
                <w:szCs w:val="24"/>
                <w:highlight w:val="none"/>
                <w:lang w:val="en-US" w:eastAsia="zh-CN"/>
              </w:rPr>
              <w:t>1层部分区域以及2、3层全部区域共计约</w:t>
            </w:r>
            <w:r>
              <w:rPr>
                <w:rFonts w:hint="eastAsia" w:cs="Times New Roman"/>
                <w:color w:val="auto"/>
                <w:sz w:val="24"/>
                <w:szCs w:val="24"/>
                <w:highlight w:val="none"/>
                <w:lang w:val="en-US" w:eastAsia="zh-CN"/>
              </w:rPr>
              <w:t>6544.11</w:t>
            </w:r>
            <w:r>
              <w:rPr>
                <w:rFonts w:hint="default" w:ascii="Times New Roman" w:hAnsi="Times New Roman" w:cs="Times New Roman"/>
                <w:color w:val="auto"/>
                <w:sz w:val="24"/>
                <w:szCs w:val="24"/>
                <w:highlight w:val="none"/>
                <w:lang w:val="en-US" w:eastAsia="zh-CN"/>
              </w:rPr>
              <w:t>m</w:t>
            </w:r>
            <w:r>
              <w:rPr>
                <w:rFonts w:hint="default" w:ascii="Times New Roman" w:hAnsi="Times New Roman"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项目</w:t>
            </w:r>
            <w:r>
              <w:rPr>
                <w:rFonts w:hint="default" w:ascii="Times New Roman" w:hAnsi="Times New Roman" w:cs="Times New Roman"/>
                <w:b w:val="0"/>
                <w:bCs/>
                <w:color w:val="auto"/>
                <w:sz w:val="24"/>
                <w:szCs w:val="24"/>
                <w:highlight w:val="none"/>
                <w:lang w:val="en-US" w:eastAsia="zh-CN"/>
              </w:rPr>
              <w:t>不新增用地，无需开展生态环境质量现状调查。</w:t>
            </w:r>
          </w:p>
          <w:p w14:paraId="14C73FD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color w:val="auto"/>
                <w:sz w:val="24"/>
                <w:szCs w:val="24"/>
                <w:highlight w:val="none"/>
                <w:lang w:val="en-US" w:eastAsia="zh-CN"/>
              </w:rPr>
            </w:pPr>
            <w:r>
              <w:rPr>
                <w:rFonts w:hint="default" w:ascii="Times New Roman" w:hAnsi="Times New Roman" w:cs="Times New Roman"/>
                <w:b/>
                <w:color w:val="auto"/>
                <w:sz w:val="24"/>
                <w:szCs w:val="24"/>
                <w:highlight w:val="none"/>
                <w:lang w:val="en-US" w:eastAsia="zh-CN"/>
              </w:rPr>
              <w:t>5、电磁辐射</w:t>
            </w:r>
          </w:p>
          <w:p w14:paraId="5966E0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val="0"/>
                <w:bCs/>
                <w:color w:val="auto"/>
                <w:sz w:val="24"/>
                <w:szCs w:val="24"/>
                <w:highlight w:val="none"/>
                <w:lang w:val="en-US" w:eastAsia="zh-CN"/>
              </w:rPr>
            </w:pPr>
            <w:r>
              <w:rPr>
                <w:rFonts w:hint="default" w:ascii="Times New Roman" w:hAnsi="Times New Roman" w:cs="Times New Roman"/>
                <w:b w:val="0"/>
                <w:bCs/>
                <w:color w:val="auto"/>
                <w:sz w:val="24"/>
                <w:szCs w:val="24"/>
                <w:highlight w:val="none"/>
                <w:lang w:val="en-US" w:eastAsia="zh-CN"/>
              </w:rPr>
              <w:t>项目不涉及电磁辐射影响。</w:t>
            </w:r>
          </w:p>
          <w:p w14:paraId="6B5964E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6、</w:t>
            </w:r>
            <w:r>
              <w:rPr>
                <w:rFonts w:hint="default" w:ascii="Times New Roman" w:hAnsi="Times New Roman" w:cs="Times New Roman"/>
                <w:b/>
                <w:color w:val="auto"/>
                <w:sz w:val="24"/>
                <w:szCs w:val="24"/>
                <w:highlight w:val="none"/>
              </w:rPr>
              <w:t>地下水</w:t>
            </w:r>
            <w:r>
              <w:rPr>
                <w:rFonts w:hint="default" w:ascii="Times New Roman" w:hAnsi="Times New Roman" w:cs="Times New Roman"/>
                <w:b/>
                <w:color w:val="auto"/>
                <w:sz w:val="24"/>
                <w:szCs w:val="24"/>
                <w:highlight w:val="none"/>
                <w:lang w:eastAsia="zh-CN"/>
              </w:rPr>
              <w:t>、土壤</w:t>
            </w:r>
            <w:r>
              <w:rPr>
                <w:rFonts w:hint="default" w:ascii="Times New Roman" w:hAnsi="Times New Roman" w:cs="Times New Roman"/>
                <w:b/>
                <w:color w:val="auto"/>
                <w:sz w:val="24"/>
                <w:szCs w:val="24"/>
                <w:highlight w:val="none"/>
              </w:rPr>
              <w:t>环境质量现状</w:t>
            </w:r>
          </w:p>
          <w:p w14:paraId="5614D13E">
            <w:pPr>
              <w:pStyle w:val="22"/>
              <w:keepNext w:val="0"/>
              <w:keepLines w:val="0"/>
              <w:pageBreakBefore w:val="0"/>
              <w:kinsoku/>
              <w:wordWrap/>
              <w:overflowPunct/>
              <w:topLinePunct w:val="0"/>
              <w:bidi w:val="0"/>
              <w:snapToGrid/>
              <w:spacing w:after="0" w:line="360" w:lineRule="auto"/>
              <w:ind w:firstLine="480" w:firstLineChars="200"/>
              <w:jc w:val="both"/>
              <w:textAlignment w:val="auto"/>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lang w:val="en-US" w:eastAsia="zh-CN"/>
              </w:rPr>
              <w:t>根据《建设项目环境影响报告表编制技术指南（污染影响类）</w:t>
            </w:r>
            <w:r>
              <w:rPr>
                <w:rFonts w:hint="eastAsia" w:ascii="Times New Roman" w:hAnsi="Times New Roman" w:cs="Times New Roman"/>
                <w:color w:val="auto"/>
                <w:sz w:val="24"/>
                <w:szCs w:val="24"/>
                <w:highlight w:val="none"/>
                <w:lang w:val="en-US" w:eastAsia="zh-CN"/>
              </w:rPr>
              <w:t>（试行）》</w:t>
            </w:r>
            <w:r>
              <w:rPr>
                <w:rFonts w:hint="default" w:ascii="Times New Roman" w:hAnsi="Times New Roman" w:cs="Times New Roman"/>
                <w:color w:val="auto"/>
                <w:sz w:val="24"/>
                <w:szCs w:val="24"/>
                <w:highlight w:val="none"/>
                <w:lang w:val="en-US" w:eastAsia="zh-CN"/>
              </w:rPr>
              <w:t>，地下水、土壤原则上不开展环境质量现状调查。建设项目存在土壤、地下水环境污染途径的，应结合污染源、保护目标分布情况开展现状调查以留作背景值。项目厂区采取了严格的防泄漏、防渗措施，基本上可以排除土壤、地下水污染途径，因此本次评价不开展地下水、土壤环境质量现状调查。</w:t>
            </w:r>
          </w:p>
        </w:tc>
      </w:tr>
      <w:tr w14:paraId="4320A3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70" w:hRule="atLeast"/>
          <w:jc w:val="center"/>
        </w:trPr>
        <w:tc>
          <w:tcPr>
            <w:tcW w:w="443" w:type="dxa"/>
            <w:noWrap w:val="0"/>
            <w:vAlign w:val="center"/>
          </w:tcPr>
          <w:p w14:paraId="48E1A984">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环境</w:t>
            </w:r>
          </w:p>
          <w:p w14:paraId="7CF1FB68">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保护</w:t>
            </w:r>
          </w:p>
          <w:p w14:paraId="70BE8F67">
            <w:pPr>
              <w:adjustRightInd w:val="0"/>
              <w:snapToGri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4"/>
                <w:szCs w:val="24"/>
                <w:highlight w:val="none"/>
              </w:rPr>
              <w:t>目标</w:t>
            </w:r>
          </w:p>
        </w:tc>
        <w:tc>
          <w:tcPr>
            <w:tcW w:w="8617" w:type="dxa"/>
            <w:noWrap w:val="0"/>
            <w:vAlign w:val="top"/>
          </w:tcPr>
          <w:p w14:paraId="34BC5DBC">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cs="Times New Roman"/>
                <w:color w:val="auto"/>
                <w:kern w:val="2"/>
                <w:sz w:val="24"/>
                <w:szCs w:val="24"/>
                <w:highlight w:val="none"/>
                <w:lang w:val="en-US" w:eastAsia="zh-CN" w:bidi="ar-SA"/>
              </w:rPr>
            </w:pPr>
            <w:r>
              <w:rPr>
                <w:rFonts w:hint="eastAsia" w:cs="Times New Roman"/>
                <w:b/>
                <w:bCs w:val="0"/>
                <w:color w:val="auto"/>
                <w:sz w:val="24"/>
                <w:szCs w:val="24"/>
                <w:highlight w:val="none"/>
                <w:lang w:val="en-US" w:eastAsia="zh-CN"/>
              </w:rPr>
              <w:t>1、</w:t>
            </w:r>
            <w:r>
              <w:rPr>
                <w:rFonts w:hint="default" w:ascii="Times New Roman" w:hAnsi="Times New Roman" w:cs="Times New Roman"/>
                <w:b/>
                <w:bCs w:val="0"/>
                <w:color w:val="auto"/>
                <w:sz w:val="24"/>
                <w:szCs w:val="24"/>
                <w:highlight w:val="none"/>
              </w:rPr>
              <w:t>大气环境</w:t>
            </w:r>
            <w:r>
              <w:rPr>
                <w:rFonts w:hint="eastAsia" w:cs="Times New Roman"/>
                <w:b/>
                <w:bCs w:val="0"/>
                <w:color w:val="auto"/>
                <w:sz w:val="24"/>
                <w:szCs w:val="24"/>
                <w:highlight w:val="none"/>
                <w:lang w:eastAsia="zh-CN"/>
              </w:rPr>
              <w:t>：</w:t>
            </w:r>
            <w:r>
              <w:rPr>
                <w:rFonts w:hint="eastAsia" w:cs="Times New Roman"/>
                <w:color w:val="auto"/>
                <w:kern w:val="2"/>
                <w:sz w:val="24"/>
                <w:szCs w:val="24"/>
                <w:highlight w:val="none"/>
                <w:lang w:val="en-US" w:eastAsia="zh-CN" w:bidi="ar-SA"/>
              </w:rPr>
              <w:t>项目厂界外500米范围内无自然保护区、风景名胜区和文物古迹等需要特殊保护的环境敏感对象，周边大气环境保护目标为项目周边公租房、居民住宅及园区管委会为主。</w:t>
            </w:r>
          </w:p>
          <w:p w14:paraId="447426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jc w:val="both"/>
              <w:textAlignment w:val="auto"/>
              <w:rPr>
                <w:rFonts w:hint="eastAsia" w:cs="Times New Roman"/>
                <w:b/>
                <w:bCs w:val="0"/>
                <w:color w:val="auto"/>
                <w:kern w:val="2"/>
                <w:sz w:val="24"/>
                <w:szCs w:val="24"/>
                <w:highlight w:val="none"/>
                <w:lang w:val="en-US" w:eastAsia="zh-CN" w:bidi="ar-SA"/>
              </w:rPr>
            </w:pPr>
            <w:r>
              <w:rPr>
                <w:rFonts w:hint="eastAsia" w:ascii="Times New Roman" w:hAnsi="Times New Roman" w:eastAsia="宋体" w:cs="Times New Roman"/>
                <w:b/>
                <w:bCs w:val="0"/>
                <w:color w:val="auto"/>
                <w:kern w:val="2"/>
                <w:sz w:val="24"/>
                <w:szCs w:val="24"/>
                <w:highlight w:val="none"/>
                <w:lang w:val="en-US" w:eastAsia="zh-CN" w:bidi="ar-SA"/>
              </w:rPr>
              <w:t>2</w:t>
            </w:r>
            <w:r>
              <w:rPr>
                <w:rFonts w:hint="eastAsia" w:cs="Times New Roman"/>
                <w:b/>
                <w:bCs w:val="0"/>
                <w:color w:val="auto"/>
                <w:kern w:val="2"/>
                <w:sz w:val="24"/>
                <w:szCs w:val="24"/>
                <w:highlight w:val="none"/>
                <w:lang w:val="en-US" w:eastAsia="zh-CN" w:bidi="ar-SA"/>
              </w:rPr>
              <w:t>、</w:t>
            </w:r>
            <w:r>
              <w:rPr>
                <w:rFonts w:hint="default" w:ascii="Times New Roman" w:hAnsi="Times New Roman" w:eastAsia="宋体" w:cs="Times New Roman"/>
                <w:b/>
                <w:bCs w:val="0"/>
                <w:color w:val="auto"/>
                <w:kern w:val="2"/>
                <w:sz w:val="24"/>
                <w:szCs w:val="24"/>
                <w:highlight w:val="none"/>
                <w:lang w:val="en-US" w:eastAsia="zh-CN" w:bidi="ar-SA"/>
              </w:rPr>
              <w:t>声环境：</w:t>
            </w:r>
            <w:r>
              <w:rPr>
                <w:rFonts w:hint="eastAsia" w:cs="Times New Roman"/>
                <w:color w:val="auto"/>
                <w:kern w:val="2"/>
                <w:sz w:val="24"/>
                <w:szCs w:val="24"/>
                <w:highlight w:val="none"/>
                <w:lang w:val="en-US" w:eastAsia="zh-CN" w:bidi="ar-SA"/>
              </w:rPr>
              <w:t>项目</w:t>
            </w:r>
            <w:r>
              <w:rPr>
                <w:rFonts w:hint="default" w:ascii="Times New Roman" w:hAnsi="Times New Roman" w:eastAsia="宋体" w:cs="Times New Roman"/>
                <w:b w:val="0"/>
                <w:bCs/>
                <w:color w:val="auto"/>
                <w:kern w:val="2"/>
                <w:sz w:val="24"/>
                <w:szCs w:val="24"/>
                <w:highlight w:val="none"/>
                <w:lang w:val="en-US" w:eastAsia="zh-CN" w:bidi="ar-SA"/>
              </w:rPr>
              <w:t>厂界外</w:t>
            </w:r>
            <w:r>
              <w:rPr>
                <w:rFonts w:hint="eastAsia" w:cs="Times New Roman"/>
                <w:b w:val="0"/>
                <w:bCs/>
                <w:color w:val="auto"/>
                <w:kern w:val="2"/>
                <w:sz w:val="24"/>
                <w:szCs w:val="24"/>
                <w:highlight w:val="none"/>
                <w:lang w:val="en-US" w:eastAsia="zh-CN" w:bidi="ar-SA"/>
              </w:rPr>
              <w:t>50米范围内无</w:t>
            </w:r>
            <w:r>
              <w:rPr>
                <w:rFonts w:hint="default" w:ascii="Times New Roman" w:hAnsi="Times New Roman" w:eastAsia="宋体" w:cs="Times New Roman"/>
                <w:b w:val="0"/>
                <w:bCs/>
                <w:color w:val="auto"/>
                <w:kern w:val="2"/>
                <w:sz w:val="24"/>
                <w:szCs w:val="24"/>
                <w:highlight w:val="none"/>
                <w:lang w:val="en-US" w:eastAsia="zh-CN" w:bidi="ar-SA"/>
              </w:rPr>
              <w:t>声环境保护目标</w:t>
            </w:r>
            <w:r>
              <w:rPr>
                <w:rFonts w:hint="eastAsia" w:cs="Times New Roman"/>
                <w:color w:val="auto"/>
                <w:spacing w:val="0"/>
                <w:sz w:val="24"/>
                <w:szCs w:val="24"/>
                <w:highlight w:val="none"/>
                <w:lang w:eastAsia="zh-CN"/>
              </w:rPr>
              <w:t>。</w:t>
            </w:r>
          </w:p>
          <w:p w14:paraId="49DFFE7B">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both"/>
              <w:textAlignment w:val="auto"/>
              <w:rPr>
                <w:rFonts w:hint="default" w:ascii="Times New Roman" w:hAnsi="Times New Roman" w:eastAsia="宋体" w:cs="Times New Roman"/>
                <w:bCs/>
                <w:color w:val="auto"/>
                <w:kern w:val="2"/>
                <w:sz w:val="24"/>
                <w:szCs w:val="24"/>
                <w:highlight w:val="none"/>
                <w:lang w:val="en-US" w:eastAsia="zh-CN" w:bidi="ar-SA"/>
              </w:rPr>
            </w:pPr>
            <w:r>
              <w:rPr>
                <w:rFonts w:hint="eastAsia" w:cs="Times New Roman"/>
                <w:b/>
                <w:bCs w:val="0"/>
                <w:color w:val="auto"/>
                <w:kern w:val="2"/>
                <w:sz w:val="24"/>
                <w:szCs w:val="24"/>
                <w:highlight w:val="none"/>
                <w:lang w:val="en-US" w:eastAsia="zh-CN" w:bidi="ar-SA"/>
              </w:rPr>
              <w:t>3、</w:t>
            </w:r>
            <w:r>
              <w:rPr>
                <w:rFonts w:hint="default" w:ascii="Times New Roman" w:hAnsi="Times New Roman" w:eastAsia="宋体" w:cs="Times New Roman"/>
                <w:b/>
                <w:bCs w:val="0"/>
                <w:color w:val="auto"/>
                <w:kern w:val="2"/>
                <w:sz w:val="24"/>
                <w:szCs w:val="24"/>
                <w:highlight w:val="none"/>
                <w:lang w:val="en-US" w:eastAsia="zh-CN" w:bidi="ar-SA"/>
              </w:rPr>
              <w:t>地下水环境：</w:t>
            </w:r>
            <w:r>
              <w:rPr>
                <w:rFonts w:hint="default" w:ascii="Times New Roman" w:hAnsi="Times New Roman" w:eastAsia="宋体" w:cs="Times New Roman"/>
                <w:bCs/>
                <w:color w:val="auto"/>
                <w:kern w:val="2"/>
                <w:sz w:val="24"/>
                <w:szCs w:val="24"/>
                <w:highlight w:val="none"/>
                <w:lang w:val="en-US" w:eastAsia="zh-CN" w:bidi="ar-SA"/>
              </w:rPr>
              <w:t>项目厂界外500米范围内无地下水集中式饮用水水源和热水、矿泉水、温泉等特殊地下水资源。</w:t>
            </w:r>
          </w:p>
          <w:p w14:paraId="492BF273">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both"/>
              <w:textAlignment w:val="auto"/>
              <w:rPr>
                <w:rFonts w:hint="eastAsia" w:cs="Times New Roman"/>
                <w:bCs/>
                <w:color w:val="auto"/>
                <w:kern w:val="2"/>
                <w:sz w:val="24"/>
                <w:szCs w:val="24"/>
                <w:highlight w:val="none"/>
                <w:lang w:val="en-US" w:eastAsia="zh-CN" w:bidi="ar-SA"/>
              </w:rPr>
            </w:pPr>
            <w:r>
              <w:rPr>
                <w:rFonts w:hint="eastAsia" w:cs="Times New Roman"/>
                <w:b/>
                <w:bCs w:val="0"/>
                <w:color w:val="auto"/>
                <w:kern w:val="2"/>
                <w:sz w:val="24"/>
                <w:szCs w:val="24"/>
                <w:highlight w:val="none"/>
                <w:lang w:val="en-US" w:eastAsia="zh-CN" w:bidi="ar-SA"/>
              </w:rPr>
              <w:t>4、</w:t>
            </w:r>
            <w:r>
              <w:rPr>
                <w:rFonts w:hint="default" w:ascii="Times New Roman" w:hAnsi="Times New Roman" w:eastAsia="宋体" w:cs="Times New Roman"/>
                <w:b/>
                <w:bCs w:val="0"/>
                <w:color w:val="auto"/>
                <w:kern w:val="2"/>
                <w:sz w:val="24"/>
                <w:szCs w:val="24"/>
                <w:highlight w:val="none"/>
                <w:lang w:val="en-US" w:eastAsia="zh-CN" w:bidi="ar-SA"/>
              </w:rPr>
              <w:t>生态环境：</w:t>
            </w:r>
            <w:r>
              <w:rPr>
                <w:rFonts w:hint="default" w:ascii="Times New Roman" w:hAnsi="Times New Roman" w:eastAsia="宋体" w:cs="Times New Roman"/>
                <w:bCs/>
                <w:color w:val="auto"/>
                <w:kern w:val="2"/>
                <w:sz w:val="24"/>
                <w:szCs w:val="24"/>
                <w:highlight w:val="none"/>
                <w:lang w:val="en-US" w:eastAsia="zh-CN" w:bidi="ar-SA"/>
              </w:rPr>
              <w:t>项目位于</w:t>
            </w:r>
            <w:r>
              <w:rPr>
                <w:rFonts w:hint="default" w:ascii="Times New Roman" w:hAnsi="Times New Roman" w:cs="Times New Roman"/>
                <w:b w:val="0"/>
                <w:bCs/>
                <w:color w:val="auto"/>
                <w:sz w:val="24"/>
                <w:szCs w:val="24"/>
                <w:highlight w:val="none"/>
                <w:lang w:val="en-US" w:eastAsia="zh-CN"/>
              </w:rPr>
              <w:t>安徽</w:t>
            </w:r>
            <w:r>
              <w:rPr>
                <w:rFonts w:hint="eastAsia" w:cs="Times New Roman"/>
                <w:color w:val="auto"/>
                <w:sz w:val="24"/>
                <w:szCs w:val="24"/>
                <w:highlight w:val="none"/>
                <w:lang w:val="en-US" w:eastAsia="zh-CN"/>
              </w:rPr>
              <w:t>皖江江南新兴产业集中区</w:t>
            </w:r>
            <w:r>
              <w:rPr>
                <w:rFonts w:hint="default" w:ascii="Times New Roman" w:hAnsi="Times New Roman" w:eastAsia="宋体" w:cs="Times New Roman"/>
                <w:bCs/>
                <w:color w:val="auto"/>
                <w:kern w:val="2"/>
                <w:sz w:val="24"/>
                <w:szCs w:val="24"/>
                <w:highlight w:val="none"/>
                <w:lang w:val="en-US" w:eastAsia="zh-CN" w:bidi="ar-SA"/>
              </w:rPr>
              <w:t>，项目用地范围内无生态环境保护目标</w:t>
            </w:r>
            <w:r>
              <w:rPr>
                <w:rFonts w:hint="eastAsia" w:cs="Times New Roman"/>
                <w:bCs/>
                <w:color w:val="auto"/>
                <w:kern w:val="2"/>
                <w:sz w:val="24"/>
                <w:szCs w:val="24"/>
                <w:highlight w:val="none"/>
                <w:lang w:val="en-US" w:eastAsia="zh-CN" w:bidi="ar-SA"/>
              </w:rPr>
              <w:t>。</w:t>
            </w:r>
          </w:p>
          <w:p w14:paraId="2C539F64">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rFonts w:hint="eastAsia" w:cs="Times New Roman"/>
                <w:b/>
                <w:bCs/>
                <w:color w:val="auto"/>
                <w:kern w:val="2"/>
                <w:sz w:val="21"/>
                <w:szCs w:val="21"/>
                <w:highlight w:val="none"/>
                <w:lang w:val="en-US" w:eastAsia="zh-CN" w:bidi="ar-SA"/>
              </w:rPr>
            </w:pPr>
            <w:r>
              <w:rPr>
                <w:rFonts w:hint="default" w:ascii="Times New Roman" w:hAnsi="Times New Roman" w:cs="Times New Roman"/>
                <w:color w:val="auto"/>
                <w:highlight w:val="none"/>
                <w:lang w:val="en-US" w:eastAsia="zh-CN"/>
              </w:rPr>
              <w:t>表3-</w:t>
            </w:r>
            <w:r>
              <w:rPr>
                <w:rFonts w:hint="eastAsia" w:ascii="Times New Roman" w:hAnsi="Times New Roman" w:cs="Times New Roman"/>
                <w:color w:val="auto"/>
                <w:highlight w:val="none"/>
                <w:lang w:val="en-US" w:eastAsia="zh-CN"/>
              </w:rPr>
              <w:t>5</w:t>
            </w:r>
            <w:r>
              <w:rPr>
                <w:rFonts w:hint="eastAsia" w:cs="Times New Roman"/>
                <w:b/>
                <w:bCs/>
                <w:color w:val="auto"/>
                <w:kern w:val="2"/>
                <w:sz w:val="21"/>
                <w:szCs w:val="21"/>
                <w:highlight w:val="none"/>
                <w:lang w:val="en-US" w:eastAsia="zh-CN" w:bidi="ar-SA"/>
              </w:rPr>
              <w:t>项目环境保护目标一览表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1440"/>
              <w:gridCol w:w="908"/>
              <w:gridCol w:w="1320"/>
              <w:gridCol w:w="1838"/>
              <w:gridCol w:w="970"/>
              <w:gridCol w:w="1125"/>
            </w:tblGrid>
            <w:tr w14:paraId="739C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1" w:type="pct"/>
                  <w:noWrap w:val="0"/>
                  <w:vAlign w:val="center"/>
                </w:tcPr>
                <w:p w14:paraId="1F75F4B0">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环境要素</w:t>
                  </w:r>
                </w:p>
              </w:tc>
              <w:tc>
                <w:tcPr>
                  <w:tcW w:w="860" w:type="pct"/>
                  <w:noWrap w:val="0"/>
                  <w:vAlign w:val="center"/>
                </w:tcPr>
                <w:p w14:paraId="112DE361">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名称</w:t>
                  </w:r>
                </w:p>
              </w:tc>
              <w:tc>
                <w:tcPr>
                  <w:tcW w:w="542" w:type="pct"/>
                  <w:noWrap w:val="0"/>
                  <w:vAlign w:val="center"/>
                </w:tcPr>
                <w:p w14:paraId="5301D7FA">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保护</w:t>
                  </w:r>
                </w:p>
                <w:p w14:paraId="4493B223">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对象</w:t>
                  </w:r>
                </w:p>
              </w:tc>
              <w:tc>
                <w:tcPr>
                  <w:tcW w:w="788" w:type="pct"/>
                  <w:noWrap w:val="0"/>
                  <w:vAlign w:val="center"/>
                </w:tcPr>
                <w:p w14:paraId="51C93EE1">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人数</w:t>
                  </w:r>
                </w:p>
              </w:tc>
              <w:tc>
                <w:tcPr>
                  <w:tcW w:w="1097" w:type="pct"/>
                  <w:noWrap w:val="0"/>
                  <w:vAlign w:val="center"/>
                </w:tcPr>
                <w:p w14:paraId="32B1EE05">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保护级别</w:t>
                  </w:r>
                </w:p>
              </w:tc>
              <w:tc>
                <w:tcPr>
                  <w:tcW w:w="579" w:type="pct"/>
                  <w:noWrap w:val="0"/>
                  <w:vAlign w:val="center"/>
                </w:tcPr>
                <w:p w14:paraId="6F781F82">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相对厂址方位</w:t>
                  </w:r>
                </w:p>
              </w:tc>
              <w:tc>
                <w:tcPr>
                  <w:tcW w:w="670" w:type="pct"/>
                  <w:noWrap w:val="0"/>
                  <w:vAlign w:val="center"/>
                </w:tcPr>
                <w:p w14:paraId="3C122B4C">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b/>
                      <w:bCs/>
                      <w:color w:val="auto"/>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bidi="ar"/>
                    </w:rPr>
                    <w:t>相对厂界距离/m</w:t>
                  </w:r>
                </w:p>
              </w:tc>
            </w:tr>
            <w:tr w14:paraId="20976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61" w:type="pct"/>
                  <w:vMerge w:val="restart"/>
                  <w:noWrap w:val="0"/>
                  <w:vAlign w:val="center"/>
                </w:tcPr>
                <w:p w14:paraId="11669DBC">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大气环境</w:t>
                  </w:r>
                </w:p>
              </w:tc>
              <w:tc>
                <w:tcPr>
                  <w:tcW w:w="860" w:type="pct"/>
                  <w:shd w:val="clear" w:color="auto" w:fill="auto"/>
                  <w:noWrap w:val="0"/>
                  <w:vAlign w:val="center"/>
                </w:tcPr>
                <w:p w14:paraId="48B00358">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园区公租房</w:t>
                  </w:r>
                </w:p>
              </w:tc>
              <w:tc>
                <w:tcPr>
                  <w:tcW w:w="542" w:type="pct"/>
                  <w:shd w:val="clear" w:color="auto" w:fill="auto"/>
                  <w:noWrap w:val="0"/>
                  <w:vAlign w:val="center"/>
                </w:tcPr>
                <w:p w14:paraId="11A3AC67">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居民</w:t>
                  </w:r>
                </w:p>
              </w:tc>
              <w:tc>
                <w:tcPr>
                  <w:tcW w:w="788" w:type="pct"/>
                  <w:shd w:val="clear" w:color="auto" w:fill="auto"/>
                  <w:noWrap w:val="0"/>
                  <w:vAlign w:val="center"/>
                </w:tcPr>
                <w:p w14:paraId="445D1EB7">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约</w:t>
                  </w:r>
                  <w:r>
                    <w:rPr>
                      <w:rFonts w:hint="eastAsia" w:ascii="Times New Roman" w:hAnsi="Times New Roman" w:cs="Times New Roman"/>
                      <w:color w:val="auto"/>
                      <w:sz w:val="21"/>
                      <w:szCs w:val="21"/>
                      <w:highlight w:val="none"/>
                      <w:lang w:val="en-US" w:eastAsia="zh-CN" w:bidi="ar"/>
                    </w:rPr>
                    <w:t>200</w:t>
                  </w:r>
                  <w:r>
                    <w:rPr>
                      <w:rFonts w:hint="default" w:ascii="Times New Roman" w:hAnsi="Times New Roman" w:eastAsia="宋体" w:cs="Times New Roman"/>
                      <w:color w:val="auto"/>
                      <w:sz w:val="21"/>
                      <w:szCs w:val="21"/>
                      <w:highlight w:val="none"/>
                      <w:lang w:val="en-US" w:eastAsia="zh-CN" w:bidi="ar"/>
                    </w:rPr>
                    <w:t>人</w:t>
                  </w:r>
                </w:p>
              </w:tc>
              <w:tc>
                <w:tcPr>
                  <w:tcW w:w="1097" w:type="pct"/>
                  <w:vMerge w:val="restart"/>
                  <w:shd w:val="clear" w:color="auto" w:fill="auto"/>
                  <w:noWrap w:val="0"/>
                  <w:vAlign w:val="center"/>
                </w:tcPr>
                <w:p w14:paraId="2B5CEF33">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《环境空气质量标准》（GB3095-2012）中二类区</w:t>
                  </w:r>
                </w:p>
              </w:tc>
              <w:tc>
                <w:tcPr>
                  <w:tcW w:w="579" w:type="pct"/>
                  <w:shd w:val="clear" w:color="auto" w:fill="auto"/>
                  <w:noWrap w:val="0"/>
                  <w:vAlign w:val="center"/>
                </w:tcPr>
                <w:p w14:paraId="6A3AB94D">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W</w:t>
                  </w:r>
                </w:p>
              </w:tc>
              <w:tc>
                <w:tcPr>
                  <w:tcW w:w="670" w:type="pct"/>
                  <w:shd w:val="clear" w:color="auto" w:fill="auto"/>
                  <w:noWrap w:val="0"/>
                  <w:vAlign w:val="center"/>
                </w:tcPr>
                <w:p w14:paraId="4A57D64A">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275</w:t>
                  </w:r>
                </w:p>
              </w:tc>
            </w:tr>
            <w:tr w14:paraId="47742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1" w:type="pct"/>
                  <w:vMerge w:val="continue"/>
                  <w:noWrap w:val="0"/>
                  <w:vAlign w:val="center"/>
                </w:tcPr>
                <w:p w14:paraId="563C2EE2">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p>
              </w:tc>
              <w:tc>
                <w:tcPr>
                  <w:tcW w:w="860" w:type="pct"/>
                  <w:noWrap w:val="0"/>
                  <w:vAlign w:val="center"/>
                </w:tcPr>
                <w:p w14:paraId="0B225FB5">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江南集中区管委会</w:t>
                  </w:r>
                </w:p>
              </w:tc>
              <w:tc>
                <w:tcPr>
                  <w:tcW w:w="542" w:type="pct"/>
                  <w:noWrap w:val="0"/>
                  <w:vAlign w:val="center"/>
                </w:tcPr>
                <w:p w14:paraId="3673783C">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办公区</w:t>
                  </w:r>
                </w:p>
              </w:tc>
              <w:tc>
                <w:tcPr>
                  <w:tcW w:w="788" w:type="pct"/>
                  <w:noWrap w:val="0"/>
                  <w:vAlign w:val="center"/>
                </w:tcPr>
                <w:p w14:paraId="1CDC6614">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约</w:t>
                  </w:r>
                  <w:r>
                    <w:rPr>
                      <w:rFonts w:hint="default" w:ascii="Times New Roman" w:hAnsi="Times New Roman" w:cs="Times New Roman"/>
                      <w:color w:val="auto"/>
                      <w:sz w:val="21"/>
                      <w:szCs w:val="21"/>
                      <w:highlight w:val="none"/>
                      <w:lang w:val="en-US" w:eastAsia="zh-CN" w:bidi="ar"/>
                    </w:rPr>
                    <w:t>500</w:t>
                  </w:r>
                  <w:r>
                    <w:rPr>
                      <w:rFonts w:hint="default" w:ascii="Times New Roman" w:hAnsi="Times New Roman" w:eastAsia="宋体" w:cs="Times New Roman"/>
                      <w:color w:val="auto"/>
                      <w:sz w:val="21"/>
                      <w:szCs w:val="21"/>
                      <w:highlight w:val="none"/>
                      <w:lang w:val="en-US" w:eastAsia="zh-CN" w:bidi="ar"/>
                    </w:rPr>
                    <w:t>人</w:t>
                  </w:r>
                </w:p>
              </w:tc>
              <w:tc>
                <w:tcPr>
                  <w:tcW w:w="1097" w:type="pct"/>
                  <w:vMerge w:val="continue"/>
                  <w:noWrap w:val="0"/>
                  <w:vAlign w:val="center"/>
                </w:tcPr>
                <w:p w14:paraId="3A4D2469">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p>
              </w:tc>
              <w:tc>
                <w:tcPr>
                  <w:tcW w:w="579" w:type="pct"/>
                  <w:noWrap w:val="0"/>
                  <w:vAlign w:val="center"/>
                </w:tcPr>
                <w:p w14:paraId="0DDCE59A">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N</w:t>
                  </w:r>
                </w:p>
              </w:tc>
              <w:tc>
                <w:tcPr>
                  <w:tcW w:w="670" w:type="pct"/>
                  <w:noWrap w:val="0"/>
                  <w:vAlign w:val="center"/>
                </w:tcPr>
                <w:p w14:paraId="288AB02A">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135</w:t>
                  </w:r>
                </w:p>
              </w:tc>
            </w:tr>
            <w:tr w14:paraId="352F9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1" w:type="pct"/>
                  <w:vMerge w:val="continue"/>
                  <w:noWrap w:val="0"/>
                  <w:vAlign w:val="center"/>
                </w:tcPr>
                <w:p w14:paraId="25B6B17D">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p>
              </w:tc>
              <w:tc>
                <w:tcPr>
                  <w:tcW w:w="860" w:type="pct"/>
                  <w:shd w:val="clear" w:color="auto" w:fill="auto"/>
                  <w:noWrap w:val="0"/>
                  <w:vAlign w:val="center"/>
                </w:tcPr>
                <w:p w14:paraId="48FAC17D">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梅龙街道</w:t>
                  </w:r>
                </w:p>
              </w:tc>
              <w:tc>
                <w:tcPr>
                  <w:tcW w:w="542" w:type="pct"/>
                  <w:shd w:val="clear" w:color="auto" w:fill="auto"/>
                  <w:noWrap w:val="0"/>
                  <w:vAlign w:val="center"/>
                </w:tcPr>
                <w:p w14:paraId="513EFCDF">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居民</w:t>
                  </w:r>
                </w:p>
              </w:tc>
              <w:tc>
                <w:tcPr>
                  <w:tcW w:w="788" w:type="pct"/>
                  <w:shd w:val="clear" w:color="auto" w:fill="auto"/>
                  <w:noWrap w:val="0"/>
                  <w:vAlign w:val="center"/>
                </w:tcPr>
                <w:p w14:paraId="445FA53A">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约</w:t>
                  </w:r>
                  <w:r>
                    <w:rPr>
                      <w:rFonts w:hint="eastAsia" w:ascii="Times New Roman" w:hAnsi="Times New Roman" w:cs="Times New Roman"/>
                      <w:color w:val="auto"/>
                      <w:sz w:val="21"/>
                      <w:szCs w:val="21"/>
                      <w:highlight w:val="none"/>
                      <w:lang w:val="en-US" w:eastAsia="zh-CN" w:bidi="ar"/>
                    </w:rPr>
                    <w:t>600</w:t>
                  </w:r>
                  <w:r>
                    <w:rPr>
                      <w:rFonts w:hint="default" w:ascii="Times New Roman" w:hAnsi="Times New Roman" w:cs="Times New Roman"/>
                      <w:color w:val="auto"/>
                      <w:sz w:val="21"/>
                      <w:szCs w:val="21"/>
                      <w:highlight w:val="none"/>
                      <w:lang w:val="en-US" w:eastAsia="zh-CN" w:bidi="ar"/>
                    </w:rPr>
                    <w:t>户，2</w:t>
                  </w:r>
                  <w:r>
                    <w:rPr>
                      <w:rFonts w:hint="eastAsia" w:ascii="Times New Roman" w:hAnsi="Times New Roman" w:cs="Times New Roman"/>
                      <w:color w:val="auto"/>
                      <w:sz w:val="21"/>
                      <w:szCs w:val="21"/>
                      <w:highlight w:val="none"/>
                      <w:lang w:val="en-US" w:eastAsia="zh-CN" w:bidi="ar"/>
                    </w:rPr>
                    <w:t>100</w:t>
                  </w:r>
                  <w:r>
                    <w:rPr>
                      <w:rFonts w:hint="default" w:ascii="Times New Roman" w:hAnsi="Times New Roman" w:cs="Times New Roman"/>
                      <w:color w:val="auto"/>
                      <w:sz w:val="21"/>
                      <w:szCs w:val="21"/>
                      <w:highlight w:val="none"/>
                      <w:lang w:val="en-US" w:eastAsia="zh-CN" w:bidi="ar"/>
                    </w:rPr>
                    <w:t>人</w:t>
                  </w:r>
                </w:p>
              </w:tc>
              <w:tc>
                <w:tcPr>
                  <w:tcW w:w="1097" w:type="pct"/>
                  <w:vMerge w:val="continue"/>
                  <w:noWrap w:val="0"/>
                  <w:vAlign w:val="center"/>
                </w:tcPr>
                <w:p w14:paraId="76E1C11F">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sz w:val="21"/>
                      <w:szCs w:val="21"/>
                      <w:highlight w:val="none"/>
                      <w:lang w:val="en-US" w:eastAsia="zh-CN" w:bidi="ar"/>
                    </w:rPr>
                  </w:pPr>
                </w:p>
              </w:tc>
              <w:tc>
                <w:tcPr>
                  <w:tcW w:w="579" w:type="pct"/>
                  <w:shd w:val="clear" w:color="auto" w:fill="auto"/>
                  <w:noWrap w:val="0"/>
                  <w:vAlign w:val="center"/>
                </w:tcPr>
                <w:p w14:paraId="636D2F28">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N</w:t>
                  </w:r>
                </w:p>
              </w:tc>
              <w:tc>
                <w:tcPr>
                  <w:tcW w:w="670" w:type="pct"/>
                  <w:shd w:val="clear" w:color="auto" w:fill="auto"/>
                  <w:noWrap w:val="0"/>
                  <w:vAlign w:val="center"/>
                </w:tcPr>
                <w:p w14:paraId="1CB2AA75">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285</w:t>
                  </w:r>
                </w:p>
              </w:tc>
            </w:tr>
            <w:tr w14:paraId="17665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1" w:type="pct"/>
                  <w:noWrap w:val="0"/>
                  <w:vAlign w:val="center"/>
                </w:tcPr>
                <w:p w14:paraId="00715594">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地下水环境</w:t>
                  </w:r>
                </w:p>
              </w:tc>
              <w:tc>
                <w:tcPr>
                  <w:tcW w:w="4538" w:type="pct"/>
                  <w:gridSpan w:val="6"/>
                  <w:noWrap w:val="0"/>
                  <w:vAlign w:val="center"/>
                </w:tcPr>
                <w:p w14:paraId="04DD05AE">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项目厂界外500米范围内无地下水集中式饮用水水源和热水、矿泉水、温泉等特殊地下水资源</w:t>
                  </w:r>
                </w:p>
              </w:tc>
            </w:tr>
            <w:tr w14:paraId="573B0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1" w:type="pct"/>
                  <w:noWrap w:val="0"/>
                  <w:vAlign w:val="center"/>
                </w:tcPr>
                <w:p w14:paraId="321A4CD3">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default" w:ascii="Times New Roman" w:hAnsi="Times New Roman" w:cs="Times New Roman"/>
                      <w:color w:val="auto"/>
                      <w:sz w:val="21"/>
                      <w:szCs w:val="21"/>
                      <w:highlight w:val="none"/>
                      <w:lang w:val="en-US" w:eastAsia="zh-CN" w:bidi="ar"/>
                    </w:rPr>
                    <w:t>生态环境</w:t>
                  </w:r>
                </w:p>
              </w:tc>
              <w:tc>
                <w:tcPr>
                  <w:tcW w:w="4538" w:type="pct"/>
                  <w:gridSpan w:val="6"/>
                  <w:noWrap w:val="0"/>
                  <w:vAlign w:val="center"/>
                </w:tcPr>
                <w:p w14:paraId="50A5D9BF">
                  <w:pPr>
                    <w:pStyle w:val="23"/>
                    <w:autoSpaceDN/>
                    <w:adjustRightInd w:val="0"/>
                    <w:snapToGrid w:val="0"/>
                    <w:spacing w:before="0" w:beforeAutospacing="0" w:after="0" w:afterAutospacing="0" w:line="320" w:lineRule="exact"/>
                    <w:ind w:firstLine="0" w:firstLineChars="0"/>
                    <w:jc w:val="center"/>
                    <w:rPr>
                      <w:rFonts w:hint="default" w:ascii="Times New Roman" w:hAnsi="Times New Roman" w:cs="Times New Roman"/>
                      <w:color w:val="auto"/>
                      <w:sz w:val="21"/>
                      <w:szCs w:val="21"/>
                      <w:highlight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项目租赁</w:t>
                  </w:r>
                  <w:r>
                    <w:rPr>
                      <w:rFonts w:hint="default" w:ascii="Times New Roman" w:hAnsi="Times New Roman" w:cs="Times New Roman"/>
                      <w:color w:val="auto"/>
                      <w:sz w:val="21"/>
                      <w:szCs w:val="21"/>
                      <w:highlight w:val="none"/>
                      <w:lang w:val="en-US" w:eastAsia="zh-CN"/>
                    </w:rPr>
                    <w:t>池州市皖江江南新兴产业集中区</w:t>
                  </w:r>
                  <w:r>
                    <w:rPr>
                      <w:rFonts w:hint="eastAsia" w:ascii="Times New Roman" w:hAnsi="Times New Roman" w:cs="Times New Roman"/>
                      <w:color w:val="auto"/>
                      <w:sz w:val="21"/>
                      <w:szCs w:val="21"/>
                      <w:highlight w:val="none"/>
                      <w:lang w:val="en-US" w:eastAsia="zh-CN"/>
                    </w:rPr>
                    <w:t>科技</w:t>
                  </w:r>
                  <w:r>
                    <w:rPr>
                      <w:rFonts w:hint="default" w:ascii="Times New Roman" w:hAnsi="Times New Roman" w:cs="Times New Roman"/>
                      <w:color w:val="auto"/>
                      <w:sz w:val="21"/>
                      <w:szCs w:val="21"/>
                      <w:highlight w:val="none"/>
                      <w:lang w:val="en-US" w:eastAsia="zh-CN"/>
                    </w:rPr>
                    <w:t>孵化园已建的</w:t>
                  </w:r>
                  <w:r>
                    <w:rPr>
                      <w:rFonts w:hint="eastAsia" w:ascii="Times New Roman" w:hAnsi="Times New Roman" w:cs="Times New Roman"/>
                      <w:color w:val="auto"/>
                      <w:sz w:val="21"/>
                      <w:szCs w:val="21"/>
                      <w:highlight w:val="none"/>
                      <w:lang w:val="en-US" w:eastAsia="zh-CN"/>
                    </w:rPr>
                    <w:t>A4</w:t>
                  </w:r>
                  <w:r>
                    <w:rPr>
                      <w:rFonts w:hint="default" w:ascii="Times New Roman" w:hAnsi="Times New Roman" w:cs="Times New Roman"/>
                      <w:color w:val="auto"/>
                      <w:sz w:val="21"/>
                      <w:szCs w:val="21"/>
                      <w:highlight w:val="none"/>
                      <w:lang w:val="en-US" w:eastAsia="zh-CN"/>
                    </w:rPr>
                    <w:t>厂房（1层</w:t>
                  </w:r>
                  <w:r>
                    <w:rPr>
                      <w:rFonts w:hint="eastAsia" w:ascii="Times New Roman" w:hAnsi="Times New Roman" w:cs="Times New Roman"/>
                      <w:color w:val="auto"/>
                      <w:sz w:val="21"/>
                      <w:szCs w:val="21"/>
                      <w:highlight w:val="none"/>
                      <w:lang w:val="en-US" w:eastAsia="zh-CN"/>
                    </w:rPr>
                    <w:t>部分区域及2层、</w:t>
                  </w:r>
                  <w:r>
                    <w:rPr>
                      <w:rFonts w:hint="default" w:ascii="Times New Roman" w:hAnsi="Times New Roman" w:cs="Times New Roman"/>
                      <w:color w:val="auto"/>
                      <w:sz w:val="21"/>
                      <w:szCs w:val="21"/>
                      <w:highlight w:val="none"/>
                      <w:lang w:val="en-US" w:eastAsia="zh-CN"/>
                    </w:rPr>
                    <w:t>3层全部区域），不新增用地</w:t>
                  </w:r>
                </w:p>
              </w:tc>
            </w:tr>
          </w:tbl>
          <w:p w14:paraId="01D830C5">
            <w:pPr>
              <w:pStyle w:val="45"/>
              <w:numPr>
                <w:ilvl w:val="0"/>
                <w:numId w:val="0"/>
              </w:numPr>
              <w:snapToGrid w:val="0"/>
              <w:spacing w:line="360" w:lineRule="auto"/>
              <w:jc w:val="center"/>
              <w:rPr>
                <w:rFonts w:hint="default" w:ascii="Times New Roman" w:hAnsi="Times New Roman" w:cs="Times New Roman"/>
                <w:color w:val="auto"/>
                <w:kern w:val="0"/>
                <w:szCs w:val="21"/>
                <w:highlight w:val="none"/>
              </w:rPr>
            </w:pPr>
          </w:p>
        </w:tc>
      </w:tr>
      <w:tr w14:paraId="7A6BBA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443" w:type="dxa"/>
            <w:noWrap w:val="0"/>
            <w:tcMar>
              <w:left w:w="28" w:type="dxa"/>
              <w:right w:w="28" w:type="dxa"/>
            </w:tcMar>
            <w:vAlign w:val="center"/>
          </w:tcPr>
          <w:p w14:paraId="03757F4B">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污染</w:t>
            </w:r>
          </w:p>
          <w:p w14:paraId="763B4199">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物排</w:t>
            </w:r>
          </w:p>
          <w:p w14:paraId="4568DA1F">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放控</w:t>
            </w:r>
          </w:p>
          <w:p w14:paraId="7714DFF3">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制标</w:t>
            </w:r>
          </w:p>
          <w:p w14:paraId="30531CEA">
            <w:pPr>
              <w:adjustRightInd w:val="0"/>
              <w:snapToGri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4"/>
                <w:szCs w:val="24"/>
                <w:highlight w:val="none"/>
              </w:rPr>
              <w:t>准</w:t>
            </w:r>
          </w:p>
        </w:tc>
        <w:tc>
          <w:tcPr>
            <w:tcW w:w="8617" w:type="dxa"/>
            <w:noWrap w:val="0"/>
            <w:vAlign w:val="center"/>
          </w:tcPr>
          <w:p w14:paraId="00739FCF">
            <w:pPr>
              <w:pStyle w:val="46"/>
              <w:snapToGrid w:val="0"/>
              <w:ind w:firstLine="482" w:firstLineChars="20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1、废气</w:t>
            </w:r>
          </w:p>
          <w:p w14:paraId="59C09129">
            <w:pPr>
              <w:pStyle w:val="46"/>
              <w:snapToGrid w:val="0"/>
              <w:ind w:firstLine="480" w:firstLineChars="200"/>
              <w:jc w:val="both"/>
              <w:rPr>
                <w:rFonts w:hint="eastAsia" w:ascii="Times New Roman" w:hAnsi="Times New Roman" w:eastAsia="宋体" w:cs="Times New Roman"/>
                <w:b w:val="0"/>
                <w:bCs/>
                <w:color w:val="auto"/>
                <w:sz w:val="24"/>
                <w:szCs w:val="24"/>
                <w:highlight w:val="none"/>
                <w:lang w:eastAsia="zh-CN"/>
              </w:rPr>
            </w:pPr>
            <w:r>
              <w:rPr>
                <w:rFonts w:hint="eastAsia" w:cs="Times New Roman"/>
                <w:b w:val="0"/>
                <w:bCs/>
                <w:color w:val="auto"/>
                <w:sz w:val="24"/>
                <w:szCs w:val="24"/>
                <w:highlight w:val="none"/>
                <w:lang w:val="en-US" w:eastAsia="zh-CN"/>
              </w:rPr>
              <w:t>项目施工期颗粒物</w:t>
            </w:r>
            <w:r>
              <w:rPr>
                <w:rFonts w:hint="default" w:ascii="Times New Roman" w:hAnsi="Times New Roman" w:cs="Times New Roman"/>
                <w:b w:val="0"/>
                <w:bCs/>
                <w:color w:val="auto"/>
                <w:sz w:val="24"/>
                <w:szCs w:val="24"/>
                <w:highlight w:val="none"/>
              </w:rPr>
              <w:t>排放</w:t>
            </w:r>
            <w:r>
              <w:rPr>
                <w:rFonts w:hint="eastAsia" w:cs="Times New Roman"/>
                <w:b w:val="0"/>
                <w:bCs/>
                <w:color w:val="auto"/>
                <w:sz w:val="24"/>
                <w:szCs w:val="24"/>
                <w:highlight w:val="none"/>
                <w:lang w:val="en-US" w:eastAsia="zh-CN"/>
              </w:rPr>
              <w:t>执行《施工场地颗粒物排放标准》（DB34/4811—2024）表1中标准限值要求，</w:t>
            </w:r>
            <w:r>
              <w:rPr>
                <w:rFonts w:hint="default" w:ascii="Times New Roman" w:hAnsi="Times New Roman" w:cs="Times New Roman"/>
                <w:b w:val="0"/>
                <w:bCs/>
                <w:color w:val="auto"/>
                <w:sz w:val="24"/>
                <w:szCs w:val="24"/>
                <w:highlight w:val="none"/>
              </w:rPr>
              <w:t>具体</w:t>
            </w:r>
            <w:r>
              <w:rPr>
                <w:rFonts w:hint="eastAsia" w:ascii="Times New Roman" w:hAnsi="Times New Roman" w:cs="Times New Roman"/>
                <w:b w:val="0"/>
                <w:bCs/>
                <w:color w:val="auto"/>
                <w:sz w:val="24"/>
                <w:szCs w:val="24"/>
                <w:highlight w:val="none"/>
                <w:lang w:eastAsia="zh-CN"/>
              </w:rPr>
              <w:t>限值</w:t>
            </w:r>
            <w:r>
              <w:rPr>
                <w:rFonts w:hint="default" w:ascii="Times New Roman" w:hAnsi="Times New Roman" w:cs="Times New Roman"/>
                <w:b w:val="0"/>
                <w:bCs/>
                <w:color w:val="auto"/>
                <w:sz w:val="24"/>
                <w:szCs w:val="24"/>
                <w:highlight w:val="none"/>
              </w:rPr>
              <w:t>见下表</w:t>
            </w:r>
            <w:r>
              <w:rPr>
                <w:rFonts w:hint="eastAsia" w:cs="Times New Roman"/>
                <w:b w:val="0"/>
                <w:bCs/>
                <w:color w:val="auto"/>
                <w:sz w:val="24"/>
                <w:szCs w:val="24"/>
                <w:highlight w:val="none"/>
                <w:lang w:eastAsia="zh-CN"/>
              </w:rPr>
              <w:t>。</w:t>
            </w:r>
          </w:p>
          <w:p w14:paraId="442A90D6">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default" w:cs="Times New Roman"/>
                <w:b/>
                <w:bCs w:val="0"/>
                <w:color w:val="auto"/>
                <w:sz w:val="21"/>
                <w:szCs w:val="21"/>
                <w:highlight w:val="none"/>
                <w:lang w:val="en-US" w:eastAsia="zh-CN"/>
              </w:rPr>
            </w:pPr>
            <w:r>
              <w:rPr>
                <w:rFonts w:hint="default" w:ascii="Times New Roman" w:hAnsi="Times New Roman" w:cs="Times New Roman"/>
                <w:color w:val="auto"/>
                <w:highlight w:val="none"/>
                <w:lang w:val="en-US" w:eastAsia="zh-CN"/>
              </w:rPr>
              <w:t>表3-</w:t>
            </w:r>
            <w:r>
              <w:rPr>
                <w:rFonts w:hint="eastAsia" w:ascii="Times New Roman" w:hAnsi="Times New Roman" w:cs="Times New Roman"/>
                <w:color w:val="auto"/>
                <w:highlight w:val="none"/>
                <w:lang w:val="en-US" w:eastAsia="zh-CN"/>
              </w:rPr>
              <w:t>6</w:t>
            </w:r>
            <w:r>
              <w:rPr>
                <w:rFonts w:hint="eastAsia" w:cs="Times New Roman"/>
                <w:b/>
                <w:bCs w:val="0"/>
                <w:color w:val="auto"/>
                <w:sz w:val="21"/>
                <w:szCs w:val="21"/>
                <w:highlight w:val="none"/>
                <w:lang w:val="en-US" w:eastAsia="zh-CN"/>
              </w:rPr>
              <w:t>施工期颗粒物排放标准</w:t>
            </w:r>
          </w:p>
          <w:tbl>
            <w:tblPr>
              <w:tblStyle w:val="26"/>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1"/>
              <w:gridCol w:w="2457"/>
              <w:gridCol w:w="2148"/>
              <w:gridCol w:w="2744"/>
            </w:tblGrid>
            <w:tr w14:paraId="405FE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71" w:type="dxa"/>
                  <w:noWrap w:val="0"/>
                  <w:vAlign w:val="center"/>
                </w:tcPr>
                <w:p w14:paraId="5FE3C25D">
                  <w:pPr>
                    <w:pStyle w:val="33"/>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项目</w:t>
                  </w:r>
                </w:p>
              </w:tc>
              <w:tc>
                <w:tcPr>
                  <w:tcW w:w="2457" w:type="dxa"/>
                  <w:noWrap w:val="0"/>
                  <w:vAlign w:val="center"/>
                </w:tcPr>
                <w:p w14:paraId="7F77B8C5">
                  <w:pPr>
                    <w:pStyle w:val="33"/>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监测点浓度限值</w:t>
                  </w:r>
                  <w:r>
                    <w:rPr>
                      <w:rFonts w:hint="default" w:ascii="Times New Roman" w:hAnsi="Times New Roman" w:eastAsia="宋体" w:cs="Times New Roman"/>
                      <w:b/>
                      <w:bCs/>
                      <w:color w:val="auto"/>
                      <w:sz w:val="21"/>
                      <w:szCs w:val="21"/>
                      <w:highlight w:val="none"/>
                      <w:vertAlign w:val="baseline"/>
                      <w:lang w:val="en-US" w:eastAsia="zh-CN"/>
                    </w:rPr>
                    <w:t>（mg/m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2148" w:type="dxa"/>
                  <w:noWrap w:val="0"/>
                  <w:vAlign w:val="center"/>
                </w:tcPr>
                <w:p w14:paraId="03023365">
                  <w:pPr>
                    <w:pStyle w:val="33"/>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达标判定依据</w:t>
                  </w:r>
                </w:p>
              </w:tc>
              <w:tc>
                <w:tcPr>
                  <w:tcW w:w="2744" w:type="dxa"/>
                  <w:noWrap w:val="0"/>
                  <w:vAlign w:val="center"/>
                </w:tcPr>
                <w:p w14:paraId="064829A2">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标准</w:t>
                  </w:r>
                </w:p>
              </w:tc>
            </w:tr>
            <w:tr w14:paraId="7CF8C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71" w:type="dxa"/>
                  <w:vMerge w:val="restart"/>
                  <w:noWrap w:val="0"/>
                  <w:vAlign w:val="center"/>
                </w:tcPr>
                <w:p w14:paraId="5FEB6BBD">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TSP</w:t>
                  </w:r>
                </w:p>
              </w:tc>
              <w:tc>
                <w:tcPr>
                  <w:tcW w:w="2457" w:type="dxa"/>
                  <w:noWrap w:val="0"/>
                  <w:vAlign w:val="center"/>
                </w:tcPr>
                <w:p w14:paraId="2B1AF2DD">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w:t>
                  </w:r>
                </w:p>
              </w:tc>
              <w:tc>
                <w:tcPr>
                  <w:tcW w:w="2148" w:type="dxa"/>
                  <w:noWrap w:val="0"/>
                  <w:vAlign w:val="center"/>
                </w:tcPr>
                <w:p w14:paraId="78F8479A">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超标次数≤1次/日</w:t>
                  </w:r>
                </w:p>
              </w:tc>
              <w:tc>
                <w:tcPr>
                  <w:tcW w:w="2744" w:type="dxa"/>
                  <w:vMerge w:val="restart"/>
                  <w:noWrap w:val="0"/>
                  <w:vAlign w:val="center"/>
                </w:tcPr>
                <w:p w14:paraId="54AF18E6">
                  <w:pPr>
                    <w:spacing w:before="120" w:beforeLines="50" w:line="240" w:lineRule="auto"/>
                    <w:jc w:val="center"/>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lang w:val="en-US" w:eastAsia="zh-CN"/>
                    </w:rPr>
                    <w:t>《施工场地颗粒物排放标准》（DB34/4811—2024）</w:t>
                  </w:r>
                </w:p>
              </w:tc>
            </w:tr>
            <w:tr w14:paraId="4214C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71" w:type="dxa"/>
                  <w:vMerge w:val="continue"/>
                  <w:noWrap w:val="0"/>
                  <w:vAlign w:val="center"/>
                </w:tcPr>
                <w:p w14:paraId="0D36D573">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p>
              </w:tc>
              <w:tc>
                <w:tcPr>
                  <w:tcW w:w="2457" w:type="dxa"/>
                  <w:noWrap w:val="0"/>
                  <w:vAlign w:val="center"/>
                </w:tcPr>
                <w:p w14:paraId="7D77C861">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0.5</w:t>
                  </w:r>
                </w:p>
              </w:tc>
              <w:tc>
                <w:tcPr>
                  <w:tcW w:w="2148" w:type="dxa"/>
                  <w:noWrap w:val="0"/>
                  <w:vAlign w:val="center"/>
                </w:tcPr>
                <w:p w14:paraId="6555A299">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超标次数≤6次/日</w:t>
                  </w:r>
                </w:p>
              </w:tc>
              <w:tc>
                <w:tcPr>
                  <w:tcW w:w="2744" w:type="dxa"/>
                  <w:vMerge w:val="continue"/>
                  <w:noWrap w:val="0"/>
                  <w:vAlign w:val="center"/>
                </w:tcPr>
                <w:p w14:paraId="0986CF1B">
                  <w:pPr>
                    <w:spacing w:before="120" w:beforeLines="50" w:line="240" w:lineRule="auto"/>
                    <w:jc w:val="center"/>
                    <w:rPr>
                      <w:rFonts w:hint="eastAsia" w:cs="Times New Roman"/>
                      <w:b w:val="0"/>
                      <w:bCs/>
                      <w:color w:val="auto"/>
                      <w:sz w:val="21"/>
                      <w:szCs w:val="21"/>
                      <w:highlight w:val="none"/>
                      <w:vertAlign w:val="baseline"/>
                      <w:lang w:val="en-US" w:eastAsia="zh-CN"/>
                    </w:rPr>
                  </w:pPr>
                </w:p>
              </w:tc>
            </w:tr>
            <w:tr w14:paraId="7438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8220" w:type="dxa"/>
                  <w:gridSpan w:val="4"/>
                  <w:noWrap w:val="0"/>
                  <w:vAlign w:val="center"/>
                </w:tcPr>
                <w:p w14:paraId="445CE10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任一监测点自整时起依次顺延15分钟的TSP浓度平均值不得超过限值。超标次数指一个日历日96个TSP 15分钟浓度平均值超过监测点浓度限值的次数。</w:t>
                  </w:r>
                </w:p>
                <w:p w14:paraId="06279F4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lang w:val="en-US" w:eastAsia="zh-CN"/>
                    </w:rPr>
                    <w:t>根据HJ633判定设区市AQI在200~300之间且首要污染物为PM</w:t>
                  </w:r>
                  <w:r>
                    <w:rPr>
                      <w:rFonts w:hint="eastAsia" w:cs="Times New Roman"/>
                      <w:b w:val="0"/>
                      <w:bCs/>
                      <w:color w:val="auto"/>
                      <w:sz w:val="21"/>
                      <w:szCs w:val="21"/>
                      <w:highlight w:val="none"/>
                      <w:vertAlign w:val="subscript"/>
                      <w:lang w:val="en-US" w:eastAsia="zh-CN"/>
                    </w:rPr>
                    <w:t>10</w:t>
                  </w:r>
                  <w:r>
                    <w:rPr>
                      <w:rFonts w:hint="eastAsia" w:cs="Times New Roman"/>
                      <w:b w:val="0"/>
                      <w:bCs/>
                      <w:color w:val="auto"/>
                      <w:sz w:val="21"/>
                      <w:szCs w:val="21"/>
                      <w:highlight w:val="none"/>
                      <w:lang w:val="en-US" w:eastAsia="zh-CN"/>
                    </w:rPr>
                    <w:t>或PM</w:t>
                  </w:r>
                  <w:r>
                    <w:rPr>
                      <w:rFonts w:hint="eastAsia" w:cs="Times New Roman"/>
                      <w:b w:val="0"/>
                      <w:bCs/>
                      <w:color w:val="auto"/>
                      <w:sz w:val="21"/>
                      <w:szCs w:val="21"/>
                      <w:highlight w:val="none"/>
                      <w:vertAlign w:val="subscript"/>
                      <w:lang w:val="en-US" w:eastAsia="zh-CN"/>
                    </w:rPr>
                    <w:t>2.5</w:t>
                  </w:r>
                  <w:r>
                    <w:rPr>
                      <w:rFonts w:hint="eastAsia" w:cs="Times New Roman"/>
                      <w:b w:val="0"/>
                      <w:bCs/>
                      <w:color w:val="auto"/>
                      <w:sz w:val="21"/>
                      <w:szCs w:val="21"/>
                      <w:highlight w:val="none"/>
                      <w:lang w:val="en-US" w:eastAsia="zh-CN"/>
                    </w:rPr>
                    <w:t>时，TSP 实测值扣除200</w:t>
                  </w:r>
                  <w:r>
                    <w:rPr>
                      <w:rFonts w:hint="default" w:ascii="Times New Roman" w:hAnsi="Times New Roman" w:cs="Times New Roman"/>
                      <w:b w:val="0"/>
                      <w:bCs/>
                      <w:color w:val="auto"/>
                      <w:sz w:val="21"/>
                      <w:szCs w:val="21"/>
                      <w:highlight w:val="none"/>
                      <w:lang w:val="en-US" w:eastAsia="zh-CN"/>
                    </w:rPr>
                    <w:t>μg/m</w:t>
                  </w:r>
                  <w:r>
                    <w:rPr>
                      <w:rFonts w:hint="default" w:ascii="Times New Roman" w:hAnsi="Times New Roman" w:cs="Times New Roman"/>
                      <w:b w:val="0"/>
                      <w:bCs/>
                      <w:color w:val="auto"/>
                      <w:sz w:val="21"/>
                      <w:szCs w:val="21"/>
                      <w:highlight w:val="none"/>
                      <w:vertAlign w:val="superscript"/>
                      <w:lang w:val="en-US" w:eastAsia="zh-CN"/>
                    </w:rPr>
                    <w:t>3</w:t>
                  </w:r>
                  <w:r>
                    <w:rPr>
                      <w:rFonts w:hint="eastAsia" w:cs="Times New Roman"/>
                      <w:b w:val="0"/>
                      <w:bCs/>
                      <w:color w:val="auto"/>
                      <w:sz w:val="21"/>
                      <w:szCs w:val="21"/>
                      <w:highlight w:val="none"/>
                      <w:lang w:val="en-US" w:eastAsia="zh-CN"/>
                    </w:rPr>
                    <w:t>后再进行评价。</w:t>
                  </w:r>
                </w:p>
              </w:tc>
            </w:tr>
          </w:tbl>
          <w:p w14:paraId="09AFBE83">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cs="Times New Roman"/>
                <w:b w:val="0"/>
                <w:bCs/>
                <w:color w:val="auto"/>
                <w:sz w:val="24"/>
                <w:szCs w:val="24"/>
                <w:highlight w:val="none"/>
              </w:rPr>
              <w:t>项目</w:t>
            </w:r>
            <w:r>
              <w:rPr>
                <w:rFonts w:hint="eastAsia" w:ascii="Times New Roman" w:hAnsi="Times New Roman" w:cs="Times New Roman"/>
                <w:b w:val="0"/>
                <w:bCs/>
                <w:color w:val="auto"/>
                <w:sz w:val="24"/>
                <w:szCs w:val="24"/>
                <w:highlight w:val="none"/>
                <w:lang w:val="en-US" w:eastAsia="zh-CN"/>
              </w:rPr>
              <w:t>运营期颗粒物、</w:t>
            </w:r>
            <w:r>
              <w:rPr>
                <w:rFonts w:hint="default" w:ascii="Times New Roman" w:hAnsi="Times New Roman" w:cs="Times New Roman"/>
                <w:b w:val="0"/>
                <w:bCs/>
                <w:color w:val="auto"/>
                <w:sz w:val="24"/>
                <w:szCs w:val="24"/>
                <w:highlight w:val="none"/>
              </w:rPr>
              <w:t>锡及其化合物排放执行《大气污染物综合排放标准》（GB16297-1996）中二级标准及无组织排放监控限值要求</w:t>
            </w:r>
            <w:r>
              <w:rPr>
                <w:rFonts w:hint="default" w:ascii="Times New Roman" w:hAnsi="Times New Roman" w:cs="Times New Roman"/>
                <w:b w:val="0"/>
                <w:bCs/>
                <w:color w:val="auto"/>
                <w:sz w:val="24"/>
                <w:szCs w:val="24"/>
                <w:highlight w:val="none"/>
                <w:lang w:eastAsia="zh-CN"/>
              </w:rPr>
              <w:t>；LED显示屏模组</w:t>
            </w:r>
            <w:r>
              <w:rPr>
                <w:rFonts w:hint="eastAsia" w:ascii="Times New Roman" w:hAnsi="Times New Roman" w:cs="Times New Roman"/>
                <w:b w:val="0"/>
                <w:bCs/>
                <w:color w:val="auto"/>
                <w:sz w:val="24"/>
                <w:szCs w:val="24"/>
                <w:highlight w:val="none"/>
                <w:lang w:val="en-US" w:eastAsia="zh-CN"/>
              </w:rPr>
              <w:t>生产过程中产生的非甲烷总烃排放执行</w:t>
            </w:r>
            <w:r>
              <w:rPr>
                <w:rFonts w:hint="eastAsia" w:ascii="Times New Roman" w:hAnsi="Times New Roman" w:cs="Times New Roman"/>
                <w:b w:val="0"/>
                <w:bCs/>
                <w:color w:val="auto"/>
                <w:sz w:val="24"/>
                <w:szCs w:val="24"/>
                <w:highlight w:val="none"/>
                <w:lang w:eastAsia="zh-CN"/>
              </w:rPr>
              <w:t>安徽省</w:t>
            </w:r>
            <w:r>
              <w:rPr>
                <w:rFonts w:hint="eastAsia" w:ascii="Times New Roman" w:hAnsi="Times New Roman" w:cs="Times New Roman"/>
                <w:b w:val="0"/>
                <w:bCs/>
                <w:color w:val="auto"/>
                <w:sz w:val="24"/>
                <w:szCs w:val="24"/>
                <w:highlight w:val="none"/>
                <w:lang w:val="en-US" w:eastAsia="zh-CN"/>
              </w:rPr>
              <w:t>地方标准</w:t>
            </w:r>
            <w:r>
              <w:rPr>
                <w:rFonts w:hint="default" w:ascii="Times New Roman" w:hAnsi="Times New Roman" w:cs="Times New Roman"/>
                <w:b w:val="0"/>
                <w:bCs/>
                <w:color w:val="auto"/>
                <w:sz w:val="24"/>
                <w:szCs w:val="24"/>
                <w:highlight w:val="none"/>
                <w:lang w:eastAsia="zh-CN"/>
              </w:rPr>
              <w:t>《固定源挥发性有机物综合排放标准第5部分：电子工业》（DB 34/4812.5—2024）</w:t>
            </w:r>
            <w:r>
              <w:rPr>
                <w:rFonts w:hint="eastAsia" w:ascii="Times New Roman" w:hAnsi="Times New Roman" w:cs="Times New Roman"/>
                <w:b w:val="0"/>
                <w:bCs/>
                <w:color w:val="auto"/>
                <w:sz w:val="24"/>
                <w:szCs w:val="24"/>
                <w:highlight w:val="none"/>
                <w:lang w:val="en-US" w:eastAsia="zh-CN"/>
              </w:rPr>
              <w:t>中的</w:t>
            </w:r>
            <w:r>
              <w:rPr>
                <w:rFonts w:hint="default" w:ascii="Times New Roman" w:hAnsi="Times New Roman" w:cs="Times New Roman"/>
                <w:b w:val="0"/>
                <w:bCs/>
                <w:color w:val="auto"/>
                <w:sz w:val="24"/>
                <w:szCs w:val="24"/>
                <w:highlight w:val="none"/>
                <w:lang w:eastAsia="zh-CN"/>
              </w:rPr>
              <w:t>标准限值</w:t>
            </w:r>
            <w:r>
              <w:rPr>
                <w:rFonts w:hint="eastAsia" w:ascii="Times New Roman" w:hAnsi="Times New Roman" w:cs="Times New Roman"/>
                <w:b w:val="0"/>
                <w:bCs/>
                <w:color w:val="auto"/>
                <w:sz w:val="24"/>
                <w:szCs w:val="24"/>
                <w:highlight w:val="none"/>
                <w:lang w:eastAsia="zh-CN"/>
              </w:rPr>
              <w:t>，显示屏模组器件</w:t>
            </w:r>
            <w:r>
              <w:rPr>
                <w:rFonts w:hint="eastAsia" w:ascii="Times New Roman" w:hAnsi="Times New Roman" w:cs="Times New Roman"/>
                <w:b w:val="0"/>
                <w:bCs/>
                <w:color w:val="auto"/>
                <w:sz w:val="24"/>
                <w:szCs w:val="24"/>
                <w:highlight w:val="none"/>
                <w:lang w:val="en-US" w:eastAsia="zh-CN"/>
              </w:rPr>
              <w:t>生产过程中产生的非甲烷总烃、甲苯、苯乙烯排放执行</w:t>
            </w:r>
            <w:r>
              <w:rPr>
                <w:rFonts w:hint="eastAsia" w:ascii="Times New Roman" w:hAnsi="Times New Roman" w:cs="Times New Roman"/>
                <w:b w:val="0"/>
                <w:bCs/>
                <w:color w:val="auto"/>
                <w:sz w:val="24"/>
                <w:szCs w:val="24"/>
                <w:highlight w:val="none"/>
                <w:lang w:eastAsia="zh-CN"/>
              </w:rPr>
              <w:t>安徽省</w:t>
            </w:r>
            <w:r>
              <w:rPr>
                <w:rFonts w:hint="eastAsia" w:ascii="Times New Roman" w:hAnsi="Times New Roman" w:cs="Times New Roman"/>
                <w:b w:val="0"/>
                <w:bCs/>
                <w:color w:val="auto"/>
                <w:sz w:val="24"/>
                <w:szCs w:val="24"/>
                <w:highlight w:val="none"/>
                <w:lang w:val="en-US" w:eastAsia="zh-CN"/>
              </w:rPr>
              <w:t>地方标准</w:t>
            </w:r>
            <w:r>
              <w:rPr>
                <w:rFonts w:hint="default" w:ascii="Times New Roman" w:hAnsi="Times New Roman" w:cs="Times New Roman"/>
                <w:b w:val="0"/>
                <w:bCs/>
                <w:color w:val="auto"/>
                <w:sz w:val="24"/>
                <w:szCs w:val="24"/>
                <w:highlight w:val="none"/>
                <w:lang w:eastAsia="zh-CN"/>
              </w:rPr>
              <w:t>《固定源挥发性有机物综合排放标准第</w:t>
            </w:r>
            <w:r>
              <w:rPr>
                <w:rFonts w:hint="eastAsia" w:ascii="Times New Roman" w:hAnsi="Times New Roman" w:cs="Times New Roman"/>
                <w:b w:val="0"/>
                <w:bCs/>
                <w:color w:val="auto"/>
                <w:sz w:val="24"/>
                <w:szCs w:val="24"/>
                <w:highlight w:val="none"/>
                <w:lang w:val="en-US" w:eastAsia="zh-CN"/>
              </w:rPr>
              <w:t>6</w:t>
            </w:r>
            <w:r>
              <w:rPr>
                <w:rFonts w:hint="default" w:ascii="Times New Roman" w:hAnsi="Times New Roman" w:cs="Times New Roman"/>
                <w:b w:val="0"/>
                <w:bCs/>
                <w:color w:val="auto"/>
                <w:sz w:val="24"/>
                <w:szCs w:val="24"/>
                <w:highlight w:val="none"/>
                <w:lang w:eastAsia="zh-CN"/>
              </w:rPr>
              <w:t>部分：</w:t>
            </w:r>
            <w:r>
              <w:rPr>
                <w:rFonts w:hint="eastAsia" w:ascii="Times New Roman" w:hAnsi="Times New Roman" w:cs="Times New Roman"/>
                <w:b w:val="0"/>
                <w:bCs/>
                <w:color w:val="auto"/>
                <w:sz w:val="24"/>
                <w:szCs w:val="24"/>
                <w:highlight w:val="none"/>
                <w:lang w:val="en-US" w:eastAsia="zh-CN"/>
              </w:rPr>
              <w:t>其他行业</w:t>
            </w:r>
            <w:r>
              <w:rPr>
                <w:rFonts w:hint="default" w:ascii="Times New Roman" w:hAnsi="Times New Roman" w:cs="Times New Roman"/>
                <w:b w:val="0"/>
                <w:bCs/>
                <w:color w:val="auto"/>
                <w:sz w:val="24"/>
                <w:szCs w:val="24"/>
                <w:highlight w:val="none"/>
                <w:lang w:eastAsia="zh-CN"/>
              </w:rPr>
              <w:t>》（DB 34/4812.</w:t>
            </w:r>
            <w:r>
              <w:rPr>
                <w:rFonts w:hint="eastAsia" w:ascii="Times New Roman" w:hAnsi="Times New Roman" w:cs="Times New Roman"/>
                <w:b w:val="0"/>
                <w:bCs/>
                <w:color w:val="auto"/>
                <w:sz w:val="24"/>
                <w:szCs w:val="24"/>
                <w:highlight w:val="none"/>
                <w:lang w:val="en-US" w:eastAsia="zh-CN"/>
              </w:rPr>
              <w:t>6</w:t>
            </w:r>
            <w:r>
              <w:rPr>
                <w:rFonts w:hint="default" w:ascii="Times New Roman" w:hAnsi="Times New Roman" w:cs="Times New Roman"/>
                <w:b w:val="0"/>
                <w:bCs/>
                <w:color w:val="auto"/>
                <w:sz w:val="24"/>
                <w:szCs w:val="24"/>
                <w:highlight w:val="none"/>
                <w:lang w:eastAsia="zh-CN"/>
              </w:rPr>
              <w:t>—2024）</w:t>
            </w:r>
            <w:r>
              <w:rPr>
                <w:rFonts w:hint="eastAsia" w:ascii="Times New Roman" w:hAnsi="Times New Roman" w:cs="Times New Roman"/>
                <w:b w:val="0"/>
                <w:bCs/>
                <w:color w:val="auto"/>
                <w:sz w:val="24"/>
                <w:szCs w:val="24"/>
                <w:highlight w:val="none"/>
                <w:lang w:val="en-US" w:eastAsia="zh-CN"/>
              </w:rPr>
              <w:t>中的标准限值，项目废气经处理后通过同1根排气筒排放，故有组织非甲烷总烃、甲苯、苯乙烯及厂区内非甲烷总烃排放从严执行</w:t>
            </w:r>
            <w:r>
              <w:rPr>
                <w:rFonts w:hint="eastAsia" w:ascii="Times New Roman" w:hAnsi="Times New Roman" w:cs="Times New Roman"/>
                <w:b w:val="0"/>
                <w:bCs/>
                <w:color w:val="auto"/>
                <w:sz w:val="24"/>
                <w:szCs w:val="24"/>
                <w:highlight w:val="none"/>
                <w:lang w:eastAsia="zh-CN"/>
              </w:rPr>
              <w:t>安徽省</w:t>
            </w:r>
            <w:r>
              <w:rPr>
                <w:rFonts w:hint="eastAsia" w:ascii="Times New Roman" w:hAnsi="Times New Roman" w:cs="Times New Roman"/>
                <w:b w:val="0"/>
                <w:bCs/>
                <w:color w:val="auto"/>
                <w:sz w:val="24"/>
                <w:szCs w:val="24"/>
                <w:highlight w:val="none"/>
                <w:lang w:val="en-US" w:eastAsia="zh-CN"/>
              </w:rPr>
              <w:t>地方标准</w:t>
            </w:r>
            <w:r>
              <w:rPr>
                <w:rFonts w:hint="default" w:ascii="Times New Roman" w:hAnsi="Times New Roman" w:cs="Times New Roman"/>
                <w:b w:val="0"/>
                <w:bCs/>
                <w:color w:val="auto"/>
                <w:sz w:val="24"/>
                <w:szCs w:val="24"/>
                <w:highlight w:val="none"/>
                <w:lang w:eastAsia="zh-CN"/>
              </w:rPr>
              <w:t>《固定源挥发性有机物综合排放标准第</w:t>
            </w:r>
            <w:r>
              <w:rPr>
                <w:rFonts w:hint="eastAsia" w:ascii="Times New Roman" w:hAnsi="Times New Roman" w:cs="Times New Roman"/>
                <w:b w:val="0"/>
                <w:bCs/>
                <w:color w:val="auto"/>
                <w:sz w:val="24"/>
                <w:szCs w:val="24"/>
                <w:highlight w:val="none"/>
                <w:lang w:val="en-US" w:eastAsia="zh-CN"/>
              </w:rPr>
              <w:t>6</w:t>
            </w:r>
            <w:r>
              <w:rPr>
                <w:rFonts w:hint="default" w:ascii="Times New Roman" w:hAnsi="Times New Roman" w:cs="Times New Roman"/>
                <w:b w:val="0"/>
                <w:bCs/>
                <w:color w:val="auto"/>
                <w:sz w:val="24"/>
                <w:szCs w:val="24"/>
                <w:highlight w:val="none"/>
                <w:lang w:eastAsia="zh-CN"/>
              </w:rPr>
              <w:t>部分：</w:t>
            </w:r>
            <w:r>
              <w:rPr>
                <w:rFonts w:hint="eastAsia" w:ascii="Times New Roman" w:hAnsi="Times New Roman" w:cs="Times New Roman"/>
                <w:b w:val="0"/>
                <w:bCs/>
                <w:color w:val="auto"/>
                <w:sz w:val="24"/>
                <w:szCs w:val="24"/>
                <w:highlight w:val="none"/>
                <w:lang w:val="en-US" w:eastAsia="zh-CN"/>
              </w:rPr>
              <w:t>其他行业</w:t>
            </w:r>
            <w:r>
              <w:rPr>
                <w:rFonts w:hint="default" w:ascii="Times New Roman" w:hAnsi="Times New Roman" w:cs="Times New Roman"/>
                <w:b w:val="0"/>
                <w:bCs/>
                <w:color w:val="auto"/>
                <w:sz w:val="24"/>
                <w:szCs w:val="24"/>
                <w:highlight w:val="none"/>
                <w:lang w:eastAsia="zh-CN"/>
              </w:rPr>
              <w:t>》（DB34/4812.</w:t>
            </w:r>
            <w:r>
              <w:rPr>
                <w:rFonts w:hint="eastAsia" w:ascii="Times New Roman" w:hAnsi="Times New Roman" w:cs="Times New Roman"/>
                <w:b w:val="0"/>
                <w:bCs/>
                <w:color w:val="auto"/>
                <w:sz w:val="24"/>
                <w:szCs w:val="24"/>
                <w:highlight w:val="none"/>
                <w:lang w:val="en-US" w:eastAsia="zh-CN"/>
              </w:rPr>
              <w:t>6</w:t>
            </w:r>
            <w:r>
              <w:rPr>
                <w:rFonts w:hint="default" w:ascii="Times New Roman" w:hAnsi="Times New Roman" w:cs="Times New Roman"/>
                <w:b w:val="0"/>
                <w:bCs/>
                <w:color w:val="auto"/>
                <w:sz w:val="24"/>
                <w:szCs w:val="24"/>
                <w:highlight w:val="none"/>
                <w:lang w:eastAsia="zh-CN"/>
              </w:rPr>
              <w:t>—2024）</w:t>
            </w:r>
            <w:r>
              <w:rPr>
                <w:rFonts w:hint="eastAsia" w:ascii="Times New Roman" w:hAnsi="Times New Roman" w:cs="Times New Roman"/>
                <w:b w:val="0"/>
                <w:bCs/>
                <w:color w:val="auto"/>
                <w:sz w:val="24"/>
                <w:szCs w:val="24"/>
                <w:highlight w:val="none"/>
                <w:lang w:val="en-US" w:eastAsia="zh-CN"/>
              </w:rPr>
              <w:t>中的标准限值；</w:t>
            </w:r>
            <w:r>
              <w:rPr>
                <w:rFonts w:hint="eastAsia" w:ascii="Times New Roman" w:hAnsi="Times New Roman" w:cs="Times New Roman"/>
                <w:b w:val="0"/>
                <w:bCs/>
                <w:color w:val="auto"/>
                <w:sz w:val="24"/>
                <w:szCs w:val="24"/>
                <w:highlight w:val="none"/>
                <w:lang w:eastAsia="zh-CN"/>
              </w:rPr>
              <w:t>显示屏模组器件</w:t>
            </w:r>
            <w:r>
              <w:rPr>
                <w:rFonts w:hint="eastAsia" w:ascii="Times New Roman" w:hAnsi="Times New Roman" w:cs="Times New Roman"/>
                <w:b w:val="0"/>
                <w:bCs/>
                <w:color w:val="auto"/>
                <w:sz w:val="24"/>
                <w:szCs w:val="24"/>
                <w:highlight w:val="none"/>
                <w:lang w:val="en-US" w:eastAsia="zh-CN"/>
              </w:rPr>
              <w:t>生产过程中产生的乙苯排放执行《合成树脂工业污染物排放标准》中的大气污染物特别排放限值；厂界非甲烷总烃、甲苯排放执行</w:t>
            </w:r>
            <w:r>
              <w:rPr>
                <w:rFonts w:hint="default" w:ascii="Times New Roman" w:hAnsi="Times New Roman" w:cs="Times New Roman"/>
                <w:b w:val="0"/>
                <w:bCs/>
                <w:color w:val="auto"/>
                <w:sz w:val="24"/>
                <w:szCs w:val="24"/>
                <w:highlight w:val="none"/>
              </w:rPr>
              <w:t>《大气污染物综合排放标准》（GB16297-1996）</w:t>
            </w:r>
            <w:r>
              <w:rPr>
                <w:rFonts w:hint="eastAsia" w:ascii="Times New Roman" w:hAnsi="Times New Roman" w:cs="Times New Roman"/>
                <w:b w:val="0"/>
                <w:bCs/>
                <w:color w:val="auto"/>
                <w:sz w:val="24"/>
                <w:szCs w:val="24"/>
                <w:highlight w:val="none"/>
                <w:lang w:val="en-US" w:eastAsia="zh-CN"/>
              </w:rPr>
              <w:t>中的</w:t>
            </w:r>
            <w:r>
              <w:rPr>
                <w:rFonts w:hint="default" w:ascii="Times New Roman" w:hAnsi="Times New Roman" w:cs="Times New Roman"/>
                <w:b w:val="0"/>
                <w:bCs/>
                <w:color w:val="auto"/>
                <w:sz w:val="24"/>
                <w:szCs w:val="24"/>
                <w:highlight w:val="none"/>
              </w:rPr>
              <w:t>无组织排放监控限值要求</w:t>
            </w:r>
            <w:r>
              <w:rPr>
                <w:rFonts w:hint="eastAsia" w:ascii="Times New Roman" w:hAnsi="Times New Roman" w:cs="Times New Roman"/>
                <w:b w:val="0"/>
                <w:bCs/>
                <w:color w:val="auto"/>
                <w:sz w:val="24"/>
                <w:szCs w:val="24"/>
                <w:highlight w:val="none"/>
                <w:lang w:val="en-US" w:eastAsia="zh-CN"/>
              </w:rPr>
              <w:t>。</w:t>
            </w:r>
            <w:r>
              <w:rPr>
                <w:rFonts w:hint="default" w:ascii="Times New Roman" w:hAnsi="Times New Roman" w:cs="Times New Roman"/>
                <w:b w:val="0"/>
                <w:bCs/>
                <w:color w:val="auto"/>
                <w:sz w:val="24"/>
                <w:szCs w:val="24"/>
                <w:highlight w:val="none"/>
              </w:rPr>
              <w:t>具体</w:t>
            </w:r>
            <w:r>
              <w:rPr>
                <w:rFonts w:hint="eastAsia" w:ascii="Times New Roman" w:hAnsi="Times New Roman" w:cs="Times New Roman"/>
                <w:b w:val="0"/>
                <w:bCs/>
                <w:color w:val="auto"/>
                <w:sz w:val="24"/>
                <w:szCs w:val="24"/>
                <w:highlight w:val="none"/>
                <w:lang w:eastAsia="zh-CN"/>
              </w:rPr>
              <w:t>限值</w:t>
            </w:r>
            <w:r>
              <w:rPr>
                <w:rFonts w:hint="default" w:ascii="Times New Roman" w:hAnsi="Times New Roman" w:cs="Times New Roman"/>
                <w:b w:val="0"/>
                <w:bCs/>
                <w:color w:val="auto"/>
                <w:sz w:val="24"/>
                <w:szCs w:val="24"/>
                <w:highlight w:val="none"/>
              </w:rPr>
              <w:t>见下表：</w:t>
            </w:r>
          </w:p>
          <w:p w14:paraId="090E7007">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cs="Times New Roman"/>
                <w:color w:val="auto"/>
                <w:highlight w:val="none"/>
                <w:lang w:val="en-US" w:eastAsia="zh-CN"/>
              </w:rPr>
              <w:t>表3-</w:t>
            </w:r>
            <w:r>
              <w:rPr>
                <w:rFonts w:hint="eastAsia" w:ascii="Times New Roman" w:hAnsi="Times New Roman" w:cs="Times New Roman"/>
                <w:color w:val="auto"/>
                <w:highlight w:val="none"/>
                <w:lang w:val="en-US" w:eastAsia="zh-CN"/>
              </w:rPr>
              <w:t xml:space="preserve">7  </w:t>
            </w:r>
            <w:r>
              <w:rPr>
                <w:rFonts w:hint="default" w:ascii="Times New Roman" w:hAnsi="Times New Roman" w:cs="Times New Roman"/>
                <w:b/>
                <w:bCs/>
                <w:color w:val="auto"/>
                <w:sz w:val="21"/>
                <w:szCs w:val="21"/>
                <w:highlight w:val="none"/>
              </w:rPr>
              <w:t>《大气污染物综合排放标准》（GB16297-1996）</w:t>
            </w:r>
            <w:r>
              <w:rPr>
                <w:rFonts w:hint="default" w:ascii="Times New Roman" w:hAnsi="Times New Roman" w:eastAsia="宋体" w:cs="Times New Roman"/>
                <w:color w:val="auto"/>
                <w:sz w:val="21"/>
                <w:szCs w:val="21"/>
                <w:highlight w:val="none"/>
                <w:lang w:val="en-US" w:eastAsia="zh-CN"/>
              </w:rPr>
              <w:t>排放限值</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5"/>
              <w:gridCol w:w="2231"/>
              <w:gridCol w:w="1856"/>
              <w:gridCol w:w="1396"/>
              <w:gridCol w:w="1399"/>
            </w:tblGrid>
            <w:tr w14:paraId="588FE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5" w:type="dxa"/>
                  <w:vMerge w:val="restart"/>
                  <w:noWrap w:val="0"/>
                  <w:vAlign w:val="center"/>
                </w:tcPr>
                <w:p w14:paraId="558550D4">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污染物</w:t>
                  </w:r>
                </w:p>
              </w:tc>
              <w:tc>
                <w:tcPr>
                  <w:tcW w:w="4087" w:type="dxa"/>
                  <w:gridSpan w:val="2"/>
                  <w:noWrap w:val="0"/>
                  <w:vAlign w:val="center"/>
                </w:tcPr>
                <w:p w14:paraId="2B4FE9F0">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有组织排放监控</w:t>
                  </w:r>
                  <w:r>
                    <w:rPr>
                      <w:rFonts w:hint="default" w:ascii="Times New Roman" w:hAnsi="Times New Roman" w:eastAsia="宋体" w:cs="Times New Roman"/>
                      <w:b/>
                      <w:bCs/>
                      <w:color w:val="auto"/>
                      <w:sz w:val="21"/>
                      <w:szCs w:val="21"/>
                      <w:highlight w:val="none"/>
                      <w:vertAlign w:val="baseline"/>
                      <w:lang w:val="en-US" w:eastAsia="zh-CN"/>
                    </w:rPr>
                    <w:t>浓度限值</w:t>
                  </w:r>
                </w:p>
              </w:tc>
              <w:tc>
                <w:tcPr>
                  <w:tcW w:w="2795" w:type="dxa"/>
                  <w:gridSpan w:val="2"/>
                  <w:noWrap w:val="0"/>
                  <w:vAlign w:val="center"/>
                </w:tcPr>
                <w:p w14:paraId="2646699D">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无组织排放监控浓度限值</w:t>
                  </w:r>
                </w:p>
              </w:tc>
            </w:tr>
            <w:tr w14:paraId="37F7A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5" w:type="dxa"/>
                  <w:vMerge w:val="continue"/>
                  <w:noWrap w:val="0"/>
                  <w:vAlign w:val="center"/>
                </w:tcPr>
                <w:p w14:paraId="009CDAE9">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p>
              </w:tc>
              <w:tc>
                <w:tcPr>
                  <w:tcW w:w="2231" w:type="dxa"/>
                  <w:noWrap w:val="0"/>
                  <w:vAlign w:val="center"/>
                </w:tcPr>
                <w:p w14:paraId="290E9A36">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最高允许排放浓度（mg/m</w:t>
                  </w:r>
                  <w:r>
                    <w:rPr>
                      <w:rFonts w:hint="eastAsia"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c>
                <w:tcPr>
                  <w:tcW w:w="1856" w:type="dxa"/>
                  <w:noWrap w:val="0"/>
                  <w:vAlign w:val="center"/>
                </w:tcPr>
                <w:p w14:paraId="7FD38B9A">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最大允许排放速率（kg/h）</w:t>
                  </w:r>
                </w:p>
              </w:tc>
              <w:tc>
                <w:tcPr>
                  <w:tcW w:w="1396" w:type="dxa"/>
                  <w:noWrap w:val="0"/>
                  <w:vAlign w:val="center"/>
                </w:tcPr>
                <w:p w14:paraId="6AE742AE">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监测点位</w:t>
                  </w:r>
                </w:p>
              </w:tc>
              <w:tc>
                <w:tcPr>
                  <w:tcW w:w="1399" w:type="dxa"/>
                  <w:noWrap w:val="0"/>
                  <w:vAlign w:val="center"/>
                </w:tcPr>
                <w:p w14:paraId="4BCABC85">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浓度</w:t>
                  </w:r>
                  <w:r>
                    <w:rPr>
                      <w:rFonts w:hint="default" w:ascii="Times New Roman" w:hAnsi="Times New Roman" w:eastAsia="宋体" w:cs="Times New Roman"/>
                      <w:b/>
                      <w:bCs/>
                      <w:color w:val="auto"/>
                      <w:sz w:val="21"/>
                      <w:szCs w:val="21"/>
                      <w:highlight w:val="none"/>
                      <w:vertAlign w:val="baseline"/>
                      <w:lang w:val="en-US" w:eastAsia="zh-CN"/>
                    </w:rPr>
                    <w:t>（mg/m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vertAlign w:val="baseline"/>
                      <w:lang w:val="en-US" w:eastAsia="zh-CN"/>
                    </w:rPr>
                    <w:t>）</w:t>
                  </w:r>
                </w:p>
              </w:tc>
            </w:tr>
            <w:tr w14:paraId="2D5B0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5" w:type="dxa"/>
                  <w:shd w:val="clear" w:color="auto" w:fill="auto"/>
                  <w:noWrap w:val="0"/>
                  <w:vAlign w:val="center"/>
                </w:tcPr>
                <w:p w14:paraId="34C81964">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eastAsia="宋体" w:cs="Times New Roman"/>
                      <w:b w:val="0"/>
                      <w:bCs w:val="0"/>
                      <w:color w:val="auto"/>
                      <w:sz w:val="21"/>
                      <w:szCs w:val="21"/>
                      <w:highlight w:val="none"/>
                      <w:vertAlign w:val="baseline"/>
                      <w:lang w:val="en-US" w:eastAsia="zh-CN"/>
                    </w:rPr>
                    <w:t>锡及其化合物</w:t>
                  </w:r>
                </w:p>
              </w:tc>
              <w:tc>
                <w:tcPr>
                  <w:tcW w:w="2231" w:type="dxa"/>
                  <w:shd w:val="clear" w:color="auto" w:fill="auto"/>
                  <w:noWrap w:val="0"/>
                  <w:vAlign w:val="center"/>
                </w:tcPr>
                <w:p w14:paraId="71A70017">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ascii="Times New Roman" w:hAnsi="Times New Roman" w:eastAsia="宋体" w:cs="Times New Roman"/>
                      <w:b w:val="0"/>
                      <w:bCs w:val="0"/>
                      <w:color w:val="auto"/>
                      <w:sz w:val="21"/>
                      <w:szCs w:val="21"/>
                      <w:highlight w:val="none"/>
                      <w:vertAlign w:val="baseline"/>
                      <w:lang w:val="en-US" w:eastAsia="zh-CN"/>
                    </w:rPr>
                    <w:t>8.5</w:t>
                  </w:r>
                </w:p>
              </w:tc>
              <w:tc>
                <w:tcPr>
                  <w:tcW w:w="1856" w:type="dxa"/>
                  <w:shd w:val="clear" w:color="auto" w:fill="auto"/>
                  <w:noWrap w:val="0"/>
                  <w:vAlign w:val="center"/>
                </w:tcPr>
                <w:p w14:paraId="3D41B669">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auto"/>
                      <w:kern w:val="0"/>
                      <w:sz w:val="21"/>
                      <w:szCs w:val="21"/>
                      <w:highlight w:val="none"/>
                      <w:vertAlign w:val="baseline"/>
                      <w:lang w:val="en-US" w:eastAsia="zh-CN" w:bidi="ar-SA"/>
                    </w:rPr>
                  </w:pPr>
                  <w:r>
                    <w:rPr>
                      <w:rFonts w:hint="eastAsia" w:ascii="Times New Roman" w:hAnsi="Times New Roman" w:cs="Times New Roman"/>
                      <w:b/>
                      <w:bCs/>
                      <w:color w:val="auto"/>
                      <w:sz w:val="21"/>
                      <w:szCs w:val="21"/>
                      <w:highlight w:val="none"/>
                      <w:vertAlign w:val="baseline"/>
                      <w:lang w:val="en-US" w:eastAsia="zh-CN"/>
                    </w:rPr>
                    <w:t>0.452*</w:t>
                  </w:r>
                </w:p>
              </w:tc>
              <w:tc>
                <w:tcPr>
                  <w:tcW w:w="1396" w:type="dxa"/>
                  <w:vMerge w:val="restart"/>
                  <w:noWrap w:val="0"/>
                  <w:vAlign w:val="center"/>
                </w:tcPr>
                <w:p w14:paraId="7A154E81">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周界外浓度最高点</w:t>
                  </w:r>
                </w:p>
              </w:tc>
              <w:tc>
                <w:tcPr>
                  <w:tcW w:w="1399" w:type="dxa"/>
                  <w:noWrap w:val="0"/>
                  <w:vAlign w:val="center"/>
                </w:tcPr>
                <w:p w14:paraId="654AEFC1">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0.24</w:t>
                  </w:r>
                </w:p>
              </w:tc>
            </w:tr>
            <w:tr w14:paraId="2949E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5" w:type="dxa"/>
                  <w:shd w:val="clear" w:color="auto" w:fill="auto"/>
                  <w:noWrap w:val="0"/>
                  <w:vAlign w:val="center"/>
                </w:tcPr>
                <w:p w14:paraId="3FAB2877">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颗粒物</w:t>
                  </w:r>
                </w:p>
              </w:tc>
              <w:tc>
                <w:tcPr>
                  <w:tcW w:w="2231" w:type="dxa"/>
                  <w:shd w:val="clear" w:color="auto" w:fill="auto"/>
                  <w:noWrap w:val="0"/>
                  <w:vAlign w:val="center"/>
                </w:tcPr>
                <w:p w14:paraId="52B546BA">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120</w:t>
                  </w:r>
                </w:p>
              </w:tc>
              <w:tc>
                <w:tcPr>
                  <w:tcW w:w="1856" w:type="dxa"/>
                  <w:shd w:val="clear" w:color="auto" w:fill="auto"/>
                  <w:noWrap w:val="0"/>
                  <w:vAlign w:val="center"/>
                </w:tcPr>
                <w:p w14:paraId="4A64E165">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cs="Times New Roman"/>
                      <w:b/>
                      <w:bCs/>
                      <w:color w:val="auto"/>
                      <w:sz w:val="21"/>
                      <w:szCs w:val="21"/>
                      <w:highlight w:val="none"/>
                      <w:vertAlign w:val="baseline"/>
                      <w:lang w:val="en-US" w:eastAsia="zh-CN"/>
                    </w:rPr>
                  </w:pPr>
                  <w:r>
                    <w:rPr>
                      <w:rFonts w:hint="eastAsia" w:ascii="Times New Roman" w:hAnsi="Times New Roman" w:cs="Times New Roman"/>
                      <w:b/>
                      <w:bCs/>
                      <w:color w:val="auto"/>
                      <w:sz w:val="21"/>
                      <w:szCs w:val="21"/>
                      <w:highlight w:val="none"/>
                      <w:vertAlign w:val="baseline"/>
                      <w:lang w:val="en-US" w:eastAsia="zh-CN"/>
                    </w:rPr>
                    <w:t>5.515*</w:t>
                  </w:r>
                </w:p>
              </w:tc>
              <w:tc>
                <w:tcPr>
                  <w:tcW w:w="1396" w:type="dxa"/>
                  <w:vMerge w:val="continue"/>
                  <w:noWrap w:val="0"/>
                  <w:vAlign w:val="center"/>
                </w:tcPr>
                <w:p w14:paraId="0654C7C6">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p>
              </w:tc>
              <w:tc>
                <w:tcPr>
                  <w:tcW w:w="1399" w:type="dxa"/>
                  <w:noWrap w:val="0"/>
                  <w:vAlign w:val="center"/>
                </w:tcPr>
                <w:p w14:paraId="79ADB8CA">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1.0</w:t>
                  </w:r>
                </w:p>
              </w:tc>
            </w:tr>
            <w:tr w14:paraId="546CF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5" w:type="dxa"/>
                  <w:noWrap w:val="0"/>
                  <w:vAlign w:val="center"/>
                </w:tcPr>
                <w:p w14:paraId="0EED33D9">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非甲烷总烃</w:t>
                  </w:r>
                </w:p>
              </w:tc>
              <w:tc>
                <w:tcPr>
                  <w:tcW w:w="2231" w:type="dxa"/>
                  <w:noWrap w:val="0"/>
                  <w:vAlign w:val="center"/>
                </w:tcPr>
                <w:p w14:paraId="01A900F1">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w:t>
                  </w:r>
                </w:p>
              </w:tc>
              <w:tc>
                <w:tcPr>
                  <w:tcW w:w="1856" w:type="dxa"/>
                  <w:noWrap w:val="0"/>
                  <w:vAlign w:val="center"/>
                </w:tcPr>
                <w:p w14:paraId="5D6289CA">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w:t>
                  </w:r>
                </w:p>
              </w:tc>
              <w:tc>
                <w:tcPr>
                  <w:tcW w:w="1396" w:type="dxa"/>
                  <w:vMerge w:val="continue"/>
                  <w:noWrap w:val="0"/>
                  <w:vAlign w:val="center"/>
                </w:tcPr>
                <w:p w14:paraId="59A3BD9F">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1399" w:type="dxa"/>
                  <w:noWrap w:val="0"/>
                  <w:vAlign w:val="center"/>
                </w:tcPr>
                <w:p w14:paraId="1358B674">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4.0</w:t>
                  </w:r>
                </w:p>
              </w:tc>
            </w:tr>
            <w:tr w14:paraId="0A089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95" w:type="dxa"/>
                  <w:noWrap w:val="0"/>
                  <w:vAlign w:val="center"/>
                </w:tcPr>
                <w:p w14:paraId="02ABF9B1">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甲苯</w:t>
                  </w:r>
                </w:p>
              </w:tc>
              <w:tc>
                <w:tcPr>
                  <w:tcW w:w="2231" w:type="dxa"/>
                  <w:shd w:val="clear" w:color="auto" w:fill="auto"/>
                  <w:noWrap w:val="0"/>
                  <w:vAlign w:val="center"/>
                </w:tcPr>
                <w:p w14:paraId="6C0DE594">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w:t>
                  </w:r>
                </w:p>
              </w:tc>
              <w:tc>
                <w:tcPr>
                  <w:tcW w:w="1856" w:type="dxa"/>
                  <w:shd w:val="clear" w:color="auto" w:fill="auto"/>
                  <w:noWrap w:val="0"/>
                  <w:vAlign w:val="center"/>
                </w:tcPr>
                <w:p w14:paraId="78141BC3">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w:t>
                  </w:r>
                </w:p>
              </w:tc>
              <w:tc>
                <w:tcPr>
                  <w:tcW w:w="1396" w:type="dxa"/>
                  <w:vMerge w:val="continue"/>
                  <w:noWrap w:val="0"/>
                  <w:vAlign w:val="center"/>
                </w:tcPr>
                <w:p w14:paraId="3EFA52AB">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1399" w:type="dxa"/>
                  <w:noWrap w:val="0"/>
                  <w:vAlign w:val="center"/>
                </w:tcPr>
                <w:p w14:paraId="27E950CD">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2.4</w:t>
                  </w:r>
                </w:p>
              </w:tc>
            </w:tr>
            <w:tr w14:paraId="2C2B3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377" w:type="dxa"/>
                  <w:gridSpan w:val="5"/>
                  <w:noWrap w:val="0"/>
                  <w:vAlign w:val="center"/>
                </w:tcPr>
                <w:p w14:paraId="6D7AA7B5">
                  <w:pPr>
                    <w:keepNext w:val="0"/>
                    <w:keepLines w:val="0"/>
                    <w:widowControl/>
                    <w:suppressLineNumbers w:val="0"/>
                    <w:jc w:val="left"/>
                    <w:rPr>
                      <w:rFonts w:hint="eastAsia" w:ascii="宋体" w:hAnsi="宋体" w:eastAsia="宋体" w:cs="宋体"/>
                      <w:b/>
                      <w:bCs/>
                      <w:color w:val="auto"/>
                      <w:kern w:val="0"/>
                      <w:sz w:val="21"/>
                      <w:szCs w:val="21"/>
                      <w:highlight w:val="none"/>
                      <w:lang w:val="en-US" w:eastAsia="zh-CN" w:bidi="ar"/>
                    </w:rPr>
                  </w:pPr>
                  <w:r>
                    <w:rPr>
                      <w:rFonts w:hint="eastAsia" w:ascii="Times New Roman" w:hAnsi="Times New Roman" w:cs="Times New Roman"/>
                      <w:b w:val="0"/>
                      <w:bCs w:val="0"/>
                      <w:color w:val="auto"/>
                      <w:sz w:val="21"/>
                      <w:szCs w:val="21"/>
                      <w:highlight w:val="none"/>
                      <w:vertAlign w:val="baseline"/>
                      <w:lang w:val="en-US" w:eastAsia="zh-CN"/>
                    </w:rPr>
                    <w:t>注：</w:t>
                  </w:r>
                  <w:r>
                    <w:rPr>
                      <w:rFonts w:hint="eastAsia" w:cs="Times New Roman"/>
                      <w:b w:val="0"/>
                      <w:bCs w:val="0"/>
                      <w:color w:val="auto"/>
                      <w:sz w:val="21"/>
                      <w:szCs w:val="21"/>
                      <w:highlight w:val="none"/>
                      <w:vertAlign w:val="baseline"/>
                      <w:lang w:val="en-US" w:eastAsia="zh-CN"/>
                    </w:rPr>
                    <w:t>根据</w:t>
                  </w:r>
                  <w:r>
                    <w:rPr>
                      <w:rFonts w:hint="default" w:ascii="Times New Roman" w:hAnsi="Times New Roman" w:cs="Times New Roman"/>
                      <w:b w:val="0"/>
                      <w:bCs w:val="0"/>
                      <w:color w:val="auto"/>
                      <w:sz w:val="21"/>
                      <w:szCs w:val="21"/>
                      <w:highlight w:val="none"/>
                    </w:rPr>
                    <w:t>《大气污染物综合排放标准》（GB16297-1996）</w:t>
                  </w:r>
                  <w:r>
                    <w:rPr>
                      <w:rFonts w:hint="eastAsia" w:ascii="Times New Roman" w:hAnsi="Times New Roman" w:cs="Times New Roman"/>
                      <w:b w:val="0"/>
                      <w:bCs w:val="0"/>
                      <w:color w:val="auto"/>
                      <w:sz w:val="21"/>
                      <w:szCs w:val="21"/>
                      <w:highlight w:val="none"/>
                      <w:lang w:eastAsia="zh-CN"/>
                    </w:rPr>
                    <w:t>“</w:t>
                  </w:r>
                  <w:r>
                    <w:rPr>
                      <w:rFonts w:hint="default" w:ascii="Times New Roman" w:hAnsi="Times New Roman" w:eastAsia="宋体" w:cs="Times New Roman"/>
                      <w:b w:val="0"/>
                      <w:bCs w:val="0"/>
                      <w:color w:val="auto"/>
                      <w:kern w:val="0"/>
                      <w:sz w:val="21"/>
                      <w:szCs w:val="21"/>
                      <w:highlight w:val="none"/>
                      <w:lang w:val="en-US" w:eastAsia="zh-CN" w:bidi="ar"/>
                    </w:rPr>
                    <w:t xml:space="preserve">7.1 </w:t>
                  </w:r>
                  <w:r>
                    <w:rPr>
                      <w:rFonts w:hint="eastAsia" w:ascii="宋体" w:hAnsi="宋体" w:eastAsia="宋体" w:cs="宋体"/>
                      <w:b w:val="0"/>
                      <w:bCs w:val="0"/>
                      <w:color w:val="auto"/>
                      <w:kern w:val="0"/>
                      <w:sz w:val="21"/>
                      <w:szCs w:val="21"/>
                      <w:highlight w:val="none"/>
                      <w:lang w:val="en-US" w:eastAsia="zh-CN" w:bidi="ar"/>
                    </w:rPr>
                    <w:t>排气筒高度除须遵守表列排放速率标准值外，还应高出周围</w:t>
                  </w:r>
                  <w:r>
                    <w:rPr>
                      <w:rFonts w:hint="default" w:ascii="Times New Roman" w:hAnsi="Times New Roman" w:eastAsia="宋体" w:cs="Times New Roman"/>
                      <w:b w:val="0"/>
                      <w:bCs w:val="0"/>
                      <w:color w:val="auto"/>
                      <w:kern w:val="0"/>
                      <w:sz w:val="21"/>
                      <w:szCs w:val="21"/>
                      <w:highlight w:val="none"/>
                      <w:lang w:val="en-US" w:eastAsia="zh-CN" w:bidi="ar"/>
                    </w:rPr>
                    <w:t>200 m</w:t>
                  </w:r>
                  <w:r>
                    <w:rPr>
                      <w:rFonts w:hint="eastAsia" w:ascii="宋体" w:hAnsi="宋体" w:eastAsia="宋体" w:cs="宋体"/>
                      <w:b w:val="0"/>
                      <w:bCs w:val="0"/>
                      <w:color w:val="auto"/>
                      <w:kern w:val="0"/>
                      <w:sz w:val="21"/>
                      <w:szCs w:val="21"/>
                      <w:highlight w:val="none"/>
                      <w:lang w:val="en-US" w:eastAsia="zh-CN" w:bidi="ar"/>
                    </w:rPr>
                    <w:t>半径范围的建筑</w:t>
                  </w:r>
                  <w:r>
                    <w:rPr>
                      <w:rFonts w:hint="default" w:ascii="Times New Roman" w:hAnsi="Times New Roman" w:eastAsia="宋体" w:cs="Times New Roman"/>
                      <w:b w:val="0"/>
                      <w:bCs w:val="0"/>
                      <w:color w:val="auto"/>
                      <w:kern w:val="0"/>
                      <w:sz w:val="21"/>
                      <w:szCs w:val="21"/>
                      <w:highlight w:val="none"/>
                      <w:lang w:val="en-US" w:eastAsia="zh-CN" w:bidi="ar"/>
                    </w:rPr>
                    <w:t>5m</w:t>
                  </w:r>
                  <w:r>
                    <w:rPr>
                      <w:rFonts w:hint="eastAsia" w:ascii="宋体" w:hAnsi="宋体" w:eastAsia="宋体" w:cs="宋体"/>
                      <w:b w:val="0"/>
                      <w:bCs w:val="0"/>
                      <w:color w:val="auto"/>
                      <w:kern w:val="0"/>
                      <w:sz w:val="21"/>
                      <w:szCs w:val="21"/>
                      <w:highlight w:val="none"/>
                      <w:lang w:val="en-US" w:eastAsia="zh-CN" w:bidi="ar"/>
                    </w:rPr>
                    <w:t>以上，不能达到该要求的排气筒，应按其高度对应的表列排放速率标准值严格</w:t>
                  </w:r>
                  <w:r>
                    <w:rPr>
                      <w:rFonts w:hint="default" w:ascii="Times New Roman" w:hAnsi="Times New Roman" w:eastAsia="宋体" w:cs="Times New Roman"/>
                      <w:b w:val="0"/>
                      <w:bCs w:val="0"/>
                      <w:color w:val="auto"/>
                      <w:kern w:val="0"/>
                      <w:sz w:val="21"/>
                      <w:szCs w:val="21"/>
                      <w:highlight w:val="none"/>
                      <w:lang w:val="en-US" w:eastAsia="zh-CN" w:bidi="ar"/>
                    </w:rPr>
                    <w:t>50%</w:t>
                  </w:r>
                  <w:r>
                    <w:rPr>
                      <w:rFonts w:hint="eastAsia" w:ascii="宋体" w:hAnsi="宋体" w:eastAsia="宋体" w:cs="宋体"/>
                      <w:b w:val="0"/>
                      <w:bCs w:val="0"/>
                      <w:color w:val="auto"/>
                      <w:kern w:val="0"/>
                      <w:sz w:val="21"/>
                      <w:szCs w:val="21"/>
                      <w:highlight w:val="none"/>
                      <w:lang w:val="en-US" w:eastAsia="zh-CN" w:bidi="ar"/>
                    </w:rPr>
                    <w:t>执行</w:t>
                  </w:r>
                  <w:r>
                    <w:rPr>
                      <w:rFonts w:hint="eastAsia" w:ascii="Times New Roman" w:hAnsi="Times New Roman" w:cs="Times New Roman"/>
                      <w:b w:val="0"/>
                      <w:bCs w:val="0"/>
                      <w:color w:val="auto"/>
                      <w:sz w:val="21"/>
                      <w:szCs w:val="21"/>
                      <w:highlight w:val="none"/>
                      <w:lang w:eastAsia="zh-CN"/>
                    </w:rPr>
                    <w:t>”；项目建筑高度为</w:t>
                  </w:r>
                  <w:r>
                    <w:rPr>
                      <w:rFonts w:hint="eastAsia" w:cs="Times New Roman"/>
                      <w:b w:val="0"/>
                      <w:bCs w:val="0"/>
                      <w:color w:val="auto"/>
                      <w:sz w:val="21"/>
                      <w:szCs w:val="21"/>
                      <w:highlight w:val="none"/>
                      <w:lang w:val="en-US" w:eastAsia="zh-CN"/>
                    </w:rPr>
                    <w:t>22.5</w:t>
                  </w:r>
                  <w:r>
                    <w:rPr>
                      <w:rFonts w:hint="eastAsia" w:ascii="Times New Roman" w:hAnsi="Times New Roman" w:cs="Times New Roman"/>
                      <w:b w:val="0"/>
                      <w:bCs w:val="0"/>
                      <w:color w:val="auto"/>
                      <w:sz w:val="21"/>
                      <w:szCs w:val="21"/>
                      <w:highlight w:val="none"/>
                      <w:lang w:val="en-US" w:eastAsia="zh-CN"/>
                    </w:rPr>
                    <w:t>m，排气筒高度</w:t>
                  </w:r>
                  <w:r>
                    <w:rPr>
                      <w:rFonts w:hint="eastAsia" w:cs="Times New Roman"/>
                      <w:b w:val="0"/>
                      <w:bCs w:val="0"/>
                      <w:color w:val="auto"/>
                      <w:sz w:val="21"/>
                      <w:szCs w:val="21"/>
                      <w:highlight w:val="none"/>
                      <w:lang w:val="en-US" w:eastAsia="zh-CN"/>
                    </w:rPr>
                    <w:t>23</w:t>
                  </w:r>
                  <w:r>
                    <w:rPr>
                      <w:rFonts w:hint="eastAsia" w:ascii="Times New Roman" w:hAnsi="Times New Roman" w:cs="Times New Roman"/>
                      <w:b w:val="0"/>
                      <w:bCs w:val="0"/>
                      <w:color w:val="auto"/>
                      <w:sz w:val="21"/>
                      <w:szCs w:val="21"/>
                      <w:highlight w:val="none"/>
                      <w:lang w:val="en-US" w:eastAsia="zh-CN"/>
                    </w:rPr>
                    <w:t>m；200m范围内最高建筑为</w:t>
                  </w:r>
                  <w:r>
                    <w:rPr>
                      <w:rFonts w:hint="eastAsia" w:cs="Times New Roman"/>
                      <w:b w:val="0"/>
                      <w:bCs w:val="0"/>
                      <w:color w:val="auto"/>
                      <w:sz w:val="21"/>
                      <w:szCs w:val="21"/>
                      <w:highlight w:val="none"/>
                      <w:lang w:val="en-US" w:eastAsia="zh-CN"/>
                    </w:rPr>
                    <w:t>北</w:t>
                  </w:r>
                  <w:r>
                    <w:rPr>
                      <w:rFonts w:hint="eastAsia" w:ascii="Times New Roman" w:hAnsi="Times New Roman" w:cs="Times New Roman"/>
                      <w:b w:val="0"/>
                      <w:bCs w:val="0"/>
                      <w:color w:val="auto"/>
                      <w:sz w:val="21"/>
                      <w:szCs w:val="21"/>
                      <w:highlight w:val="none"/>
                      <w:lang w:val="en-US" w:eastAsia="zh-CN"/>
                    </w:rPr>
                    <w:t>侧</w:t>
                  </w:r>
                  <w:r>
                    <w:rPr>
                      <w:rFonts w:hint="eastAsia" w:cs="Times New Roman"/>
                      <w:b w:val="0"/>
                      <w:bCs w:val="0"/>
                      <w:color w:val="auto"/>
                      <w:sz w:val="21"/>
                      <w:szCs w:val="21"/>
                      <w:highlight w:val="none"/>
                      <w:lang w:val="en-US" w:eastAsia="zh-CN"/>
                    </w:rPr>
                    <w:t>135</w:t>
                  </w:r>
                  <w:r>
                    <w:rPr>
                      <w:rFonts w:hint="eastAsia" w:ascii="Times New Roman" w:hAnsi="Times New Roman" w:cs="Times New Roman"/>
                      <w:b w:val="0"/>
                      <w:bCs w:val="0"/>
                      <w:color w:val="auto"/>
                      <w:sz w:val="21"/>
                      <w:szCs w:val="21"/>
                      <w:highlight w:val="none"/>
                      <w:lang w:val="en-US" w:eastAsia="zh-CN"/>
                    </w:rPr>
                    <w:t>m的江南集中区管委会，高度约</w:t>
                  </w:r>
                  <w:r>
                    <w:rPr>
                      <w:rFonts w:hint="eastAsia" w:cs="Times New Roman"/>
                      <w:b w:val="0"/>
                      <w:bCs w:val="0"/>
                      <w:color w:val="auto"/>
                      <w:sz w:val="21"/>
                      <w:szCs w:val="21"/>
                      <w:highlight w:val="none"/>
                      <w:lang w:val="en-US" w:eastAsia="zh-CN"/>
                    </w:rPr>
                    <w:t>45</w:t>
                  </w:r>
                  <w:r>
                    <w:rPr>
                      <w:rFonts w:hint="eastAsia" w:ascii="Times New Roman" w:hAnsi="Times New Roman" w:cs="Times New Roman"/>
                      <w:b w:val="0"/>
                      <w:bCs w:val="0"/>
                      <w:color w:val="auto"/>
                      <w:sz w:val="21"/>
                      <w:szCs w:val="21"/>
                      <w:highlight w:val="none"/>
                      <w:lang w:val="en-US" w:eastAsia="zh-CN"/>
                    </w:rPr>
                    <w:t>m；因此，本项目排气筒</w:t>
                  </w:r>
                  <w:r>
                    <w:rPr>
                      <w:rFonts w:hint="eastAsia" w:ascii="宋体" w:hAnsi="宋体" w:eastAsia="宋体" w:cs="宋体"/>
                      <w:b w:val="0"/>
                      <w:bCs w:val="0"/>
                      <w:color w:val="auto"/>
                      <w:kern w:val="0"/>
                      <w:sz w:val="21"/>
                      <w:szCs w:val="21"/>
                      <w:highlight w:val="none"/>
                      <w:lang w:val="en-US" w:eastAsia="zh-CN" w:bidi="ar"/>
                    </w:rPr>
                    <w:t>排放速率须按标准值严格</w:t>
                  </w:r>
                  <w:r>
                    <w:rPr>
                      <w:rFonts w:hint="default" w:ascii="Times New Roman" w:hAnsi="Times New Roman" w:eastAsia="宋体" w:cs="Times New Roman"/>
                      <w:b w:val="0"/>
                      <w:bCs w:val="0"/>
                      <w:color w:val="auto"/>
                      <w:kern w:val="0"/>
                      <w:sz w:val="21"/>
                      <w:szCs w:val="21"/>
                      <w:highlight w:val="none"/>
                      <w:lang w:val="en-US" w:eastAsia="zh-CN" w:bidi="ar"/>
                    </w:rPr>
                    <w:t>50%</w:t>
                  </w:r>
                  <w:r>
                    <w:rPr>
                      <w:rFonts w:hint="eastAsia" w:ascii="宋体" w:hAnsi="宋体" w:eastAsia="宋体" w:cs="宋体"/>
                      <w:b w:val="0"/>
                      <w:bCs w:val="0"/>
                      <w:color w:val="auto"/>
                      <w:kern w:val="0"/>
                      <w:sz w:val="21"/>
                      <w:szCs w:val="21"/>
                      <w:highlight w:val="none"/>
                      <w:lang w:val="en-US" w:eastAsia="zh-CN" w:bidi="ar"/>
                    </w:rPr>
                    <w:t>执行</w:t>
                  </w:r>
                  <w:r>
                    <w:rPr>
                      <w:rFonts w:hint="eastAsia" w:ascii="宋体" w:hAnsi="宋体" w:cs="宋体"/>
                      <w:b w:val="0"/>
                      <w:bCs w:val="0"/>
                      <w:color w:val="auto"/>
                      <w:kern w:val="0"/>
                      <w:sz w:val="21"/>
                      <w:szCs w:val="21"/>
                      <w:highlight w:val="none"/>
                      <w:lang w:val="en-US" w:eastAsia="zh-CN" w:bidi="ar"/>
                    </w:rPr>
                    <w:t>。</w:t>
                  </w:r>
                  <w:r>
                    <w:rPr>
                      <w:rFonts w:hint="eastAsia" w:cs="Times New Roman"/>
                      <w:b w:val="0"/>
                      <w:bCs w:val="0"/>
                      <w:color w:val="auto"/>
                      <w:sz w:val="21"/>
                      <w:szCs w:val="21"/>
                      <w:highlight w:val="none"/>
                      <w:lang w:val="en-US" w:eastAsia="zh-CN"/>
                    </w:rPr>
                    <w:t>项目</w:t>
                  </w:r>
                  <w:r>
                    <w:rPr>
                      <w:rFonts w:hint="eastAsia" w:ascii="Times New Roman" w:hAnsi="Times New Roman" w:cs="Times New Roman"/>
                      <w:b w:val="0"/>
                      <w:bCs w:val="0"/>
                      <w:color w:val="auto"/>
                      <w:sz w:val="21"/>
                      <w:szCs w:val="21"/>
                      <w:highlight w:val="none"/>
                      <w:lang w:val="en-US" w:eastAsia="zh-CN"/>
                    </w:rPr>
                    <w:t>排气筒高度</w:t>
                  </w:r>
                  <w:r>
                    <w:rPr>
                      <w:rFonts w:hint="eastAsia" w:cs="Times New Roman"/>
                      <w:b w:val="0"/>
                      <w:bCs w:val="0"/>
                      <w:color w:val="auto"/>
                      <w:sz w:val="21"/>
                      <w:szCs w:val="21"/>
                      <w:highlight w:val="none"/>
                      <w:lang w:val="en-US" w:eastAsia="zh-CN"/>
                    </w:rPr>
                    <w:t>23</w:t>
                  </w:r>
                  <w:r>
                    <w:rPr>
                      <w:rFonts w:hint="eastAsia" w:ascii="Times New Roman" w:hAnsi="Times New Roman" w:cs="Times New Roman"/>
                      <w:b w:val="0"/>
                      <w:bCs w:val="0"/>
                      <w:color w:val="auto"/>
                      <w:sz w:val="21"/>
                      <w:szCs w:val="21"/>
                      <w:highlight w:val="none"/>
                      <w:lang w:val="en-US" w:eastAsia="zh-CN"/>
                    </w:rPr>
                    <w:t>m</w:t>
                  </w:r>
                  <w:r>
                    <w:rPr>
                      <w:rFonts w:hint="eastAsia" w:cs="Times New Roman"/>
                      <w:b w:val="0"/>
                      <w:bCs w:val="0"/>
                      <w:color w:val="auto"/>
                      <w:sz w:val="21"/>
                      <w:szCs w:val="21"/>
                      <w:highlight w:val="none"/>
                      <w:lang w:val="en-US" w:eastAsia="zh-CN"/>
                    </w:rPr>
                    <w:t>，</w:t>
                  </w:r>
                  <w:r>
                    <w:rPr>
                      <w:rFonts w:hint="eastAsia" w:cs="Times New Roman"/>
                      <w:b w:val="0"/>
                      <w:bCs w:val="0"/>
                      <w:color w:val="auto"/>
                      <w:sz w:val="21"/>
                      <w:szCs w:val="21"/>
                      <w:highlight w:val="none"/>
                      <w:vertAlign w:val="baseline"/>
                      <w:lang w:val="en-US" w:eastAsia="zh-CN"/>
                    </w:rPr>
                    <w:t>根据</w:t>
                  </w:r>
                  <w:r>
                    <w:rPr>
                      <w:rFonts w:hint="default" w:ascii="Times New Roman" w:hAnsi="Times New Roman" w:cs="Times New Roman"/>
                      <w:b w:val="0"/>
                      <w:bCs w:val="0"/>
                      <w:color w:val="auto"/>
                      <w:sz w:val="21"/>
                      <w:szCs w:val="21"/>
                      <w:highlight w:val="none"/>
                    </w:rPr>
                    <w:t>《大气污染物综合排放标准》（GB16297-1996）</w:t>
                  </w:r>
                  <w:r>
                    <w:rPr>
                      <w:rFonts w:hint="eastAsia" w:cs="Times New Roman"/>
                      <w:b w:val="0"/>
                      <w:bCs w:val="0"/>
                      <w:color w:val="auto"/>
                      <w:sz w:val="21"/>
                      <w:szCs w:val="21"/>
                      <w:highlight w:val="none"/>
                      <w:lang w:val="en-US" w:eastAsia="zh-CN"/>
                    </w:rPr>
                    <w:t>附录B中B1内插法计算得到锡及其化合物排放速率0.904kg/h，颗粒物排放速率11.03kg/h，最终排放速率严格50%执行，即锡及其化合物排放速率0.452kg/h，颗粒物排放速率5.515kg/h。</w:t>
                  </w:r>
                </w:p>
              </w:tc>
            </w:tr>
          </w:tbl>
          <w:p w14:paraId="161462B7">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157" w:beforeLines="50" w:beforeAutospacing="0" w:afterAutospacing="0" w:line="360" w:lineRule="auto"/>
              <w:ind w:lef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cs="Times New Roman"/>
                <w:color w:val="auto"/>
                <w:highlight w:val="none"/>
                <w:lang w:val="en-US" w:eastAsia="zh-CN"/>
              </w:rPr>
              <w:t>表3-</w:t>
            </w:r>
            <w:r>
              <w:rPr>
                <w:rFonts w:hint="eastAsia" w:ascii="Times New Roman" w:hAnsi="Times New Roman" w:cs="Times New Roman"/>
                <w:color w:val="auto"/>
                <w:highlight w:val="none"/>
                <w:lang w:val="en-US" w:eastAsia="zh-CN"/>
              </w:rPr>
              <w:t xml:space="preserve">8  </w:t>
            </w:r>
            <w:r>
              <w:rPr>
                <w:rFonts w:hint="eastAsia" w:ascii="Times New Roman" w:hAnsi="Times New Roman" w:eastAsia="宋体" w:cs="Times New Roman"/>
                <w:b/>
                <w:bCs/>
                <w:color w:val="auto"/>
                <w:sz w:val="21"/>
                <w:szCs w:val="21"/>
                <w:highlight w:val="none"/>
                <w:vertAlign w:val="baseline"/>
                <w:lang w:val="en-US" w:eastAsia="zh-CN"/>
              </w:rPr>
              <w:t>《固定源挥发性有机物综合排放标准</w:t>
            </w:r>
            <w:r>
              <w:rPr>
                <w:rFonts w:hint="eastAsia" w:ascii="Times New Roman" w:hAnsi="Times New Roman" w:cs="Times New Roman"/>
                <w:b/>
                <w:bCs/>
                <w:color w:val="auto"/>
                <w:sz w:val="21"/>
                <w:szCs w:val="21"/>
                <w:highlight w:val="none"/>
                <w:vertAlign w:val="baseline"/>
                <w:lang w:val="en-US" w:eastAsia="zh-CN"/>
              </w:rPr>
              <w:t xml:space="preserve"> </w:t>
            </w:r>
            <w:r>
              <w:rPr>
                <w:rFonts w:hint="eastAsia" w:ascii="Times New Roman" w:hAnsi="Times New Roman" w:eastAsia="宋体" w:cs="Times New Roman"/>
                <w:b/>
                <w:bCs/>
                <w:color w:val="auto"/>
                <w:sz w:val="21"/>
                <w:szCs w:val="21"/>
                <w:highlight w:val="none"/>
                <w:vertAlign w:val="baseline"/>
                <w:lang w:val="en-US" w:eastAsia="zh-CN"/>
              </w:rPr>
              <w:t>第</w:t>
            </w:r>
            <w:r>
              <w:rPr>
                <w:rFonts w:hint="eastAsia" w:ascii="Times New Roman" w:hAnsi="Times New Roman" w:cs="Times New Roman"/>
                <w:b/>
                <w:bCs/>
                <w:color w:val="auto"/>
                <w:sz w:val="21"/>
                <w:szCs w:val="21"/>
                <w:highlight w:val="none"/>
                <w:vertAlign w:val="baseline"/>
                <w:lang w:val="en-US" w:eastAsia="zh-CN"/>
              </w:rPr>
              <w:t>6</w:t>
            </w:r>
            <w:r>
              <w:rPr>
                <w:rFonts w:hint="eastAsia" w:ascii="Times New Roman" w:hAnsi="Times New Roman" w:eastAsia="宋体" w:cs="Times New Roman"/>
                <w:b/>
                <w:bCs/>
                <w:color w:val="auto"/>
                <w:sz w:val="21"/>
                <w:szCs w:val="21"/>
                <w:highlight w:val="none"/>
                <w:vertAlign w:val="baseline"/>
                <w:lang w:val="en-US" w:eastAsia="zh-CN"/>
              </w:rPr>
              <w:t>部分：</w:t>
            </w:r>
            <w:r>
              <w:rPr>
                <w:rFonts w:hint="eastAsia" w:ascii="Times New Roman" w:hAnsi="Times New Roman" w:cs="Times New Roman"/>
                <w:b/>
                <w:bCs/>
                <w:color w:val="auto"/>
                <w:sz w:val="21"/>
                <w:szCs w:val="21"/>
                <w:highlight w:val="none"/>
                <w:vertAlign w:val="baseline"/>
                <w:lang w:val="en-US" w:eastAsia="zh-CN"/>
              </w:rPr>
              <w:t>其他行业</w:t>
            </w:r>
            <w:r>
              <w:rPr>
                <w:rFonts w:hint="eastAsia" w:ascii="Times New Roman" w:hAnsi="Times New Roman" w:eastAsia="宋体" w:cs="Times New Roman"/>
                <w:b/>
                <w:bCs/>
                <w:color w:val="auto"/>
                <w:sz w:val="21"/>
                <w:szCs w:val="21"/>
                <w:highlight w:val="none"/>
                <w:vertAlign w:val="baseline"/>
                <w:lang w:val="en-US" w:eastAsia="zh-CN"/>
              </w:rPr>
              <w:t>》</w:t>
            </w:r>
            <w:r>
              <w:rPr>
                <w:rFonts w:hint="eastAsia" w:ascii="Times New Roman" w:hAnsi="Times New Roman" w:cs="Times New Roman"/>
                <w:b/>
                <w:bCs/>
                <w:color w:val="auto"/>
                <w:sz w:val="21"/>
                <w:szCs w:val="21"/>
                <w:highlight w:val="none"/>
                <w:vertAlign w:val="baseline"/>
                <w:lang w:val="en-US" w:eastAsia="zh-CN"/>
              </w:rPr>
              <w:t>（表1）</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1802"/>
              <w:gridCol w:w="928"/>
              <w:gridCol w:w="1590"/>
              <w:gridCol w:w="1455"/>
              <w:gridCol w:w="1611"/>
            </w:tblGrid>
            <w:tr w14:paraId="21FDA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25350527">
                  <w:pPr>
                    <w:jc w:val="center"/>
                    <w:rPr>
                      <w:rFonts w:hint="default"/>
                      <w:b/>
                      <w:bCs/>
                      <w:highlight w:val="none"/>
                      <w:lang w:val="en-US" w:eastAsia="zh-CN"/>
                    </w:rPr>
                  </w:pPr>
                  <w:r>
                    <w:rPr>
                      <w:rFonts w:hint="eastAsia"/>
                      <w:b/>
                      <w:bCs/>
                      <w:highlight w:val="none"/>
                      <w:lang w:val="en-US" w:eastAsia="zh-CN"/>
                    </w:rPr>
                    <w:t>行业</w:t>
                  </w:r>
                </w:p>
              </w:tc>
              <w:tc>
                <w:tcPr>
                  <w:tcW w:w="1802" w:type="dxa"/>
                  <w:vAlign w:val="center"/>
                </w:tcPr>
                <w:p w14:paraId="2195529A">
                  <w:pPr>
                    <w:jc w:val="center"/>
                    <w:rPr>
                      <w:rFonts w:hint="default"/>
                      <w:b/>
                      <w:bCs/>
                      <w:highlight w:val="none"/>
                      <w:lang w:val="en-US" w:eastAsia="zh-CN"/>
                    </w:rPr>
                  </w:pPr>
                  <w:r>
                    <w:rPr>
                      <w:rFonts w:hint="eastAsia"/>
                      <w:b/>
                      <w:bCs/>
                      <w:highlight w:val="none"/>
                      <w:lang w:val="en-US" w:eastAsia="zh-CN"/>
                    </w:rPr>
                    <w:t>工艺设施</w:t>
                  </w:r>
                </w:p>
              </w:tc>
              <w:tc>
                <w:tcPr>
                  <w:tcW w:w="928" w:type="dxa"/>
                  <w:vAlign w:val="center"/>
                </w:tcPr>
                <w:p w14:paraId="78A2DC90">
                  <w:pPr>
                    <w:jc w:val="center"/>
                    <w:rPr>
                      <w:rFonts w:hint="default"/>
                      <w:b/>
                      <w:bCs/>
                      <w:highlight w:val="none"/>
                      <w:lang w:val="en-US" w:eastAsia="zh-CN"/>
                    </w:rPr>
                  </w:pPr>
                  <w:r>
                    <w:rPr>
                      <w:rFonts w:hint="eastAsia"/>
                      <w:b/>
                      <w:bCs/>
                      <w:highlight w:val="none"/>
                      <w:lang w:val="en-US" w:eastAsia="zh-CN"/>
                    </w:rPr>
                    <w:t>污染物</w:t>
                  </w:r>
                </w:p>
              </w:tc>
              <w:tc>
                <w:tcPr>
                  <w:tcW w:w="1590" w:type="dxa"/>
                  <w:vAlign w:val="center"/>
                </w:tcPr>
                <w:p w14:paraId="64F33FB4">
                  <w:pPr>
                    <w:jc w:val="center"/>
                    <w:rPr>
                      <w:rFonts w:hint="default"/>
                      <w:b/>
                      <w:bCs/>
                      <w:highlight w:val="none"/>
                      <w:lang w:val="en-US" w:eastAsia="zh-CN"/>
                    </w:rPr>
                  </w:pPr>
                  <w:r>
                    <w:rPr>
                      <w:rFonts w:hint="eastAsia"/>
                      <w:b/>
                      <w:bCs/>
                      <w:highlight w:val="none"/>
                      <w:lang w:val="en-US" w:eastAsia="zh-CN"/>
                    </w:rPr>
                    <w:t>最高允许排放浓度mg/m</w:t>
                  </w:r>
                  <w:r>
                    <w:rPr>
                      <w:rFonts w:hint="eastAsia"/>
                      <w:b/>
                      <w:bCs/>
                      <w:highlight w:val="none"/>
                      <w:vertAlign w:val="superscript"/>
                      <w:lang w:val="en-US" w:eastAsia="zh-CN"/>
                    </w:rPr>
                    <w:t>3</w:t>
                  </w:r>
                </w:p>
              </w:tc>
              <w:tc>
                <w:tcPr>
                  <w:tcW w:w="1455" w:type="dxa"/>
                  <w:vAlign w:val="center"/>
                </w:tcPr>
                <w:p w14:paraId="6CE47E75">
                  <w:pPr>
                    <w:jc w:val="center"/>
                    <w:rPr>
                      <w:rFonts w:hint="default"/>
                      <w:b/>
                      <w:bCs/>
                      <w:highlight w:val="none"/>
                      <w:lang w:val="en-US" w:eastAsia="zh-CN"/>
                    </w:rPr>
                  </w:pPr>
                  <w:r>
                    <w:rPr>
                      <w:rFonts w:hint="eastAsia"/>
                      <w:b/>
                      <w:bCs/>
                      <w:highlight w:val="none"/>
                      <w:lang w:val="en-US" w:eastAsia="zh-CN"/>
                    </w:rPr>
                    <w:t>最高允许排放速率kg/h</w:t>
                  </w:r>
                </w:p>
              </w:tc>
              <w:tc>
                <w:tcPr>
                  <w:tcW w:w="1611" w:type="dxa"/>
                  <w:vAlign w:val="center"/>
                </w:tcPr>
                <w:p w14:paraId="1CE87352">
                  <w:pPr>
                    <w:jc w:val="center"/>
                    <w:rPr>
                      <w:rFonts w:hint="default"/>
                      <w:b/>
                      <w:bCs/>
                      <w:highlight w:val="none"/>
                      <w:lang w:val="en-US" w:eastAsia="zh-CN"/>
                    </w:rPr>
                  </w:pPr>
                  <w:r>
                    <w:rPr>
                      <w:rFonts w:hint="eastAsia"/>
                      <w:b/>
                      <w:bCs/>
                      <w:highlight w:val="none"/>
                      <w:lang w:val="en-US" w:eastAsia="zh-CN"/>
                    </w:rPr>
                    <w:t>污染物排放监控位置</w:t>
                  </w:r>
                </w:p>
              </w:tc>
            </w:tr>
            <w:tr w14:paraId="21AAB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237691DA">
                  <w:pPr>
                    <w:jc w:val="center"/>
                    <w:rPr>
                      <w:rFonts w:hint="default"/>
                      <w:highlight w:val="none"/>
                      <w:lang w:val="en-US" w:eastAsia="zh-CN"/>
                    </w:rPr>
                  </w:pPr>
                  <w:r>
                    <w:rPr>
                      <w:rFonts w:hint="eastAsia"/>
                      <w:highlight w:val="none"/>
                      <w:lang w:val="en-US" w:eastAsia="zh-CN"/>
                    </w:rPr>
                    <w:t>塑料制品工业</w:t>
                  </w:r>
                </w:p>
              </w:tc>
              <w:tc>
                <w:tcPr>
                  <w:tcW w:w="1802" w:type="dxa"/>
                  <w:vAlign w:val="center"/>
                </w:tcPr>
                <w:p w14:paraId="0C869028">
                  <w:pPr>
                    <w:jc w:val="center"/>
                    <w:rPr>
                      <w:rFonts w:hint="default"/>
                      <w:highlight w:val="none"/>
                      <w:lang w:val="en-US" w:eastAsia="zh-CN"/>
                    </w:rPr>
                  </w:pPr>
                  <w:r>
                    <w:rPr>
                      <w:rFonts w:hint="eastAsia"/>
                      <w:highlight w:val="none"/>
                      <w:lang w:val="en-US" w:eastAsia="zh-CN"/>
                    </w:rPr>
                    <w:t>塑料制品工业（热熔、注塑等工艺）</w:t>
                  </w:r>
                </w:p>
              </w:tc>
              <w:tc>
                <w:tcPr>
                  <w:tcW w:w="928" w:type="dxa"/>
                  <w:vAlign w:val="center"/>
                </w:tcPr>
                <w:p w14:paraId="00B82C2A">
                  <w:pPr>
                    <w:jc w:val="center"/>
                    <w:rPr>
                      <w:rFonts w:hint="eastAsia"/>
                      <w:highlight w:val="no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NMHC</w:t>
                  </w:r>
                </w:p>
              </w:tc>
              <w:tc>
                <w:tcPr>
                  <w:tcW w:w="1590" w:type="dxa"/>
                  <w:vAlign w:val="center"/>
                </w:tcPr>
                <w:p w14:paraId="1C6CDC9E">
                  <w:pPr>
                    <w:jc w:val="center"/>
                    <w:rPr>
                      <w:rFonts w:hint="default"/>
                      <w:highlight w:val="none"/>
                      <w:lang w:val="en-US" w:eastAsia="zh-CN"/>
                    </w:rPr>
                  </w:pPr>
                  <w:r>
                    <w:rPr>
                      <w:rFonts w:hint="eastAsia"/>
                      <w:highlight w:val="none"/>
                      <w:lang w:val="en-US" w:eastAsia="zh-CN"/>
                    </w:rPr>
                    <w:t>40</w:t>
                  </w:r>
                </w:p>
              </w:tc>
              <w:tc>
                <w:tcPr>
                  <w:tcW w:w="1455" w:type="dxa"/>
                  <w:vAlign w:val="center"/>
                </w:tcPr>
                <w:p w14:paraId="08BB1373">
                  <w:pPr>
                    <w:jc w:val="center"/>
                    <w:rPr>
                      <w:rFonts w:hint="default"/>
                      <w:highlight w:val="none"/>
                      <w:lang w:val="en-US" w:eastAsia="zh-CN"/>
                    </w:rPr>
                  </w:pPr>
                  <w:r>
                    <w:rPr>
                      <w:rFonts w:hint="eastAsia"/>
                      <w:highlight w:val="none"/>
                      <w:lang w:val="en-US" w:eastAsia="zh-CN"/>
                    </w:rPr>
                    <w:t>1.6</w:t>
                  </w:r>
                </w:p>
              </w:tc>
              <w:tc>
                <w:tcPr>
                  <w:tcW w:w="1611" w:type="dxa"/>
                  <w:vAlign w:val="center"/>
                </w:tcPr>
                <w:p w14:paraId="10E14F1B">
                  <w:pPr>
                    <w:jc w:val="center"/>
                    <w:rPr>
                      <w:rFonts w:hint="default"/>
                      <w:highlight w:val="none"/>
                      <w:lang w:val="en-US" w:eastAsia="zh-CN"/>
                    </w:rPr>
                  </w:pPr>
                  <w:r>
                    <w:rPr>
                      <w:rFonts w:hint="eastAsia"/>
                      <w:highlight w:val="none"/>
                      <w:lang w:val="en-US" w:eastAsia="zh-CN"/>
                    </w:rPr>
                    <w:t>车间或生产设施的排气筒</w:t>
                  </w:r>
                </w:p>
              </w:tc>
            </w:tr>
          </w:tbl>
          <w:p w14:paraId="2AAECAD9">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157" w:beforeLines="50" w:beforeAutospacing="0" w:afterAutospacing="0" w:line="360" w:lineRule="auto"/>
              <w:ind w:lef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cs="Times New Roman"/>
                <w:color w:val="auto"/>
                <w:highlight w:val="none"/>
                <w:lang w:val="en-US" w:eastAsia="zh-CN"/>
              </w:rPr>
              <w:t>表3-</w:t>
            </w:r>
            <w:r>
              <w:rPr>
                <w:rFonts w:hint="eastAsia" w:ascii="Times New Roman" w:hAnsi="Times New Roman" w:cs="Times New Roman"/>
                <w:color w:val="auto"/>
                <w:highlight w:val="none"/>
                <w:lang w:val="en-US" w:eastAsia="zh-CN"/>
              </w:rPr>
              <w:t xml:space="preserve">9  </w:t>
            </w:r>
            <w:r>
              <w:rPr>
                <w:rFonts w:hint="eastAsia" w:ascii="Times New Roman" w:hAnsi="Times New Roman" w:eastAsia="宋体" w:cs="Times New Roman"/>
                <w:b/>
                <w:bCs/>
                <w:color w:val="auto"/>
                <w:sz w:val="21"/>
                <w:szCs w:val="21"/>
                <w:highlight w:val="none"/>
                <w:vertAlign w:val="baseline"/>
                <w:lang w:val="en-US" w:eastAsia="zh-CN"/>
              </w:rPr>
              <w:t>《固定源挥发性有机物综合排放标准</w:t>
            </w:r>
            <w:r>
              <w:rPr>
                <w:rFonts w:hint="eastAsia" w:ascii="Times New Roman" w:hAnsi="Times New Roman" w:cs="Times New Roman"/>
                <w:b/>
                <w:bCs/>
                <w:color w:val="auto"/>
                <w:sz w:val="21"/>
                <w:szCs w:val="21"/>
                <w:highlight w:val="none"/>
                <w:vertAlign w:val="baseline"/>
                <w:lang w:val="en-US" w:eastAsia="zh-CN"/>
              </w:rPr>
              <w:t xml:space="preserve"> </w:t>
            </w:r>
            <w:r>
              <w:rPr>
                <w:rFonts w:hint="eastAsia" w:ascii="Times New Roman" w:hAnsi="Times New Roman" w:eastAsia="宋体" w:cs="Times New Roman"/>
                <w:b/>
                <w:bCs/>
                <w:color w:val="auto"/>
                <w:sz w:val="21"/>
                <w:szCs w:val="21"/>
                <w:highlight w:val="none"/>
                <w:vertAlign w:val="baseline"/>
                <w:lang w:val="en-US" w:eastAsia="zh-CN"/>
              </w:rPr>
              <w:t>第</w:t>
            </w:r>
            <w:r>
              <w:rPr>
                <w:rFonts w:hint="eastAsia" w:ascii="Times New Roman" w:hAnsi="Times New Roman" w:cs="Times New Roman"/>
                <w:b/>
                <w:bCs/>
                <w:color w:val="auto"/>
                <w:sz w:val="21"/>
                <w:szCs w:val="21"/>
                <w:highlight w:val="none"/>
                <w:vertAlign w:val="baseline"/>
                <w:lang w:val="en-US" w:eastAsia="zh-CN"/>
              </w:rPr>
              <w:t>6</w:t>
            </w:r>
            <w:r>
              <w:rPr>
                <w:rFonts w:hint="eastAsia" w:ascii="Times New Roman" w:hAnsi="Times New Roman" w:eastAsia="宋体" w:cs="Times New Roman"/>
                <w:b/>
                <w:bCs/>
                <w:color w:val="auto"/>
                <w:sz w:val="21"/>
                <w:szCs w:val="21"/>
                <w:highlight w:val="none"/>
                <w:vertAlign w:val="baseline"/>
                <w:lang w:val="en-US" w:eastAsia="zh-CN"/>
              </w:rPr>
              <w:t>部分：</w:t>
            </w:r>
            <w:r>
              <w:rPr>
                <w:rFonts w:hint="eastAsia" w:ascii="Times New Roman" w:hAnsi="Times New Roman" w:cs="Times New Roman"/>
                <w:b/>
                <w:bCs/>
                <w:color w:val="auto"/>
                <w:sz w:val="21"/>
                <w:szCs w:val="21"/>
                <w:highlight w:val="none"/>
                <w:vertAlign w:val="baseline"/>
                <w:lang w:val="en-US" w:eastAsia="zh-CN"/>
              </w:rPr>
              <w:t>其他行业</w:t>
            </w:r>
            <w:r>
              <w:rPr>
                <w:rFonts w:hint="eastAsia" w:ascii="Times New Roman" w:hAnsi="Times New Roman" w:eastAsia="宋体" w:cs="Times New Roman"/>
                <w:b/>
                <w:bCs/>
                <w:color w:val="auto"/>
                <w:sz w:val="21"/>
                <w:szCs w:val="21"/>
                <w:highlight w:val="none"/>
                <w:vertAlign w:val="baseline"/>
                <w:lang w:val="en-US" w:eastAsia="zh-CN"/>
              </w:rPr>
              <w:t>》</w:t>
            </w:r>
            <w:r>
              <w:rPr>
                <w:rFonts w:hint="eastAsia" w:ascii="Times New Roman" w:hAnsi="Times New Roman" w:cs="Times New Roman"/>
                <w:b/>
                <w:bCs/>
                <w:color w:val="auto"/>
                <w:sz w:val="21"/>
                <w:szCs w:val="21"/>
                <w:highlight w:val="none"/>
                <w:vertAlign w:val="baseline"/>
                <w:lang w:val="en-US" w:eastAsia="zh-CN"/>
              </w:rPr>
              <w:t>（表2）</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7"/>
              <w:gridCol w:w="1710"/>
              <w:gridCol w:w="2820"/>
              <w:gridCol w:w="2800"/>
            </w:tblGrid>
            <w:tr w14:paraId="45273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vAlign w:val="center"/>
                </w:tcPr>
                <w:p w14:paraId="0E57C739">
                  <w:pPr>
                    <w:jc w:val="center"/>
                    <w:rPr>
                      <w:rFonts w:hint="default"/>
                      <w:b/>
                      <w:bCs/>
                      <w:highlight w:val="none"/>
                      <w:lang w:val="en-US" w:eastAsia="zh-CN"/>
                    </w:rPr>
                  </w:pPr>
                  <w:r>
                    <w:rPr>
                      <w:rFonts w:hint="eastAsia"/>
                      <w:b/>
                      <w:bCs/>
                      <w:highlight w:val="none"/>
                      <w:lang w:val="en-US" w:eastAsia="zh-CN"/>
                    </w:rPr>
                    <w:t>序号</w:t>
                  </w:r>
                </w:p>
              </w:tc>
              <w:tc>
                <w:tcPr>
                  <w:tcW w:w="1710" w:type="dxa"/>
                  <w:vAlign w:val="center"/>
                </w:tcPr>
                <w:p w14:paraId="31E6DAC6">
                  <w:pPr>
                    <w:jc w:val="center"/>
                    <w:rPr>
                      <w:rFonts w:hint="default"/>
                      <w:b/>
                      <w:bCs/>
                      <w:highlight w:val="none"/>
                      <w:lang w:val="en-US" w:eastAsia="zh-CN"/>
                    </w:rPr>
                  </w:pPr>
                  <w:r>
                    <w:rPr>
                      <w:rFonts w:hint="eastAsia"/>
                      <w:b/>
                      <w:bCs/>
                      <w:highlight w:val="none"/>
                      <w:lang w:val="en-US" w:eastAsia="zh-CN"/>
                    </w:rPr>
                    <w:t>污染物</w:t>
                  </w:r>
                </w:p>
              </w:tc>
              <w:tc>
                <w:tcPr>
                  <w:tcW w:w="2820" w:type="dxa"/>
                  <w:vAlign w:val="center"/>
                </w:tcPr>
                <w:p w14:paraId="689EAB5C">
                  <w:pPr>
                    <w:jc w:val="center"/>
                    <w:rPr>
                      <w:rFonts w:hint="default"/>
                      <w:b/>
                      <w:bCs/>
                      <w:highlight w:val="none"/>
                      <w:lang w:val="en-US" w:eastAsia="zh-CN"/>
                    </w:rPr>
                  </w:pPr>
                  <w:r>
                    <w:rPr>
                      <w:rFonts w:hint="eastAsia"/>
                      <w:b/>
                      <w:bCs/>
                      <w:highlight w:val="none"/>
                      <w:lang w:val="en-US" w:eastAsia="zh-CN"/>
                    </w:rPr>
                    <w:t>最高允许排放浓度，mg/m</w:t>
                  </w:r>
                  <w:r>
                    <w:rPr>
                      <w:rFonts w:hint="eastAsia"/>
                      <w:b/>
                      <w:bCs/>
                      <w:highlight w:val="none"/>
                      <w:vertAlign w:val="superscript"/>
                      <w:lang w:val="en-US" w:eastAsia="zh-CN"/>
                    </w:rPr>
                    <w:t>3</w:t>
                  </w:r>
                </w:p>
              </w:tc>
              <w:tc>
                <w:tcPr>
                  <w:tcW w:w="2800" w:type="dxa"/>
                  <w:vAlign w:val="center"/>
                </w:tcPr>
                <w:p w14:paraId="5F490893">
                  <w:pPr>
                    <w:jc w:val="center"/>
                    <w:rPr>
                      <w:rFonts w:hint="default"/>
                      <w:b/>
                      <w:bCs/>
                      <w:highlight w:val="none"/>
                      <w:lang w:val="en-US" w:eastAsia="zh-CN"/>
                    </w:rPr>
                  </w:pPr>
                  <w:r>
                    <w:rPr>
                      <w:rFonts w:hint="eastAsia"/>
                      <w:b/>
                      <w:bCs/>
                      <w:highlight w:val="none"/>
                      <w:lang w:val="en-US" w:eastAsia="zh-CN"/>
                    </w:rPr>
                    <w:t>污染物排放监控位置</w:t>
                  </w:r>
                </w:p>
              </w:tc>
            </w:tr>
            <w:tr w14:paraId="11E62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vAlign w:val="center"/>
                </w:tcPr>
                <w:p w14:paraId="461F9404">
                  <w:pPr>
                    <w:jc w:val="center"/>
                    <w:rPr>
                      <w:rFonts w:hint="default"/>
                      <w:highlight w:val="none"/>
                      <w:lang w:val="en-US" w:eastAsia="zh-CN"/>
                    </w:rPr>
                  </w:pPr>
                  <w:r>
                    <w:rPr>
                      <w:rFonts w:hint="eastAsia"/>
                      <w:highlight w:val="none"/>
                      <w:lang w:val="en-US" w:eastAsia="zh-CN"/>
                    </w:rPr>
                    <w:t>1</w:t>
                  </w:r>
                </w:p>
              </w:tc>
              <w:tc>
                <w:tcPr>
                  <w:tcW w:w="1710" w:type="dxa"/>
                  <w:shd w:val="clear" w:color="auto" w:fill="auto"/>
                  <w:vAlign w:val="center"/>
                </w:tcPr>
                <w:p w14:paraId="132D9B0F">
                  <w:pPr>
                    <w:jc w:val="center"/>
                    <w:rPr>
                      <w:rFonts w:hint="default" w:ascii="Times New Roman" w:hAnsi="Times New Roman" w:eastAsia="宋体" w:cs="Times New Roman"/>
                      <w:kern w:val="2"/>
                      <w:sz w:val="21"/>
                      <w:szCs w:val="24"/>
                      <w:highlight w:val="none"/>
                      <w:lang w:val="en-US" w:eastAsia="zh-CN" w:bidi="ar-SA"/>
                    </w:rPr>
                  </w:pPr>
                  <w:r>
                    <w:rPr>
                      <w:rFonts w:hint="eastAsia"/>
                      <w:highlight w:val="none"/>
                      <w:lang w:val="en-US" w:eastAsia="zh-CN"/>
                    </w:rPr>
                    <w:t>甲苯</w:t>
                  </w:r>
                </w:p>
              </w:tc>
              <w:tc>
                <w:tcPr>
                  <w:tcW w:w="2820" w:type="dxa"/>
                  <w:shd w:val="clear" w:color="auto" w:fill="auto"/>
                  <w:vAlign w:val="center"/>
                </w:tcPr>
                <w:p w14:paraId="28081850">
                  <w:pPr>
                    <w:jc w:val="center"/>
                    <w:rPr>
                      <w:rFonts w:hint="default" w:ascii="Times New Roman" w:hAnsi="Times New Roman" w:eastAsia="宋体" w:cs="Times New Roman"/>
                      <w:kern w:val="2"/>
                      <w:sz w:val="21"/>
                      <w:szCs w:val="24"/>
                      <w:highlight w:val="none"/>
                      <w:lang w:val="en-US" w:eastAsia="zh-CN" w:bidi="ar-SA"/>
                    </w:rPr>
                  </w:pPr>
                  <w:r>
                    <w:rPr>
                      <w:rFonts w:hint="eastAsia"/>
                      <w:highlight w:val="none"/>
                      <w:lang w:val="en-US" w:eastAsia="zh-CN"/>
                    </w:rPr>
                    <w:t>15</w:t>
                  </w:r>
                </w:p>
              </w:tc>
              <w:tc>
                <w:tcPr>
                  <w:tcW w:w="2800" w:type="dxa"/>
                  <w:vMerge w:val="restart"/>
                  <w:vAlign w:val="center"/>
                </w:tcPr>
                <w:p w14:paraId="5948C5C3">
                  <w:pPr>
                    <w:jc w:val="center"/>
                    <w:rPr>
                      <w:rFonts w:hint="default"/>
                      <w:highlight w:val="none"/>
                      <w:lang w:val="en-US" w:eastAsia="zh-CN"/>
                    </w:rPr>
                  </w:pPr>
                  <w:r>
                    <w:rPr>
                      <w:rFonts w:hint="eastAsia"/>
                      <w:highlight w:val="none"/>
                      <w:lang w:val="en-US" w:eastAsia="zh-CN"/>
                    </w:rPr>
                    <w:t>车间或生产设施的排气筒</w:t>
                  </w:r>
                </w:p>
              </w:tc>
            </w:tr>
            <w:tr w14:paraId="557C3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7" w:type="dxa"/>
                  <w:vAlign w:val="center"/>
                </w:tcPr>
                <w:p w14:paraId="339F1C34">
                  <w:pPr>
                    <w:jc w:val="center"/>
                    <w:rPr>
                      <w:rFonts w:hint="default"/>
                      <w:highlight w:val="none"/>
                      <w:lang w:val="en-US" w:eastAsia="zh-CN"/>
                    </w:rPr>
                  </w:pPr>
                  <w:r>
                    <w:rPr>
                      <w:rFonts w:hint="eastAsia"/>
                      <w:highlight w:val="none"/>
                      <w:lang w:val="en-US" w:eastAsia="zh-CN"/>
                    </w:rPr>
                    <w:t>2</w:t>
                  </w:r>
                </w:p>
              </w:tc>
              <w:tc>
                <w:tcPr>
                  <w:tcW w:w="1710" w:type="dxa"/>
                  <w:shd w:val="clear" w:color="auto" w:fill="auto"/>
                  <w:vAlign w:val="center"/>
                </w:tcPr>
                <w:p w14:paraId="68B1982A">
                  <w:pPr>
                    <w:jc w:val="center"/>
                    <w:rPr>
                      <w:rFonts w:hint="default" w:ascii="Times New Roman" w:hAnsi="Times New Roman" w:eastAsia="宋体" w:cs="Times New Roman"/>
                      <w:kern w:val="2"/>
                      <w:sz w:val="21"/>
                      <w:szCs w:val="24"/>
                      <w:highlight w:val="none"/>
                      <w:lang w:val="en-US" w:eastAsia="zh-CN" w:bidi="ar-SA"/>
                    </w:rPr>
                  </w:pPr>
                  <w:r>
                    <w:rPr>
                      <w:rFonts w:hint="eastAsia"/>
                      <w:highlight w:val="none"/>
                      <w:lang w:val="en-US" w:eastAsia="zh-CN"/>
                    </w:rPr>
                    <w:t>苯乙烯</w:t>
                  </w:r>
                </w:p>
              </w:tc>
              <w:tc>
                <w:tcPr>
                  <w:tcW w:w="2820" w:type="dxa"/>
                  <w:shd w:val="clear" w:color="auto" w:fill="auto"/>
                  <w:vAlign w:val="center"/>
                </w:tcPr>
                <w:p w14:paraId="3E187876">
                  <w:pPr>
                    <w:jc w:val="center"/>
                    <w:rPr>
                      <w:rFonts w:hint="default" w:ascii="Times New Roman" w:hAnsi="Times New Roman" w:eastAsia="宋体" w:cs="Times New Roman"/>
                      <w:kern w:val="2"/>
                      <w:sz w:val="21"/>
                      <w:szCs w:val="24"/>
                      <w:highlight w:val="none"/>
                      <w:lang w:val="en-US" w:eastAsia="zh-CN" w:bidi="ar-SA"/>
                    </w:rPr>
                  </w:pPr>
                  <w:r>
                    <w:rPr>
                      <w:rFonts w:hint="eastAsia"/>
                      <w:highlight w:val="none"/>
                      <w:lang w:val="en-US" w:eastAsia="zh-CN"/>
                    </w:rPr>
                    <w:t>20</w:t>
                  </w:r>
                </w:p>
              </w:tc>
              <w:tc>
                <w:tcPr>
                  <w:tcW w:w="2800" w:type="dxa"/>
                  <w:vMerge w:val="continue"/>
                  <w:vAlign w:val="center"/>
                </w:tcPr>
                <w:p w14:paraId="79F85BD5">
                  <w:pPr>
                    <w:jc w:val="center"/>
                    <w:rPr>
                      <w:rFonts w:hint="eastAsia"/>
                      <w:highlight w:val="none"/>
                      <w:lang w:val="en-US" w:eastAsia="zh-CN"/>
                    </w:rPr>
                  </w:pPr>
                </w:p>
              </w:tc>
            </w:tr>
          </w:tbl>
          <w:p w14:paraId="193A82C9">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157" w:beforeLines="50" w:beforeAutospacing="0" w:afterAutospacing="0" w:line="360" w:lineRule="auto"/>
              <w:ind w:leftChars="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cs="Times New Roman"/>
                <w:color w:val="auto"/>
                <w:highlight w:val="none"/>
                <w:lang w:val="en-US" w:eastAsia="zh-CN"/>
              </w:rPr>
              <w:t>表3-</w:t>
            </w:r>
            <w:r>
              <w:rPr>
                <w:rFonts w:hint="eastAsia" w:ascii="Times New Roman" w:hAnsi="Times New Roman" w:cs="Times New Roman"/>
                <w:color w:val="auto"/>
                <w:highlight w:val="none"/>
                <w:lang w:val="en-US" w:eastAsia="zh-CN"/>
              </w:rPr>
              <w:t xml:space="preserve">10  </w:t>
            </w:r>
            <w:r>
              <w:rPr>
                <w:rFonts w:hint="eastAsia" w:ascii="Times New Roman" w:hAnsi="Times New Roman" w:eastAsia="宋体" w:cs="Times New Roman"/>
                <w:b/>
                <w:bCs/>
                <w:color w:val="auto"/>
                <w:sz w:val="21"/>
                <w:szCs w:val="21"/>
                <w:highlight w:val="none"/>
                <w:vertAlign w:val="baseline"/>
                <w:lang w:val="en-US" w:eastAsia="zh-CN"/>
              </w:rPr>
              <w:t>《固定源挥发性有机物综合排放标准</w:t>
            </w:r>
            <w:r>
              <w:rPr>
                <w:rFonts w:hint="eastAsia" w:ascii="Times New Roman" w:hAnsi="Times New Roman" w:cs="Times New Roman"/>
                <w:b/>
                <w:bCs/>
                <w:color w:val="auto"/>
                <w:sz w:val="21"/>
                <w:szCs w:val="21"/>
                <w:highlight w:val="none"/>
                <w:vertAlign w:val="baseline"/>
                <w:lang w:val="en-US" w:eastAsia="zh-CN"/>
              </w:rPr>
              <w:t xml:space="preserve"> </w:t>
            </w:r>
            <w:r>
              <w:rPr>
                <w:rFonts w:hint="eastAsia" w:ascii="Times New Roman" w:hAnsi="Times New Roman" w:eastAsia="宋体" w:cs="Times New Roman"/>
                <w:b/>
                <w:bCs/>
                <w:color w:val="auto"/>
                <w:sz w:val="21"/>
                <w:szCs w:val="21"/>
                <w:highlight w:val="none"/>
                <w:vertAlign w:val="baseline"/>
                <w:lang w:val="en-US" w:eastAsia="zh-CN"/>
              </w:rPr>
              <w:t>第</w:t>
            </w:r>
            <w:r>
              <w:rPr>
                <w:rFonts w:hint="eastAsia" w:ascii="Times New Roman" w:hAnsi="Times New Roman" w:cs="Times New Roman"/>
                <w:b/>
                <w:bCs/>
                <w:color w:val="auto"/>
                <w:sz w:val="21"/>
                <w:szCs w:val="21"/>
                <w:highlight w:val="none"/>
                <w:vertAlign w:val="baseline"/>
                <w:lang w:val="en-US" w:eastAsia="zh-CN"/>
              </w:rPr>
              <w:t>6</w:t>
            </w:r>
            <w:r>
              <w:rPr>
                <w:rFonts w:hint="eastAsia" w:ascii="Times New Roman" w:hAnsi="Times New Roman" w:eastAsia="宋体" w:cs="Times New Roman"/>
                <w:b/>
                <w:bCs/>
                <w:color w:val="auto"/>
                <w:sz w:val="21"/>
                <w:szCs w:val="21"/>
                <w:highlight w:val="none"/>
                <w:vertAlign w:val="baseline"/>
                <w:lang w:val="en-US" w:eastAsia="zh-CN"/>
              </w:rPr>
              <w:t>部分：</w:t>
            </w:r>
            <w:r>
              <w:rPr>
                <w:rFonts w:hint="eastAsia" w:ascii="Times New Roman" w:hAnsi="Times New Roman" w:cs="Times New Roman"/>
                <w:b/>
                <w:bCs/>
                <w:color w:val="auto"/>
                <w:sz w:val="21"/>
                <w:szCs w:val="21"/>
                <w:highlight w:val="none"/>
                <w:vertAlign w:val="baseline"/>
                <w:lang w:val="en-US" w:eastAsia="zh-CN"/>
              </w:rPr>
              <w:t>其他行业</w:t>
            </w:r>
            <w:r>
              <w:rPr>
                <w:rFonts w:hint="eastAsia" w:ascii="Times New Roman" w:hAnsi="Times New Roman" w:eastAsia="宋体" w:cs="Times New Roman"/>
                <w:b/>
                <w:bCs/>
                <w:color w:val="auto"/>
                <w:sz w:val="21"/>
                <w:szCs w:val="21"/>
                <w:highlight w:val="none"/>
                <w:vertAlign w:val="baseline"/>
                <w:lang w:val="en-US" w:eastAsia="zh-CN"/>
              </w:rPr>
              <w:t>》</w:t>
            </w:r>
            <w:r>
              <w:rPr>
                <w:rFonts w:hint="eastAsia" w:ascii="Times New Roman" w:hAnsi="Times New Roman" w:cs="Times New Roman"/>
                <w:b/>
                <w:bCs/>
                <w:color w:val="auto"/>
                <w:sz w:val="21"/>
                <w:szCs w:val="21"/>
                <w:highlight w:val="none"/>
                <w:vertAlign w:val="baseline"/>
                <w:lang w:val="en-US" w:eastAsia="zh-CN"/>
              </w:rPr>
              <w:t>（表4）</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1"/>
              <w:gridCol w:w="2220"/>
              <w:gridCol w:w="2484"/>
              <w:gridCol w:w="2339"/>
            </w:tblGrid>
            <w:tr w14:paraId="57483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noWrap w:val="0"/>
                  <w:vAlign w:val="center"/>
                </w:tcPr>
                <w:p w14:paraId="44BDD80A">
                  <w:pPr>
                    <w:pStyle w:val="46"/>
                    <w:snapToGrid w:val="0"/>
                    <w:spacing w:line="240" w:lineRule="auto"/>
                    <w:jc w:val="center"/>
                    <w:rPr>
                      <w:rFonts w:hint="default" w:ascii="Times New Roman" w:hAnsi="Times New Roman" w:eastAsia="宋体" w:cs="Times New Roman"/>
                      <w:color w:val="000000"/>
                      <w:kern w:val="2"/>
                      <w:szCs w:val="21"/>
                      <w:highlight w:val="none"/>
                      <w:vertAlign w:val="baseline"/>
                      <w:lang w:val="en-US" w:eastAsia="zh-CN"/>
                    </w:rPr>
                  </w:pPr>
                  <w:r>
                    <w:rPr>
                      <w:rFonts w:hint="eastAsia" w:ascii="Times New Roman" w:hAnsi="Times New Roman" w:cs="Times New Roman"/>
                      <w:color w:val="000000"/>
                      <w:kern w:val="2"/>
                      <w:szCs w:val="21"/>
                      <w:highlight w:val="none"/>
                      <w:vertAlign w:val="baseline"/>
                      <w:lang w:val="en-US" w:eastAsia="zh-CN"/>
                    </w:rPr>
                    <w:t>污染物项目</w:t>
                  </w:r>
                </w:p>
              </w:tc>
              <w:tc>
                <w:tcPr>
                  <w:tcW w:w="1325" w:type="pct"/>
                  <w:noWrap w:val="0"/>
                  <w:vAlign w:val="center"/>
                </w:tcPr>
                <w:p w14:paraId="72B2FE83">
                  <w:pPr>
                    <w:pStyle w:val="46"/>
                    <w:snapToGrid w:val="0"/>
                    <w:spacing w:line="240" w:lineRule="auto"/>
                    <w:jc w:val="center"/>
                    <w:rPr>
                      <w:rFonts w:hint="default" w:ascii="Times New Roman" w:hAnsi="Times New Roman" w:eastAsia="宋体" w:cs="Times New Roman"/>
                      <w:color w:val="000000"/>
                      <w:kern w:val="2"/>
                      <w:szCs w:val="21"/>
                      <w:highlight w:val="none"/>
                      <w:vertAlign w:val="baseline"/>
                      <w:lang w:val="en-US" w:eastAsia="zh-CN"/>
                    </w:rPr>
                  </w:pPr>
                  <w:r>
                    <w:rPr>
                      <w:rFonts w:hint="eastAsia" w:ascii="Times New Roman" w:hAnsi="Times New Roman" w:cs="Times New Roman"/>
                      <w:color w:val="000000"/>
                      <w:kern w:val="2"/>
                      <w:szCs w:val="21"/>
                      <w:highlight w:val="none"/>
                      <w:vertAlign w:val="baseline"/>
                      <w:lang w:val="en-US" w:eastAsia="zh-CN"/>
                    </w:rPr>
                    <w:t>最高允许排放浓度，mg/m</w:t>
                  </w:r>
                  <w:r>
                    <w:rPr>
                      <w:rFonts w:hint="eastAsia" w:ascii="Times New Roman" w:hAnsi="Times New Roman" w:cs="Times New Roman"/>
                      <w:color w:val="000000"/>
                      <w:kern w:val="2"/>
                      <w:szCs w:val="21"/>
                      <w:highlight w:val="none"/>
                      <w:vertAlign w:val="superscript"/>
                      <w:lang w:val="en-US" w:eastAsia="zh-CN"/>
                    </w:rPr>
                    <w:t>3</w:t>
                  </w:r>
                </w:p>
              </w:tc>
              <w:tc>
                <w:tcPr>
                  <w:tcW w:w="1483" w:type="pct"/>
                  <w:noWrap w:val="0"/>
                  <w:vAlign w:val="center"/>
                </w:tcPr>
                <w:p w14:paraId="32560B2D">
                  <w:pPr>
                    <w:pStyle w:val="46"/>
                    <w:snapToGrid w:val="0"/>
                    <w:spacing w:line="240" w:lineRule="auto"/>
                    <w:jc w:val="center"/>
                    <w:rPr>
                      <w:rFonts w:hint="default" w:ascii="Times New Roman" w:hAnsi="Times New Roman" w:eastAsia="宋体" w:cs="Times New Roman"/>
                      <w:color w:val="000000"/>
                      <w:kern w:val="2"/>
                      <w:szCs w:val="21"/>
                      <w:highlight w:val="none"/>
                      <w:vertAlign w:val="baseline"/>
                      <w:lang w:val="en-US" w:eastAsia="zh-CN"/>
                    </w:rPr>
                  </w:pPr>
                  <w:r>
                    <w:rPr>
                      <w:rFonts w:hint="eastAsia" w:ascii="Times New Roman" w:hAnsi="Times New Roman" w:cs="Times New Roman"/>
                      <w:color w:val="000000"/>
                      <w:kern w:val="2"/>
                      <w:szCs w:val="21"/>
                      <w:highlight w:val="none"/>
                      <w:vertAlign w:val="baseline"/>
                      <w:lang w:val="en-US" w:eastAsia="zh-CN"/>
                    </w:rPr>
                    <w:t>排放限值含义</w:t>
                  </w:r>
                </w:p>
              </w:tc>
              <w:tc>
                <w:tcPr>
                  <w:tcW w:w="1396" w:type="pct"/>
                  <w:noWrap w:val="0"/>
                  <w:vAlign w:val="center"/>
                </w:tcPr>
                <w:p w14:paraId="50C724B5">
                  <w:pPr>
                    <w:pStyle w:val="46"/>
                    <w:snapToGrid w:val="0"/>
                    <w:spacing w:line="240" w:lineRule="auto"/>
                    <w:jc w:val="center"/>
                    <w:rPr>
                      <w:rFonts w:hint="default" w:ascii="Times New Roman" w:hAnsi="Times New Roman" w:eastAsia="宋体" w:cs="Times New Roman"/>
                      <w:color w:val="000000"/>
                      <w:kern w:val="2"/>
                      <w:szCs w:val="21"/>
                      <w:highlight w:val="none"/>
                      <w:vertAlign w:val="baseline"/>
                      <w:lang w:val="en-US" w:eastAsia="zh-CN"/>
                    </w:rPr>
                  </w:pPr>
                  <w:r>
                    <w:rPr>
                      <w:rFonts w:hint="eastAsia" w:ascii="Times New Roman" w:hAnsi="Times New Roman" w:cs="Times New Roman"/>
                      <w:color w:val="000000"/>
                      <w:kern w:val="2"/>
                      <w:szCs w:val="21"/>
                      <w:highlight w:val="none"/>
                      <w:vertAlign w:val="baseline"/>
                      <w:lang w:val="en-US" w:eastAsia="zh-CN"/>
                    </w:rPr>
                    <w:t>无组织排放监控位置</w:t>
                  </w:r>
                </w:p>
              </w:tc>
            </w:tr>
            <w:tr w14:paraId="2D832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vMerge w:val="restart"/>
                  <w:noWrap w:val="0"/>
                  <w:vAlign w:val="center"/>
                </w:tcPr>
                <w:p w14:paraId="70B031C3">
                  <w:pPr>
                    <w:pStyle w:val="46"/>
                    <w:snapToGrid w:val="0"/>
                    <w:spacing w:line="240" w:lineRule="auto"/>
                    <w:jc w:val="center"/>
                    <w:rPr>
                      <w:rFonts w:hint="default" w:ascii="Times New Roman" w:hAnsi="Times New Roman" w:eastAsia="宋体" w:cs="Times New Roman"/>
                      <w:color w:val="000000"/>
                      <w:kern w:val="2"/>
                      <w:szCs w:val="21"/>
                      <w:highlight w:val="none"/>
                      <w:vertAlign w:val="baseline"/>
                      <w:lang w:val="en-US" w:eastAsia="zh-CN"/>
                    </w:rPr>
                  </w:pPr>
                  <w:r>
                    <w:rPr>
                      <w:rFonts w:hint="eastAsia" w:ascii="Times New Roman" w:hAnsi="Times New Roman" w:cs="Times New Roman"/>
                      <w:b w:val="0"/>
                      <w:bCs/>
                      <w:color w:val="000000"/>
                      <w:kern w:val="2"/>
                      <w:szCs w:val="21"/>
                      <w:highlight w:val="none"/>
                      <w:vertAlign w:val="baseline"/>
                      <w:lang w:val="en-US" w:eastAsia="zh-CN"/>
                    </w:rPr>
                    <w:t>NMHC</w:t>
                  </w:r>
                </w:p>
              </w:tc>
              <w:tc>
                <w:tcPr>
                  <w:tcW w:w="1325" w:type="pct"/>
                  <w:noWrap w:val="0"/>
                  <w:vAlign w:val="center"/>
                </w:tcPr>
                <w:p w14:paraId="59CC4BE0">
                  <w:pPr>
                    <w:pStyle w:val="46"/>
                    <w:snapToGrid w:val="0"/>
                    <w:spacing w:line="240" w:lineRule="auto"/>
                    <w:jc w:val="center"/>
                    <w:rPr>
                      <w:rFonts w:hint="eastAsia" w:ascii="Times New Roman" w:hAnsi="Times New Roman" w:eastAsia="宋体" w:cs="Times New Roman"/>
                      <w:b w:val="0"/>
                      <w:bCs/>
                      <w:color w:val="000000"/>
                      <w:kern w:val="2"/>
                      <w:szCs w:val="21"/>
                      <w:highlight w:val="none"/>
                      <w:vertAlign w:val="baseline"/>
                      <w:lang w:val="en-US" w:eastAsia="zh-CN"/>
                    </w:rPr>
                  </w:pPr>
                  <w:r>
                    <w:rPr>
                      <w:rFonts w:hint="eastAsia" w:ascii="Times New Roman" w:hAnsi="Times New Roman" w:cs="Times New Roman"/>
                      <w:b w:val="0"/>
                      <w:bCs/>
                      <w:color w:val="000000"/>
                      <w:kern w:val="2"/>
                      <w:szCs w:val="21"/>
                      <w:highlight w:val="none"/>
                      <w:vertAlign w:val="baseline"/>
                      <w:lang w:val="en-US" w:eastAsia="zh-CN"/>
                    </w:rPr>
                    <w:t>6</w:t>
                  </w:r>
                </w:p>
              </w:tc>
              <w:tc>
                <w:tcPr>
                  <w:tcW w:w="1483" w:type="pct"/>
                  <w:noWrap w:val="0"/>
                  <w:vAlign w:val="center"/>
                </w:tcPr>
                <w:p w14:paraId="445B0142">
                  <w:pPr>
                    <w:pStyle w:val="46"/>
                    <w:snapToGrid w:val="0"/>
                    <w:spacing w:line="240" w:lineRule="auto"/>
                    <w:jc w:val="center"/>
                    <w:rPr>
                      <w:rFonts w:hint="default" w:ascii="Times New Roman" w:hAnsi="Times New Roman" w:eastAsia="宋体" w:cs="Times New Roman"/>
                      <w:b w:val="0"/>
                      <w:bCs/>
                      <w:color w:val="000000"/>
                      <w:kern w:val="2"/>
                      <w:szCs w:val="21"/>
                      <w:highlight w:val="none"/>
                      <w:vertAlign w:val="baseline"/>
                      <w:lang w:val="en-US" w:eastAsia="zh-CN"/>
                    </w:rPr>
                  </w:pPr>
                  <w:r>
                    <w:rPr>
                      <w:rFonts w:hint="eastAsia" w:ascii="Times New Roman" w:hAnsi="Times New Roman" w:cs="Times New Roman"/>
                      <w:b w:val="0"/>
                      <w:bCs/>
                      <w:color w:val="000000"/>
                      <w:kern w:val="2"/>
                      <w:szCs w:val="21"/>
                      <w:highlight w:val="none"/>
                      <w:vertAlign w:val="baseline"/>
                      <w:lang w:val="en-US" w:eastAsia="zh-CN"/>
                    </w:rPr>
                    <w:t>监控点处1h平均浓度值</w:t>
                  </w:r>
                </w:p>
              </w:tc>
              <w:tc>
                <w:tcPr>
                  <w:tcW w:w="1396" w:type="pct"/>
                  <w:vMerge w:val="restart"/>
                  <w:noWrap w:val="0"/>
                  <w:vAlign w:val="center"/>
                </w:tcPr>
                <w:p w14:paraId="1E66E98B">
                  <w:pPr>
                    <w:pStyle w:val="46"/>
                    <w:snapToGrid w:val="0"/>
                    <w:spacing w:line="240" w:lineRule="auto"/>
                    <w:jc w:val="center"/>
                    <w:rPr>
                      <w:rFonts w:hint="default" w:ascii="Times New Roman" w:hAnsi="Times New Roman" w:eastAsia="宋体" w:cs="Times New Roman"/>
                      <w:b w:val="0"/>
                      <w:bCs/>
                      <w:color w:val="000000"/>
                      <w:kern w:val="2"/>
                      <w:szCs w:val="21"/>
                      <w:highlight w:val="none"/>
                      <w:vertAlign w:val="baseline"/>
                      <w:lang w:val="en-US" w:eastAsia="zh-CN"/>
                    </w:rPr>
                  </w:pPr>
                  <w:r>
                    <w:rPr>
                      <w:rFonts w:hint="eastAsia" w:ascii="Times New Roman" w:hAnsi="Times New Roman" w:cs="Times New Roman"/>
                      <w:b w:val="0"/>
                      <w:bCs/>
                      <w:color w:val="000000"/>
                      <w:kern w:val="2"/>
                      <w:szCs w:val="21"/>
                      <w:highlight w:val="none"/>
                      <w:vertAlign w:val="baseline"/>
                      <w:lang w:val="en-US" w:eastAsia="zh-CN"/>
                    </w:rPr>
                    <w:t>在厂房外设置监控点</w:t>
                  </w:r>
                </w:p>
              </w:tc>
            </w:tr>
            <w:tr w14:paraId="3C4E1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vMerge w:val="continue"/>
                  <w:noWrap w:val="0"/>
                  <w:vAlign w:val="center"/>
                </w:tcPr>
                <w:p w14:paraId="51C3F235">
                  <w:pPr>
                    <w:pStyle w:val="46"/>
                    <w:snapToGrid w:val="0"/>
                    <w:spacing w:line="240" w:lineRule="auto"/>
                    <w:jc w:val="center"/>
                    <w:rPr>
                      <w:rFonts w:hint="eastAsia" w:ascii="Times New Roman" w:hAnsi="Times New Roman" w:cs="Times New Roman"/>
                      <w:b w:val="0"/>
                      <w:bCs/>
                      <w:color w:val="000000"/>
                      <w:kern w:val="2"/>
                      <w:szCs w:val="21"/>
                      <w:highlight w:val="none"/>
                      <w:vertAlign w:val="baseline"/>
                      <w:lang w:val="en-US" w:eastAsia="zh-CN"/>
                    </w:rPr>
                  </w:pPr>
                </w:p>
              </w:tc>
              <w:tc>
                <w:tcPr>
                  <w:tcW w:w="1325" w:type="pct"/>
                  <w:noWrap w:val="0"/>
                  <w:vAlign w:val="center"/>
                </w:tcPr>
                <w:p w14:paraId="43CB353E">
                  <w:pPr>
                    <w:pStyle w:val="46"/>
                    <w:snapToGrid w:val="0"/>
                    <w:spacing w:line="240" w:lineRule="auto"/>
                    <w:jc w:val="center"/>
                    <w:rPr>
                      <w:rFonts w:hint="default" w:ascii="Times New Roman" w:hAnsi="Times New Roman" w:eastAsia="宋体" w:cs="Times New Roman"/>
                      <w:b w:val="0"/>
                      <w:bCs/>
                      <w:color w:val="000000"/>
                      <w:kern w:val="2"/>
                      <w:szCs w:val="21"/>
                      <w:highlight w:val="none"/>
                      <w:vertAlign w:val="baseline"/>
                      <w:lang w:val="en-US" w:eastAsia="zh-CN"/>
                    </w:rPr>
                  </w:pPr>
                  <w:r>
                    <w:rPr>
                      <w:rFonts w:hint="eastAsia" w:ascii="Times New Roman" w:hAnsi="Times New Roman" w:cs="Times New Roman"/>
                      <w:b w:val="0"/>
                      <w:bCs/>
                      <w:color w:val="000000"/>
                      <w:kern w:val="2"/>
                      <w:szCs w:val="21"/>
                      <w:highlight w:val="none"/>
                      <w:vertAlign w:val="baseline"/>
                      <w:lang w:val="en-US" w:eastAsia="zh-CN"/>
                    </w:rPr>
                    <w:t>20</w:t>
                  </w:r>
                </w:p>
              </w:tc>
              <w:tc>
                <w:tcPr>
                  <w:tcW w:w="1483" w:type="pct"/>
                  <w:noWrap w:val="0"/>
                  <w:vAlign w:val="center"/>
                </w:tcPr>
                <w:p w14:paraId="1CEBC632">
                  <w:pPr>
                    <w:pStyle w:val="46"/>
                    <w:snapToGrid w:val="0"/>
                    <w:spacing w:line="240" w:lineRule="auto"/>
                    <w:jc w:val="center"/>
                    <w:rPr>
                      <w:rFonts w:hint="default" w:ascii="Times New Roman" w:hAnsi="Times New Roman" w:eastAsia="宋体" w:cs="Times New Roman"/>
                      <w:b w:val="0"/>
                      <w:bCs/>
                      <w:color w:val="000000"/>
                      <w:kern w:val="2"/>
                      <w:szCs w:val="21"/>
                      <w:highlight w:val="none"/>
                      <w:vertAlign w:val="baseline"/>
                      <w:lang w:val="en-US" w:eastAsia="zh-CN"/>
                    </w:rPr>
                  </w:pPr>
                  <w:r>
                    <w:rPr>
                      <w:rFonts w:hint="eastAsia" w:ascii="Times New Roman" w:hAnsi="Times New Roman" w:cs="Times New Roman"/>
                      <w:b w:val="0"/>
                      <w:bCs/>
                      <w:color w:val="000000"/>
                      <w:kern w:val="2"/>
                      <w:szCs w:val="21"/>
                      <w:highlight w:val="none"/>
                      <w:vertAlign w:val="baseline"/>
                      <w:lang w:val="en-US" w:eastAsia="zh-CN"/>
                    </w:rPr>
                    <w:t>监控点任意一次浓度值</w:t>
                  </w:r>
                </w:p>
              </w:tc>
              <w:tc>
                <w:tcPr>
                  <w:tcW w:w="1396" w:type="pct"/>
                  <w:vMerge w:val="continue"/>
                  <w:noWrap w:val="0"/>
                  <w:vAlign w:val="center"/>
                </w:tcPr>
                <w:p w14:paraId="713BC78B">
                  <w:pPr>
                    <w:pStyle w:val="46"/>
                    <w:snapToGrid w:val="0"/>
                    <w:spacing w:line="240" w:lineRule="auto"/>
                    <w:jc w:val="center"/>
                    <w:rPr>
                      <w:rFonts w:hint="default" w:ascii="Times New Roman" w:hAnsi="Times New Roman" w:cs="Times New Roman"/>
                      <w:b w:val="0"/>
                      <w:bCs/>
                      <w:color w:val="000000"/>
                      <w:kern w:val="2"/>
                      <w:szCs w:val="21"/>
                      <w:highlight w:val="none"/>
                      <w:vertAlign w:val="baseline"/>
                    </w:rPr>
                  </w:pPr>
                </w:p>
              </w:tc>
            </w:tr>
          </w:tbl>
          <w:p w14:paraId="00310E27">
            <w:pPr>
              <w:keepNext w:val="0"/>
              <w:keepLines w:val="0"/>
              <w:pageBreakBefore w:val="0"/>
              <w:widowControl w:val="0"/>
              <w:kinsoku/>
              <w:wordWrap/>
              <w:overflowPunct/>
              <w:topLinePunct w:val="0"/>
              <w:autoSpaceDE/>
              <w:autoSpaceDN/>
              <w:bidi w:val="0"/>
              <w:spacing w:line="360" w:lineRule="auto"/>
              <w:jc w:val="center"/>
              <w:rPr>
                <w:rFonts w:hint="default" w:ascii="Times New Roman" w:hAnsi="Times New Roman" w:eastAsia="宋体" w:cs="Times New Roman"/>
                <w:b/>
                <w:bCs/>
                <w:snapToGrid w:val="0"/>
                <w:color w:val="auto"/>
                <w:kern w:val="0"/>
                <w:sz w:val="21"/>
                <w:szCs w:val="21"/>
                <w:highlight w:val="none"/>
                <w:vertAlign w:val="superscript"/>
                <w:lang w:val="en-US" w:eastAsia="zh-CN"/>
              </w:rPr>
            </w:pPr>
            <w:r>
              <w:rPr>
                <w:rFonts w:hint="eastAsia" w:cs="Times New Roman"/>
                <w:b/>
                <w:bCs/>
                <w:snapToGrid w:val="0"/>
                <w:color w:val="auto"/>
                <w:kern w:val="0"/>
                <w:sz w:val="21"/>
                <w:szCs w:val="21"/>
                <w:highlight w:val="none"/>
                <w:lang w:val="en-US" w:eastAsia="zh-CN"/>
              </w:rPr>
              <w:t xml:space="preserve">表3-11  </w:t>
            </w:r>
            <w:r>
              <w:rPr>
                <w:rFonts w:hint="default" w:ascii="Times New Roman" w:hAnsi="Times New Roman" w:eastAsia="宋体" w:cs="Times New Roman"/>
                <w:b/>
                <w:bCs/>
                <w:snapToGrid w:val="0"/>
                <w:color w:val="auto"/>
                <w:kern w:val="0"/>
                <w:sz w:val="21"/>
                <w:szCs w:val="21"/>
                <w:highlight w:val="none"/>
                <w:lang w:val="en-US" w:eastAsia="zh-CN"/>
              </w:rPr>
              <w:t>《合成树脂工业污染物排放标准》</w:t>
            </w:r>
            <w:r>
              <w:rPr>
                <w:rFonts w:hint="eastAsia" w:cs="Times New Roman"/>
                <w:b/>
                <w:bCs/>
                <w:snapToGrid w:val="0"/>
                <w:color w:val="auto"/>
                <w:kern w:val="0"/>
                <w:sz w:val="21"/>
                <w:szCs w:val="21"/>
                <w:highlight w:val="none"/>
                <w:lang w:val="en-US" w:eastAsia="zh-CN"/>
              </w:rPr>
              <w:t xml:space="preserve">  单位：mg/m</w:t>
            </w:r>
            <w:r>
              <w:rPr>
                <w:rFonts w:hint="eastAsia" w:cs="Times New Roman"/>
                <w:b/>
                <w:bCs/>
                <w:snapToGrid w:val="0"/>
                <w:color w:val="auto"/>
                <w:kern w:val="0"/>
                <w:sz w:val="21"/>
                <w:szCs w:val="21"/>
                <w:highlight w:val="none"/>
                <w:vertAlign w:val="superscript"/>
                <w:lang w:val="en-US" w:eastAsia="zh-CN"/>
              </w:rPr>
              <w:t>3</w:t>
            </w: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1510"/>
              <w:gridCol w:w="2371"/>
              <w:gridCol w:w="2374"/>
            </w:tblGrid>
            <w:tr w14:paraId="73FC4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5000" w:type="pct"/>
                  <w:gridSpan w:val="4"/>
                  <w:vAlign w:val="center"/>
                </w:tcPr>
                <w:p w14:paraId="65BE01C8">
                  <w:pPr>
                    <w:keepNext w:val="0"/>
                    <w:keepLines w:val="0"/>
                    <w:pageBreakBefore w:val="0"/>
                    <w:widowControl w:val="0"/>
                    <w:kinsoku/>
                    <w:wordWrap/>
                    <w:overflowPunct/>
                    <w:topLinePunct w:val="0"/>
                    <w:autoSpaceDE/>
                    <w:autoSpaceDN/>
                    <w:bidi w:val="0"/>
                    <w:spacing w:line="240" w:lineRule="auto"/>
                    <w:jc w:val="center"/>
                    <w:rPr>
                      <w:rFonts w:hint="default" w:ascii="Times New Roman" w:hAnsi="Times New Roman" w:eastAsia="宋体" w:cs="Times New Roman"/>
                      <w:b/>
                      <w:bCs/>
                      <w:snapToGrid w:val="0"/>
                      <w:color w:val="auto"/>
                      <w:kern w:val="0"/>
                      <w:sz w:val="21"/>
                      <w:szCs w:val="21"/>
                      <w:highlight w:val="none"/>
                      <w:vertAlign w:val="baseline"/>
                      <w:lang w:val="en-US" w:eastAsia="zh-CN"/>
                    </w:rPr>
                  </w:pPr>
                  <w:r>
                    <w:rPr>
                      <w:rFonts w:hint="eastAsia" w:cs="Times New Roman"/>
                      <w:b/>
                      <w:bCs/>
                      <w:snapToGrid w:val="0"/>
                      <w:color w:val="auto"/>
                      <w:kern w:val="0"/>
                      <w:sz w:val="21"/>
                      <w:szCs w:val="21"/>
                      <w:highlight w:val="none"/>
                      <w:vertAlign w:val="baseline"/>
                      <w:lang w:val="en-US" w:eastAsia="zh-CN"/>
                    </w:rPr>
                    <w:t>大气污染物特别排放限值</w:t>
                  </w:r>
                </w:p>
              </w:tc>
            </w:tr>
            <w:tr w14:paraId="3D254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67" w:type="pct"/>
                  <w:shd w:val="clear" w:color="auto" w:fill="auto"/>
                  <w:vAlign w:val="center"/>
                </w:tcPr>
                <w:p w14:paraId="6C5DB8F6">
                  <w:pPr>
                    <w:keepNext w:val="0"/>
                    <w:keepLines w:val="0"/>
                    <w:pageBreakBefore w:val="0"/>
                    <w:widowControl w:val="0"/>
                    <w:kinsoku/>
                    <w:wordWrap/>
                    <w:overflowPunct/>
                    <w:topLinePunct w:val="0"/>
                    <w:autoSpaceDE/>
                    <w:autoSpaceDN/>
                    <w:bidi w:val="0"/>
                    <w:spacing w:line="240" w:lineRule="auto"/>
                    <w:jc w:val="center"/>
                    <w:rPr>
                      <w:rFonts w:hint="eastAsia" w:ascii="Times New Roman" w:hAnsi="Times New Roman" w:eastAsia="宋体" w:cs="Times New Roman"/>
                      <w:b/>
                      <w:bCs/>
                      <w:snapToGrid w:val="0"/>
                      <w:color w:val="auto"/>
                      <w:kern w:val="0"/>
                      <w:sz w:val="21"/>
                      <w:szCs w:val="21"/>
                      <w:highlight w:val="none"/>
                      <w:vertAlign w:val="baseline"/>
                      <w:lang w:val="en-US" w:eastAsia="zh-CN" w:bidi="ar-SA"/>
                    </w:rPr>
                  </w:pPr>
                  <w:r>
                    <w:rPr>
                      <w:rFonts w:hint="eastAsia" w:cs="Times New Roman"/>
                      <w:b/>
                      <w:bCs/>
                      <w:snapToGrid w:val="0"/>
                      <w:color w:val="auto"/>
                      <w:kern w:val="0"/>
                      <w:sz w:val="21"/>
                      <w:szCs w:val="21"/>
                      <w:highlight w:val="none"/>
                      <w:vertAlign w:val="baseline"/>
                      <w:lang w:val="en-US" w:eastAsia="zh-CN"/>
                    </w:rPr>
                    <w:t>污染物项目</w:t>
                  </w:r>
                </w:p>
              </w:tc>
              <w:tc>
                <w:tcPr>
                  <w:tcW w:w="901" w:type="pct"/>
                  <w:shd w:val="clear" w:color="auto" w:fill="auto"/>
                  <w:vAlign w:val="center"/>
                </w:tcPr>
                <w:p w14:paraId="5DE6313E">
                  <w:pPr>
                    <w:keepNext w:val="0"/>
                    <w:keepLines w:val="0"/>
                    <w:pageBreakBefore w:val="0"/>
                    <w:widowControl w:val="0"/>
                    <w:kinsoku/>
                    <w:wordWrap/>
                    <w:overflowPunct/>
                    <w:topLinePunct w:val="0"/>
                    <w:autoSpaceDE/>
                    <w:autoSpaceDN/>
                    <w:bidi w:val="0"/>
                    <w:spacing w:line="240" w:lineRule="auto"/>
                    <w:jc w:val="center"/>
                    <w:rPr>
                      <w:rFonts w:hint="eastAsia" w:ascii="Times New Roman" w:hAnsi="Times New Roman" w:eastAsia="宋体" w:cs="Times New Roman"/>
                      <w:b/>
                      <w:bCs/>
                      <w:snapToGrid w:val="0"/>
                      <w:color w:val="auto"/>
                      <w:kern w:val="0"/>
                      <w:sz w:val="21"/>
                      <w:szCs w:val="21"/>
                      <w:highlight w:val="none"/>
                      <w:vertAlign w:val="baseline"/>
                      <w:lang w:val="en-US" w:eastAsia="zh-CN" w:bidi="ar-SA"/>
                    </w:rPr>
                  </w:pPr>
                  <w:r>
                    <w:rPr>
                      <w:rFonts w:hint="eastAsia" w:cs="Times New Roman"/>
                      <w:b/>
                      <w:bCs/>
                      <w:snapToGrid w:val="0"/>
                      <w:color w:val="auto"/>
                      <w:kern w:val="0"/>
                      <w:sz w:val="21"/>
                      <w:szCs w:val="21"/>
                      <w:highlight w:val="none"/>
                      <w:vertAlign w:val="baseline"/>
                      <w:lang w:val="en-US" w:eastAsia="zh-CN"/>
                    </w:rPr>
                    <w:t>排放限值</w:t>
                  </w:r>
                </w:p>
              </w:tc>
              <w:tc>
                <w:tcPr>
                  <w:tcW w:w="1415" w:type="pct"/>
                  <w:shd w:val="clear" w:color="auto" w:fill="auto"/>
                  <w:vAlign w:val="center"/>
                </w:tcPr>
                <w:p w14:paraId="5F766582">
                  <w:pPr>
                    <w:keepNext w:val="0"/>
                    <w:keepLines w:val="0"/>
                    <w:pageBreakBefore w:val="0"/>
                    <w:widowControl w:val="0"/>
                    <w:kinsoku/>
                    <w:wordWrap/>
                    <w:overflowPunct/>
                    <w:topLinePunct w:val="0"/>
                    <w:autoSpaceDE/>
                    <w:autoSpaceDN/>
                    <w:bidi w:val="0"/>
                    <w:spacing w:line="240" w:lineRule="auto"/>
                    <w:jc w:val="center"/>
                    <w:rPr>
                      <w:rFonts w:hint="eastAsia" w:ascii="Times New Roman" w:hAnsi="Times New Roman" w:eastAsia="宋体" w:cs="Times New Roman"/>
                      <w:b/>
                      <w:bCs/>
                      <w:snapToGrid w:val="0"/>
                      <w:color w:val="auto"/>
                      <w:kern w:val="0"/>
                      <w:sz w:val="21"/>
                      <w:szCs w:val="21"/>
                      <w:highlight w:val="none"/>
                      <w:vertAlign w:val="baseline"/>
                      <w:lang w:val="en-US" w:eastAsia="zh-CN" w:bidi="ar-SA"/>
                    </w:rPr>
                  </w:pPr>
                  <w:r>
                    <w:rPr>
                      <w:rFonts w:hint="eastAsia" w:cs="Times New Roman"/>
                      <w:b/>
                      <w:bCs/>
                      <w:snapToGrid w:val="0"/>
                      <w:color w:val="auto"/>
                      <w:kern w:val="0"/>
                      <w:sz w:val="21"/>
                      <w:szCs w:val="21"/>
                      <w:highlight w:val="none"/>
                      <w:vertAlign w:val="baseline"/>
                      <w:lang w:val="en-US" w:eastAsia="zh-CN"/>
                    </w:rPr>
                    <w:t>适合的合成树脂类型</w:t>
                  </w:r>
                </w:p>
              </w:tc>
              <w:tc>
                <w:tcPr>
                  <w:tcW w:w="1415" w:type="pct"/>
                  <w:shd w:val="clear" w:color="auto" w:fill="auto"/>
                  <w:vAlign w:val="center"/>
                </w:tcPr>
                <w:p w14:paraId="3289CBF0">
                  <w:pPr>
                    <w:keepNext w:val="0"/>
                    <w:keepLines w:val="0"/>
                    <w:pageBreakBefore w:val="0"/>
                    <w:widowControl w:val="0"/>
                    <w:kinsoku/>
                    <w:wordWrap/>
                    <w:overflowPunct/>
                    <w:topLinePunct w:val="0"/>
                    <w:autoSpaceDE/>
                    <w:autoSpaceDN/>
                    <w:bidi w:val="0"/>
                    <w:spacing w:line="240" w:lineRule="auto"/>
                    <w:jc w:val="center"/>
                    <w:rPr>
                      <w:rFonts w:hint="eastAsia" w:ascii="Times New Roman" w:hAnsi="Times New Roman" w:eastAsia="宋体" w:cs="Times New Roman"/>
                      <w:b/>
                      <w:bCs/>
                      <w:snapToGrid w:val="0"/>
                      <w:color w:val="auto"/>
                      <w:kern w:val="0"/>
                      <w:sz w:val="21"/>
                      <w:szCs w:val="21"/>
                      <w:highlight w:val="none"/>
                      <w:vertAlign w:val="baseline"/>
                      <w:lang w:val="en-US" w:eastAsia="zh-CN" w:bidi="ar-SA"/>
                    </w:rPr>
                  </w:pPr>
                  <w:r>
                    <w:rPr>
                      <w:rFonts w:hint="eastAsia" w:cs="Times New Roman"/>
                      <w:b/>
                      <w:bCs/>
                      <w:snapToGrid w:val="0"/>
                      <w:color w:val="auto"/>
                      <w:kern w:val="0"/>
                      <w:sz w:val="21"/>
                      <w:szCs w:val="21"/>
                      <w:highlight w:val="none"/>
                      <w:vertAlign w:val="baseline"/>
                      <w:lang w:val="en-US" w:eastAsia="zh-CN"/>
                    </w:rPr>
                    <w:t>污染物排放监控位置</w:t>
                  </w:r>
                </w:p>
              </w:tc>
            </w:tr>
            <w:tr w14:paraId="2DDC8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pct"/>
                  <w:vAlign w:val="center"/>
                </w:tcPr>
                <w:p w14:paraId="26D334BB">
                  <w:pPr>
                    <w:keepNext w:val="0"/>
                    <w:keepLines w:val="0"/>
                    <w:pageBreakBefore w:val="0"/>
                    <w:widowControl w:val="0"/>
                    <w:kinsoku/>
                    <w:wordWrap/>
                    <w:overflowPunct/>
                    <w:topLinePunct w:val="0"/>
                    <w:autoSpaceDE/>
                    <w:autoSpaceDN/>
                    <w:bidi w:val="0"/>
                    <w:spacing w:line="240" w:lineRule="auto"/>
                    <w:jc w:val="center"/>
                    <w:rPr>
                      <w:rFonts w:hint="eastAsia" w:ascii="Times New Roman" w:hAnsi="Times New Roman" w:eastAsia="宋体" w:cs="Times New Roman"/>
                      <w:b w:val="0"/>
                      <w:bCs w:val="0"/>
                      <w:snapToGrid w:val="0"/>
                      <w:color w:val="auto"/>
                      <w:kern w:val="0"/>
                      <w:sz w:val="21"/>
                      <w:szCs w:val="21"/>
                      <w:highlight w:val="none"/>
                      <w:vertAlign w:val="baseline"/>
                      <w:lang w:val="en-US" w:eastAsia="zh-CN"/>
                    </w:rPr>
                  </w:pPr>
                  <w:r>
                    <w:rPr>
                      <w:rFonts w:hint="eastAsia" w:cs="Times New Roman"/>
                      <w:b w:val="0"/>
                      <w:bCs w:val="0"/>
                      <w:snapToGrid w:val="0"/>
                      <w:color w:val="auto"/>
                      <w:kern w:val="0"/>
                      <w:sz w:val="21"/>
                      <w:szCs w:val="21"/>
                      <w:highlight w:val="none"/>
                      <w:vertAlign w:val="baseline"/>
                      <w:lang w:val="en-US" w:eastAsia="zh-CN"/>
                    </w:rPr>
                    <w:t>乙苯</w:t>
                  </w:r>
                </w:p>
              </w:tc>
              <w:tc>
                <w:tcPr>
                  <w:tcW w:w="901" w:type="pct"/>
                  <w:vAlign w:val="center"/>
                </w:tcPr>
                <w:p w14:paraId="0B7B27D1">
                  <w:pPr>
                    <w:keepNext w:val="0"/>
                    <w:keepLines w:val="0"/>
                    <w:pageBreakBefore w:val="0"/>
                    <w:widowControl w:val="0"/>
                    <w:kinsoku/>
                    <w:wordWrap/>
                    <w:overflowPunct/>
                    <w:topLinePunct w:val="0"/>
                    <w:autoSpaceDE/>
                    <w:autoSpaceDN/>
                    <w:bidi w:val="0"/>
                    <w:spacing w:line="240" w:lineRule="auto"/>
                    <w:jc w:val="center"/>
                    <w:rPr>
                      <w:rFonts w:hint="default" w:ascii="Times New Roman" w:hAnsi="Times New Roman" w:eastAsia="宋体" w:cs="Times New Roman"/>
                      <w:b w:val="0"/>
                      <w:bCs w:val="0"/>
                      <w:snapToGrid w:val="0"/>
                      <w:color w:val="auto"/>
                      <w:kern w:val="0"/>
                      <w:sz w:val="21"/>
                      <w:szCs w:val="21"/>
                      <w:highlight w:val="none"/>
                      <w:vertAlign w:val="baseline"/>
                      <w:lang w:val="en-US" w:eastAsia="zh-CN"/>
                    </w:rPr>
                  </w:pPr>
                  <w:r>
                    <w:rPr>
                      <w:rFonts w:hint="eastAsia" w:cs="Times New Roman"/>
                      <w:b w:val="0"/>
                      <w:bCs w:val="0"/>
                      <w:snapToGrid w:val="0"/>
                      <w:color w:val="auto"/>
                      <w:kern w:val="0"/>
                      <w:sz w:val="21"/>
                      <w:szCs w:val="21"/>
                      <w:highlight w:val="none"/>
                      <w:vertAlign w:val="baseline"/>
                      <w:lang w:val="en-US" w:eastAsia="zh-CN"/>
                    </w:rPr>
                    <w:t>50</w:t>
                  </w:r>
                </w:p>
              </w:tc>
              <w:tc>
                <w:tcPr>
                  <w:tcW w:w="1415" w:type="pct"/>
                  <w:vAlign w:val="center"/>
                </w:tcPr>
                <w:p w14:paraId="1285A64E">
                  <w:pPr>
                    <w:keepNext w:val="0"/>
                    <w:keepLines w:val="0"/>
                    <w:pageBreakBefore w:val="0"/>
                    <w:widowControl w:val="0"/>
                    <w:kinsoku/>
                    <w:wordWrap/>
                    <w:overflowPunct/>
                    <w:topLinePunct w:val="0"/>
                    <w:autoSpaceDE/>
                    <w:autoSpaceDN/>
                    <w:bidi w:val="0"/>
                    <w:spacing w:line="240" w:lineRule="auto"/>
                    <w:jc w:val="center"/>
                    <w:rPr>
                      <w:rFonts w:hint="eastAsia" w:cs="Times New Roman"/>
                      <w:b w:val="0"/>
                      <w:bCs w:val="0"/>
                      <w:snapToGrid w:val="0"/>
                      <w:color w:val="auto"/>
                      <w:kern w:val="0"/>
                      <w:sz w:val="21"/>
                      <w:szCs w:val="21"/>
                      <w:highlight w:val="none"/>
                      <w:vertAlign w:val="baseline"/>
                      <w:lang w:val="en-US" w:eastAsia="zh-CN"/>
                    </w:rPr>
                  </w:pPr>
                  <w:r>
                    <w:rPr>
                      <w:rFonts w:hint="eastAsia" w:cs="Times New Roman"/>
                      <w:b w:val="0"/>
                      <w:bCs w:val="0"/>
                      <w:snapToGrid w:val="0"/>
                      <w:color w:val="auto"/>
                      <w:kern w:val="0"/>
                      <w:sz w:val="21"/>
                      <w:szCs w:val="21"/>
                      <w:highlight w:val="none"/>
                      <w:vertAlign w:val="baseline"/>
                      <w:lang w:val="en-US" w:eastAsia="zh-CN"/>
                    </w:rPr>
                    <w:t>聚苯乙烯树脂</w:t>
                  </w:r>
                </w:p>
                <w:p w14:paraId="3669F867">
                  <w:pPr>
                    <w:keepNext w:val="0"/>
                    <w:keepLines w:val="0"/>
                    <w:pageBreakBefore w:val="0"/>
                    <w:widowControl w:val="0"/>
                    <w:kinsoku/>
                    <w:wordWrap/>
                    <w:overflowPunct/>
                    <w:topLinePunct w:val="0"/>
                    <w:autoSpaceDE/>
                    <w:autoSpaceDN/>
                    <w:bidi w:val="0"/>
                    <w:spacing w:line="240" w:lineRule="auto"/>
                    <w:jc w:val="center"/>
                    <w:rPr>
                      <w:rFonts w:hint="default" w:cs="Times New Roman"/>
                      <w:b w:val="0"/>
                      <w:bCs w:val="0"/>
                      <w:snapToGrid w:val="0"/>
                      <w:color w:val="auto"/>
                      <w:kern w:val="0"/>
                      <w:sz w:val="21"/>
                      <w:szCs w:val="21"/>
                      <w:highlight w:val="none"/>
                      <w:vertAlign w:val="baseline"/>
                      <w:lang w:val="en-US" w:eastAsia="zh-CN"/>
                    </w:rPr>
                  </w:pPr>
                  <w:r>
                    <w:rPr>
                      <w:rFonts w:hint="eastAsia" w:cs="Times New Roman"/>
                      <w:b w:val="0"/>
                      <w:bCs w:val="0"/>
                      <w:snapToGrid w:val="0"/>
                      <w:color w:val="auto"/>
                      <w:kern w:val="0"/>
                      <w:sz w:val="21"/>
                      <w:szCs w:val="21"/>
                      <w:highlight w:val="none"/>
                      <w:vertAlign w:val="baseline"/>
                      <w:lang w:val="en-US" w:eastAsia="zh-CN"/>
                    </w:rPr>
                    <w:t>ABS树脂</w:t>
                  </w:r>
                </w:p>
              </w:tc>
              <w:tc>
                <w:tcPr>
                  <w:tcW w:w="1415" w:type="pct"/>
                  <w:vAlign w:val="center"/>
                </w:tcPr>
                <w:p w14:paraId="5009661A">
                  <w:pPr>
                    <w:keepNext w:val="0"/>
                    <w:keepLines w:val="0"/>
                    <w:pageBreakBefore w:val="0"/>
                    <w:widowControl w:val="0"/>
                    <w:kinsoku/>
                    <w:wordWrap/>
                    <w:overflowPunct/>
                    <w:topLinePunct w:val="0"/>
                    <w:autoSpaceDE/>
                    <w:autoSpaceDN/>
                    <w:bidi w:val="0"/>
                    <w:spacing w:line="240" w:lineRule="auto"/>
                    <w:jc w:val="center"/>
                    <w:rPr>
                      <w:rFonts w:hint="default" w:ascii="Times New Roman" w:hAnsi="Times New Roman" w:eastAsia="宋体" w:cs="Times New Roman"/>
                      <w:b w:val="0"/>
                      <w:bCs w:val="0"/>
                      <w:snapToGrid w:val="0"/>
                      <w:color w:val="auto"/>
                      <w:kern w:val="0"/>
                      <w:sz w:val="21"/>
                      <w:szCs w:val="21"/>
                      <w:highlight w:val="none"/>
                      <w:vertAlign w:val="baseline"/>
                      <w:lang w:val="en-US" w:eastAsia="zh-CN"/>
                    </w:rPr>
                  </w:pPr>
                  <w:r>
                    <w:rPr>
                      <w:rFonts w:hint="eastAsia" w:cs="Times New Roman"/>
                      <w:b w:val="0"/>
                      <w:bCs w:val="0"/>
                      <w:snapToGrid w:val="0"/>
                      <w:color w:val="auto"/>
                      <w:kern w:val="0"/>
                      <w:sz w:val="21"/>
                      <w:szCs w:val="21"/>
                      <w:highlight w:val="none"/>
                      <w:vertAlign w:val="baseline"/>
                      <w:lang w:val="en-US" w:eastAsia="zh-CN"/>
                    </w:rPr>
                    <w:t>车间或生产设施排气筒</w:t>
                  </w:r>
                </w:p>
              </w:tc>
            </w:tr>
          </w:tbl>
          <w:p w14:paraId="52D49CD0">
            <w:pPr>
              <w:keepNext w:val="0"/>
              <w:keepLines w:val="0"/>
              <w:pageBreakBefore w:val="0"/>
              <w:widowControl w:val="0"/>
              <w:kinsoku/>
              <w:wordWrap/>
              <w:overflowPunct/>
              <w:topLinePunct w:val="0"/>
              <w:autoSpaceDE/>
              <w:autoSpaceDN/>
              <w:bidi w:val="0"/>
              <w:spacing w:line="360" w:lineRule="auto"/>
              <w:ind w:firstLine="482" w:firstLineChars="200"/>
              <w:jc w:val="both"/>
              <w:rPr>
                <w:rFonts w:hint="default" w:ascii="Times New Roman" w:hAnsi="Times New Roman" w:eastAsia="宋体" w:cs="Times New Roman"/>
                <w:b/>
                <w:bCs/>
                <w:snapToGrid w:val="0"/>
                <w:color w:val="auto"/>
                <w:kern w:val="0"/>
                <w:sz w:val="24"/>
                <w:szCs w:val="24"/>
                <w:highlight w:val="none"/>
              </w:rPr>
            </w:pPr>
            <w:r>
              <w:rPr>
                <w:rFonts w:hint="default" w:ascii="Times New Roman" w:hAnsi="Times New Roman" w:eastAsia="宋体" w:cs="Times New Roman"/>
                <w:b/>
                <w:bCs/>
                <w:snapToGrid w:val="0"/>
                <w:color w:val="auto"/>
                <w:kern w:val="0"/>
                <w:sz w:val="24"/>
                <w:szCs w:val="24"/>
                <w:highlight w:val="none"/>
              </w:rPr>
              <w:t>2、废水</w:t>
            </w:r>
          </w:p>
          <w:p w14:paraId="43C34FE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4"/>
                <w:szCs w:val="24"/>
                <w:highlight w:val="none"/>
                <w:lang w:eastAsia="zh-CN"/>
              </w:rPr>
              <w:t>厂区</w:t>
            </w:r>
            <w:r>
              <w:rPr>
                <w:rFonts w:hint="default" w:ascii="Times New Roman" w:hAnsi="Times New Roman" w:cs="Times New Roman"/>
                <w:color w:val="auto"/>
                <w:sz w:val="24"/>
                <w:szCs w:val="24"/>
                <w:highlight w:val="none"/>
              </w:rPr>
              <w:t>实行雨污分流制</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废水排放执行</w:t>
            </w:r>
            <w:r>
              <w:rPr>
                <w:rFonts w:hint="eastAsia"/>
                <w:color w:val="auto"/>
                <w:sz w:val="24"/>
                <w:szCs w:val="32"/>
                <w:highlight w:val="none"/>
                <w:lang w:eastAsia="zh-CN"/>
              </w:rPr>
              <w:t>《</w:t>
            </w:r>
            <w:r>
              <w:rPr>
                <w:rFonts w:hint="eastAsia"/>
                <w:color w:val="auto"/>
                <w:sz w:val="24"/>
                <w:szCs w:val="32"/>
                <w:highlight w:val="none"/>
                <w:lang w:val="en-US" w:eastAsia="zh-CN"/>
              </w:rPr>
              <w:t>电子工业水污染物排放标准</w:t>
            </w:r>
            <w:r>
              <w:rPr>
                <w:rFonts w:hint="eastAsia"/>
                <w:color w:val="auto"/>
                <w:sz w:val="24"/>
                <w:szCs w:val="32"/>
                <w:highlight w:val="none"/>
                <w:lang w:eastAsia="zh-CN"/>
              </w:rPr>
              <w:t>》（GB</w:t>
            </w:r>
            <w:r>
              <w:rPr>
                <w:rFonts w:hint="eastAsia"/>
                <w:color w:val="auto"/>
                <w:sz w:val="24"/>
                <w:szCs w:val="32"/>
                <w:highlight w:val="none"/>
                <w:lang w:val="en-US" w:eastAsia="zh-CN"/>
              </w:rPr>
              <w:t>39731</w:t>
            </w:r>
            <w:r>
              <w:rPr>
                <w:rFonts w:hint="eastAsia"/>
                <w:color w:val="auto"/>
                <w:sz w:val="24"/>
                <w:szCs w:val="32"/>
                <w:highlight w:val="none"/>
                <w:lang w:eastAsia="zh-CN"/>
              </w:rPr>
              <w:t>-</w:t>
            </w:r>
            <w:r>
              <w:rPr>
                <w:rFonts w:hint="eastAsia"/>
                <w:color w:val="auto"/>
                <w:sz w:val="24"/>
                <w:szCs w:val="32"/>
                <w:highlight w:val="none"/>
                <w:lang w:val="en-US" w:eastAsia="zh-CN"/>
              </w:rPr>
              <w:t>2020</w:t>
            </w:r>
            <w:r>
              <w:rPr>
                <w:rFonts w:hint="eastAsia"/>
                <w:color w:val="auto"/>
                <w:sz w:val="24"/>
                <w:szCs w:val="32"/>
                <w:highlight w:val="none"/>
                <w:lang w:eastAsia="zh-CN"/>
              </w:rPr>
              <w:t>）表</w:t>
            </w:r>
            <w:r>
              <w:rPr>
                <w:rFonts w:hint="eastAsia"/>
                <w:color w:val="auto"/>
                <w:sz w:val="24"/>
                <w:szCs w:val="32"/>
                <w:highlight w:val="none"/>
                <w:lang w:val="en-US" w:eastAsia="zh-CN"/>
              </w:rPr>
              <w:t>1、表2限值、</w:t>
            </w:r>
            <w:r>
              <w:rPr>
                <w:rFonts w:hint="eastAsia" w:cs="Times New Roman"/>
                <w:color w:val="auto"/>
                <w:sz w:val="24"/>
                <w:szCs w:val="24"/>
                <w:highlight w:val="none"/>
                <w:lang w:eastAsia="zh-CN"/>
              </w:rPr>
              <w:t>皖江江南新兴产业集中区第一污水处理厂</w:t>
            </w:r>
            <w:r>
              <w:rPr>
                <w:color w:val="auto"/>
                <w:sz w:val="24"/>
                <w:szCs w:val="32"/>
                <w:highlight w:val="none"/>
              </w:rPr>
              <w:t>接管限值</w:t>
            </w:r>
            <w:r>
              <w:rPr>
                <w:rFonts w:hint="eastAsia"/>
                <w:color w:val="auto"/>
                <w:sz w:val="24"/>
                <w:szCs w:val="32"/>
                <w:highlight w:val="none"/>
                <w:lang w:val="en-US" w:eastAsia="zh-CN"/>
              </w:rPr>
              <w:t>要求后经市政污水管网</w:t>
            </w:r>
            <w:r>
              <w:rPr>
                <w:rFonts w:hint="eastAsia" w:ascii="Times New Roman" w:hAnsi="Times New Roman" w:cs="Times New Roman"/>
                <w:color w:val="auto"/>
                <w:sz w:val="24"/>
                <w:szCs w:val="24"/>
                <w:highlight w:val="none"/>
                <w:lang w:eastAsia="zh-CN"/>
              </w:rPr>
              <w:t>排入</w:t>
            </w:r>
            <w:r>
              <w:rPr>
                <w:rFonts w:hint="eastAsia" w:cs="Times New Roman"/>
                <w:color w:val="auto"/>
                <w:sz w:val="24"/>
                <w:szCs w:val="24"/>
                <w:highlight w:val="none"/>
                <w:lang w:eastAsia="zh-CN"/>
              </w:rPr>
              <w:t>皖江江南新兴产业集中区第一污水处理厂深度</w:t>
            </w:r>
            <w:r>
              <w:rPr>
                <w:rFonts w:hint="eastAsia" w:ascii="Times New Roman" w:hAnsi="Times New Roman" w:cs="Times New Roman"/>
                <w:color w:val="auto"/>
                <w:sz w:val="24"/>
                <w:szCs w:val="24"/>
                <w:highlight w:val="none"/>
                <w:lang w:eastAsia="zh-CN"/>
              </w:rPr>
              <w:t>处理</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lang w:eastAsia="zh-CN"/>
              </w:rPr>
              <w:t>污水处理厂尾水达</w:t>
            </w:r>
            <w:r>
              <w:rPr>
                <w:rFonts w:hint="eastAsia" w:cs="Times New Roman"/>
                <w:color w:val="auto"/>
                <w:sz w:val="24"/>
                <w:szCs w:val="24"/>
                <w:highlight w:val="none"/>
                <w:lang w:eastAsia="zh-CN"/>
              </w:rPr>
              <w:t>《城镇污水处理厂污染物排放标准》（GB18918-2002）</w:t>
            </w:r>
            <w:r>
              <w:rPr>
                <w:rFonts w:hint="default" w:ascii="Times New Roman" w:hAnsi="Times New Roman" w:cs="Times New Roman"/>
                <w:color w:val="auto"/>
                <w:sz w:val="24"/>
                <w:szCs w:val="24"/>
                <w:highlight w:val="none"/>
                <w:lang w:eastAsia="zh-CN"/>
              </w:rPr>
              <w:t>一级A标准</w:t>
            </w:r>
            <w:r>
              <w:rPr>
                <w:rFonts w:hint="eastAsia" w:ascii="Times New Roman" w:hAnsi="Times New Roman" w:cs="Times New Roman"/>
                <w:color w:val="auto"/>
                <w:sz w:val="24"/>
                <w:szCs w:val="24"/>
                <w:highlight w:val="none"/>
                <w:lang w:eastAsia="zh-CN"/>
              </w:rPr>
              <w:t>后经九华河排入长江</w:t>
            </w:r>
            <w:r>
              <w:rPr>
                <w:rFonts w:hint="eastAsia" w:ascii="Times New Roman" w:hAnsi="Times New Roman" w:eastAsia="宋体" w:cs="Times New Roman"/>
                <w:color w:val="auto"/>
                <w:sz w:val="24"/>
                <w:szCs w:val="24"/>
                <w:highlight w:val="none"/>
                <w:lang w:eastAsia="zh-CN"/>
              </w:rPr>
              <w:t>。</w:t>
            </w:r>
            <w:r>
              <w:rPr>
                <w:rFonts w:hint="eastAsia"/>
                <w:color w:val="auto"/>
                <w:sz w:val="24"/>
                <w:szCs w:val="32"/>
                <w:highlight w:val="none"/>
                <w:lang w:eastAsia="zh-CN"/>
              </w:rPr>
              <w:t>具体限值详见下表：</w:t>
            </w:r>
          </w:p>
          <w:p w14:paraId="0EC0AFB0">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color w:val="auto"/>
                <w:highlight w:val="none"/>
                <w:lang w:val="en-US" w:eastAsia="zh-CN"/>
              </w:rPr>
              <w:t>表3-</w:t>
            </w:r>
            <w:r>
              <w:rPr>
                <w:rFonts w:hint="eastAsia" w:ascii="Times New Roman" w:hAnsi="Times New Roman" w:cs="Times New Roman"/>
                <w:color w:val="auto"/>
                <w:highlight w:val="none"/>
                <w:lang w:val="en-US" w:eastAsia="zh-CN"/>
              </w:rPr>
              <w:t xml:space="preserve">12  </w:t>
            </w:r>
            <w:r>
              <w:rPr>
                <w:rFonts w:hint="eastAsia" w:ascii="Times New Roman" w:hAnsi="Times New Roman" w:cs="Times New Roman"/>
                <w:b/>
                <w:bCs/>
                <w:color w:val="auto"/>
                <w:sz w:val="21"/>
                <w:szCs w:val="21"/>
                <w:highlight w:val="none"/>
                <w:lang w:val="en-US" w:eastAsia="zh-CN"/>
              </w:rPr>
              <w:t>废水排放标准单位：mg/L（pH 无量纲）</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2"/>
              <w:gridCol w:w="2163"/>
              <w:gridCol w:w="1483"/>
              <w:gridCol w:w="1520"/>
              <w:gridCol w:w="2186"/>
            </w:tblGrid>
            <w:tr w14:paraId="7B4FD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05681B2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污染物</w:t>
                  </w:r>
                </w:p>
              </w:tc>
              <w:tc>
                <w:tcPr>
                  <w:tcW w:w="1291" w:type="pct"/>
                  <w:noWrap w:val="0"/>
                  <w:vAlign w:val="center"/>
                </w:tcPr>
                <w:p w14:paraId="114440A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lang w:val="en-US" w:eastAsia="en-US"/>
                    </w:rPr>
                    <w:t>《</w:t>
                  </w:r>
                  <w:r>
                    <w:rPr>
                      <w:rFonts w:hint="eastAsia" w:cs="Times New Roman"/>
                      <w:b/>
                      <w:bCs/>
                      <w:color w:val="auto"/>
                      <w:sz w:val="21"/>
                      <w:szCs w:val="21"/>
                      <w:highlight w:val="none"/>
                      <w:lang w:val="en-US" w:eastAsia="zh-CN"/>
                    </w:rPr>
                    <w:t>电子工业水污染物排放标准</w:t>
                  </w:r>
                  <w:r>
                    <w:rPr>
                      <w:rFonts w:hint="default" w:ascii="Times New Roman" w:hAnsi="Times New Roman" w:cs="Times New Roman"/>
                      <w:b/>
                      <w:bCs/>
                      <w:color w:val="auto"/>
                      <w:sz w:val="21"/>
                      <w:szCs w:val="21"/>
                      <w:highlight w:val="none"/>
                      <w:lang w:val="en-US" w:eastAsia="en-US"/>
                    </w:rPr>
                    <w:t>》（GB39731-2020）</w:t>
                  </w:r>
                </w:p>
              </w:tc>
              <w:tc>
                <w:tcPr>
                  <w:tcW w:w="885" w:type="pct"/>
                  <w:noWrap w:val="0"/>
                  <w:vAlign w:val="center"/>
                </w:tcPr>
                <w:p w14:paraId="6F8900A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eastAsia" w:ascii="Times New Roman" w:hAnsi="Times New Roman" w:cs="Times New Roman"/>
                      <w:b/>
                      <w:bCs/>
                      <w:color w:val="auto"/>
                      <w:sz w:val="21"/>
                      <w:szCs w:val="21"/>
                      <w:highlight w:val="none"/>
                      <w:lang w:val="en-US" w:eastAsia="zh-CN"/>
                    </w:rPr>
                    <w:t>江南集中区第一污水处理厂</w:t>
                  </w:r>
                  <w:r>
                    <w:rPr>
                      <w:rFonts w:hint="default" w:ascii="Times New Roman" w:hAnsi="Times New Roman" w:cs="Times New Roman"/>
                      <w:b/>
                      <w:bCs/>
                      <w:color w:val="auto"/>
                      <w:sz w:val="21"/>
                      <w:szCs w:val="21"/>
                      <w:highlight w:val="none"/>
                    </w:rPr>
                    <w:t>接管标准</w:t>
                  </w:r>
                </w:p>
              </w:tc>
              <w:tc>
                <w:tcPr>
                  <w:tcW w:w="907" w:type="pct"/>
                  <w:noWrap w:val="0"/>
                  <w:vAlign w:val="center"/>
                </w:tcPr>
                <w:p w14:paraId="5B95D18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default" w:ascii="Times New Roman" w:hAnsi="Times New Roman" w:cs="Times New Roman"/>
                      <w:b/>
                      <w:bCs/>
                      <w:color w:val="auto"/>
                      <w:sz w:val="21"/>
                      <w:szCs w:val="21"/>
                      <w:highlight w:val="none"/>
                    </w:rPr>
                    <w:t>本项目废水排放执行标准</w:t>
                  </w:r>
                </w:p>
              </w:tc>
              <w:tc>
                <w:tcPr>
                  <w:tcW w:w="1305" w:type="pct"/>
                  <w:noWrap w:val="0"/>
                  <w:vAlign w:val="center"/>
                </w:tcPr>
                <w:p w14:paraId="3818FA4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lang w:val="en-US" w:eastAsia="en-US"/>
                    </w:rPr>
                  </w:pPr>
                  <w:r>
                    <w:rPr>
                      <w:rFonts w:hint="eastAsia" w:cs="Times New Roman"/>
                      <w:b/>
                      <w:bCs/>
                      <w:color w:val="auto"/>
                      <w:sz w:val="21"/>
                      <w:szCs w:val="21"/>
                      <w:highlight w:val="none"/>
                      <w:lang w:val="en-US" w:eastAsia="zh-CN"/>
                    </w:rPr>
                    <w:t>《城镇污水处理厂污染物排放标准》（GB18918-2002）</w:t>
                  </w:r>
                  <w:r>
                    <w:rPr>
                      <w:rFonts w:hint="default" w:ascii="Times New Roman" w:hAnsi="Times New Roman" w:cs="Times New Roman"/>
                      <w:b/>
                      <w:bCs/>
                      <w:color w:val="auto"/>
                      <w:sz w:val="21"/>
                      <w:szCs w:val="21"/>
                      <w:highlight w:val="none"/>
                      <w:lang w:val="en-US" w:eastAsia="en-US"/>
                    </w:rPr>
                    <w:t>一级A标准</w:t>
                  </w:r>
                </w:p>
              </w:tc>
            </w:tr>
            <w:tr w14:paraId="16F29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34093887">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pH</w:t>
                  </w:r>
                </w:p>
              </w:tc>
              <w:tc>
                <w:tcPr>
                  <w:tcW w:w="1291" w:type="pct"/>
                  <w:noWrap w:val="0"/>
                  <w:vAlign w:val="center"/>
                </w:tcPr>
                <w:p w14:paraId="772F14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885" w:type="pct"/>
                  <w:noWrap w:val="0"/>
                  <w:vAlign w:val="center"/>
                </w:tcPr>
                <w:p w14:paraId="3ACE57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907" w:type="pct"/>
                  <w:noWrap w:val="0"/>
                  <w:vAlign w:val="center"/>
                </w:tcPr>
                <w:p w14:paraId="7CBE2D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c>
                <w:tcPr>
                  <w:tcW w:w="1305" w:type="pct"/>
                  <w:noWrap w:val="0"/>
                  <w:vAlign w:val="center"/>
                </w:tcPr>
                <w:p w14:paraId="1EA5A5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6~9</w:t>
                  </w:r>
                </w:p>
              </w:tc>
            </w:tr>
            <w:tr w14:paraId="02394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43FE1F74">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COD</w:t>
                  </w:r>
                </w:p>
              </w:tc>
              <w:tc>
                <w:tcPr>
                  <w:tcW w:w="1291" w:type="pct"/>
                  <w:noWrap w:val="0"/>
                  <w:vAlign w:val="center"/>
                </w:tcPr>
                <w:p w14:paraId="7157CE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500</w:t>
                  </w:r>
                </w:p>
              </w:tc>
              <w:tc>
                <w:tcPr>
                  <w:tcW w:w="885" w:type="pct"/>
                  <w:noWrap w:val="0"/>
                  <w:vAlign w:val="center"/>
                </w:tcPr>
                <w:p w14:paraId="39B0DF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500</w:t>
                  </w:r>
                </w:p>
              </w:tc>
              <w:tc>
                <w:tcPr>
                  <w:tcW w:w="907" w:type="pct"/>
                  <w:noWrap w:val="0"/>
                  <w:vAlign w:val="center"/>
                </w:tcPr>
                <w:p w14:paraId="47E009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500</w:t>
                  </w:r>
                </w:p>
              </w:tc>
              <w:tc>
                <w:tcPr>
                  <w:tcW w:w="1305" w:type="pct"/>
                  <w:noWrap w:val="0"/>
                  <w:vAlign w:val="center"/>
                </w:tcPr>
                <w:p w14:paraId="39A3CC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50</w:t>
                  </w:r>
                </w:p>
              </w:tc>
            </w:tr>
            <w:tr w14:paraId="389B1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4270B8F7">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BOD</w:t>
                  </w:r>
                  <w:r>
                    <w:rPr>
                      <w:rFonts w:hint="eastAsia" w:ascii="Times New Roman" w:hAnsi="Times New Roman" w:eastAsia="宋体" w:cs="Times New Roman"/>
                      <w:b w:val="0"/>
                      <w:bCs w:val="0"/>
                      <w:color w:val="auto"/>
                      <w:sz w:val="21"/>
                      <w:szCs w:val="21"/>
                      <w:highlight w:val="none"/>
                      <w:vertAlign w:val="subscript"/>
                      <w:lang w:val="en-US" w:eastAsia="zh-CN"/>
                    </w:rPr>
                    <w:t>5</w:t>
                  </w:r>
                </w:p>
              </w:tc>
              <w:tc>
                <w:tcPr>
                  <w:tcW w:w="1291" w:type="pct"/>
                  <w:noWrap w:val="0"/>
                  <w:vAlign w:val="center"/>
                </w:tcPr>
                <w:p w14:paraId="5ECF85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885" w:type="pct"/>
                  <w:noWrap w:val="0"/>
                  <w:vAlign w:val="center"/>
                </w:tcPr>
                <w:p w14:paraId="3685F6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150</w:t>
                  </w:r>
                </w:p>
              </w:tc>
              <w:tc>
                <w:tcPr>
                  <w:tcW w:w="907" w:type="pct"/>
                  <w:noWrap w:val="0"/>
                  <w:vAlign w:val="center"/>
                </w:tcPr>
                <w:p w14:paraId="183D55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w:t>
                  </w:r>
                  <w:r>
                    <w:rPr>
                      <w:rFonts w:hint="eastAsia" w:cs="Times New Roman"/>
                      <w:color w:val="auto"/>
                      <w:sz w:val="21"/>
                      <w:szCs w:val="21"/>
                      <w:highlight w:val="none"/>
                      <w:vertAlign w:val="baseline"/>
                      <w:lang w:val="en-US" w:eastAsia="zh-CN"/>
                    </w:rPr>
                    <w:t>5</w:t>
                  </w:r>
                  <w:r>
                    <w:rPr>
                      <w:rFonts w:hint="eastAsia" w:ascii="Times New Roman" w:hAnsi="Times New Roman" w:cs="Times New Roman"/>
                      <w:color w:val="auto"/>
                      <w:sz w:val="21"/>
                      <w:szCs w:val="21"/>
                      <w:highlight w:val="none"/>
                      <w:vertAlign w:val="baseline"/>
                      <w:lang w:val="en-US" w:eastAsia="zh-CN"/>
                    </w:rPr>
                    <w:t>0</w:t>
                  </w:r>
                </w:p>
              </w:tc>
              <w:tc>
                <w:tcPr>
                  <w:tcW w:w="1305" w:type="pct"/>
                  <w:noWrap w:val="0"/>
                  <w:vAlign w:val="center"/>
                </w:tcPr>
                <w:p w14:paraId="7700FE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10</w:t>
                  </w:r>
                </w:p>
              </w:tc>
            </w:tr>
            <w:tr w14:paraId="242D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2D46F568">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SS</w:t>
                  </w:r>
                </w:p>
              </w:tc>
              <w:tc>
                <w:tcPr>
                  <w:tcW w:w="1291" w:type="pct"/>
                  <w:noWrap w:val="0"/>
                  <w:vAlign w:val="center"/>
                </w:tcPr>
                <w:p w14:paraId="0D6005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400</w:t>
                  </w:r>
                </w:p>
              </w:tc>
              <w:tc>
                <w:tcPr>
                  <w:tcW w:w="885" w:type="pct"/>
                  <w:noWrap w:val="0"/>
                  <w:vAlign w:val="center"/>
                </w:tcPr>
                <w:p w14:paraId="71E1AB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200</w:t>
                  </w:r>
                </w:p>
              </w:tc>
              <w:tc>
                <w:tcPr>
                  <w:tcW w:w="907" w:type="pct"/>
                  <w:noWrap w:val="0"/>
                  <w:vAlign w:val="center"/>
                </w:tcPr>
                <w:p w14:paraId="4AABF7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2</w:t>
                  </w:r>
                  <w:r>
                    <w:rPr>
                      <w:rFonts w:hint="eastAsia" w:cs="Times New Roman"/>
                      <w:color w:val="auto"/>
                      <w:sz w:val="21"/>
                      <w:szCs w:val="21"/>
                      <w:highlight w:val="none"/>
                      <w:vertAlign w:val="baseline"/>
                      <w:lang w:val="en-US" w:eastAsia="zh-CN"/>
                    </w:rPr>
                    <w:t>0</w:t>
                  </w:r>
                  <w:r>
                    <w:rPr>
                      <w:rFonts w:hint="eastAsia" w:ascii="Times New Roman" w:hAnsi="Times New Roman" w:cs="Times New Roman"/>
                      <w:color w:val="auto"/>
                      <w:sz w:val="21"/>
                      <w:szCs w:val="21"/>
                      <w:highlight w:val="none"/>
                      <w:vertAlign w:val="baseline"/>
                      <w:lang w:val="en-US" w:eastAsia="zh-CN"/>
                    </w:rPr>
                    <w:t>0</w:t>
                  </w:r>
                </w:p>
              </w:tc>
              <w:tc>
                <w:tcPr>
                  <w:tcW w:w="1305" w:type="pct"/>
                  <w:noWrap w:val="0"/>
                  <w:vAlign w:val="center"/>
                </w:tcPr>
                <w:p w14:paraId="186F98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10</w:t>
                  </w:r>
                </w:p>
              </w:tc>
            </w:tr>
            <w:tr w14:paraId="7D60F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2DD2D6BC">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en-US"/>
                    </w:rPr>
                  </w:pPr>
                  <w:r>
                    <w:rPr>
                      <w:rFonts w:hint="default" w:ascii="Times New Roman" w:hAnsi="Times New Roman" w:eastAsia="宋体" w:cs="Times New Roman"/>
                      <w:b w:val="0"/>
                      <w:bCs w:val="0"/>
                      <w:color w:val="auto"/>
                      <w:sz w:val="21"/>
                      <w:szCs w:val="21"/>
                      <w:highlight w:val="none"/>
                      <w:vertAlign w:val="baseli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r>
                    <w:rPr>
                      <w:rFonts w:hint="default" w:ascii="Times New Roman" w:hAnsi="Times New Roman" w:eastAsia="宋体" w:cs="Times New Roman"/>
                      <w:b w:val="0"/>
                      <w:bCs w:val="0"/>
                      <w:color w:val="auto"/>
                      <w:sz w:val="21"/>
                      <w:szCs w:val="21"/>
                      <w:highlight w:val="none"/>
                      <w:vertAlign w:val="baseline"/>
                      <w:lang w:val="en-US" w:eastAsia="zh-CN"/>
                    </w:rPr>
                    <w:t>-N</w:t>
                  </w:r>
                </w:p>
              </w:tc>
              <w:tc>
                <w:tcPr>
                  <w:tcW w:w="1291" w:type="pct"/>
                  <w:noWrap w:val="0"/>
                  <w:vAlign w:val="center"/>
                </w:tcPr>
                <w:p w14:paraId="002865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45</w:t>
                  </w:r>
                </w:p>
              </w:tc>
              <w:tc>
                <w:tcPr>
                  <w:tcW w:w="885" w:type="pct"/>
                  <w:noWrap w:val="0"/>
                  <w:vAlign w:val="center"/>
                </w:tcPr>
                <w:p w14:paraId="482839D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35</w:t>
                  </w:r>
                </w:p>
              </w:tc>
              <w:tc>
                <w:tcPr>
                  <w:tcW w:w="907" w:type="pct"/>
                  <w:noWrap w:val="0"/>
                  <w:vAlign w:val="center"/>
                </w:tcPr>
                <w:p w14:paraId="68EBBA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3</w:t>
                  </w:r>
                  <w:r>
                    <w:rPr>
                      <w:rFonts w:hint="eastAsia" w:cs="Times New Roman"/>
                      <w:color w:val="auto"/>
                      <w:sz w:val="21"/>
                      <w:szCs w:val="21"/>
                      <w:highlight w:val="none"/>
                      <w:vertAlign w:val="baseline"/>
                      <w:lang w:val="en-US" w:eastAsia="zh-CN"/>
                    </w:rPr>
                    <w:t>5</w:t>
                  </w:r>
                </w:p>
              </w:tc>
              <w:tc>
                <w:tcPr>
                  <w:tcW w:w="1305" w:type="pct"/>
                  <w:noWrap w:val="0"/>
                  <w:vAlign w:val="center"/>
                </w:tcPr>
                <w:p w14:paraId="5252AE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5</w:t>
                  </w:r>
                </w:p>
              </w:tc>
            </w:tr>
            <w:tr w14:paraId="71871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15AF3CE1">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TP</w:t>
                  </w:r>
                </w:p>
              </w:tc>
              <w:tc>
                <w:tcPr>
                  <w:tcW w:w="1291" w:type="pct"/>
                  <w:noWrap w:val="0"/>
                  <w:vAlign w:val="center"/>
                </w:tcPr>
                <w:p w14:paraId="00827E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8.0</w:t>
                  </w:r>
                </w:p>
              </w:tc>
              <w:tc>
                <w:tcPr>
                  <w:tcW w:w="885" w:type="pct"/>
                  <w:noWrap w:val="0"/>
                  <w:vAlign w:val="center"/>
                </w:tcPr>
                <w:p w14:paraId="064F50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3</w:t>
                  </w:r>
                </w:p>
              </w:tc>
              <w:tc>
                <w:tcPr>
                  <w:tcW w:w="907" w:type="pct"/>
                  <w:noWrap w:val="0"/>
                  <w:vAlign w:val="center"/>
                </w:tcPr>
                <w:p w14:paraId="54BB59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sz w:val="21"/>
                      <w:szCs w:val="21"/>
                      <w:highlight w:val="none"/>
                      <w:vertAlign w:val="baseline"/>
                      <w:lang w:val="en-US" w:eastAsia="zh-CN"/>
                    </w:rPr>
                    <w:t>3</w:t>
                  </w:r>
                </w:p>
              </w:tc>
              <w:tc>
                <w:tcPr>
                  <w:tcW w:w="1305" w:type="pct"/>
                  <w:noWrap w:val="0"/>
                  <w:vAlign w:val="center"/>
                </w:tcPr>
                <w:p w14:paraId="4CAF21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0.5</w:t>
                  </w:r>
                </w:p>
              </w:tc>
            </w:tr>
            <w:tr w14:paraId="49A89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08A384F9">
                  <w:pPr>
                    <w:pStyle w:val="33"/>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排水量</w:t>
                  </w:r>
                </w:p>
              </w:tc>
              <w:tc>
                <w:tcPr>
                  <w:tcW w:w="1291" w:type="pct"/>
                  <w:noWrap w:val="0"/>
                  <w:vAlign w:val="center"/>
                </w:tcPr>
                <w:p w14:paraId="1805A6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vertAlign w:val="baseline"/>
                      <w:lang w:val="en-US" w:eastAsia="zh-CN"/>
                    </w:rPr>
                    <w:t>/万粒</w:t>
                  </w:r>
                </w:p>
              </w:tc>
              <w:tc>
                <w:tcPr>
                  <w:tcW w:w="885" w:type="pct"/>
                  <w:noWrap w:val="0"/>
                  <w:vAlign w:val="center"/>
                </w:tcPr>
                <w:p w14:paraId="16C8AD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c>
                <w:tcPr>
                  <w:tcW w:w="907" w:type="pct"/>
                  <w:noWrap w:val="0"/>
                  <w:vAlign w:val="center"/>
                </w:tcPr>
                <w:p w14:paraId="74EDF4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0.5m</w:t>
                  </w:r>
                  <w:r>
                    <w:rPr>
                      <w:rFonts w:hint="eastAsia" w:cs="Times New Roman"/>
                      <w:color w:val="auto"/>
                      <w:sz w:val="21"/>
                      <w:szCs w:val="21"/>
                      <w:highlight w:val="none"/>
                      <w:vertAlign w:val="superscript"/>
                      <w:lang w:val="en-US" w:eastAsia="zh-CN"/>
                    </w:rPr>
                    <w:t>3</w:t>
                  </w:r>
                  <w:r>
                    <w:rPr>
                      <w:rFonts w:hint="eastAsia" w:cs="Times New Roman"/>
                      <w:color w:val="auto"/>
                      <w:sz w:val="21"/>
                      <w:szCs w:val="21"/>
                      <w:highlight w:val="none"/>
                      <w:vertAlign w:val="baseline"/>
                      <w:lang w:val="en-US" w:eastAsia="zh-CN"/>
                    </w:rPr>
                    <w:t>/万粒</w:t>
                  </w:r>
                </w:p>
              </w:tc>
              <w:tc>
                <w:tcPr>
                  <w:tcW w:w="1305" w:type="pct"/>
                  <w:noWrap w:val="0"/>
                  <w:vAlign w:val="center"/>
                </w:tcPr>
                <w:p w14:paraId="741530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r>
          </w:tbl>
          <w:p w14:paraId="140F2BF9">
            <w:pPr>
              <w:pStyle w:val="46"/>
              <w:keepNext w:val="0"/>
              <w:keepLines w:val="0"/>
              <w:pageBreakBefore w:val="0"/>
              <w:widowControl w:val="0"/>
              <w:kinsoku/>
              <w:wordWrap/>
              <w:overflowPunct/>
              <w:topLinePunct w:val="0"/>
              <w:autoSpaceDE/>
              <w:autoSpaceDN/>
              <w:bidi w:val="0"/>
              <w:snapToGrid w:val="0"/>
              <w:spacing w:line="360" w:lineRule="auto"/>
              <w:ind w:firstLine="482" w:firstLineChars="200"/>
              <w:jc w:val="both"/>
              <w:rPr>
                <w:rFonts w:hint="default" w:ascii="Times New Roman" w:hAnsi="Times New Roman" w:cs="Times New Roman"/>
                <w:color w:val="auto"/>
                <w:kern w:val="2"/>
                <w:sz w:val="24"/>
                <w:szCs w:val="24"/>
                <w:highlight w:val="none"/>
              </w:rPr>
            </w:pPr>
            <w:r>
              <w:rPr>
                <w:rFonts w:hint="default" w:ascii="Times New Roman" w:hAnsi="Times New Roman" w:cs="Times New Roman"/>
                <w:color w:val="auto"/>
                <w:kern w:val="2"/>
                <w:sz w:val="24"/>
                <w:szCs w:val="24"/>
                <w:highlight w:val="none"/>
              </w:rPr>
              <w:t>3、噪声</w:t>
            </w:r>
          </w:p>
          <w:p w14:paraId="7C16D2F8">
            <w:pPr>
              <w:pStyle w:val="46"/>
              <w:keepNext w:val="0"/>
              <w:keepLines w:val="0"/>
              <w:pageBreakBefore w:val="0"/>
              <w:widowControl w:val="0"/>
              <w:kinsoku/>
              <w:wordWrap/>
              <w:overflowPunct/>
              <w:topLinePunct w:val="0"/>
              <w:autoSpaceDE/>
              <w:autoSpaceDN/>
              <w:bidi w:val="0"/>
              <w:snapToGrid w:val="0"/>
              <w:spacing w:line="360" w:lineRule="auto"/>
              <w:ind w:firstLine="480" w:firstLineChars="200"/>
              <w:jc w:val="both"/>
              <w:rPr>
                <w:rFonts w:hint="eastAsia" w:ascii="Times New Roman" w:hAnsi="Times New Roman" w:cs="Times New Roman"/>
                <w:color w:val="auto"/>
                <w:highlight w:val="none"/>
                <w:lang w:val="en-US" w:eastAsia="zh-CN"/>
              </w:rPr>
            </w:pPr>
            <w:r>
              <w:rPr>
                <w:rFonts w:hint="eastAsia" w:cs="Times New Roman"/>
                <w:b w:val="0"/>
                <w:bCs/>
                <w:color w:val="auto"/>
                <w:kern w:val="2"/>
                <w:sz w:val="24"/>
                <w:szCs w:val="24"/>
                <w:highlight w:val="none"/>
                <w:lang w:eastAsia="zh-CN"/>
              </w:rPr>
              <w:t>项目</w:t>
            </w:r>
            <w:r>
              <w:rPr>
                <w:rFonts w:hint="default" w:ascii="Times New Roman" w:hAnsi="Times New Roman" w:cs="Times New Roman"/>
                <w:b w:val="0"/>
                <w:bCs/>
                <w:color w:val="auto"/>
                <w:kern w:val="2"/>
                <w:sz w:val="24"/>
                <w:szCs w:val="24"/>
                <w:highlight w:val="none"/>
              </w:rPr>
              <w:t>施工期噪声执行《建筑施工场界环境噪声排放标准》（GB12523-2011）中的规定</w:t>
            </w:r>
            <w:r>
              <w:rPr>
                <w:rFonts w:hint="eastAsia" w:ascii="Times New Roman" w:hAnsi="Times New Roman" w:cs="Times New Roman"/>
                <w:b w:val="0"/>
                <w:bCs/>
                <w:color w:val="auto"/>
                <w:kern w:val="2"/>
                <w:sz w:val="24"/>
                <w:szCs w:val="24"/>
                <w:highlight w:val="none"/>
                <w:lang w:eastAsia="zh-CN"/>
              </w:rPr>
              <w:t>；</w:t>
            </w:r>
            <w:r>
              <w:rPr>
                <w:rFonts w:hint="eastAsia" w:cs="Times New Roman"/>
                <w:b w:val="0"/>
                <w:bCs/>
                <w:color w:val="auto"/>
                <w:kern w:val="2"/>
                <w:sz w:val="24"/>
                <w:szCs w:val="24"/>
                <w:highlight w:val="none"/>
                <w:lang w:eastAsia="zh-CN"/>
              </w:rPr>
              <w:t>运营期</w:t>
            </w:r>
            <w:r>
              <w:rPr>
                <w:rFonts w:hint="default" w:ascii="Times New Roman" w:hAnsi="Times New Roman" w:cs="Times New Roman"/>
                <w:b w:val="0"/>
                <w:bCs/>
                <w:color w:val="auto"/>
                <w:kern w:val="2"/>
                <w:sz w:val="24"/>
                <w:szCs w:val="24"/>
                <w:highlight w:val="none"/>
              </w:rPr>
              <w:t>厂界噪声执行《工业企业厂界环境噪声排放标准》（GB12348-2008）中的3类标准。具体限值见下表：</w:t>
            </w:r>
          </w:p>
          <w:p w14:paraId="4622B8CB">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表3-</w:t>
            </w:r>
            <w:r>
              <w:rPr>
                <w:rFonts w:hint="eastAsia" w:ascii="Times New Roman" w:hAnsi="Times New Roman" w:cs="Times New Roman"/>
                <w:color w:val="auto"/>
                <w:highlight w:val="none"/>
                <w:lang w:val="en-US" w:eastAsia="zh-CN"/>
              </w:rPr>
              <w:t xml:space="preserve">13  </w:t>
            </w:r>
            <w:r>
              <w:rPr>
                <w:rFonts w:hint="default" w:ascii="Times New Roman" w:hAnsi="Times New Roman" w:eastAsia="宋体" w:cs="Times New Roman"/>
                <w:color w:val="auto"/>
                <w:highlight w:val="none"/>
                <w:lang w:val="en-US" w:eastAsia="zh-CN"/>
              </w:rPr>
              <w:t>建筑施工场界环境噪声排放标准单位：dB（A）</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6"/>
              <w:gridCol w:w="1359"/>
              <w:gridCol w:w="1379"/>
            </w:tblGrid>
            <w:tr w14:paraId="2683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365" w:type="pct"/>
                  <w:shd w:val="clear" w:color="auto" w:fill="auto"/>
                  <w:noWrap w:val="0"/>
                  <w:vAlign w:val="center"/>
                </w:tcPr>
                <w:p w14:paraId="2F72FA5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cs="Times New Roman"/>
                      <w:b/>
                      <w:bCs/>
                      <w:color w:val="auto"/>
                      <w:szCs w:val="21"/>
                      <w:highlight w:val="none"/>
                    </w:rPr>
                    <w:t>执行标准</w:t>
                  </w:r>
                </w:p>
              </w:tc>
              <w:tc>
                <w:tcPr>
                  <w:tcW w:w="811" w:type="pct"/>
                  <w:shd w:val="clear" w:color="auto" w:fill="auto"/>
                  <w:noWrap w:val="0"/>
                  <w:vAlign w:val="center"/>
                </w:tcPr>
                <w:p w14:paraId="1E96A51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cs="Times New Roman"/>
                      <w:b/>
                      <w:bCs/>
                      <w:color w:val="auto"/>
                      <w:sz w:val="21"/>
                      <w:szCs w:val="21"/>
                      <w:highlight w:val="none"/>
                    </w:rPr>
                    <w:t>昼间</w:t>
                  </w:r>
                </w:p>
              </w:tc>
              <w:tc>
                <w:tcPr>
                  <w:tcW w:w="823" w:type="pct"/>
                  <w:noWrap w:val="0"/>
                  <w:vAlign w:val="center"/>
                </w:tcPr>
                <w:p w14:paraId="4E4705D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夜间</w:t>
                  </w:r>
                </w:p>
              </w:tc>
            </w:tr>
            <w:tr w14:paraId="2975C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65" w:type="pct"/>
                  <w:shd w:val="clear" w:color="auto" w:fill="auto"/>
                  <w:noWrap w:val="0"/>
                  <w:vAlign w:val="center"/>
                </w:tcPr>
                <w:p w14:paraId="4BF31BC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《建筑施工场界环境噪声排放标准》（GB12523-2011）</w:t>
                  </w:r>
                </w:p>
              </w:tc>
              <w:tc>
                <w:tcPr>
                  <w:tcW w:w="811" w:type="pct"/>
                  <w:shd w:val="clear" w:color="auto" w:fill="auto"/>
                  <w:noWrap w:val="0"/>
                  <w:vAlign w:val="center"/>
                </w:tcPr>
                <w:p w14:paraId="1EACD35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cs="Times New Roman"/>
                      <w:b w:val="0"/>
                      <w:bCs w:val="0"/>
                      <w:color w:val="auto"/>
                      <w:sz w:val="21"/>
                      <w:szCs w:val="21"/>
                      <w:highlight w:val="none"/>
                    </w:rPr>
                    <w:t>70</w:t>
                  </w:r>
                </w:p>
              </w:tc>
              <w:tc>
                <w:tcPr>
                  <w:tcW w:w="823" w:type="pct"/>
                  <w:shd w:val="clear" w:color="auto" w:fill="auto"/>
                  <w:noWrap w:val="0"/>
                  <w:vAlign w:val="center"/>
                </w:tcPr>
                <w:p w14:paraId="493AC07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cs="Times New Roman"/>
                      <w:b w:val="0"/>
                      <w:bCs w:val="0"/>
                      <w:color w:val="auto"/>
                      <w:sz w:val="21"/>
                      <w:szCs w:val="21"/>
                      <w:highlight w:val="none"/>
                    </w:rPr>
                    <w:t>55</w:t>
                  </w:r>
                </w:p>
              </w:tc>
            </w:tr>
          </w:tbl>
          <w:p w14:paraId="455833DF">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rFonts w:hint="default" w:ascii="Times New Roman" w:hAnsi="Times New Roman" w:cs="Times New Roman"/>
                <w:color w:val="auto"/>
                <w:highlight w:val="none"/>
                <w:lang w:val="en-US" w:eastAsia="zh-CN"/>
              </w:rPr>
            </w:pPr>
          </w:p>
          <w:p w14:paraId="5F16B833">
            <w:pPr>
              <w:pStyle w:val="44"/>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rFonts w:hint="eastAsia" w:ascii="Times New Roman" w:hAnsi="Times New Roman" w:eastAsia="宋体" w:cs="Times New Roman"/>
                <w:b/>
                <w:color w:val="auto"/>
                <w:sz w:val="21"/>
                <w:szCs w:val="21"/>
                <w:highlight w:val="none"/>
                <w:lang w:eastAsia="zh-CN"/>
              </w:rPr>
            </w:pPr>
            <w:r>
              <w:rPr>
                <w:rFonts w:hint="default" w:ascii="Times New Roman" w:hAnsi="Times New Roman" w:cs="Times New Roman"/>
                <w:color w:val="auto"/>
                <w:highlight w:val="none"/>
                <w:lang w:val="en-US" w:eastAsia="zh-CN"/>
              </w:rPr>
              <w:t>表3-</w:t>
            </w:r>
            <w:r>
              <w:rPr>
                <w:rFonts w:hint="eastAsia" w:ascii="Times New Roman" w:hAnsi="Times New Roman" w:cs="Times New Roman"/>
                <w:color w:val="auto"/>
                <w:highlight w:val="none"/>
                <w:lang w:val="en-US" w:eastAsia="zh-CN"/>
              </w:rPr>
              <w:t xml:space="preserve">14  </w:t>
            </w:r>
            <w:r>
              <w:rPr>
                <w:rFonts w:hint="default" w:ascii="Times New Roman" w:hAnsi="Times New Roman" w:eastAsia="宋体" w:cs="Times New Roman"/>
                <w:b/>
                <w:color w:val="auto"/>
                <w:kern w:val="2"/>
                <w:sz w:val="21"/>
                <w:szCs w:val="21"/>
                <w:highlight w:val="none"/>
              </w:rPr>
              <w:t>《工业企业厂界环境噪声排放标准》单位：dB（A）</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8"/>
              <w:gridCol w:w="1359"/>
              <w:gridCol w:w="1377"/>
            </w:tblGrid>
            <w:tr w14:paraId="3BF5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66" w:type="pct"/>
                  <w:noWrap w:val="0"/>
                  <w:vAlign w:val="center"/>
                </w:tcPr>
                <w:p w14:paraId="2B8B8020">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执行标准</w:t>
                  </w:r>
                </w:p>
              </w:tc>
              <w:tc>
                <w:tcPr>
                  <w:tcW w:w="811" w:type="pct"/>
                  <w:noWrap w:val="0"/>
                  <w:vAlign w:val="center"/>
                </w:tcPr>
                <w:p w14:paraId="3A5DBF5B">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昼间</w:t>
                  </w:r>
                </w:p>
              </w:tc>
              <w:tc>
                <w:tcPr>
                  <w:tcW w:w="822" w:type="pct"/>
                  <w:noWrap w:val="0"/>
                  <w:vAlign w:val="center"/>
                </w:tcPr>
                <w:p w14:paraId="2B63588F">
                  <w:pPr>
                    <w:ind w:left="70" w:hanging="7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夜间</w:t>
                  </w:r>
                </w:p>
              </w:tc>
            </w:tr>
            <w:tr w14:paraId="49899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66" w:type="pct"/>
                  <w:noWrap w:val="0"/>
                  <w:vAlign w:val="center"/>
                </w:tcPr>
                <w:p w14:paraId="630893BF">
                  <w:pPr>
                    <w:jc w:val="center"/>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《工业企业厂界环境噪声排放标准》（GB12348-2008）3类</w:t>
                  </w:r>
                </w:p>
              </w:tc>
              <w:tc>
                <w:tcPr>
                  <w:tcW w:w="811" w:type="pct"/>
                  <w:noWrap w:val="0"/>
                  <w:vAlign w:val="center"/>
                </w:tcPr>
                <w:p w14:paraId="2B3EFF0D">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65</w:t>
                  </w:r>
                </w:p>
              </w:tc>
              <w:tc>
                <w:tcPr>
                  <w:tcW w:w="822" w:type="pct"/>
                  <w:noWrap w:val="0"/>
                  <w:vAlign w:val="center"/>
                </w:tcPr>
                <w:p w14:paraId="1B84449D">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55</w:t>
                  </w:r>
                </w:p>
              </w:tc>
            </w:tr>
          </w:tbl>
          <w:p w14:paraId="47A70115">
            <w:pPr>
              <w:keepNext w:val="0"/>
              <w:keepLines w:val="0"/>
              <w:pageBreakBefore w:val="0"/>
              <w:widowControl w:val="0"/>
              <w:kinsoku/>
              <w:wordWrap/>
              <w:overflowPunct/>
              <w:topLinePunct w:val="0"/>
              <w:autoSpaceDE/>
              <w:autoSpaceDN/>
              <w:bidi w:val="0"/>
              <w:adjustRightInd w:val="0"/>
              <w:snapToGrid w:val="0"/>
              <w:spacing w:before="120" w:beforeLines="50" w:line="360" w:lineRule="auto"/>
              <w:ind w:firstLine="482" w:firstLineChars="200"/>
              <w:jc w:val="both"/>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4、固体废物</w:t>
            </w:r>
          </w:p>
          <w:p w14:paraId="39EC9541">
            <w:pPr>
              <w:keepNext w:val="0"/>
              <w:keepLines w:val="0"/>
              <w:pageBreakBefore w:val="0"/>
              <w:widowControl w:val="0"/>
              <w:kinsoku/>
              <w:wordWrap/>
              <w:overflowPunct/>
              <w:topLinePunct w:val="0"/>
              <w:autoSpaceDE/>
              <w:autoSpaceDN/>
              <w:bidi w:val="0"/>
              <w:snapToGrid w:val="0"/>
              <w:spacing w:line="360" w:lineRule="auto"/>
              <w:ind w:firstLine="480" w:firstLineChars="200"/>
              <w:jc w:val="both"/>
              <w:rPr>
                <w:rFonts w:hint="default"/>
                <w:color w:val="auto"/>
                <w:highlight w:val="none"/>
              </w:rPr>
            </w:pPr>
            <w:r>
              <w:rPr>
                <w:rFonts w:hint="eastAsia" w:cs="Times New Roman"/>
                <w:color w:val="auto"/>
                <w:sz w:val="24"/>
                <w:szCs w:val="24"/>
                <w:highlight w:val="none"/>
                <w:lang w:eastAsia="zh-CN"/>
              </w:rPr>
              <w:t>项目</w:t>
            </w:r>
            <w:r>
              <w:rPr>
                <w:rFonts w:hint="default" w:ascii="Times New Roman" w:hAnsi="Times New Roman" w:cs="Times New Roman"/>
                <w:color w:val="auto"/>
                <w:sz w:val="24"/>
                <w:szCs w:val="24"/>
                <w:highlight w:val="none"/>
              </w:rPr>
              <w:t>一般工业固体废物</w:t>
            </w:r>
            <w:r>
              <w:rPr>
                <w:rFonts w:hint="eastAsia" w:cs="Times New Roman"/>
                <w:color w:val="auto"/>
                <w:sz w:val="24"/>
                <w:szCs w:val="24"/>
                <w:highlight w:val="none"/>
                <w:lang w:val="en-US" w:eastAsia="zh-CN"/>
              </w:rPr>
              <w:t>参照</w:t>
            </w:r>
            <w:r>
              <w:rPr>
                <w:rFonts w:hint="default" w:ascii="Times New Roman" w:hAnsi="Times New Roman" w:cs="Times New Roman"/>
                <w:color w:val="auto"/>
                <w:sz w:val="24"/>
                <w:szCs w:val="24"/>
                <w:highlight w:val="none"/>
              </w:rPr>
              <w:t>《一般工业固体废物贮存和填埋污染控制标准》（GB18599-2020）中相关规定执行；危险废物按照《危险废物贮存污染控制标准》（GB18597-20</w:t>
            </w:r>
            <w:r>
              <w:rPr>
                <w:rFonts w:hint="eastAsia" w:ascii="Times New Roman" w:hAnsi="Times New Roman" w:cs="Times New Roman"/>
                <w:color w:val="auto"/>
                <w:sz w:val="24"/>
                <w:szCs w:val="24"/>
                <w:highlight w:val="none"/>
                <w:lang w:val="en-US" w:eastAsia="zh-CN"/>
              </w:rPr>
              <w:t>23</w:t>
            </w:r>
            <w:r>
              <w:rPr>
                <w:rFonts w:hint="default" w:ascii="Times New Roman" w:hAnsi="Times New Roman" w:cs="Times New Roman"/>
                <w:color w:val="auto"/>
                <w:sz w:val="24"/>
                <w:szCs w:val="24"/>
                <w:highlight w:val="none"/>
              </w:rPr>
              <w:t>）中有关规定执行。</w:t>
            </w:r>
          </w:p>
        </w:tc>
      </w:tr>
      <w:tr w14:paraId="1DB64E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443" w:type="dxa"/>
            <w:noWrap w:val="0"/>
            <w:vAlign w:val="center"/>
          </w:tcPr>
          <w:p w14:paraId="59F31C10">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总量</w:t>
            </w:r>
          </w:p>
          <w:p w14:paraId="051BA9C1">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控制</w:t>
            </w:r>
          </w:p>
          <w:p w14:paraId="3B41C344">
            <w:pPr>
              <w:adjustRightInd w:val="0"/>
              <w:snapToGrid w:val="0"/>
              <w:jc w:val="center"/>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指标</w:t>
            </w:r>
          </w:p>
        </w:tc>
        <w:tc>
          <w:tcPr>
            <w:tcW w:w="8617" w:type="dxa"/>
            <w:noWrap w:val="0"/>
            <w:vAlign w:val="top"/>
          </w:tcPr>
          <w:p w14:paraId="65D174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p>
          <w:p w14:paraId="36D3E8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p>
          <w:p w14:paraId="52A266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p>
          <w:p w14:paraId="6C00F3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p>
          <w:p w14:paraId="48F160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p>
          <w:p w14:paraId="2E3122A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auto"/>
                <w:sz w:val="24"/>
                <w:szCs w:val="24"/>
                <w:highlight w:val="none"/>
                <w:lang w:val="en-US" w:eastAsia="zh-CN"/>
              </w:rPr>
            </w:pPr>
          </w:p>
          <w:p w14:paraId="6DB996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根据《安徽省环保厅关于进一步加强建设项目新增大气污染物总量指标管理工作的通知》(皖环发</w:t>
            </w:r>
            <w:r>
              <w:rPr>
                <w:rFonts w:hint="eastAsia" w:cs="Times New Roman"/>
                <w:color w:val="auto"/>
                <w:sz w:val="24"/>
                <w:szCs w:val="24"/>
                <w:highlight w:val="none"/>
                <w:lang w:val="en-US" w:eastAsia="zh-CN"/>
              </w:rPr>
              <w:t>〔2017〕19号</w:t>
            </w:r>
            <w:r>
              <w:rPr>
                <w:rFonts w:hint="default" w:ascii="Times New Roman" w:hAnsi="Times New Roman" w:cs="Times New Roman"/>
                <w:color w:val="auto"/>
                <w:sz w:val="24"/>
                <w:szCs w:val="24"/>
                <w:highlight w:val="none"/>
                <w:lang w:val="en-US" w:eastAsia="zh-CN"/>
              </w:rPr>
              <w:t>)，新增大气主要污染物排放的建设项目环境影响评价文件审批前取得的总量指标从两项增加为四项。在二氧化硫、氮氧化物的基础上增加烟(粉)尘、挥发性有机物(VOCs)。</w:t>
            </w:r>
          </w:p>
          <w:p w14:paraId="5DBC993B">
            <w:pPr>
              <w:keepNext w:val="0"/>
              <w:keepLines w:val="0"/>
              <w:pageBreakBefore w:val="0"/>
              <w:widowControl w:val="0"/>
              <w:kinsoku/>
              <w:wordWrap/>
              <w:overflowPunct/>
              <w:topLinePunct w:val="0"/>
              <w:autoSpaceDE/>
              <w:autoSpaceDN/>
              <w:bidi w:val="0"/>
              <w:adjustRightInd w:val="0"/>
              <w:snapToGrid w:val="0"/>
              <w:spacing w:line="336" w:lineRule="auto"/>
              <w:ind w:firstLine="480"/>
              <w:textAlignment w:val="auto"/>
              <w:rPr>
                <w:rFonts w:hint="eastAsia"/>
                <w:color w:val="auto"/>
                <w:sz w:val="24"/>
                <w:highlight w:val="none"/>
              </w:rPr>
            </w:pPr>
            <w:r>
              <w:rPr>
                <w:color w:val="000000"/>
                <w:sz w:val="24"/>
                <w:szCs w:val="24"/>
                <w:highlight w:val="none"/>
                <w:lang w:val="zh-CN"/>
              </w:rPr>
              <w:t>根据污染物排放总量控制相关要求，结合本项目特征，确定项目总量控制因子为：</w:t>
            </w:r>
            <w:r>
              <w:rPr>
                <w:rFonts w:hint="eastAsia"/>
                <w:color w:val="000000"/>
                <w:sz w:val="24"/>
                <w:szCs w:val="24"/>
                <w:highlight w:val="none"/>
                <w:lang w:val="en-US" w:eastAsia="zh-CN"/>
              </w:rPr>
              <w:t>烟（粉）尘</w:t>
            </w:r>
            <w:r>
              <w:rPr>
                <w:color w:val="000000"/>
                <w:sz w:val="24"/>
                <w:szCs w:val="24"/>
                <w:highlight w:val="none"/>
                <w:lang w:val="zh-CN"/>
              </w:rPr>
              <w:t>、挥发性有机物（VOC</w:t>
            </w:r>
            <w:r>
              <w:rPr>
                <w:color w:val="000000"/>
                <w:sz w:val="24"/>
                <w:szCs w:val="24"/>
                <w:highlight w:val="none"/>
                <w:vertAlign w:val="subscript"/>
                <w:lang w:val="zh-CN"/>
              </w:rPr>
              <w:t>S</w:t>
            </w:r>
            <w:r>
              <w:rPr>
                <w:color w:val="000000"/>
                <w:sz w:val="24"/>
                <w:szCs w:val="24"/>
                <w:highlight w:val="none"/>
                <w:lang w:val="zh-CN"/>
              </w:rPr>
              <w:t>）。</w:t>
            </w:r>
          </w:p>
          <w:p w14:paraId="3D495C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highlight w:val="none"/>
              </w:rPr>
            </w:pPr>
            <w:r>
              <w:rPr>
                <w:rFonts w:hint="eastAsia"/>
                <w:color w:val="auto"/>
                <w:sz w:val="24"/>
                <w:highlight w:val="none"/>
              </w:rPr>
              <w:t>根据工程分析，</w:t>
            </w:r>
            <w:r>
              <w:rPr>
                <w:rFonts w:hint="eastAsia"/>
                <w:color w:val="auto"/>
                <w:sz w:val="24"/>
                <w:highlight w:val="none"/>
                <w:lang w:val="en-US" w:eastAsia="zh-CN"/>
              </w:rPr>
              <w:t>项目有组织非甲烷总烃排放量为2.324t/a，有组织颗粒物排放</w:t>
            </w:r>
            <w:r>
              <w:rPr>
                <w:rFonts w:hint="eastAsia"/>
                <w:color w:val="auto"/>
                <w:sz w:val="24"/>
                <w:highlight w:val="none"/>
                <w:lang w:val="en-US" w:eastAsia="zh-CN"/>
              </w:rPr>
              <w:t>量为0.06t/a，故</w:t>
            </w:r>
            <w:r>
              <w:rPr>
                <w:rFonts w:hint="eastAsia"/>
                <w:color w:val="000000"/>
                <w:sz w:val="24"/>
                <w:szCs w:val="24"/>
                <w:highlight w:val="none"/>
                <w:lang w:val="en-US" w:eastAsia="zh-CN"/>
              </w:rPr>
              <w:t>烟（粉）尘总量指标为0.06t/a，</w:t>
            </w:r>
            <w:r>
              <w:rPr>
                <w:color w:val="000000"/>
                <w:sz w:val="24"/>
                <w:szCs w:val="24"/>
                <w:highlight w:val="none"/>
                <w:lang w:val="zh-CN"/>
              </w:rPr>
              <w:t>VOC</w:t>
            </w:r>
            <w:r>
              <w:rPr>
                <w:color w:val="000000"/>
                <w:sz w:val="24"/>
                <w:szCs w:val="24"/>
                <w:highlight w:val="none"/>
                <w:vertAlign w:val="subscript"/>
                <w:lang w:val="zh-CN"/>
              </w:rPr>
              <w:t>S</w:t>
            </w:r>
            <w:r>
              <w:rPr>
                <w:rFonts w:hint="eastAsia"/>
                <w:color w:val="000000"/>
                <w:sz w:val="24"/>
                <w:szCs w:val="24"/>
                <w:highlight w:val="none"/>
                <w:lang w:val="en-US" w:eastAsia="zh-CN"/>
              </w:rPr>
              <w:t>总量指标为</w:t>
            </w:r>
            <w:r>
              <w:rPr>
                <w:rFonts w:hint="eastAsia"/>
                <w:color w:val="auto"/>
                <w:sz w:val="24"/>
                <w:highlight w:val="none"/>
                <w:lang w:val="en-US" w:eastAsia="zh-CN"/>
              </w:rPr>
              <w:t>2.324t/a；</w:t>
            </w:r>
            <w:r>
              <w:rPr>
                <w:color w:val="auto"/>
                <w:sz w:val="24"/>
                <w:highlight w:val="none"/>
              </w:rPr>
              <w:t>本</w:t>
            </w:r>
            <w:r>
              <w:rPr>
                <w:rFonts w:hint="eastAsia"/>
                <w:color w:val="auto"/>
                <w:sz w:val="24"/>
                <w:highlight w:val="none"/>
              </w:rPr>
              <w:t>项目</w:t>
            </w:r>
            <w:r>
              <w:rPr>
                <w:rFonts w:hint="eastAsia"/>
                <w:color w:val="auto"/>
                <w:sz w:val="24"/>
                <w:highlight w:val="none"/>
                <w:lang w:eastAsia="zh-CN"/>
              </w:rPr>
              <w:t>生活污水经化粪池预处理后</w:t>
            </w:r>
            <w:r>
              <w:rPr>
                <w:rFonts w:hint="eastAsia"/>
                <w:color w:val="auto"/>
                <w:sz w:val="24"/>
                <w:highlight w:val="none"/>
                <w:lang w:val="en-US" w:eastAsia="zh-CN"/>
              </w:rPr>
              <w:t>与冷却循环外排水一并</w:t>
            </w:r>
            <w:r>
              <w:rPr>
                <w:rFonts w:hint="eastAsia"/>
                <w:color w:val="auto"/>
                <w:sz w:val="24"/>
                <w:highlight w:val="none"/>
              </w:rPr>
              <w:t>接管入</w:t>
            </w:r>
            <w:r>
              <w:rPr>
                <w:rFonts w:hint="eastAsia" w:cs="Times New Roman"/>
                <w:color w:val="auto"/>
                <w:sz w:val="24"/>
                <w:szCs w:val="24"/>
                <w:highlight w:val="none"/>
                <w:lang w:eastAsia="zh-CN"/>
              </w:rPr>
              <w:t>皖江江南新兴产业集中区第一污水处理厂</w:t>
            </w:r>
            <w:r>
              <w:rPr>
                <w:rFonts w:hint="eastAsia"/>
                <w:color w:val="auto"/>
                <w:sz w:val="24"/>
                <w:highlight w:val="none"/>
              </w:rPr>
              <w:t>深度处理，COD、NH</w:t>
            </w:r>
            <w:r>
              <w:rPr>
                <w:rFonts w:hint="eastAsia"/>
                <w:color w:val="auto"/>
                <w:sz w:val="24"/>
                <w:highlight w:val="none"/>
                <w:vertAlign w:val="subscript"/>
              </w:rPr>
              <w:t>3</w:t>
            </w:r>
            <w:r>
              <w:rPr>
                <w:rFonts w:hint="eastAsia"/>
                <w:color w:val="auto"/>
                <w:sz w:val="24"/>
                <w:highlight w:val="none"/>
              </w:rPr>
              <w:t>-N排放总量计入</w:t>
            </w:r>
            <w:r>
              <w:rPr>
                <w:rFonts w:hint="eastAsia" w:cs="Times New Roman"/>
                <w:color w:val="auto"/>
                <w:sz w:val="24"/>
                <w:szCs w:val="24"/>
                <w:highlight w:val="none"/>
                <w:lang w:eastAsia="zh-CN"/>
              </w:rPr>
              <w:t>皖江江南新兴产业集中区第一污水处理厂</w:t>
            </w:r>
            <w:r>
              <w:rPr>
                <w:rFonts w:hint="eastAsia" w:ascii="Times New Roman" w:hAnsi="Times New Roman" w:eastAsia="宋体" w:cs="Times New Roman"/>
                <w:color w:val="auto"/>
                <w:sz w:val="24"/>
                <w:highlight w:val="none"/>
              </w:rPr>
              <w:t>，不单独申请。</w:t>
            </w:r>
          </w:p>
          <w:p w14:paraId="5B5613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highlight w:val="none"/>
              </w:rPr>
            </w:pPr>
          </w:p>
          <w:p w14:paraId="136EBF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highlight w:val="none"/>
              </w:rPr>
            </w:pPr>
          </w:p>
          <w:p w14:paraId="60F824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color w:val="auto"/>
                <w:sz w:val="24"/>
                <w:highlight w:val="none"/>
              </w:rPr>
            </w:pPr>
          </w:p>
          <w:p w14:paraId="5FCC51A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4"/>
                <w:highlight w:val="none"/>
              </w:rPr>
            </w:pPr>
          </w:p>
        </w:tc>
      </w:tr>
    </w:tbl>
    <w:p w14:paraId="289F428E">
      <w:pPr>
        <w:pStyle w:val="23"/>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6"/>
          <w:szCs w:val="36"/>
          <w:highlight w:val="none"/>
        </w:rPr>
        <w:br w:type="page"/>
      </w:r>
      <w:r>
        <w:rPr>
          <w:rFonts w:hint="default" w:ascii="Times New Roman" w:hAnsi="Times New Roman" w:eastAsia="黑体" w:cs="Times New Roman"/>
          <w:snapToGrid w:val="0"/>
          <w:color w:val="auto"/>
          <w:sz w:val="30"/>
          <w:szCs w:val="30"/>
          <w:highlight w:val="none"/>
        </w:rPr>
        <w:t>四、主要环境影响和保护措施</w:t>
      </w:r>
    </w:p>
    <w:tbl>
      <w:tblPr>
        <w:tblStyle w:val="25"/>
        <w:tblW w:w="898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98"/>
        <w:gridCol w:w="8182"/>
      </w:tblGrid>
      <w:tr w14:paraId="7F219E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98" w:type="dxa"/>
            <w:noWrap w:val="0"/>
            <w:tcMar>
              <w:left w:w="28" w:type="dxa"/>
              <w:right w:w="28" w:type="dxa"/>
            </w:tcMar>
            <w:vAlign w:val="center"/>
          </w:tcPr>
          <w:p w14:paraId="64BB80F8">
            <w:pPr>
              <w:pStyle w:val="23"/>
              <w:adjustRightInd w:val="0"/>
              <w:snapToGrid w:val="0"/>
              <w:spacing w:before="0" w:beforeAutospacing="0" w:after="0" w:afterAutospacing="0"/>
              <w:jc w:val="center"/>
              <w:rPr>
                <w:rFonts w:hint="default" w:ascii="Times New Roman" w:hAnsi="Times New Roman" w:cs="Times New Roman"/>
                <w:b/>
                <w:bCs/>
                <w:color w:val="auto"/>
                <w:kern w:val="2"/>
                <w:sz w:val="24"/>
                <w:szCs w:val="24"/>
                <w:highlight w:val="none"/>
              </w:rPr>
            </w:pPr>
            <w:r>
              <w:rPr>
                <w:rFonts w:hint="default" w:ascii="Times New Roman" w:hAnsi="Times New Roman" w:cs="Times New Roman"/>
                <w:b/>
                <w:bCs/>
                <w:color w:val="auto"/>
                <w:kern w:val="2"/>
                <w:sz w:val="24"/>
                <w:szCs w:val="24"/>
                <w:highlight w:val="none"/>
              </w:rPr>
              <w:t>施工</w:t>
            </w:r>
          </w:p>
          <w:p w14:paraId="29634A4E">
            <w:pPr>
              <w:pStyle w:val="23"/>
              <w:adjustRightInd w:val="0"/>
              <w:snapToGrid w:val="0"/>
              <w:spacing w:before="0" w:beforeAutospacing="0" w:after="0" w:afterAutospacing="0"/>
              <w:jc w:val="center"/>
              <w:rPr>
                <w:rFonts w:hint="default" w:ascii="Times New Roman" w:hAnsi="Times New Roman" w:cs="Times New Roman"/>
                <w:b/>
                <w:bCs/>
                <w:color w:val="auto"/>
                <w:kern w:val="2"/>
                <w:sz w:val="24"/>
                <w:szCs w:val="24"/>
                <w:highlight w:val="none"/>
              </w:rPr>
            </w:pPr>
            <w:r>
              <w:rPr>
                <w:rFonts w:hint="default" w:ascii="Times New Roman" w:hAnsi="Times New Roman" w:cs="Times New Roman"/>
                <w:b/>
                <w:bCs/>
                <w:color w:val="auto"/>
                <w:kern w:val="2"/>
                <w:sz w:val="24"/>
                <w:szCs w:val="24"/>
                <w:highlight w:val="none"/>
              </w:rPr>
              <w:t>期环</w:t>
            </w:r>
          </w:p>
          <w:p w14:paraId="67C6F1D7">
            <w:pPr>
              <w:pStyle w:val="23"/>
              <w:adjustRightInd w:val="0"/>
              <w:snapToGrid w:val="0"/>
              <w:spacing w:before="0" w:beforeAutospacing="0" w:after="0" w:afterAutospacing="0"/>
              <w:jc w:val="center"/>
              <w:rPr>
                <w:rFonts w:hint="default" w:ascii="Times New Roman" w:hAnsi="Times New Roman" w:cs="Times New Roman"/>
                <w:b/>
                <w:bCs/>
                <w:color w:val="auto"/>
                <w:kern w:val="2"/>
                <w:sz w:val="24"/>
                <w:szCs w:val="24"/>
                <w:highlight w:val="none"/>
              </w:rPr>
            </w:pPr>
            <w:r>
              <w:rPr>
                <w:rFonts w:hint="default" w:ascii="Times New Roman" w:hAnsi="Times New Roman" w:cs="Times New Roman"/>
                <w:b/>
                <w:bCs/>
                <w:color w:val="auto"/>
                <w:kern w:val="2"/>
                <w:sz w:val="24"/>
                <w:szCs w:val="24"/>
                <w:highlight w:val="none"/>
              </w:rPr>
              <w:t>境保</w:t>
            </w:r>
          </w:p>
          <w:p w14:paraId="19BFF91D">
            <w:pPr>
              <w:pStyle w:val="23"/>
              <w:adjustRightInd w:val="0"/>
              <w:snapToGrid w:val="0"/>
              <w:spacing w:before="0" w:beforeAutospacing="0" w:after="0" w:afterAutospacing="0"/>
              <w:jc w:val="center"/>
              <w:rPr>
                <w:rFonts w:hint="default" w:ascii="Times New Roman" w:hAnsi="Times New Roman" w:cs="Times New Roman"/>
                <w:b/>
                <w:bCs/>
                <w:color w:val="auto"/>
                <w:kern w:val="2"/>
                <w:sz w:val="24"/>
                <w:szCs w:val="24"/>
                <w:highlight w:val="none"/>
              </w:rPr>
            </w:pPr>
            <w:r>
              <w:rPr>
                <w:rFonts w:hint="default" w:ascii="Times New Roman" w:hAnsi="Times New Roman" w:cs="Times New Roman"/>
                <w:b/>
                <w:bCs/>
                <w:color w:val="auto"/>
                <w:kern w:val="2"/>
                <w:sz w:val="24"/>
                <w:szCs w:val="24"/>
                <w:highlight w:val="none"/>
              </w:rPr>
              <w:t>护措</w:t>
            </w:r>
          </w:p>
          <w:p w14:paraId="3F81991D">
            <w:pPr>
              <w:pStyle w:val="23"/>
              <w:adjustRightInd w:val="0"/>
              <w:snapToGrid w:val="0"/>
              <w:spacing w:before="0" w:beforeAutospacing="0" w:after="0" w:afterAutospacing="0"/>
              <w:jc w:val="center"/>
              <w:rPr>
                <w:rFonts w:hint="default" w:ascii="Times New Roman" w:hAnsi="Times New Roman" w:cs="Times New Roman"/>
                <w:b/>
                <w:bCs/>
                <w:color w:val="auto"/>
                <w:kern w:val="2"/>
                <w:sz w:val="24"/>
                <w:szCs w:val="24"/>
                <w:highlight w:val="none"/>
              </w:rPr>
            </w:pPr>
            <w:r>
              <w:rPr>
                <w:rFonts w:hint="default" w:ascii="Times New Roman" w:hAnsi="Times New Roman" w:cs="Times New Roman"/>
                <w:b/>
                <w:bCs/>
                <w:color w:val="auto"/>
                <w:kern w:val="2"/>
                <w:sz w:val="24"/>
                <w:szCs w:val="24"/>
                <w:highlight w:val="none"/>
              </w:rPr>
              <w:t>施</w:t>
            </w:r>
          </w:p>
        </w:tc>
        <w:tc>
          <w:tcPr>
            <w:tcW w:w="8182" w:type="dxa"/>
            <w:noWrap w:val="0"/>
            <w:vAlign w:val="center"/>
          </w:tcPr>
          <w:p w14:paraId="6CE62FF4">
            <w:pPr>
              <w:pStyle w:val="22"/>
              <w:adjustRightInd w:val="0"/>
              <w:snapToGrid w:val="0"/>
              <w:spacing w:after="0" w:line="360" w:lineRule="auto"/>
              <w:ind w:firstLine="480" w:firstLineChars="200"/>
              <w:jc w:val="both"/>
              <w:rPr>
                <w:rFonts w:hint="eastAsia" w:cs="Times New Roman"/>
                <w:color w:val="auto"/>
                <w:sz w:val="24"/>
                <w:szCs w:val="24"/>
                <w:highlight w:val="none"/>
                <w:lang w:val="en-US" w:eastAsia="zh-CN"/>
              </w:rPr>
            </w:pPr>
            <w:r>
              <w:rPr>
                <w:rFonts w:hint="default" w:ascii="Times New Roman" w:hAnsi="Times New Roman" w:cs="Times New Roman"/>
                <w:color w:val="auto"/>
                <w:sz w:val="24"/>
                <w:szCs w:val="24"/>
                <w:highlight w:val="none"/>
              </w:rPr>
              <w:t>本项目租赁池州市皖江江南新兴产业集中区孵化园</w:t>
            </w:r>
            <w:r>
              <w:rPr>
                <w:rFonts w:hint="eastAsia" w:cs="Times New Roman"/>
                <w:color w:val="auto"/>
                <w:sz w:val="24"/>
                <w:szCs w:val="24"/>
                <w:highlight w:val="none"/>
                <w:lang w:val="en-US" w:eastAsia="zh-CN"/>
              </w:rPr>
              <w:t>A4</w:t>
            </w:r>
            <w:r>
              <w:rPr>
                <w:rFonts w:hint="default" w:ascii="Times New Roman" w:hAnsi="Times New Roman" w:cs="Times New Roman"/>
                <w:color w:val="auto"/>
                <w:sz w:val="24"/>
                <w:szCs w:val="24"/>
                <w:highlight w:val="none"/>
              </w:rPr>
              <w:t>厂房</w:t>
            </w:r>
            <w:r>
              <w:rPr>
                <w:rFonts w:hint="eastAsia" w:cs="Times New Roman"/>
                <w:color w:val="auto"/>
                <w:sz w:val="24"/>
                <w:szCs w:val="24"/>
                <w:highlight w:val="none"/>
                <w:lang w:val="en-US" w:eastAsia="zh-CN"/>
              </w:rPr>
              <w:t>1层部分区域以及2、3层全部区域共计约6544.11m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其中1层主要用于办公，2层主要用于生产LED显示屏模组，3层主要用于生产显示屏模组器件。</w:t>
            </w:r>
          </w:p>
          <w:p w14:paraId="19C0EDBC">
            <w:pPr>
              <w:pStyle w:val="22"/>
              <w:adjustRightInd w:val="0"/>
              <w:snapToGrid w:val="0"/>
              <w:spacing w:after="0" w:line="360" w:lineRule="auto"/>
              <w:ind w:firstLine="480" w:firstLineChars="200"/>
              <w:jc w:val="both"/>
              <w:rPr>
                <w:rFonts w:hint="eastAsia" w:ascii="Times New Roman" w:hAnsi="Times New Roman" w:eastAsia="宋体" w:cs="Times New Roman"/>
                <w:bCs/>
                <w:color w:val="auto"/>
                <w:spacing w:val="-10"/>
                <w:sz w:val="24"/>
                <w:szCs w:val="24"/>
                <w:highlight w:val="none"/>
                <w:lang w:eastAsia="zh-CN"/>
              </w:rPr>
            </w:pPr>
            <w:r>
              <w:rPr>
                <w:rFonts w:hint="eastAsia" w:cs="Times New Roman"/>
                <w:color w:val="auto"/>
                <w:sz w:val="24"/>
                <w:szCs w:val="24"/>
                <w:highlight w:val="none"/>
                <w:lang w:eastAsia="zh-CN"/>
              </w:rPr>
              <w:t>现阶段</w:t>
            </w:r>
            <w:r>
              <w:rPr>
                <w:rFonts w:hint="default" w:ascii="Times New Roman" w:hAnsi="Times New Roman" w:cs="Times New Roman"/>
                <w:color w:val="auto"/>
                <w:sz w:val="24"/>
                <w:szCs w:val="24"/>
                <w:highlight w:val="none"/>
              </w:rPr>
              <w:t>厂房、供水、供电、排水、道路等基础工程已经全部建成</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施工期主要</w:t>
            </w:r>
            <w:r>
              <w:rPr>
                <w:rFonts w:hint="eastAsia" w:cs="Times New Roman"/>
                <w:color w:val="auto"/>
                <w:sz w:val="24"/>
                <w:szCs w:val="24"/>
                <w:highlight w:val="none"/>
                <w:lang w:eastAsia="zh-CN"/>
              </w:rPr>
              <w:t>进行</w:t>
            </w:r>
            <w:r>
              <w:rPr>
                <w:rFonts w:hint="default" w:ascii="Times New Roman" w:hAnsi="Times New Roman" w:cs="Times New Roman"/>
                <w:color w:val="auto"/>
                <w:sz w:val="24"/>
                <w:szCs w:val="24"/>
                <w:highlight w:val="none"/>
              </w:rPr>
              <w:t>室内</w:t>
            </w:r>
            <w:r>
              <w:rPr>
                <w:rFonts w:hint="eastAsia" w:cs="Times New Roman"/>
                <w:color w:val="auto"/>
                <w:sz w:val="24"/>
                <w:szCs w:val="24"/>
                <w:highlight w:val="none"/>
                <w:lang w:eastAsia="zh-CN"/>
              </w:rPr>
              <w:t>装修</w:t>
            </w:r>
            <w:r>
              <w:rPr>
                <w:rFonts w:hint="default" w:ascii="Times New Roman" w:hAnsi="Times New Roman" w:cs="Times New Roman"/>
                <w:color w:val="auto"/>
                <w:sz w:val="24"/>
                <w:szCs w:val="24"/>
                <w:highlight w:val="none"/>
              </w:rPr>
              <w:t>及设备安装调试</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施工期产生的废建筑材料、施工垃圾等固体废物委托物资公司处理</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施工人员生活污水依托</w:t>
            </w:r>
            <w:r>
              <w:rPr>
                <w:rFonts w:hint="eastAsia" w:ascii="Times New Roman" w:hAnsi="Times New Roman" w:cs="Times New Roman"/>
                <w:color w:val="auto"/>
                <w:sz w:val="24"/>
                <w:szCs w:val="24"/>
                <w:highlight w:val="none"/>
                <w:lang w:val="en-US" w:eastAsia="zh-CN"/>
              </w:rPr>
              <w:t>园区</w:t>
            </w:r>
            <w:r>
              <w:rPr>
                <w:rFonts w:hint="default" w:ascii="Times New Roman" w:hAnsi="Times New Roman" w:cs="Times New Roman"/>
                <w:color w:val="auto"/>
                <w:sz w:val="24"/>
                <w:szCs w:val="24"/>
                <w:highlight w:val="none"/>
              </w:rPr>
              <w:t>现有化粪池处理</w:t>
            </w:r>
            <w:r>
              <w:rPr>
                <w:rFonts w:hint="eastAsia" w:cs="Times New Roman"/>
                <w:color w:val="auto"/>
                <w:sz w:val="24"/>
                <w:szCs w:val="24"/>
                <w:highlight w:val="none"/>
                <w:lang w:eastAsia="zh-CN"/>
              </w:rPr>
              <w:t>；室内装修、</w:t>
            </w:r>
            <w:r>
              <w:rPr>
                <w:rFonts w:hint="default" w:ascii="Times New Roman" w:hAnsi="Times New Roman" w:cs="Times New Roman"/>
                <w:color w:val="auto"/>
                <w:sz w:val="24"/>
                <w:szCs w:val="24"/>
                <w:highlight w:val="none"/>
              </w:rPr>
              <w:t>设备安装、调试产生的噪声通过设备减振、厂房隔声等降噪措施处理</w:t>
            </w:r>
            <w:r>
              <w:rPr>
                <w:rFonts w:hint="eastAsia" w:cs="Times New Roman"/>
                <w:color w:val="auto"/>
                <w:sz w:val="24"/>
                <w:szCs w:val="24"/>
                <w:highlight w:val="none"/>
                <w:lang w:eastAsia="zh-CN"/>
              </w:rPr>
              <w:t>；施工过程通过选用环保型材料、合理施工等方式减轻对周边环境的影响。总体而言，</w:t>
            </w:r>
            <w:r>
              <w:rPr>
                <w:rFonts w:hint="eastAsia" w:eastAsia="宋体"/>
                <w:color w:val="auto"/>
                <w:sz w:val="24"/>
                <w:szCs w:val="24"/>
                <w:highlight w:val="none"/>
                <w:lang w:eastAsia="zh-CN"/>
              </w:rPr>
              <w:t>施工期对环境的影响是暂时的，会随施工期结束而停止。</w:t>
            </w:r>
          </w:p>
        </w:tc>
      </w:tr>
      <w:tr w14:paraId="2B829C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98" w:type="dxa"/>
            <w:noWrap w:val="0"/>
            <w:tcMar>
              <w:left w:w="28" w:type="dxa"/>
              <w:right w:w="28" w:type="dxa"/>
            </w:tcMar>
            <w:vAlign w:val="center"/>
          </w:tcPr>
          <w:p w14:paraId="4FB44A74">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运营</w:t>
            </w:r>
          </w:p>
          <w:p w14:paraId="7E5776A5">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期环</w:t>
            </w:r>
          </w:p>
          <w:p w14:paraId="50379711">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境影</w:t>
            </w:r>
          </w:p>
          <w:p w14:paraId="2147FBF4">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响和</w:t>
            </w:r>
          </w:p>
          <w:p w14:paraId="0A95BB22">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保护</w:t>
            </w:r>
          </w:p>
          <w:p w14:paraId="58A4BB45">
            <w:pPr>
              <w:pStyle w:val="23"/>
              <w:adjustRightInd w:val="0"/>
              <w:snapToGrid w:val="0"/>
              <w:spacing w:before="0" w:beforeAutospacing="0" w:after="0" w:afterAutospacing="0"/>
              <w:jc w:val="center"/>
              <w:rPr>
                <w:rFonts w:hint="default" w:ascii="Times New Roman" w:hAnsi="Times New Roman" w:cs="Times New Roman"/>
                <w:b/>
                <w:bCs/>
                <w:color w:val="auto"/>
                <w:kern w:val="2"/>
                <w:sz w:val="21"/>
                <w:szCs w:val="21"/>
                <w:highlight w:val="none"/>
              </w:rPr>
            </w:pPr>
            <w:r>
              <w:rPr>
                <w:rFonts w:hint="default" w:ascii="Times New Roman" w:hAnsi="Times New Roman" w:cs="Times New Roman"/>
                <w:b/>
                <w:bCs/>
                <w:color w:val="auto"/>
                <w:sz w:val="24"/>
                <w:szCs w:val="24"/>
                <w:highlight w:val="none"/>
              </w:rPr>
              <w:t>措施</w:t>
            </w:r>
          </w:p>
        </w:tc>
        <w:tc>
          <w:tcPr>
            <w:tcW w:w="8182" w:type="dxa"/>
            <w:noWrap w:val="0"/>
            <w:vAlign w:val="center"/>
          </w:tcPr>
          <w:p w14:paraId="502CBD9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、废气</w:t>
            </w:r>
          </w:p>
          <w:p w14:paraId="54D7B7F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废气污染源强分析</w:t>
            </w:r>
          </w:p>
          <w:p w14:paraId="4C4967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rPr>
              <w:t>项目</w:t>
            </w:r>
            <w:r>
              <w:rPr>
                <w:rFonts w:hint="eastAsia" w:cs="Times New Roman"/>
                <w:color w:val="auto"/>
                <w:kern w:val="0"/>
                <w:sz w:val="24"/>
                <w:szCs w:val="24"/>
                <w:highlight w:val="none"/>
                <w:lang w:eastAsia="zh-CN"/>
              </w:rPr>
              <w:t>生产过程</w:t>
            </w:r>
            <w:r>
              <w:rPr>
                <w:rFonts w:hint="default" w:ascii="Times New Roman" w:hAnsi="Times New Roman" w:cs="Times New Roman"/>
                <w:color w:val="auto"/>
                <w:kern w:val="0"/>
                <w:sz w:val="24"/>
                <w:szCs w:val="24"/>
                <w:highlight w:val="none"/>
              </w:rPr>
              <w:t>废气主要为</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w:t>
            </w:r>
            <w:r>
              <w:rPr>
                <w:rFonts w:hint="eastAsia" w:cs="Times New Roman"/>
                <w:color w:val="auto"/>
                <w:kern w:val="0"/>
                <w:sz w:val="24"/>
                <w:szCs w:val="24"/>
                <w:highlight w:val="none"/>
                <w:lang w:eastAsia="zh-CN"/>
              </w:rPr>
              <w:t>擦拭废气</w:t>
            </w:r>
            <w:r>
              <w:rPr>
                <w:rFonts w:hint="default" w:ascii="Times New Roman" w:hAnsi="Times New Roman" w:cs="Times New Roman"/>
                <w:color w:val="auto"/>
                <w:kern w:val="0"/>
                <w:sz w:val="24"/>
                <w:szCs w:val="24"/>
                <w:highlight w:val="none"/>
              </w:rPr>
              <w:t>、</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eastAsia="zh-CN"/>
              </w:rPr>
              <w:t>、手工焊焊接废气、</w:t>
            </w:r>
            <w:r>
              <w:rPr>
                <w:rFonts w:hint="eastAsia" w:cs="Times New Roman"/>
                <w:color w:val="auto"/>
                <w:kern w:val="0"/>
                <w:sz w:val="24"/>
                <w:szCs w:val="24"/>
                <w:highlight w:val="none"/>
                <w:lang w:val="en-US" w:eastAsia="zh-CN"/>
              </w:rPr>
              <w:t>挤出成型废气及打孔粉尘</w:t>
            </w:r>
            <w:r>
              <w:rPr>
                <w:rFonts w:hint="eastAsia" w:ascii="Times New Roman" w:hAnsi="Times New Roman" w:cs="Times New Roman"/>
                <w:color w:val="auto"/>
                <w:kern w:val="0"/>
                <w:sz w:val="24"/>
                <w:szCs w:val="24"/>
                <w:highlight w:val="none"/>
                <w:lang w:val="en-US" w:eastAsia="zh-CN"/>
              </w:rPr>
              <w:t>。</w:t>
            </w:r>
            <w:r>
              <w:rPr>
                <w:rFonts w:hint="eastAsia" w:cs="Times New Roman"/>
                <w:color w:val="auto"/>
                <w:kern w:val="0"/>
                <w:sz w:val="24"/>
                <w:szCs w:val="24"/>
                <w:highlight w:val="none"/>
                <w:lang w:val="en-US" w:eastAsia="zh-CN"/>
              </w:rPr>
              <w:t>其中，</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w:t>
            </w:r>
            <w:r>
              <w:rPr>
                <w:rFonts w:hint="eastAsia" w:cs="Times New Roman"/>
                <w:color w:val="auto"/>
                <w:kern w:val="0"/>
                <w:sz w:val="24"/>
                <w:szCs w:val="24"/>
                <w:highlight w:val="none"/>
                <w:lang w:eastAsia="zh-CN"/>
              </w:rPr>
              <w:t>擦拭废气、</w:t>
            </w:r>
            <w:r>
              <w:rPr>
                <w:rFonts w:hint="eastAsia" w:cs="Times New Roman"/>
                <w:color w:val="auto"/>
                <w:kern w:val="0"/>
                <w:sz w:val="24"/>
                <w:szCs w:val="24"/>
                <w:highlight w:val="none"/>
                <w:lang w:val="en-US" w:eastAsia="zh-CN"/>
              </w:rPr>
              <w:t>挤出成型废气由集气罩收集，回流焊焊接废气由管道收集经同一套干式过滤器+二级活性炭吸附装置处理后通过1根23米高排气筒排放；手工焊焊机废气、打孔废气产生量较小，以无组织形式排放。</w:t>
            </w:r>
          </w:p>
          <w:p w14:paraId="15B80A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val="0"/>
                <w:bCs w:val="0"/>
                <w:color w:val="auto"/>
                <w:kern w:val="0"/>
                <w:sz w:val="24"/>
                <w:szCs w:val="24"/>
                <w:highlight w:val="none"/>
                <w:lang w:val="en-US" w:eastAsia="zh-CN"/>
              </w:rPr>
            </w:pPr>
            <w:r>
              <w:rPr>
                <w:rFonts w:hint="eastAsia" w:cs="Times New Roman"/>
                <w:b w:val="0"/>
                <w:bCs w:val="0"/>
                <w:color w:val="auto"/>
                <w:kern w:val="0"/>
                <w:sz w:val="24"/>
                <w:szCs w:val="24"/>
                <w:highlight w:val="none"/>
                <w:lang w:val="en-US" w:eastAsia="zh-CN"/>
              </w:rPr>
              <w:t>1）废气收集及处理措施</w:t>
            </w:r>
          </w:p>
          <w:p w14:paraId="599AB60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b/>
                <w:bCs/>
                <w:color w:val="auto"/>
                <w:kern w:val="0"/>
                <w:sz w:val="21"/>
                <w:szCs w:val="21"/>
                <w:highlight w:val="none"/>
                <w:lang w:val="en-US" w:eastAsia="zh-CN"/>
              </w:rPr>
            </w:pPr>
          </w:p>
          <w:p w14:paraId="72589F7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b/>
                <w:bCs/>
                <w:color w:val="auto"/>
                <w:kern w:val="0"/>
                <w:sz w:val="21"/>
                <w:szCs w:val="21"/>
                <w:highlight w:val="none"/>
                <w:lang w:val="en-US" w:eastAsia="zh-CN"/>
              </w:rPr>
            </w:pPr>
          </w:p>
          <w:p w14:paraId="2D4D8B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b/>
                <w:bCs/>
                <w:color w:val="auto"/>
                <w:kern w:val="0"/>
                <w:sz w:val="21"/>
                <w:szCs w:val="21"/>
                <w:highlight w:val="none"/>
                <w:lang w:val="en-US" w:eastAsia="zh-CN"/>
              </w:rPr>
            </w:pPr>
          </w:p>
          <w:p w14:paraId="72AFE8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b/>
                <w:bCs/>
                <w:color w:val="auto"/>
                <w:kern w:val="0"/>
                <w:sz w:val="21"/>
                <w:szCs w:val="21"/>
                <w:highlight w:val="none"/>
                <w:lang w:val="en-US" w:eastAsia="zh-CN"/>
              </w:rPr>
            </w:pPr>
          </w:p>
          <w:p w14:paraId="56A22AB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b/>
                <w:bCs/>
                <w:color w:val="auto"/>
                <w:kern w:val="0"/>
                <w:sz w:val="21"/>
                <w:szCs w:val="21"/>
                <w:highlight w:val="none"/>
                <w:lang w:val="en-US" w:eastAsia="zh-CN"/>
              </w:rPr>
            </w:pPr>
          </w:p>
          <w:p w14:paraId="68E8279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b/>
                <w:bCs/>
                <w:color w:val="auto"/>
                <w:kern w:val="0"/>
                <w:sz w:val="21"/>
                <w:szCs w:val="21"/>
                <w:highlight w:val="none"/>
                <w:lang w:val="en-US" w:eastAsia="zh-CN"/>
              </w:rPr>
            </w:pPr>
          </w:p>
          <w:p w14:paraId="199C27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b/>
                <w:bCs/>
                <w:color w:val="auto"/>
                <w:kern w:val="0"/>
                <w:sz w:val="21"/>
                <w:szCs w:val="21"/>
                <w:highlight w:val="none"/>
                <w:lang w:val="en-US" w:eastAsia="zh-CN"/>
              </w:rPr>
            </w:pPr>
          </w:p>
          <w:p w14:paraId="400F53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b/>
                <w:bCs/>
                <w:color w:val="auto"/>
                <w:kern w:val="0"/>
                <w:sz w:val="21"/>
                <w:szCs w:val="21"/>
                <w:highlight w:val="none"/>
                <w:lang w:val="en-US" w:eastAsia="zh-CN"/>
              </w:rPr>
            </w:pPr>
          </w:p>
          <w:p w14:paraId="7D4CA6E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b/>
                <w:bCs/>
                <w:color w:val="auto"/>
                <w:kern w:val="0"/>
                <w:sz w:val="21"/>
                <w:szCs w:val="21"/>
                <w:highlight w:val="none"/>
                <w:lang w:val="en-US" w:eastAsia="zh-CN"/>
              </w:rPr>
            </w:pPr>
          </w:p>
          <w:p w14:paraId="79119AE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b/>
                <w:bCs/>
                <w:color w:val="auto"/>
                <w:kern w:val="0"/>
                <w:sz w:val="21"/>
                <w:szCs w:val="21"/>
                <w:highlight w:val="none"/>
                <w:lang w:val="en-US" w:eastAsia="zh-CN"/>
              </w:rPr>
            </w:pPr>
          </w:p>
          <w:p w14:paraId="5230CB3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b/>
                <w:bCs/>
                <w:color w:val="auto"/>
                <w:kern w:val="0"/>
                <w:sz w:val="21"/>
                <w:szCs w:val="21"/>
                <w:highlight w:val="none"/>
                <w:lang w:val="en-US" w:eastAsia="zh-CN"/>
              </w:rPr>
            </w:pPr>
          </w:p>
          <w:p w14:paraId="765BB9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b/>
                <w:bCs/>
                <w:color w:val="auto"/>
                <w:kern w:val="0"/>
                <w:sz w:val="21"/>
                <w:szCs w:val="21"/>
                <w:highlight w:val="none"/>
                <w:lang w:val="en-US" w:eastAsia="zh-CN"/>
              </w:rPr>
            </w:pPr>
          </w:p>
          <w:p w14:paraId="36A933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color w:val="auto"/>
                <w:kern w:val="0"/>
                <w:sz w:val="24"/>
                <w:szCs w:val="24"/>
                <w:highlight w:val="none"/>
                <w:lang w:val="en-US" w:eastAsia="zh-CN"/>
              </w:rPr>
            </w:pPr>
            <w:r>
              <w:rPr>
                <w:rFonts w:hint="eastAsia" w:cs="Times New Roman"/>
                <w:b/>
                <w:bCs/>
                <w:color w:val="auto"/>
                <w:kern w:val="0"/>
                <w:sz w:val="21"/>
                <w:szCs w:val="21"/>
                <w:highlight w:val="none"/>
                <w:lang w:val="en-US" w:eastAsia="zh-CN"/>
              </w:rPr>
              <w:t>表4-1  废气收集及处理措施一览表</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791"/>
              <w:gridCol w:w="791"/>
              <w:gridCol w:w="872"/>
              <w:gridCol w:w="710"/>
              <w:gridCol w:w="791"/>
              <w:gridCol w:w="791"/>
              <w:gridCol w:w="888"/>
              <w:gridCol w:w="715"/>
              <w:gridCol w:w="820"/>
            </w:tblGrid>
            <w:tr w14:paraId="3FAEE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493" w:type="pct"/>
                  <w:vMerge w:val="restart"/>
                  <w:vAlign w:val="center"/>
                </w:tcPr>
                <w:p w14:paraId="61D63C40">
                  <w:pPr>
                    <w:jc w:val="center"/>
                    <w:rPr>
                      <w:rFonts w:hint="default"/>
                      <w:b/>
                      <w:bCs/>
                      <w:sz w:val="21"/>
                      <w:szCs w:val="21"/>
                      <w:highlight w:val="none"/>
                      <w:lang w:val="en-US" w:eastAsia="zh-CN"/>
                    </w:rPr>
                  </w:pPr>
                  <w:r>
                    <w:rPr>
                      <w:rFonts w:hint="eastAsia"/>
                      <w:b/>
                      <w:bCs/>
                      <w:sz w:val="21"/>
                      <w:szCs w:val="21"/>
                      <w:highlight w:val="none"/>
                      <w:lang w:val="en-US" w:eastAsia="zh-CN"/>
                    </w:rPr>
                    <w:t>废气类别</w:t>
                  </w:r>
                </w:p>
              </w:tc>
              <w:tc>
                <w:tcPr>
                  <w:tcW w:w="497" w:type="pct"/>
                  <w:vMerge w:val="restart"/>
                  <w:vAlign w:val="center"/>
                </w:tcPr>
                <w:p w14:paraId="0D7ADEAF">
                  <w:pPr>
                    <w:jc w:val="center"/>
                    <w:rPr>
                      <w:rFonts w:hint="default"/>
                      <w:b/>
                      <w:bCs/>
                      <w:sz w:val="21"/>
                      <w:szCs w:val="21"/>
                      <w:highlight w:val="none"/>
                      <w:lang w:val="en-US" w:eastAsia="zh-CN"/>
                    </w:rPr>
                  </w:pPr>
                  <w:r>
                    <w:rPr>
                      <w:rFonts w:hint="eastAsia"/>
                      <w:b/>
                      <w:bCs/>
                      <w:sz w:val="21"/>
                      <w:szCs w:val="21"/>
                      <w:highlight w:val="none"/>
                      <w:lang w:val="en-US" w:eastAsia="zh-CN"/>
                    </w:rPr>
                    <w:t>污染因子</w:t>
                  </w:r>
                </w:p>
              </w:tc>
              <w:tc>
                <w:tcPr>
                  <w:tcW w:w="497" w:type="pct"/>
                  <w:vMerge w:val="restart"/>
                  <w:vAlign w:val="center"/>
                </w:tcPr>
                <w:p w14:paraId="2E77128E">
                  <w:pPr>
                    <w:jc w:val="center"/>
                    <w:rPr>
                      <w:rFonts w:hint="default"/>
                      <w:b/>
                      <w:bCs/>
                      <w:sz w:val="21"/>
                      <w:szCs w:val="21"/>
                      <w:highlight w:val="none"/>
                      <w:lang w:val="en-US" w:eastAsia="zh-CN"/>
                    </w:rPr>
                  </w:pPr>
                  <w:r>
                    <w:rPr>
                      <w:rFonts w:hint="eastAsia"/>
                      <w:b/>
                      <w:bCs/>
                      <w:sz w:val="21"/>
                      <w:szCs w:val="21"/>
                      <w:highlight w:val="none"/>
                      <w:lang w:val="en-US" w:eastAsia="zh-CN"/>
                    </w:rPr>
                    <w:t>工作时间</w:t>
                  </w:r>
                </w:p>
              </w:tc>
              <w:tc>
                <w:tcPr>
                  <w:tcW w:w="548" w:type="pct"/>
                  <w:vMerge w:val="restart"/>
                  <w:vAlign w:val="center"/>
                </w:tcPr>
                <w:p w14:paraId="169E2623">
                  <w:pPr>
                    <w:jc w:val="center"/>
                    <w:rPr>
                      <w:rFonts w:hint="eastAsia"/>
                      <w:b/>
                      <w:bCs/>
                      <w:sz w:val="21"/>
                      <w:szCs w:val="21"/>
                      <w:highlight w:val="none"/>
                      <w:lang w:val="en-US" w:eastAsia="zh-CN"/>
                    </w:rPr>
                  </w:pPr>
                  <w:r>
                    <w:rPr>
                      <w:rFonts w:hint="eastAsia"/>
                      <w:b/>
                      <w:bCs/>
                      <w:sz w:val="21"/>
                      <w:szCs w:val="21"/>
                      <w:highlight w:val="none"/>
                      <w:lang w:val="en-US" w:eastAsia="zh-CN"/>
                    </w:rPr>
                    <w:t>收集</w:t>
                  </w:r>
                </w:p>
                <w:p w14:paraId="03A60421">
                  <w:pPr>
                    <w:jc w:val="center"/>
                    <w:rPr>
                      <w:rFonts w:hint="default"/>
                      <w:b/>
                      <w:bCs/>
                      <w:sz w:val="21"/>
                      <w:szCs w:val="21"/>
                      <w:highlight w:val="none"/>
                      <w:lang w:val="en-US" w:eastAsia="zh-CN"/>
                    </w:rPr>
                  </w:pPr>
                  <w:r>
                    <w:rPr>
                      <w:rFonts w:hint="eastAsia"/>
                      <w:b/>
                      <w:bCs/>
                      <w:sz w:val="21"/>
                      <w:szCs w:val="21"/>
                      <w:highlight w:val="none"/>
                      <w:lang w:val="en-US" w:eastAsia="zh-CN"/>
                    </w:rPr>
                    <w:t>措施</w:t>
                  </w:r>
                </w:p>
              </w:tc>
              <w:tc>
                <w:tcPr>
                  <w:tcW w:w="446" w:type="pct"/>
                  <w:vMerge w:val="restart"/>
                  <w:vAlign w:val="center"/>
                </w:tcPr>
                <w:p w14:paraId="2A8E9C24">
                  <w:pPr>
                    <w:jc w:val="center"/>
                    <w:rPr>
                      <w:rFonts w:hint="default"/>
                      <w:b/>
                      <w:bCs/>
                      <w:sz w:val="21"/>
                      <w:szCs w:val="21"/>
                      <w:highlight w:val="none"/>
                      <w:lang w:val="en-US" w:eastAsia="zh-CN"/>
                    </w:rPr>
                  </w:pPr>
                  <w:r>
                    <w:rPr>
                      <w:rFonts w:hint="eastAsia"/>
                      <w:b/>
                      <w:bCs/>
                      <w:sz w:val="21"/>
                      <w:szCs w:val="21"/>
                      <w:highlight w:val="none"/>
                      <w:lang w:val="en-US" w:eastAsia="zh-CN"/>
                    </w:rPr>
                    <w:t>收集效率</w:t>
                  </w:r>
                </w:p>
              </w:tc>
              <w:tc>
                <w:tcPr>
                  <w:tcW w:w="497" w:type="pct"/>
                  <w:vMerge w:val="restart"/>
                  <w:vAlign w:val="center"/>
                </w:tcPr>
                <w:p w14:paraId="31AEDEF8">
                  <w:pPr>
                    <w:jc w:val="center"/>
                    <w:rPr>
                      <w:rFonts w:hint="default"/>
                      <w:b/>
                      <w:bCs/>
                      <w:sz w:val="21"/>
                      <w:szCs w:val="21"/>
                      <w:highlight w:val="none"/>
                      <w:lang w:val="en-US" w:eastAsia="zh-CN"/>
                    </w:rPr>
                  </w:pPr>
                  <w:r>
                    <w:rPr>
                      <w:rFonts w:hint="eastAsia"/>
                      <w:b/>
                      <w:bCs/>
                      <w:sz w:val="21"/>
                      <w:szCs w:val="21"/>
                      <w:highlight w:val="none"/>
                      <w:lang w:val="en-US" w:eastAsia="zh-CN"/>
                    </w:rPr>
                    <w:t>治理措施</w:t>
                  </w:r>
                </w:p>
              </w:tc>
              <w:tc>
                <w:tcPr>
                  <w:tcW w:w="497" w:type="pct"/>
                  <w:vMerge w:val="restart"/>
                  <w:vAlign w:val="center"/>
                </w:tcPr>
                <w:p w14:paraId="5FA5B0E7">
                  <w:pPr>
                    <w:jc w:val="center"/>
                    <w:rPr>
                      <w:rFonts w:hint="default"/>
                      <w:b/>
                      <w:bCs/>
                      <w:sz w:val="21"/>
                      <w:szCs w:val="21"/>
                      <w:highlight w:val="none"/>
                      <w:lang w:val="en-US" w:eastAsia="zh-CN"/>
                    </w:rPr>
                  </w:pPr>
                  <w:r>
                    <w:rPr>
                      <w:rFonts w:hint="eastAsia"/>
                      <w:b/>
                      <w:bCs/>
                      <w:sz w:val="21"/>
                      <w:szCs w:val="21"/>
                      <w:highlight w:val="none"/>
                      <w:lang w:val="en-US" w:eastAsia="zh-CN"/>
                    </w:rPr>
                    <w:t>处理效率</w:t>
                  </w:r>
                </w:p>
              </w:tc>
              <w:tc>
                <w:tcPr>
                  <w:tcW w:w="1522" w:type="pct"/>
                  <w:gridSpan w:val="3"/>
                  <w:vAlign w:val="center"/>
                </w:tcPr>
                <w:p w14:paraId="29D0510F">
                  <w:pPr>
                    <w:jc w:val="center"/>
                    <w:rPr>
                      <w:rFonts w:hint="default"/>
                      <w:b/>
                      <w:bCs/>
                      <w:sz w:val="21"/>
                      <w:szCs w:val="21"/>
                      <w:highlight w:val="none"/>
                      <w:lang w:val="en-US" w:eastAsia="zh-CN"/>
                    </w:rPr>
                  </w:pPr>
                  <w:r>
                    <w:rPr>
                      <w:rFonts w:hint="eastAsia"/>
                      <w:b/>
                      <w:bCs/>
                      <w:sz w:val="21"/>
                      <w:szCs w:val="21"/>
                      <w:highlight w:val="none"/>
                      <w:lang w:val="en-US" w:eastAsia="zh-CN"/>
                    </w:rPr>
                    <w:t>排气筒情况</w:t>
                  </w:r>
                </w:p>
              </w:tc>
            </w:tr>
            <w:tr w14:paraId="0D683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trPr>
              <w:tc>
                <w:tcPr>
                  <w:tcW w:w="493" w:type="pct"/>
                  <w:vMerge w:val="continue"/>
                  <w:vAlign w:val="center"/>
                </w:tcPr>
                <w:p w14:paraId="74CA8BF3">
                  <w:pPr>
                    <w:jc w:val="center"/>
                    <w:rPr>
                      <w:rFonts w:hint="eastAsia"/>
                      <w:b/>
                      <w:bCs/>
                      <w:sz w:val="21"/>
                      <w:szCs w:val="21"/>
                      <w:highlight w:val="none"/>
                      <w:lang w:val="en-US" w:eastAsia="zh-CN"/>
                    </w:rPr>
                  </w:pPr>
                </w:p>
              </w:tc>
              <w:tc>
                <w:tcPr>
                  <w:tcW w:w="497" w:type="pct"/>
                  <w:vMerge w:val="continue"/>
                  <w:vAlign w:val="center"/>
                </w:tcPr>
                <w:p w14:paraId="58128015">
                  <w:pPr>
                    <w:jc w:val="center"/>
                    <w:rPr>
                      <w:rFonts w:hint="eastAsia"/>
                      <w:b/>
                      <w:bCs/>
                      <w:sz w:val="21"/>
                      <w:szCs w:val="21"/>
                      <w:highlight w:val="none"/>
                      <w:lang w:val="en-US" w:eastAsia="zh-CN"/>
                    </w:rPr>
                  </w:pPr>
                </w:p>
              </w:tc>
              <w:tc>
                <w:tcPr>
                  <w:tcW w:w="497" w:type="pct"/>
                  <w:vMerge w:val="continue"/>
                  <w:vAlign w:val="center"/>
                </w:tcPr>
                <w:p w14:paraId="3AEA0104">
                  <w:pPr>
                    <w:jc w:val="center"/>
                    <w:rPr>
                      <w:rFonts w:hint="eastAsia"/>
                      <w:b/>
                      <w:bCs/>
                      <w:sz w:val="21"/>
                      <w:szCs w:val="21"/>
                      <w:highlight w:val="none"/>
                      <w:lang w:val="en-US" w:eastAsia="zh-CN"/>
                    </w:rPr>
                  </w:pPr>
                </w:p>
              </w:tc>
              <w:tc>
                <w:tcPr>
                  <w:tcW w:w="548" w:type="pct"/>
                  <w:vMerge w:val="continue"/>
                  <w:vAlign w:val="center"/>
                </w:tcPr>
                <w:p w14:paraId="78C61853">
                  <w:pPr>
                    <w:jc w:val="center"/>
                    <w:rPr>
                      <w:rFonts w:hint="eastAsia"/>
                      <w:b/>
                      <w:bCs/>
                      <w:sz w:val="21"/>
                      <w:szCs w:val="21"/>
                      <w:highlight w:val="none"/>
                      <w:lang w:val="en-US" w:eastAsia="zh-CN"/>
                    </w:rPr>
                  </w:pPr>
                </w:p>
              </w:tc>
              <w:tc>
                <w:tcPr>
                  <w:tcW w:w="446" w:type="pct"/>
                  <w:vMerge w:val="continue"/>
                  <w:vAlign w:val="center"/>
                </w:tcPr>
                <w:p w14:paraId="7440AA56">
                  <w:pPr>
                    <w:jc w:val="center"/>
                    <w:rPr>
                      <w:rFonts w:hint="eastAsia"/>
                      <w:b/>
                      <w:bCs/>
                      <w:sz w:val="21"/>
                      <w:szCs w:val="21"/>
                      <w:highlight w:val="none"/>
                      <w:lang w:val="en-US" w:eastAsia="zh-CN"/>
                    </w:rPr>
                  </w:pPr>
                </w:p>
              </w:tc>
              <w:tc>
                <w:tcPr>
                  <w:tcW w:w="497" w:type="pct"/>
                  <w:vMerge w:val="continue"/>
                  <w:vAlign w:val="center"/>
                </w:tcPr>
                <w:p w14:paraId="24BDC946">
                  <w:pPr>
                    <w:jc w:val="center"/>
                    <w:rPr>
                      <w:rFonts w:hint="eastAsia"/>
                      <w:b/>
                      <w:bCs/>
                      <w:sz w:val="21"/>
                      <w:szCs w:val="21"/>
                      <w:highlight w:val="none"/>
                      <w:lang w:val="en-US" w:eastAsia="zh-CN"/>
                    </w:rPr>
                  </w:pPr>
                </w:p>
              </w:tc>
              <w:tc>
                <w:tcPr>
                  <w:tcW w:w="497" w:type="pct"/>
                  <w:vMerge w:val="continue"/>
                  <w:vAlign w:val="center"/>
                </w:tcPr>
                <w:p w14:paraId="7D313454">
                  <w:pPr>
                    <w:jc w:val="center"/>
                    <w:rPr>
                      <w:rFonts w:hint="eastAsia"/>
                      <w:b/>
                      <w:bCs/>
                      <w:sz w:val="21"/>
                      <w:szCs w:val="21"/>
                      <w:highlight w:val="none"/>
                      <w:lang w:val="en-US" w:eastAsia="zh-CN"/>
                    </w:rPr>
                  </w:pPr>
                </w:p>
              </w:tc>
              <w:tc>
                <w:tcPr>
                  <w:tcW w:w="558" w:type="pct"/>
                  <w:vAlign w:val="center"/>
                </w:tcPr>
                <w:p w14:paraId="2C62DC67">
                  <w:pPr>
                    <w:jc w:val="center"/>
                    <w:rPr>
                      <w:rFonts w:hint="default"/>
                      <w:b/>
                      <w:bCs/>
                      <w:sz w:val="21"/>
                      <w:szCs w:val="21"/>
                      <w:highlight w:val="none"/>
                      <w:lang w:val="en-US" w:eastAsia="zh-CN"/>
                    </w:rPr>
                  </w:pPr>
                  <w:r>
                    <w:rPr>
                      <w:rFonts w:hint="eastAsia"/>
                      <w:b/>
                      <w:bCs/>
                      <w:sz w:val="21"/>
                      <w:szCs w:val="21"/>
                      <w:highlight w:val="none"/>
                      <w:lang w:val="en-US" w:eastAsia="zh-CN"/>
                    </w:rPr>
                    <w:t>编号</w:t>
                  </w:r>
                </w:p>
              </w:tc>
              <w:tc>
                <w:tcPr>
                  <w:tcW w:w="449" w:type="pct"/>
                  <w:vAlign w:val="center"/>
                </w:tcPr>
                <w:p w14:paraId="64809834">
                  <w:pPr>
                    <w:jc w:val="center"/>
                    <w:rPr>
                      <w:rFonts w:hint="default"/>
                      <w:b/>
                      <w:bCs/>
                      <w:sz w:val="21"/>
                      <w:szCs w:val="21"/>
                      <w:highlight w:val="none"/>
                      <w:lang w:val="en-US" w:eastAsia="zh-CN"/>
                    </w:rPr>
                  </w:pPr>
                  <w:r>
                    <w:rPr>
                      <w:rFonts w:hint="eastAsia"/>
                      <w:b/>
                      <w:bCs/>
                      <w:sz w:val="21"/>
                      <w:szCs w:val="21"/>
                      <w:highlight w:val="none"/>
                      <w:lang w:val="en-US" w:eastAsia="zh-CN"/>
                    </w:rPr>
                    <w:t>高度（m）</w:t>
                  </w:r>
                </w:p>
              </w:tc>
              <w:tc>
                <w:tcPr>
                  <w:tcW w:w="514" w:type="pct"/>
                  <w:vAlign w:val="center"/>
                </w:tcPr>
                <w:p w14:paraId="7EE0E431">
                  <w:pPr>
                    <w:jc w:val="center"/>
                    <w:rPr>
                      <w:rFonts w:hint="default"/>
                      <w:b/>
                      <w:bCs/>
                      <w:sz w:val="21"/>
                      <w:szCs w:val="21"/>
                      <w:highlight w:val="none"/>
                      <w:lang w:val="en-US" w:eastAsia="zh-CN"/>
                    </w:rPr>
                  </w:pPr>
                  <w:r>
                    <w:rPr>
                      <w:rFonts w:hint="eastAsia"/>
                      <w:b/>
                      <w:bCs/>
                      <w:sz w:val="21"/>
                      <w:szCs w:val="21"/>
                      <w:highlight w:val="none"/>
                      <w:lang w:val="en-US" w:eastAsia="zh-CN"/>
                    </w:rPr>
                    <w:t>内径（m）</w:t>
                  </w:r>
                </w:p>
              </w:tc>
            </w:tr>
            <w:tr w14:paraId="17672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Align w:val="center"/>
                </w:tcPr>
                <w:p w14:paraId="524C8E1C">
                  <w:pPr>
                    <w:jc w:val="center"/>
                    <w:rPr>
                      <w:rFonts w:hint="default"/>
                      <w:sz w:val="21"/>
                      <w:szCs w:val="21"/>
                      <w:highlight w:val="none"/>
                      <w:lang w:eastAsia="zh-CN"/>
                    </w:rPr>
                  </w:pPr>
                  <w:r>
                    <w:rPr>
                      <w:rFonts w:hint="default"/>
                      <w:sz w:val="21"/>
                      <w:szCs w:val="21"/>
                      <w:highlight w:val="none"/>
                      <w:lang w:eastAsia="zh-CN"/>
                    </w:rPr>
                    <w:t>锡膏印刷废气</w:t>
                  </w:r>
                </w:p>
              </w:tc>
              <w:tc>
                <w:tcPr>
                  <w:tcW w:w="497" w:type="pct"/>
                  <w:vAlign w:val="center"/>
                </w:tcPr>
                <w:p w14:paraId="2C522710">
                  <w:pPr>
                    <w:jc w:val="center"/>
                    <w:rPr>
                      <w:rFonts w:hint="default"/>
                      <w:sz w:val="21"/>
                      <w:szCs w:val="21"/>
                      <w:highlight w:val="none"/>
                      <w:lang w:val="en-US" w:eastAsia="zh-CN"/>
                    </w:rPr>
                  </w:pPr>
                  <w:r>
                    <w:rPr>
                      <w:rFonts w:hint="eastAsia"/>
                      <w:sz w:val="21"/>
                      <w:szCs w:val="21"/>
                      <w:highlight w:val="none"/>
                      <w:lang w:val="en-US" w:eastAsia="zh-CN"/>
                    </w:rPr>
                    <w:t>非甲烷总烃</w:t>
                  </w:r>
                </w:p>
              </w:tc>
              <w:tc>
                <w:tcPr>
                  <w:tcW w:w="497" w:type="pct"/>
                  <w:vAlign w:val="center"/>
                </w:tcPr>
                <w:p w14:paraId="452F35EA">
                  <w:pPr>
                    <w:jc w:val="center"/>
                    <w:rPr>
                      <w:rFonts w:hint="default"/>
                      <w:sz w:val="21"/>
                      <w:szCs w:val="21"/>
                      <w:highlight w:val="none"/>
                      <w:lang w:val="en-US" w:eastAsia="zh-CN"/>
                    </w:rPr>
                  </w:pPr>
                  <w:r>
                    <w:rPr>
                      <w:rFonts w:hint="eastAsia"/>
                      <w:sz w:val="21"/>
                      <w:szCs w:val="21"/>
                      <w:highlight w:val="none"/>
                      <w:lang w:val="en-US" w:eastAsia="zh-CN"/>
                    </w:rPr>
                    <w:t>4800h</w:t>
                  </w:r>
                </w:p>
              </w:tc>
              <w:tc>
                <w:tcPr>
                  <w:tcW w:w="548" w:type="pct"/>
                  <w:vAlign w:val="center"/>
                </w:tcPr>
                <w:p w14:paraId="621073B8">
                  <w:pPr>
                    <w:jc w:val="center"/>
                    <w:rPr>
                      <w:rFonts w:hint="default"/>
                      <w:sz w:val="21"/>
                      <w:szCs w:val="21"/>
                      <w:highlight w:val="none"/>
                      <w:lang w:val="en-US" w:eastAsia="zh-CN"/>
                    </w:rPr>
                  </w:pPr>
                  <w:r>
                    <w:rPr>
                      <w:rFonts w:hint="eastAsia"/>
                      <w:sz w:val="21"/>
                      <w:szCs w:val="21"/>
                      <w:highlight w:val="none"/>
                      <w:lang w:val="en-US" w:eastAsia="zh-CN"/>
                    </w:rPr>
                    <w:t>集气罩</w:t>
                  </w:r>
                </w:p>
              </w:tc>
              <w:tc>
                <w:tcPr>
                  <w:tcW w:w="446" w:type="pct"/>
                  <w:vAlign w:val="center"/>
                </w:tcPr>
                <w:p w14:paraId="1F614D99">
                  <w:pPr>
                    <w:jc w:val="center"/>
                    <w:rPr>
                      <w:rFonts w:hint="default"/>
                      <w:sz w:val="21"/>
                      <w:szCs w:val="21"/>
                      <w:highlight w:val="none"/>
                      <w:lang w:val="en-US" w:eastAsia="zh-CN"/>
                    </w:rPr>
                  </w:pPr>
                  <w:r>
                    <w:rPr>
                      <w:rFonts w:hint="eastAsia"/>
                      <w:sz w:val="21"/>
                      <w:szCs w:val="21"/>
                      <w:highlight w:val="none"/>
                      <w:lang w:val="en-US" w:eastAsia="zh-CN"/>
                    </w:rPr>
                    <w:t>90%</w:t>
                  </w:r>
                </w:p>
              </w:tc>
              <w:tc>
                <w:tcPr>
                  <w:tcW w:w="497" w:type="pct"/>
                  <w:vMerge w:val="restart"/>
                  <w:vAlign w:val="center"/>
                </w:tcPr>
                <w:p w14:paraId="27E6C4CD">
                  <w:pPr>
                    <w:jc w:val="center"/>
                    <w:rPr>
                      <w:rFonts w:hint="default"/>
                      <w:sz w:val="21"/>
                      <w:szCs w:val="21"/>
                      <w:highlight w:val="none"/>
                      <w:lang w:val="en-US" w:eastAsia="zh-CN"/>
                    </w:rPr>
                  </w:pPr>
                  <w:r>
                    <w:rPr>
                      <w:rFonts w:hint="default"/>
                      <w:sz w:val="21"/>
                      <w:szCs w:val="21"/>
                      <w:highlight w:val="none"/>
                      <w:lang w:val="en-US" w:eastAsia="zh-CN"/>
                    </w:rPr>
                    <w:t>干式过滤器+二级活性炭吸附装置</w:t>
                  </w:r>
                </w:p>
              </w:tc>
              <w:tc>
                <w:tcPr>
                  <w:tcW w:w="497" w:type="pct"/>
                  <w:vAlign w:val="center"/>
                </w:tcPr>
                <w:p w14:paraId="61BF6C4F">
                  <w:pPr>
                    <w:jc w:val="center"/>
                    <w:rPr>
                      <w:rFonts w:hint="default"/>
                      <w:sz w:val="21"/>
                      <w:szCs w:val="21"/>
                      <w:highlight w:val="none"/>
                      <w:lang w:val="en-US" w:eastAsia="zh-CN"/>
                    </w:rPr>
                  </w:pPr>
                  <w:r>
                    <w:rPr>
                      <w:rFonts w:hint="eastAsia"/>
                      <w:sz w:val="21"/>
                      <w:szCs w:val="21"/>
                      <w:highlight w:val="none"/>
                      <w:lang w:val="en-US" w:eastAsia="zh-CN"/>
                    </w:rPr>
                    <w:t>90%</w:t>
                  </w:r>
                </w:p>
              </w:tc>
              <w:tc>
                <w:tcPr>
                  <w:tcW w:w="558" w:type="pct"/>
                  <w:vMerge w:val="restart"/>
                  <w:vAlign w:val="center"/>
                </w:tcPr>
                <w:p w14:paraId="341E588A">
                  <w:pPr>
                    <w:jc w:val="center"/>
                    <w:rPr>
                      <w:rFonts w:hint="default"/>
                      <w:sz w:val="21"/>
                      <w:szCs w:val="21"/>
                      <w:highlight w:val="none"/>
                      <w:lang w:val="en-US" w:eastAsia="zh-CN"/>
                    </w:rPr>
                  </w:pPr>
                  <w:r>
                    <w:rPr>
                      <w:rFonts w:hint="eastAsia"/>
                      <w:sz w:val="21"/>
                      <w:szCs w:val="21"/>
                      <w:highlight w:val="none"/>
                      <w:lang w:val="en-US" w:eastAsia="zh-CN"/>
                    </w:rPr>
                    <w:t>DA001</w:t>
                  </w:r>
                </w:p>
              </w:tc>
              <w:tc>
                <w:tcPr>
                  <w:tcW w:w="449" w:type="pct"/>
                  <w:vMerge w:val="restart"/>
                  <w:vAlign w:val="center"/>
                </w:tcPr>
                <w:p w14:paraId="6BFDDBC4">
                  <w:pPr>
                    <w:jc w:val="center"/>
                    <w:rPr>
                      <w:rFonts w:hint="default"/>
                      <w:sz w:val="21"/>
                      <w:szCs w:val="21"/>
                      <w:highlight w:val="none"/>
                      <w:lang w:val="en-US" w:eastAsia="zh-CN"/>
                    </w:rPr>
                  </w:pPr>
                  <w:r>
                    <w:rPr>
                      <w:rFonts w:hint="eastAsia"/>
                      <w:sz w:val="21"/>
                      <w:szCs w:val="21"/>
                      <w:highlight w:val="none"/>
                      <w:lang w:val="en-US" w:eastAsia="zh-CN"/>
                    </w:rPr>
                    <w:t>23</w:t>
                  </w:r>
                </w:p>
              </w:tc>
              <w:tc>
                <w:tcPr>
                  <w:tcW w:w="514" w:type="pct"/>
                  <w:vMerge w:val="restart"/>
                  <w:vAlign w:val="center"/>
                </w:tcPr>
                <w:p w14:paraId="7444B66C">
                  <w:pPr>
                    <w:jc w:val="center"/>
                    <w:rPr>
                      <w:rFonts w:hint="default"/>
                      <w:sz w:val="21"/>
                      <w:szCs w:val="21"/>
                      <w:highlight w:val="none"/>
                      <w:lang w:val="en-US" w:eastAsia="zh-CN"/>
                    </w:rPr>
                  </w:pPr>
                  <w:r>
                    <w:rPr>
                      <w:rFonts w:hint="eastAsia"/>
                      <w:sz w:val="21"/>
                      <w:szCs w:val="21"/>
                      <w:highlight w:val="none"/>
                      <w:lang w:val="en-US" w:eastAsia="zh-CN"/>
                    </w:rPr>
                    <w:t>0.7</w:t>
                  </w:r>
                </w:p>
              </w:tc>
            </w:tr>
            <w:tr w14:paraId="3FAEB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Align w:val="center"/>
                </w:tcPr>
                <w:p w14:paraId="3293034B">
                  <w:pPr>
                    <w:jc w:val="center"/>
                    <w:rPr>
                      <w:rFonts w:hint="default"/>
                      <w:sz w:val="21"/>
                      <w:szCs w:val="21"/>
                      <w:highlight w:val="none"/>
                      <w:lang w:val="en-US" w:eastAsia="zh-CN"/>
                    </w:rPr>
                  </w:pPr>
                  <w:r>
                    <w:rPr>
                      <w:rFonts w:hint="eastAsia"/>
                      <w:sz w:val="21"/>
                      <w:szCs w:val="21"/>
                      <w:highlight w:val="none"/>
                      <w:lang w:val="en-US" w:eastAsia="zh-CN"/>
                    </w:rPr>
                    <w:t>钢网擦拭废气</w:t>
                  </w:r>
                </w:p>
              </w:tc>
              <w:tc>
                <w:tcPr>
                  <w:tcW w:w="497" w:type="pct"/>
                  <w:vAlign w:val="center"/>
                </w:tcPr>
                <w:p w14:paraId="33A1E425">
                  <w:pPr>
                    <w:jc w:val="center"/>
                    <w:rPr>
                      <w:rFonts w:hint="default"/>
                      <w:sz w:val="21"/>
                      <w:szCs w:val="21"/>
                      <w:highlight w:val="none"/>
                      <w:lang w:val="en-US" w:eastAsia="zh-CN"/>
                    </w:rPr>
                  </w:pPr>
                  <w:r>
                    <w:rPr>
                      <w:rFonts w:hint="eastAsia"/>
                      <w:sz w:val="21"/>
                      <w:szCs w:val="21"/>
                      <w:highlight w:val="none"/>
                      <w:lang w:val="en-US" w:eastAsia="zh-CN"/>
                    </w:rPr>
                    <w:t>非甲烷总烃</w:t>
                  </w:r>
                </w:p>
              </w:tc>
              <w:tc>
                <w:tcPr>
                  <w:tcW w:w="497" w:type="pct"/>
                  <w:vAlign w:val="center"/>
                </w:tcPr>
                <w:p w14:paraId="456EF406">
                  <w:pPr>
                    <w:jc w:val="center"/>
                    <w:rPr>
                      <w:rFonts w:hint="default"/>
                      <w:sz w:val="21"/>
                      <w:szCs w:val="21"/>
                      <w:highlight w:val="none"/>
                      <w:lang w:val="en-US" w:eastAsia="zh-CN"/>
                    </w:rPr>
                  </w:pPr>
                  <w:r>
                    <w:rPr>
                      <w:rFonts w:hint="eastAsia"/>
                      <w:sz w:val="21"/>
                      <w:szCs w:val="21"/>
                      <w:highlight w:val="none"/>
                      <w:lang w:val="en-US" w:eastAsia="zh-CN"/>
                    </w:rPr>
                    <w:t>300h</w:t>
                  </w:r>
                </w:p>
              </w:tc>
              <w:tc>
                <w:tcPr>
                  <w:tcW w:w="548" w:type="pct"/>
                  <w:vAlign w:val="center"/>
                </w:tcPr>
                <w:p w14:paraId="62D5BC51">
                  <w:pPr>
                    <w:jc w:val="center"/>
                    <w:rPr>
                      <w:rFonts w:hint="default"/>
                      <w:sz w:val="21"/>
                      <w:szCs w:val="21"/>
                      <w:highlight w:val="none"/>
                      <w:lang w:val="en-US" w:eastAsia="zh-CN"/>
                    </w:rPr>
                  </w:pPr>
                  <w:r>
                    <w:rPr>
                      <w:rFonts w:hint="eastAsia"/>
                      <w:sz w:val="21"/>
                      <w:szCs w:val="21"/>
                      <w:highlight w:val="none"/>
                      <w:lang w:val="en-US" w:eastAsia="zh-CN"/>
                    </w:rPr>
                    <w:t>集气罩</w:t>
                  </w:r>
                </w:p>
              </w:tc>
              <w:tc>
                <w:tcPr>
                  <w:tcW w:w="446" w:type="pct"/>
                  <w:vAlign w:val="center"/>
                </w:tcPr>
                <w:p w14:paraId="24F8BD8F">
                  <w:pPr>
                    <w:jc w:val="center"/>
                    <w:rPr>
                      <w:rFonts w:hint="default"/>
                      <w:sz w:val="21"/>
                      <w:szCs w:val="21"/>
                      <w:highlight w:val="none"/>
                      <w:lang w:val="en-US" w:eastAsia="zh-CN"/>
                    </w:rPr>
                  </w:pPr>
                  <w:r>
                    <w:rPr>
                      <w:rFonts w:hint="eastAsia"/>
                      <w:sz w:val="21"/>
                      <w:szCs w:val="21"/>
                      <w:highlight w:val="none"/>
                      <w:lang w:val="en-US" w:eastAsia="zh-CN"/>
                    </w:rPr>
                    <w:t>90%</w:t>
                  </w:r>
                </w:p>
              </w:tc>
              <w:tc>
                <w:tcPr>
                  <w:tcW w:w="497" w:type="pct"/>
                  <w:vMerge w:val="continue"/>
                  <w:vAlign w:val="center"/>
                </w:tcPr>
                <w:p w14:paraId="788B284E">
                  <w:pPr>
                    <w:jc w:val="center"/>
                    <w:rPr>
                      <w:rFonts w:hint="default"/>
                      <w:sz w:val="21"/>
                      <w:szCs w:val="21"/>
                      <w:highlight w:val="none"/>
                      <w:lang w:eastAsia="zh-CN"/>
                    </w:rPr>
                  </w:pPr>
                </w:p>
              </w:tc>
              <w:tc>
                <w:tcPr>
                  <w:tcW w:w="497" w:type="pct"/>
                  <w:vAlign w:val="center"/>
                </w:tcPr>
                <w:p w14:paraId="2F276EB2">
                  <w:pPr>
                    <w:jc w:val="center"/>
                    <w:rPr>
                      <w:rFonts w:hint="default"/>
                      <w:sz w:val="21"/>
                      <w:szCs w:val="21"/>
                      <w:highlight w:val="none"/>
                      <w:lang w:eastAsia="zh-CN"/>
                    </w:rPr>
                  </w:pPr>
                  <w:r>
                    <w:rPr>
                      <w:rFonts w:hint="eastAsia"/>
                      <w:sz w:val="21"/>
                      <w:szCs w:val="21"/>
                      <w:highlight w:val="none"/>
                      <w:lang w:val="en-US" w:eastAsia="zh-CN"/>
                    </w:rPr>
                    <w:t>90%</w:t>
                  </w:r>
                </w:p>
              </w:tc>
              <w:tc>
                <w:tcPr>
                  <w:tcW w:w="558" w:type="pct"/>
                  <w:vMerge w:val="continue"/>
                  <w:vAlign w:val="center"/>
                </w:tcPr>
                <w:p w14:paraId="222F7672">
                  <w:pPr>
                    <w:jc w:val="center"/>
                    <w:rPr>
                      <w:rFonts w:hint="default"/>
                      <w:sz w:val="21"/>
                      <w:szCs w:val="21"/>
                      <w:highlight w:val="none"/>
                      <w:lang w:eastAsia="zh-CN"/>
                    </w:rPr>
                  </w:pPr>
                </w:p>
              </w:tc>
              <w:tc>
                <w:tcPr>
                  <w:tcW w:w="449" w:type="pct"/>
                  <w:vMerge w:val="continue"/>
                  <w:vAlign w:val="center"/>
                </w:tcPr>
                <w:p w14:paraId="623BD56D">
                  <w:pPr>
                    <w:jc w:val="center"/>
                    <w:rPr>
                      <w:rFonts w:hint="default"/>
                      <w:sz w:val="21"/>
                      <w:szCs w:val="21"/>
                      <w:highlight w:val="none"/>
                      <w:lang w:eastAsia="zh-CN"/>
                    </w:rPr>
                  </w:pPr>
                </w:p>
              </w:tc>
              <w:tc>
                <w:tcPr>
                  <w:tcW w:w="514" w:type="pct"/>
                  <w:vMerge w:val="continue"/>
                  <w:vAlign w:val="center"/>
                </w:tcPr>
                <w:p w14:paraId="1BB98454">
                  <w:pPr>
                    <w:jc w:val="center"/>
                    <w:rPr>
                      <w:rFonts w:hint="default"/>
                      <w:sz w:val="21"/>
                      <w:szCs w:val="21"/>
                      <w:highlight w:val="none"/>
                      <w:lang w:eastAsia="zh-CN"/>
                    </w:rPr>
                  </w:pPr>
                </w:p>
              </w:tc>
            </w:tr>
            <w:tr w14:paraId="36F2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restart"/>
                  <w:vAlign w:val="center"/>
                </w:tcPr>
                <w:p w14:paraId="7A359CEE">
                  <w:pPr>
                    <w:jc w:val="center"/>
                    <w:rPr>
                      <w:rFonts w:hint="default"/>
                      <w:sz w:val="21"/>
                      <w:szCs w:val="21"/>
                      <w:highlight w:val="none"/>
                      <w:lang w:val="en-US" w:eastAsia="zh-CN"/>
                    </w:rPr>
                  </w:pPr>
                  <w:r>
                    <w:rPr>
                      <w:rFonts w:hint="eastAsia"/>
                      <w:sz w:val="21"/>
                      <w:szCs w:val="21"/>
                      <w:highlight w:val="none"/>
                      <w:lang w:val="en-US" w:eastAsia="zh-CN"/>
                    </w:rPr>
                    <w:t>回流焊焊接废气</w:t>
                  </w:r>
                </w:p>
              </w:tc>
              <w:tc>
                <w:tcPr>
                  <w:tcW w:w="497" w:type="pct"/>
                  <w:vAlign w:val="center"/>
                </w:tcPr>
                <w:p w14:paraId="09FF3AED">
                  <w:pPr>
                    <w:jc w:val="center"/>
                    <w:rPr>
                      <w:rFonts w:hint="default"/>
                      <w:sz w:val="21"/>
                      <w:szCs w:val="21"/>
                      <w:highlight w:val="none"/>
                      <w:lang w:val="en-US" w:eastAsia="zh-CN"/>
                    </w:rPr>
                  </w:pPr>
                  <w:r>
                    <w:rPr>
                      <w:rFonts w:hint="eastAsia"/>
                      <w:sz w:val="21"/>
                      <w:szCs w:val="21"/>
                      <w:highlight w:val="none"/>
                      <w:lang w:val="en-US" w:eastAsia="zh-CN"/>
                    </w:rPr>
                    <w:t>颗粒物</w:t>
                  </w:r>
                </w:p>
              </w:tc>
              <w:tc>
                <w:tcPr>
                  <w:tcW w:w="497" w:type="pct"/>
                  <w:vMerge w:val="restart"/>
                  <w:vAlign w:val="center"/>
                </w:tcPr>
                <w:p w14:paraId="4E789823">
                  <w:pPr>
                    <w:jc w:val="center"/>
                    <w:rPr>
                      <w:rFonts w:hint="default"/>
                      <w:sz w:val="21"/>
                      <w:szCs w:val="21"/>
                      <w:highlight w:val="none"/>
                      <w:lang w:val="en-US" w:eastAsia="zh-CN"/>
                    </w:rPr>
                  </w:pPr>
                  <w:r>
                    <w:rPr>
                      <w:rFonts w:hint="eastAsia"/>
                      <w:sz w:val="21"/>
                      <w:szCs w:val="21"/>
                      <w:highlight w:val="none"/>
                      <w:lang w:val="en-US" w:eastAsia="zh-CN"/>
                    </w:rPr>
                    <w:t>4800</w:t>
                  </w:r>
                </w:p>
              </w:tc>
              <w:tc>
                <w:tcPr>
                  <w:tcW w:w="548" w:type="pct"/>
                  <w:vMerge w:val="restart"/>
                  <w:vAlign w:val="center"/>
                </w:tcPr>
                <w:p w14:paraId="327560D5">
                  <w:pPr>
                    <w:jc w:val="center"/>
                    <w:rPr>
                      <w:rFonts w:hint="default"/>
                      <w:sz w:val="21"/>
                      <w:szCs w:val="21"/>
                      <w:highlight w:val="none"/>
                      <w:lang w:val="en-US" w:eastAsia="zh-CN"/>
                    </w:rPr>
                  </w:pPr>
                  <w:r>
                    <w:rPr>
                      <w:rFonts w:hint="eastAsia"/>
                      <w:sz w:val="21"/>
                      <w:szCs w:val="21"/>
                      <w:highlight w:val="none"/>
                      <w:lang w:val="en-US" w:eastAsia="zh-CN"/>
                    </w:rPr>
                    <w:t>管道</w:t>
                  </w:r>
                </w:p>
              </w:tc>
              <w:tc>
                <w:tcPr>
                  <w:tcW w:w="446" w:type="pct"/>
                  <w:vMerge w:val="restart"/>
                  <w:vAlign w:val="center"/>
                </w:tcPr>
                <w:p w14:paraId="6F41CE47">
                  <w:pPr>
                    <w:jc w:val="center"/>
                    <w:rPr>
                      <w:rFonts w:hint="default"/>
                      <w:sz w:val="21"/>
                      <w:szCs w:val="21"/>
                      <w:highlight w:val="none"/>
                      <w:lang w:val="en-US" w:eastAsia="zh-CN"/>
                    </w:rPr>
                  </w:pPr>
                  <w:r>
                    <w:rPr>
                      <w:rFonts w:hint="eastAsia"/>
                      <w:sz w:val="21"/>
                      <w:szCs w:val="21"/>
                      <w:highlight w:val="none"/>
                      <w:lang w:val="en-US" w:eastAsia="zh-CN"/>
                    </w:rPr>
                    <w:t>100%</w:t>
                  </w:r>
                </w:p>
              </w:tc>
              <w:tc>
                <w:tcPr>
                  <w:tcW w:w="497" w:type="pct"/>
                  <w:vMerge w:val="continue"/>
                  <w:vAlign w:val="center"/>
                </w:tcPr>
                <w:p w14:paraId="17870E8B">
                  <w:pPr>
                    <w:jc w:val="center"/>
                    <w:rPr>
                      <w:rFonts w:hint="default"/>
                      <w:sz w:val="21"/>
                      <w:szCs w:val="21"/>
                      <w:highlight w:val="none"/>
                      <w:lang w:eastAsia="zh-CN"/>
                    </w:rPr>
                  </w:pPr>
                </w:p>
              </w:tc>
              <w:tc>
                <w:tcPr>
                  <w:tcW w:w="497" w:type="pct"/>
                  <w:vAlign w:val="center"/>
                </w:tcPr>
                <w:p w14:paraId="20729E7D">
                  <w:pPr>
                    <w:jc w:val="center"/>
                    <w:rPr>
                      <w:rFonts w:hint="default"/>
                      <w:sz w:val="21"/>
                      <w:szCs w:val="21"/>
                      <w:highlight w:val="none"/>
                      <w:lang w:eastAsia="zh-CN"/>
                    </w:rPr>
                  </w:pPr>
                  <w:r>
                    <w:rPr>
                      <w:rFonts w:hint="eastAsia"/>
                      <w:sz w:val="21"/>
                      <w:szCs w:val="21"/>
                      <w:highlight w:val="none"/>
                      <w:lang w:val="en-US" w:eastAsia="zh-CN"/>
                    </w:rPr>
                    <w:t>90%</w:t>
                  </w:r>
                </w:p>
              </w:tc>
              <w:tc>
                <w:tcPr>
                  <w:tcW w:w="558" w:type="pct"/>
                  <w:vMerge w:val="continue"/>
                  <w:vAlign w:val="center"/>
                </w:tcPr>
                <w:p w14:paraId="4BFA9659">
                  <w:pPr>
                    <w:jc w:val="center"/>
                    <w:rPr>
                      <w:rFonts w:hint="default"/>
                      <w:sz w:val="21"/>
                      <w:szCs w:val="21"/>
                      <w:highlight w:val="none"/>
                      <w:lang w:eastAsia="zh-CN"/>
                    </w:rPr>
                  </w:pPr>
                </w:p>
              </w:tc>
              <w:tc>
                <w:tcPr>
                  <w:tcW w:w="449" w:type="pct"/>
                  <w:vMerge w:val="continue"/>
                  <w:vAlign w:val="center"/>
                </w:tcPr>
                <w:p w14:paraId="4348994C">
                  <w:pPr>
                    <w:jc w:val="center"/>
                    <w:rPr>
                      <w:rFonts w:hint="default"/>
                      <w:sz w:val="21"/>
                      <w:szCs w:val="21"/>
                      <w:highlight w:val="none"/>
                      <w:lang w:eastAsia="zh-CN"/>
                    </w:rPr>
                  </w:pPr>
                </w:p>
              </w:tc>
              <w:tc>
                <w:tcPr>
                  <w:tcW w:w="514" w:type="pct"/>
                  <w:vMerge w:val="continue"/>
                  <w:vAlign w:val="center"/>
                </w:tcPr>
                <w:p w14:paraId="181DA12F">
                  <w:pPr>
                    <w:jc w:val="center"/>
                    <w:rPr>
                      <w:rFonts w:hint="default"/>
                      <w:sz w:val="21"/>
                      <w:szCs w:val="21"/>
                      <w:highlight w:val="none"/>
                      <w:lang w:eastAsia="zh-CN"/>
                    </w:rPr>
                  </w:pPr>
                </w:p>
              </w:tc>
            </w:tr>
            <w:tr w14:paraId="404CA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1FCB54EE">
                  <w:pPr>
                    <w:jc w:val="center"/>
                    <w:rPr>
                      <w:rFonts w:hint="default"/>
                      <w:sz w:val="21"/>
                      <w:szCs w:val="21"/>
                      <w:highlight w:val="none"/>
                      <w:lang w:eastAsia="zh-CN"/>
                    </w:rPr>
                  </w:pPr>
                </w:p>
              </w:tc>
              <w:tc>
                <w:tcPr>
                  <w:tcW w:w="497" w:type="pct"/>
                  <w:vAlign w:val="center"/>
                </w:tcPr>
                <w:p w14:paraId="63E259F0">
                  <w:pPr>
                    <w:jc w:val="center"/>
                    <w:rPr>
                      <w:rFonts w:hint="default"/>
                      <w:sz w:val="21"/>
                      <w:szCs w:val="21"/>
                      <w:highlight w:val="none"/>
                      <w:lang w:val="en-US" w:eastAsia="zh-CN"/>
                    </w:rPr>
                  </w:pPr>
                  <w:r>
                    <w:rPr>
                      <w:rFonts w:hint="eastAsia"/>
                      <w:sz w:val="21"/>
                      <w:szCs w:val="21"/>
                      <w:highlight w:val="none"/>
                      <w:lang w:val="en-US" w:eastAsia="zh-CN"/>
                    </w:rPr>
                    <w:t>锡及其化合物</w:t>
                  </w:r>
                </w:p>
              </w:tc>
              <w:tc>
                <w:tcPr>
                  <w:tcW w:w="497" w:type="pct"/>
                  <w:vMerge w:val="continue"/>
                  <w:vAlign w:val="center"/>
                </w:tcPr>
                <w:p w14:paraId="795FCCB2">
                  <w:pPr>
                    <w:jc w:val="center"/>
                    <w:rPr>
                      <w:rFonts w:hint="default"/>
                      <w:sz w:val="21"/>
                      <w:szCs w:val="21"/>
                      <w:highlight w:val="none"/>
                      <w:lang w:eastAsia="zh-CN"/>
                    </w:rPr>
                  </w:pPr>
                </w:p>
              </w:tc>
              <w:tc>
                <w:tcPr>
                  <w:tcW w:w="548" w:type="pct"/>
                  <w:vMerge w:val="continue"/>
                  <w:vAlign w:val="center"/>
                </w:tcPr>
                <w:p w14:paraId="7BD6D025">
                  <w:pPr>
                    <w:jc w:val="center"/>
                    <w:rPr>
                      <w:rFonts w:hint="default"/>
                      <w:sz w:val="21"/>
                      <w:szCs w:val="21"/>
                      <w:highlight w:val="none"/>
                      <w:lang w:eastAsia="zh-CN"/>
                    </w:rPr>
                  </w:pPr>
                </w:p>
              </w:tc>
              <w:tc>
                <w:tcPr>
                  <w:tcW w:w="446" w:type="pct"/>
                  <w:vMerge w:val="continue"/>
                  <w:vAlign w:val="center"/>
                </w:tcPr>
                <w:p w14:paraId="4DFB7D3F">
                  <w:pPr>
                    <w:jc w:val="center"/>
                    <w:rPr>
                      <w:rFonts w:hint="default"/>
                      <w:sz w:val="21"/>
                      <w:szCs w:val="21"/>
                      <w:highlight w:val="none"/>
                      <w:lang w:eastAsia="zh-CN"/>
                    </w:rPr>
                  </w:pPr>
                </w:p>
              </w:tc>
              <w:tc>
                <w:tcPr>
                  <w:tcW w:w="497" w:type="pct"/>
                  <w:vMerge w:val="continue"/>
                  <w:vAlign w:val="center"/>
                </w:tcPr>
                <w:p w14:paraId="275BC0A4">
                  <w:pPr>
                    <w:jc w:val="center"/>
                    <w:rPr>
                      <w:rFonts w:hint="default"/>
                      <w:sz w:val="21"/>
                      <w:szCs w:val="21"/>
                      <w:highlight w:val="none"/>
                      <w:lang w:eastAsia="zh-CN"/>
                    </w:rPr>
                  </w:pPr>
                </w:p>
              </w:tc>
              <w:tc>
                <w:tcPr>
                  <w:tcW w:w="497" w:type="pct"/>
                  <w:vAlign w:val="center"/>
                </w:tcPr>
                <w:p w14:paraId="7A295727">
                  <w:pPr>
                    <w:jc w:val="center"/>
                    <w:rPr>
                      <w:rFonts w:hint="default"/>
                      <w:sz w:val="21"/>
                      <w:szCs w:val="21"/>
                      <w:highlight w:val="none"/>
                      <w:lang w:eastAsia="zh-CN"/>
                    </w:rPr>
                  </w:pPr>
                  <w:r>
                    <w:rPr>
                      <w:rFonts w:hint="eastAsia"/>
                      <w:sz w:val="21"/>
                      <w:szCs w:val="21"/>
                      <w:highlight w:val="none"/>
                      <w:lang w:val="en-US" w:eastAsia="zh-CN"/>
                    </w:rPr>
                    <w:t>90%</w:t>
                  </w:r>
                </w:p>
              </w:tc>
              <w:tc>
                <w:tcPr>
                  <w:tcW w:w="558" w:type="pct"/>
                  <w:vMerge w:val="continue"/>
                  <w:vAlign w:val="center"/>
                </w:tcPr>
                <w:p w14:paraId="3C6651CA">
                  <w:pPr>
                    <w:jc w:val="center"/>
                    <w:rPr>
                      <w:rFonts w:hint="default"/>
                      <w:sz w:val="21"/>
                      <w:szCs w:val="21"/>
                      <w:highlight w:val="none"/>
                      <w:lang w:eastAsia="zh-CN"/>
                    </w:rPr>
                  </w:pPr>
                </w:p>
              </w:tc>
              <w:tc>
                <w:tcPr>
                  <w:tcW w:w="449" w:type="pct"/>
                  <w:vMerge w:val="continue"/>
                  <w:vAlign w:val="center"/>
                </w:tcPr>
                <w:p w14:paraId="5F8B5D6C">
                  <w:pPr>
                    <w:jc w:val="center"/>
                    <w:rPr>
                      <w:rFonts w:hint="default"/>
                      <w:sz w:val="21"/>
                      <w:szCs w:val="21"/>
                      <w:highlight w:val="none"/>
                      <w:lang w:eastAsia="zh-CN"/>
                    </w:rPr>
                  </w:pPr>
                </w:p>
              </w:tc>
              <w:tc>
                <w:tcPr>
                  <w:tcW w:w="514" w:type="pct"/>
                  <w:vMerge w:val="continue"/>
                  <w:vAlign w:val="center"/>
                </w:tcPr>
                <w:p w14:paraId="44C364CF">
                  <w:pPr>
                    <w:jc w:val="center"/>
                    <w:rPr>
                      <w:rFonts w:hint="default"/>
                      <w:sz w:val="21"/>
                      <w:szCs w:val="21"/>
                      <w:highlight w:val="none"/>
                      <w:lang w:eastAsia="zh-CN"/>
                    </w:rPr>
                  </w:pPr>
                </w:p>
              </w:tc>
            </w:tr>
            <w:tr w14:paraId="40217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3D69EFD3">
                  <w:pPr>
                    <w:jc w:val="center"/>
                    <w:rPr>
                      <w:rFonts w:hint="default"/>
                      <w:sz w:val="21"/>
                      <w:szCs w:val="21"/>
                      <w:highlight w:val="none"/>
                      <w:lang w:eastAsia="zh-CN"/>
                    </w:rPr>
                  </w:pPr>
                </w:p>
              </w:tc>
              <w:tc>
                <w:tcPr>
                  <w:tcW w:w="497" w:type="pct"/>
                  <w:vAlign w:val="center"/>
                </w:tcPr>
                <w:p w14:paraId="28BDB834">
                  <w:pPr>
                    <w:jc w:val="center"/>
                    <w:rPr>
                      <w:rFonts w:hint="default"/>
                      <w:sz w:val="21"/>
                      <w:szCs w:val="21"/>
                      <w:highlight w:val="none"/>
                      <w:lang w:val="en-US" w:eastAsia="zh-CN"/>
                    </w:rPr>
                  </w:pPr>
                  <w:r>
                    <w:rPr>
                      <w:rFonts w:hint="eastAsia"/>
                      <w:sz w:val="21"/>
                      <w:szCs w:val="21"/>
                      <w:highlight w:val="none"/>
                      <w:lang w:val="en-US" w:eastAsia="zh-CN"/>
                    </w:rPr>
                    <w:t>非甲烷总烃</w:t>
                  </w:r>
                </w:p>
              </w:tc>
              <w:tc>
                <w:tcPr>
                  <w:tcW w:w="497" w:type="pct"/>
                  <w:vMerge w:val="continue"/>
                  <w:vAlign w:val="center"/>
                </w:tcPr>
                <w:p w14:paraId="4F004A9F">
                  <w:pPr>
                    <w:jc w:val="center"/>
                    <w:rPr>
                      <w:rFonts w:hint="default"/>
                      <w:sz w:val="21"/>
                      <w:szCs w:val="21"/>
                      <w:highlight w:val="none"/>
                      <w:lang w:eastAsia="zh-CN"/>
                    </w:rPr>
                  </w:pPr>
                </w:p>
              </w:tc>
              <w:tc>
                <w:tcPr>
                  <w:tcW w:w="548" w:type="pct"/>
                  <w:vMerge w:val="continue"/>
                  <w:vAlign w:val="center"/>
                </w:tcPr>
                <w:p w14:paraId="5F6A8A24">
                  <w:pPr>
                    <w:jc w:val="center"/>
                    <w:rPr>
                      <w:rFonts w:hint="default"/>
                      <w:sz w:val="21"/>
                      <w:szCs w:val="21"/>
                      <w:highlight w:val="none"/>
                      <w:lang w:eastAsia="zh-CN"/>
                    </w:rPr>
                  </w:pPr>
                </w:p>
              </w:tc>
              <w:tc>
                <w:tcPr>
                  <w:tcW w:w="446" w:type="pct"/>
                  <w:vMerge w:val="continue"/>
                  <w:vAlign w:val="center"/>
                </w:tcPr>
                <w:p w14:paraId="2F21A6E8">
                  <w:pPr>
                    <w:jc w:val="center"/>
                    <w:rPr>
                      <w:rFonts w:hint="default"/>
                      <w:sz w:val="21"/>
                      <w:szCs w:val="21"/>
                      <w:highlight w:val="none"/>
                      <w:lang w:eastAsia="zh-CN"/>
                    </w:rPr>
                  </w:pPr>
                </w:p>
              </w:tc>
              <w:tc>
                <w:tcPr>
                  <w:tcW w:w="497" w:type="pct"/>
                  <w:vMerge w:val="continue"/>
                  <w:vAlign w:val="center"/>
                </w:tcPr>
                <w:p w14:paraId="14D0D37D">
                  <w:pPr>
                    <w:jc w:val="center"/>
                    <w:rPr>
                      <w:rFonts w:hint="default"/>
                      <w:sz w:val="21"/>
                      <w:szCs w:val="21"/>
                      <w:highlight w:val="none"/>
                      <w:lang w:eastAsia="zh-CN"/>
                    </w:rPr>
                  </w:pPr>
                </w:p>
              </w:tc>
              <w:tc>
                <w:tcPr>
                  <w:tcW w:w="497" w:type="pct"/>
                  <w:vAlign w:val="center"/>
                </w:tcPr>
                <w:p w14:paraId="44A4B252">
                  <w:pPr>
                    <w:jc w:val="center"/>
                    <w:rPr>
                      <w:rFonts w:hint="default"/>
                      <w:sz w:val="21"/>
                      <w:szCs w:val="21"/>
                      <w:highlight w:val="none"/>
                      <w:lang w:eastAsia="zh-CN"/>
                    </w:rPr>
                  </w:pPr>
                  <w:r>
                    <w:rPr>
                      <w:rFonts w:hint="eastAsia"/>
                      <w:sz w:val="21"/>
                      <w:szCs w:val="21"/>
                      <w:highlight w:val="none"/>
                      <w:lang w:val="en-US" w:eastAsia="zh-CN"/>
                    </w:rPr>
                    <w:t>90%</w:t>
                  </w:r>
                </w:p>
              </w:tc>
              <w:tc>
                <w:tcPr>
                  <w:tcW w:w="558" w:type="pct"/>
                  <w:vMerge w:val="continue"/>
                  <w:vAlign w:val="center"/>
                </w:tcPr>
                <w:p w14:paraId="733ADEFC">
                  <w:pPr>
                    <w:jc w:val="center"/>
                    <w:rPr>
                      <w:rFonts w:hint="default"/>
                      <w:sz w:val="21"/>
                      <w:szCs w:val="21"/>
                      <w:highlight w:val="none"/>
                      <w:lang w:eastAsia="zh-CN"/>
                    </w:rPr>
                  </w:pPr>
                </w:p>
              </w:tc>
              <w:tc>
                <w:tcPr>
                  <w:tcW w:w="449" w:type="pct"/>
                  <w:vMerge w:val="continue"/>
                  <w:vAlign w:val="center"/>
                </w:tcPr>
                <w:p w14:paraId="32ADEA89">
                  <w:pPr>
                    <w:jc w:val="center"/>
                    <w:rPr>
                      <w:rFonts w:hint="default"/>
                      <w:sz w:val="21"/>
                      <w:szCs w:val="21"/>
                      <w:highlight w:val="none"/>
                      <w:lang w:eastAsia="zh-CN"/>
                    </w:rPr>
                  </w:pPr>
                </w:p>
              </w:tc>
              <w:tc>
                <w:tcPr>
                  <w:tcW w:w="514" w:type="pct"/>
                  <w:vMerge w:val="continue"/>
                  <w:vAlign w:val="center"/>
                </w:tcPr>
                <w:p w14:paraId="05A3B71D">
                  <w:pPr>
                    <w:jc w:val="center"/>
                    <w:rPr>
                      <w:rFonts w:hint="default"/>
                      <w:sz w:val="21"/>
                      <w:szCs w:val="21"/>
                      <w:highlight w:val="none"/>
                      <w:lang w:eastAsia="zh-CN"/>
                    </w:rPr>
                  </w:pPr>
                </w:p>
              </w:tc>
            </w:tr>
            <w:tr w14:paraId="49EEC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restart"/>
                  <w:vAlign w:val="center"/>
                </w:tcPr>
                <w:p w14:paraId="58DD3FB6">
                  <w:pPr>
                    <w:jc w:val="center"/>
                    <w:rPr>
                      <w:rFonts w:hint="default"/>
                      <w:sz w:val="21"/>
                      <w:szCs w:val="21"/>
                      <w:highlight w:val="none"/>
                      <w:lang w:val="en-US" w:eastAsia="zh-CN"/>
                    </w:rPr>
                  </w:pPr>
                  <w:r>
                    <w:rPr>
                      <w:rFonts w:hint="eastAsia"/>
                      <w:sz w:val="21"/>
                      <w:szCs w:val="21"/>
                      <w:highlight w:val="none"/>
                      <w:lang w:val="en-US" w:eastAsia="zh-CN"/>
                    </w:rPr>
                    <w:t>挤出成型废气</w:t>
                  </w:r>
                </w:p>
              </w:tc>
              <w:tc>
                <w:tcPr>
                  <w:tcW w:w="497" w:type="pct"/>
                  <w:vAlign w:val="center"/>
                </w:tcPr>
                <w:p w14:paraId="5D75579B">
                  <w:pPr>
                    <w:jc w:val="center"/>
                    <w:rPr>
                      <w:rFonts w:hint="default"/>
                      <w:sz w:val="21"/>
                      <w:szCs w:val="21"/>
                      <w:highlight w:val="none"/>
                      <w:lang w:val="en-US" w:eastAsia="zh-CN"/>
                    </w:rPr>
                  </w:pPr>
                  <w:r>
                    <w:rPr>
                      <w:rFonts w:hint="eastAsia"/>
                      <w:sz w:val="21"/>
                      <w:szCs w:val="21"/>
                      <w:highlight w:val="none"/>
                      <w:lang w:val="en-US" w:eastAsia="zh-CN"/>
                    </w:rPr>
                    <w:t>非甲烷总烃</w:t>
                  </w:r>
                </w:p>
              </w:tc>
              <w:tc>
                <w:tcPr>
                  <w:tcW w:w="497" w:type="pct"/>
                  <w:vMerge w:val="restart"/>
                  <w:vAlign w:val="center"/>
                </w:tcPr>
                <w:p w14:paraId="7F629804">
                  <w:pPr>
                    <w:jc w:val="center"/>
                    <w:rPr>
                      <w:rFonts w:hint="default"/>
                      <w:sz w:val="21"/>
                      <w:szCs w:val="21"/>
                      <w:highlight w:val="none"/>
                      <w:lang w:val="en-US" w:eastAsia="zh-CN"/>
                    </w:rPr>
                  </w:pPr>
                  <w:r>
                    <w:rPr>
                      <w:rFonts w:hint="eastAsia"/>
                      <w:sz w:val="21"/>
                      <w:szCs w:val="21"/>
                      <w:highlight w:val="none"/>
                      <w:lang w:val="en-US" w:eastAsia="zh-CN"/>
                    </w:rPr>
                    <w:t>4800</w:t>
                  </w:r>
                </w:p>
              </w:tc>
              <w:tc>
                <w:tcPr>
                  <w:tcW w:w="548" w:type="pct"/>
                  <w:vMerge w:val="restart"/>
                  <w:vAlign w:val="center"/>
                </w:tcPr>
                <w:p w14:paraId="06388DFE">
                  <w:pPr>
                    <w:jc w:val="center"/>
                    <w:rPr>
                      <w:rFonts w:hint="default"/>
                      <w:sz w:val="21"/>
                      <w:szCs w:val="21"/>
                      <w:highlight w:val="none"/>
                      <w:lang w:val="en-US" w:eastAsia="zh-CN"/>
                    </w:rPr>
                  </w:pPr>
                  <w:r>
                    <w:rPr>
                      <w:rFonts w:hint="eastAsia"/>
                      <w:sz w:val="21"/>
                      <w:szCs w:val="21"/>
                      <w:highlight w:val="none"/>
                      <w:lang w:val="en-US" w:eastAsia="zh-CN"/>
                    </w:rPr>
                    <w:t>集气罩</w:t>
                  </w:r>
                </w:p>
              </w:tc>
              <w:tc>
                <w:tcPr>
                  <w:tcW w:w="446" w:type="pct"/>
                  <w:vMerge w:val="restart"/>
                  <w:vAlign w:val="center"/>
                </w:tcPr>
                <w:p w14:paraId="5884DF9A">
                  <w:pPr>
                    <w:jc w:val="center"/>
                    <w:rPr>
                      <w:rFonts w:hint="default"/>
                      <w:sz w:val="21"/>
                      <w:szCs w:val="21"/>
                      <w:highlight w:val="none"/>
                      <w:lang w:val="en-US" w:eastAsia="zh-CN"/>
                    </w:rPr>
                  </w:pPr>
                  <w:r>
                    <w:rPr>
                      <w:rFonts w:hint="eastAsia"/>
                      <w:sz w:val="21"/>
                      <w:szCs w:val="21"/>
                      <w:highlight w:val="none"/>
                      <w:lang w:val="en-US" w:eastAsia="zh-CN"/>
                    </w:rPr>
                    <w:t>90%</w:t>
                  </w:r>
                </w:p>
              </w:tc>
              <w:tc>
                <w:tcPr>
                  <w:tcW w:w="497" w:type="pct"/>
                  <w:vMerge w:val="continue"/>
                  <w:vAlign w:val="center"/>
                </w:tcPr>
                <w:p w14:paraId="429C6BC0">
                  <w:pPr>
                    <w:jc w:val="center"/>
                    <w:rPr>
                      <w:rFonts w:hint="default"/>
                      <w:sz w:val="21"/>
                      <w:szCs w:val="21"/>
                      <w:highlight w:val="none"/>
                      <w:lang w:eastAsia="zh-CN"/>
                    </w:rPr>
                  </w:pPr>
                </w:p>
              </w:tc>
              <w:tc>
                <w:tcPr>
                  <w:tcW w:w="497" w:type="pct"/>
                  <w:vAlign w:val="center"/>
                </w:tcPr>
                <w:p w14:paraId="2B5D4629">
                  <w:pPr>
                    <w:jc w:val="center"/>
                    <w:rPr>
                      <w:rFonts w:hint="default"/>
                      <w:sz w:val="21"/>
                      <w:szCs w:val="21"/>
                      <w:highlight w:val="none"/>
                      <w:lang w:eastAsia="zh-CN"/>
                    </w:rPr>
                  </w:pPr>
                  <w:r>
                    <w:rPr>
                      <w:rFonts w:hint="eastAsia"/>
                      <w:sz w:val="21"/>
                      <w:szCs w:val="21"/>
                      <w:highlight w:val="none"/>
                      <w:lang w:val="en-US" w:eastAsia="zh-CN"/>
                    </w:rPr>
                    <w:t>90%</w:t>
                  </w:r>
                </w:p>
              </w:tc>
              <w:tc>
                <w:tcPr>
                  <w:tcW w:w="558" w:type="pct"/>
                  <w:vMerge w:val="continue"/>
                  <w:vAlign w:val="center"/>
                </w:tcPr>
                <w:p w14:paraId="104A827B">
                  <w:pPr>
                    <w:jc w:val="center"/>
                    <w:rPr>
                      <w:rFonts w:hint="default"/>
                      <w:sz w:val="21"/>
                      <w:szCs w:val="21"/>
                      <w:highlight w:val="none"/>
                      <w:lang w:eastAsia="zh-CN"/>
                    </w:rPr>
                  </w:pPr>
                </w:p>
              </w:tc>
              <w:tc>
                <w:tcPr>
                  <w:tcW w:w="449" w:type="pct"/>
                  <w:vMerge w:val="continue"/>
                  <w:vAlign w:val="center"/>
                </w:tcPr>
                <w:p w14:paraId="497AEB0E">
                  <w:pPr>
                    <w:jc w:val="center"/>
                    <w:rPr>
                      <w:rFonts w:hint="default"/>
                      <w:sz w:val="21"/>
                      <w:szCs w:val="21"/>
                      <w:highlight w:val="none"/>
                      <w:lang w:eastAsia="zh-CN"/>
                    </w:rPr>
                  </w:pPr>
                </w:p>
              </w:tc>
              <w:tc>
                <w:tcPr>
                  <w:tcW w:w="514" w:type="pct"/>
                  <w:vMerge w:val="continue"/>
                  <w:vAlign w:val="center"/>
                </w:tcPr>
                <w:p w14:paraId="471FFE66">
                  <w:pPr>
                    <w:jc w:val="center"/>
                    <w:rPr>
                      <w:rFonts w:hint="default"/>
                      <w:sz w:val="21"/>
                      <w:szCs w:val="21"/>
                      <w:highlight w:val="none"/>
                      <w:lang w:eastAsia="zh-CN"/>
                    </w:rPr>
                  </w:pPr>
                </w:p>
              </w:tc>
            </w:tr>
            <w:tr w14:paraId="3CF94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566DD869">
                  <w:pPr>
                    <w:jc w:val="center"/>
                    <w:rPr>
                      <w:rFonts w:hint="eastAsia"/>
                      <w:sz w:val="21"/>
                      <w:szCs w:val="21"/>
                      <w:highlight w:val="none"/>
                      <w:lang w:val="en-US" w:eastAsia="zh-CN"/>
                    </w:rPr>
                  </w:pPr>
                </w:p>
              </w:tc>
              <w:tc>
                <w:tcPr>
                  <w:tcW w:w="497" w:type="pct"/>
                  <w:vAlign w:val="center"/>
                </w:tcPr>
                <w:p w14:paraId="69CB5400">
                  <w:pPr>
                    <w:jc w:val="center"/>
                    <w:rPr>
                      <w:rFonts w:hint="default"/>
                      <w:sz w:val="21"/>
                      <w:szCs w:val="21"/>
                      <w:highlight w:val="none"/>
                      <w:lang w:val="en-US" w:eastAsia="zh-CN"/>
                    </w:rPr>
                  </w:pPr>
                  <w:r>
                    <w:rPr>
                      <w:rFonts w:hint="eastAsia"/>
                      <w:sz w:val="21"/>
                      <w:szCs w:val="21"/>
                      <w:highlight w:val="none"/>
                      <w:lang w:val="en-US" w:eastAsia="zh-CN"/>
                    </w:rPr>
                    <w:t>苯</w:t>
                  </w:r>
                </w:p>
              </w:tc>
              <w:tc>
                <w:tcPr>
                  <w:tcW w:w="497" w:type="pct"/>
                  <w:vMerge w:val="continue"/>
                  <w:vAlign w:val="center"/>
                </w:tcPr>
                <w:p w14:paraId="1CFDE759">
                  <w:pPr>
                    <w:jc w:val="center"/>
                    <w:rPr>
                      <w:rFonts w:hint="default"/>
                      <w:sz w:val="21"/>
                      <w:szCs w:val="21"/>
                      <w:highlight w:val="none"/>
                      <w:lang w:eastAsia="zh-CN"/>
                    </w:rPr>
                  </w:pPr>
                </w:p>
              </w:tc>
              <w:tc>
                <w:tcPr>
                  <w:tcW w:w="548" w:type="pct"/>
                  <w:vMerge w:val="continue"/>
                  <w:vAlign w:val="center"/>
                </w:tcPr>
                <w:p w14:paraId="65269370">
                  <w:pPr>
                    <w:jc w:val="center"/>
                    <w:rPr>
                      <w:rFonts w:hint="default"/>
                      <w:sz w:val="21"/>
                      <w:szCs w:val="21"/>
                      <w:highlight w:val="none"/>
                      <w:lang w:eastAsia="zh-CN"/>
                    </w:rPr>
                  </w:pPr>
                </w:p>
              </w:tc>
              <w:tc>
                <w:tcPr>
                  <w:tcW w:w="446" w:type="pct"/>
                  <w:vMerge w:val="continue"/>
                  <w:vAlign w:val="center"/>
                </w:tcPr>
                <w:p w14:paraId="74BD4925">
                  <w:pPr>
                    <w:jc w:val="center"/>
                    <w:rPr>
                      <w:rFonts w:hint="default"/>
                      <w:sz w:val="21"/>
                      <w:szCs w:val="21"/>
                      <w:highlight w:val="none"/>
                      <w:lang w:eastAsia="zh-CN"/>
                    </w:rPr>
                  </w:pPr>
                </w:p>
              </w:tc>
              <w:tc>
                <w:tcPr>
                  <w:tcW w:w="497" w:type="pct"/>
                  <w:vMerge w:val="continue"/>
                  <w:vAlign w:val="center"/>
                </w:tcPr>
                <w:p w14:paraId="759DFB1D">
                  <w:pPr>
                    <w:jc w:val="center"/>
                    <w:rPr>
                      <w:rFonts w:hint="default"/>
                      <w:sz w:val="21"/>
                      <w:szCs w:val="21"/>
                      <w:highlight w:val="none"/>
                      <w:lang w:eastAsia="zh-CN"/>
                    </w:rPr>
                  </w:pPr>
                </w:p>
              </w:tc>
              <w:tc>
                <w:tcPr>
                  <w:tcW w:w="497" w:type="pct"/>
                  <w:vAlign w:val="center"/>
                </w:tcPr>
                <w:p w14:paraId="01284B74">
                  <w:pPr>
                    <w:jc w:val="center"/>
                    <w:rPr>
                      <w:rFonts w:hint="default"/>
                      <w:sz w:val="21"/>
                      <w:szCs w:val="21"/>
                      <w:highlight w:val="none"/>
                      <w:lang w:eastAsia="zh-CN"/>
                    </w:rPr>
                  </w:pPr>
                  <w:r>
                    <w:rPr>
                      <w:rFonts w:hint="eastAsia"/>
                      <w:sz w:val="21"/>
                      <w:szCs w:val="21"/>
                      <w:highlight w:val="none"/>
                      <w:lang w:val="en-US" w:eastAsia="zh-CN"/>
                    </w:rPr>
                    <w:t>90%</w:t>
                  </w:r>
                </w:p>
              </w:tc>
              <w:tc>
                <w:tcPr>
                  <w:tcW w:w="558" w:type="pct"/>
                  <w:vMerge w:val="continue"/>
                  <w:vAlign w:val="center"/>
                </w:tcPr>
                <w:p w14:paraId="2B76F87F">
                  <w:pPr>
                    <w:jc w:val="center"/>
                    <w:rPr>
                      <w:rFonts w:hint="default"/>
                      <w:sz w:val="21"/>
                      <w:szCs w:val="21"/>
                      <w:highlight w:val="none"/>
                      <w:lang w:eastAsia="zh-CN"/>
                    </w:rPr>
                  </w:pPr>
                </w:p>
              </w:tc>
              <w:tc>
                <w:tcPr>
                  <w:tcW w:w="449" w:type="pct"/>
                  <w:vMerge w:val="continue"/>
                  <w:vAlign w:val="center"/>
                </w:tcPr>
                <w:p w14:paraId="688268C9">
                  <w:pPr>
                    <w:jc w:val="center"/>
                    <w:rPr>
                      <w:rFonts w:hint="default"/>
                      <w:sz w:val="21"/>
                      <w:szCs w:val="21"/>
                      <w:highlight w:val="none"/>
                      <w:lang w:eastAsia="zh-CN"/>
                    </w:rPr>
                  </w:pPr>
                </w:p>
              </w:tc>
              <w:tc>
                <w:tcPr>
                  <w:tcW w:w="514" w:type="pct"/>
                  <w:vMerge w:val="continue"/>
                  <w:vAlign w:val="center"/>
                </w:tcPr>
                <w:p w14:paraId="47CB5281">
                  <w:pPr>
                    <w:jc w:val="center"/>
                    <w:rPr>
                      <w:rFonts w:hint="default"/>
                      <w:sz w:val="21"/>
                      <w:szCs w:val="21"/>
                      <w:highlight w:val="none"/>
                      <w:lang w:eastAsia="zh-CN"/>
                    </w:rPr>
                  </w:pPr>
                </w:p>
              </w:tc>
            </w:tr>
            <w:tr w14:paraId="0C443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5199D7E3">
                  <w:pPr>
                    <w:jc w:val="center"/>
                    <w:rPr>
                      <w:rFonts w:hint="eastAsia"/>
                      <w:sz w:val="21"/>
                      <w:szCs w:val="21"/>
                      <w:highlight w:val="none"/>
                      <w:lang w:val="en-US" w:eastAsia="zh-CN"/>
                    </w:rPr>
                  </w:pPr>
                </w:p>
              </w:tc>
              <w:tc>
                <w:tcPr>
                  <w:tcW w:w="497" w:type="pct"/>
                  <w:vAlign w:val="center"/>
                </w:tcPr>
                <w:p w14:paraId="7FA34A9C">
                  <w:pPr>
                    <w:jc w:val="center"/>
                    <w:rPr>
                      <w:rFonts w:hint="default"/>
                      <w:sz w:val="21"/>
                      <w:szCs w:val="21"/>
                      <w:highlight w:val="none"/>
                      <w:lang w:val="en-US" w:eastAsia="zh-CN"/>
                    </w:rPr>
                  </w:pPr>
                  <w:r>
                    <w:rPr>
                      <w:rFonts w:hint="eastAsia"/>
                      <w:sz w:val="21"/>
                      <w:szCs w:val="21"/>
                      <w:highlight w:val="none"/>
                      <w:lang w:val="en-US" w:eastAsia="zh-CN"/>
                    </w:rPr>
                    <w:t>甲苯</w:t>
                  </w:r>
                </w:p>
              </w:tc>
              <w:tc>
                <w:tcPr>
                  <w:tcW w:w="497" w:type="pct"/>
                  <w:vMerge w:val="continue"/>
                  <w:vAlign w:val="center"/>
                </w:tcPr>
                <w:p w14:paraId="1DE76BF9">
                  <w:pPr>
                    <w:jc w:val="center"/>
                    <w:rPr>
                      <w:rFonts w:hint="default"/>
                      <w:sz w:val="21"/>
                      <w:szCs w:val="21"/>
                      <w:highlight w:val="none"/>
                      <w:lang w:eastAsia="zh-CN"/>
                    </w:rPr>
                  </w:pPr>
                </w:p>
              </w:tc>
              <w:tc>
                <w:tcPr>
                  <w:tcW w:w="548" w:type="pct"/>
                  <w:vMerge w:val="continue"/>
                  <w:vAlign w:val="center"/>
                </w:tcPr>
                <w:p w14:paraId="43CCA640">
                  <w:pPr>
                    <w:jc w:val="center"/>
                    <w:rPr>
                      <w:rFonts w:hint="default"/>
                      <w:sz w:val="21"/>
                      <w:szCs w:val="21"/>
                      <w:highlight w:val="none"/>
                      <w:lang w:eastAsia="zh-CN"/>
                    </w:rPr>
                  </w:pPr>
                </w:p>
              </w:tc>
              <w:tc>
                <w:tcPr>
                  <w:tcW w:w="446" w:type="pct"/>
                  <w:vMerge w:val="continue"/>
                  <w:vAlign w:val="center"/>
                </w:tcPr>
                <w:p w14:paraId="1FDFCCA0">
                  <w:pPr>
                    <w:jc w:val="center"/>
                    <w:rPr>
                      <w:rFonts w:hint="default"/>
                      <w:sz w:val="21"/>
                      <w:szCs w:val="21"/>
                      <w:highlight w:val="none"/>
                      <w:lang w:eastAsia="zh-CN"/>
                    </w:rPr>
                  </w:pPr>
                </w:p>
              </w:tc>
              <w:tc>
                <w:tcPr>
                  <w:tcW w:w="497" w:type="pct"/>
                  <w:vMerge w:val="continue"/>
                  <w:vAlign w:val="center"/>
                </w:tcPr>
                <w:p w14:paraId="38372DBE">
                  <w:pPr>
                    <w:jc w:val="center"/>
                    <w:rPr>
                      <w:rFonts w:hint="default"/>
                      <w:sz w:val="21"/>
                      <w:szCs w:val="21"/>
                      <w:highlight w:val="none"/>
                      <w:lang w:eastAsia="zh-CN"/>
                    </w:rPr>
                  </w:pPr>
                </w:p>
              </w:tc>
              <w:tc>
                <w:tcPr>
                  <w:tcW w:w="497" w:type="pct"/>
                  <w:vAlign w:val="center"/>
                </w:tcPr>
                <w:p w14:paraId="484ED660">
                  <w:pPr>
                    <w:jc w:val="center"/>
                    <w:rPr>
                      <w:rFonts w:hint="default"/>
                      <w:sz w:val="21"/>
                      <w:szCs w:val="21"/>
                      <w:highlight w:val="none"/>
                      <w:lang w:eastAsia="zh-CN"/>
                    </w:rPr>
                  </w:pPr>
                  <w:r>
                    <w:rPr>
                      <w:rFonts w:hint="eastAsia"/>
                      <w:sz w:val="21"/>
                      <w:szCs w:val="21"/>
                      <w:highlight w:val="none"/>
                      <w:lang w:val="en-US" w:eastAsia="zh-CN"/>
                    </w:rPr>
                    <w:t>90%</w:t>
                  </w:r>
                </w:p>
              </w:tc>
              <w:tc>
                <w:tcPr>
                  <w:tcW w:w="558" w:type="pct"/>
                  <w:vMerge w:val="continue"/>
                  <w:vAlign w:val="center"/>
                </w:tcPr>
                <w:p w14:paraId="219B0B50">
                  <w:pPr>
                    <w:jc w:val="center"/>
                    <w:rPr>
                      <w:rFonts w:hint="default"/>
                      <w:sz w:val="21"/>
                      <w:szCs w:val="21"/>
                      <w:highlight w:val="none"/>
                      <w:lang w:eastAsia="zh-CN"/>
                    </w:rPr>
                  </w:pPr>
                </w:p>
              </w:tc>
              <w:tc>
                <w:tcPr>
                  <w:tcW w:w="449" w:type="pct"/>
                  <w:vMerge w:val="continue"/>
                  <w:vAlign w:val="center"/>
                </w:tcPr>
                <w:p w14:paraId="0D0203A2">
                  <w:pPr>
                    <w:jc w:val="center"/>
                    <w:rPr>
                      <w:rFonts w:hint="default"/>
                      <w:sz w:val="21"/>
                      <w:szCs w:val="21"/>
                      <w:highlight w:val="none"/>
                      <w:lang w:eastAsia="zh-CN"/>
                    </w:rPr>
                  </w:pPr>
                </w:p>
              </w:tc>
              <w:tc>
                <w:tcPr>
                  <w:tcW w:w="514" w:type="pct"/>
                  <w:vMerge w:val="continue"/>
                  <w:vAlign w:val="center"/>
                </w:tcPr>
                <w:p w14:paraId="6EDACAA1">
                  <w:pPr>
                    <w:jc w:val="center"/>
                    <w:rPr>
                      <w:rFonts w:hint="default"/>
                      <w:sz w:val="21"/>
                      <w:szCs w:val="21"/>
                      <w:highlight w:val="none"/>
                      <w:lang w:eastAsia="zh-CN"/>
                    </w:rPr>
                  </w:pPr>
                </w:p>
              </w:tc>
            </w:tr>
            <w:tr w14:paraId="4CEB8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4BCD1313">
                  <w:pPr>
                    <w:jc w:val="center"/>
                    <w:rPr>
                      <w:rFonts w:hint="eastAsia"/>
                      <w:sz w:val="21"/>
                      <w:szCs w:val="21"/>
                      <w:highlight w:val="none"/>
                      <w:lang w:val="en-US" w:eastAsia="zh-CN"/>
                    </w:rPr>
                  </w:pPr>
                </w:p>
              </w:tc>
              <w:tc>
                <w:tcPr>
                  <w:tcW w:w="497" w:type="pct"/>
                  <w:vAlign w:val="center"/>
                </w:tcPr>
                <w:p w14:paraId="470EA81D">
                  <w:pPr>
                    <w:jc w:val="center"/>
                    <w:rPr>
                      <w:rFonts w:hint="default"/>
                      <w:sz w:val="21"/>
                      <w:szCs w:val="21"/>
                      <w:highlight w:val="none"/>
                      <w:lang w:val="en-US" w:eastAsia="zh-CN"/>
                    </w:rPr>
                  </w:pPr>
                  <w:r>
                    <w:rPr>
                      <w:rFonts w:hint="eastAsia"/>
                      <w:sz w:val="21"/>
                      <w:szCs w:val="21"/>
                      <w:highlight w:val="none"/>
                      <w:lang w:val="en-US" w:eastAsia="zh-CN"/>
                    </w:rPr>
                    <w:t>二甲苯</w:t>
                  </w:r>
                </w:p>
              </w:tc>
              <w:tc>
                <w:tcPr>
                  <w:tcW w:w="497" w:type="pct"/>
                  <w:vMerge w:val="continue"/>
                  <w:vAlign w:val="center"/>
                </w:tcPr>
                <w:p w14:paraId="21CFB29A">
                  <w:pPr>
                    <w:jc w:val="center"/>
                    <w:rPr>
                      <w:rFonts w:hint="default"/>
                      <w:sz w:val="21"/>
                      <w:szCs w:val="21"/>
                      <w:highlight w:val="none"/>
                      <w:lang w:eastAsia="zh-CN"/>
                    </w:rPr>
                  </w:pPr>
                </w:p>
              </w:tc>
              <w:tc>
                <w:tcPr>
                  <w:tcW w:w="548" w:type="pct"/>
                  <w:vMerge w:val="continue"/>
                  <w:vAlign w:val="center"/>
                </w:tcPr>
                <w:p w14:paraId="0A229180">
                  <w:pPr>
                    <w:jc w:val="center"/>
                    <w:rPr>
                      <w:rFonts w:hint="default"/>
                      <w:sz w:val="21"/>
                      <w:szCs w:val="21"/>
                      <w:highlight w:val="none"/>
                      <w:lang w:eastAsia="zh-CN"/>
                    </w:rPr>
                  </w:pPr>
                </w:p>
              </w:tc>
              <w:tc>
                <w:tcPr>
                  <w:tcW w:w="446" w:type="pct"/>
                  <w:vMerge w:val="continue"/>
                  <w:vAlign w:val="center"/>
                </w:tcPr>
                <w:p w14:paraId="1BF3E42E">
                  <w:pPr>
                    <w:jc w:val="center"/>
                    <w:rPr>
                      <w:rFonts w:hint="default"/>
                      <w:sz w:val="21"/>
                      <w:szCs w:val="21"/>
                      <w:highlight w:val="none"/>
                      <w:lang w:eastAsia="zh-CN"/>
                    </w:rPr>
                  </w:pPr>
                </w:p>
              </w:tc>
              <w:tc>
                <w:tcPr>
                  <w:tcW w:w="497" w:type="pct"/>
                  <w:vMerge w:val="continue"/>
                  <w:vAlign w:val="center"/>
                </w:tcPr>
                <w:p w14:paraId="551B3B9C">
                  <w:pPr>
                    <w:jc w:val="center"/>
                    <w:rPr>
                      <w:rFonts w:hint="default"/>
                      <w:sz w:val="21"/>
                      <w:szCs w:val="21"/>
                      <w:highlight w:val="none"/>
                      <w:lang w:eastAsia="zh-CN"/>
                    </w:rPr>
                  </w:pPr>
                </w:p>
              </w:tc>
              <w:tc>
                <w:tcPr>
                  <w:tcW w:w="497" w:type="pct"/>
                  <w:vAlign w:val="center"/>
                </w:tcPr>
                <w:p w14:paraId="1A63BD23">
                  <w:pPr>
                    <w:jc w:val="center"/>
                    <w:rPr>
                      <w:rFonts w:hint="default"/>
                      <w:sz w:val="21"/>
                      <w:szCs w:val="21"/>
                      <w:highlight w:val="none"/>
                      <w:lang w:eastAsia="zh-CN"/>
                    </w:rPr>
                  </w:pPr>
                  <w:r>
                    <w:rPr>
                      <w:rFonts w:hint="eastAsia"/>
                      <w:sz w:val="21"/>
                      <w:szCs w:val="21"/>
                      <w:highlight w:val="none"/>
                      <w:lang w:val="en-US" w:eastAsia="zh-CN"/>
                    </w:rPr>
                    <w:t>90%</w:t>
                  </w:r>
                </w:p>
              </w:tc>
              <w:tc>
                <w:tcPr>
                  <w:tcW w:w="558" w:type="pct"/>
                  <w:vMerge w:val="continue"/>
                  <w:vAlign w:val="center"/>
                </w:tcPr>
                <w:p w14:paraId="4EF0BD64">
                  <w:pPr>
                    <w:jc w:val="center"/>
                    <w:rPr>
                      <w:rFonts w:hint="default"/>
                      <w:sz w:val="21"/>
                      <w:szCs w:val="21"/>
                      <w:highlight w:val="none"/>
                      <w:lang w:eastAsia="zh-CN"/>
                    </w:rPr>
                  </w:pPr>
                </w:p>
              </w:tc>
              <w:tc>
                <w:tcPr>
                  <w:tcW w:w="449" w:type="pct"/>
                  <w:vMerge w:val="continue"/>
                  <w:vAlign w:val="center"/>
                </w:tcPr>
                <w:p w14:paraId="794B4C33">
                  <w:pPr>
                    <w:jc w:val="center"/>
                    <w:rPr>
                      <w:rFonts w:hint="default"/>
                      <w:sz w:val="21"/>
                      <w:szCs w:val="21"/>
                      <w:highlight w:val="none"/>
                      <w:lang w:eastAsia="zh-CN"/>
                    </w:rPr>
                  </w:pPr>
                </w:p>
              </w:tc>
              <w:tc>
                <w:tcPr>
                  <w:tcW w:w="514" w:type="pct"/>
                  <w:vMerge w:val="continue"/>
                  <w:vAlign w:val="center"/>
                </w:tcPr>
                <w:p w14:paraId="4D4F77E2">
                  <w:pPr>
                    <w:jc w:val="center"/>
                    <w:rPr>
                      <w:rFonts w:hint="default"/>
                      <w:sz w:val="21"/>
                      <w:szCs w:val="21"/>
                      <w:highlight w:val="none"/>
                      <w:lang w:eastAsia="zh-CN"/>
                    </w:rPr>
                  </w:pPr>
                </w:p>
              </w:tc>
            </w:tr>
            <w:tr w14:paraId="74BF1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Merge w:val="continue"/>
                  <w:vAlign w:val="center"/>
                </w:tcPr>
                <w:p w14:paraId="316F51FD">
                  <w:pPr>
                    <w:jc w:val="center"/>
                    <w:rPr>
                      <w:rFonts w:hint="eastAsia"/>
                      <w:sz w:val="21"/>
                      <w:szCs w:val="21"/>
                      <w:highlight w:val="none"/>
                      <w:lang w:val="en-US" w:eastAsia="zh-CN"/>
                    </w:rPr>
                  </w:pPr>
                </w:p>
              </w:tc>
              <w:tc>
                <w:tcPr>
                  <w:tcW w:w="497" w:type="pct"/>
                  <w:vAlign w:val="center"/>
                </w:tcPr>
                <w:p w14:paraId="4B9737D5">
                  <w:pPr>
                    <w:jc w:val="center"/>
                    <w:rPr>
                      <w:rFonts w:hint="default"/>
                      <w:sz w:val="21"/>
                      <w:szCs w:val="21"/>
                      <w:highlight w:val="none"/>
                      <w:lang w:val="en-US" w:eastAsia="zh-CN"/>
                    </w:rPr>
                  </w:pPr>
                  <w:r>
                    <w:rPr>
                      <w:rFonts w:hint="eastAsia"/>
                      <w:sz w:val="21"/>
                      <w:szCs w:val="21"/>
                      <w:highlight w:val="none"/>
                      <w:lang w:val="en-US" w:eastAsia="zh-CN"/>
                    </w:rPr>
                    <w:t>苯乙烯</w:t>
                  </w:r>
                </w:p>
              </w:tc>
              <w:tc>
                <w:tcPr>
                  <w:tcW w:w="497" w:type="pct"/>
                  <w:vMerge w:val="continue"/>
                  <w:vAlign w:val="center"/>
                </w:tcPr>
                <w:p w14:paraId="7B330A41">
                  <w:pPr>
                    <w:jc w:val="center"/>
                    <w:rPr>
                      <w:rFonts w:hint="default"/>
                      <w:sz w:val="21"/>
                      <w:szCs w:val="21"/>
                      <w:highlight w:val="none"/>
                      <w:lang w:eastAsia="zh-CN"/>
                    </w:rPr>
                  </w:pPr>
                </w:p>
              </w:tc>
              <w:tc>
                <w:tcPr>
                  <w:tcW w:w="548" w:type="pct"/>
                  <w:vMerge w:val="continue"/>
                  <w:vAlign w:val="center"/>
                </w:tcPr>
                <w:p w14:paraId="4D9538F0">
                  <w:pPr>
                    <w:jc w:val="center"/>
                    <w:rPr>
                      <w:rFonts w:hint="default"/>
                      <w:sz w:val="21"/>
                      <w:szCs w:val="21"/>
                      <w:highlight w:val="none"/>
                      <w:lang w:eastAsia="zh-CN"/>
                    </w:rPr>
                  </w:pPr>
                </w:p>
              </w:tc>
              <w:tc>
                <w:tcPr>
                  <w:tcW w:w="446" w:type="pct"/>
                  <w:vMerge w:val="continue"/>
                  <w:vAlign w:val="center"/>
                </w:tcPr>
                <w:p w14:paraId="102F8F9F">
                  <w:pPr>
                    <w:jc w:val="center"/>
                    <w:rPr>
                      <w:rFonts w:hint="default"/>
                      <w:sz w:val="21"/>
                      <w:szCs w:val="21"/>
                      <w:highlight w:val="none"/>
                      <w:lang w:eastAsia="zh-CN"/>
                    </w:rPr>
                  </w:pPr>
                </w:p>
              </w:tc>
              <w:tc>
                <w:tcPr>
                  <w:tcW w:w="497" w:type="pct"/>
                  <w:vMerge w:val="continue"/>
                  <w:vAlign w:val="center"/>
                </w:tcPr>
                <w:p w14:paraId="02FA348C">
                  <w:pPr>
                    <w:jc w:val="center"/>
                    <w:rPr>
                      <w:rFonts w:hint="default"/>
                      <w:sz w:val="21"/>
                      <w:szCs w:val="21"/>
                      <w:highlight w:val="none"/>
                      <w:lang w:eastAsia="zh-CN"/>
                    </w:rPr>
                  </w:pPr>
                </w:p>
              </w:tc>
              <w:tc>
                <w:tcPr>
                  <w:tcW w:w="497" w:type="pct"/>
                  <w:vAlign w:val="center"/>
                </w:tcPr>
                <w:p w14:paraId="3848F188">
                  <w:pPr>
                    <w:jc w:val="center"/>
                    <w:rPr>
                      <w:rFonts w:hint="default"/>
                      <w:sz w:val="21"/>
                      <w:szCs w:val="21"/>
                      <w:highlight w:val="none"/>
                      <w:lang w:eastAsia="zh-CN"/>
                    </w:rPr>
                  </w:pPr>
                  <w:r>
                    <w:rPr>
                      <w:rFonts w:hint="eastAsia"/>
                      <w:sz w:val="21"/>
                      <w:szCs w:val="21"/>
                      <w:highlight w:val="none"/>
                      <w:lang w:val="en-US" w:eastAsia="zh-CN"/>
                    </w:rPr>
                    <w:t>90%</w:t>
                  </w:r>
                </w:p>
              </w:tc>
              <w:tc>
                <w:tcPr>
                  <w:tcW w:w="558" w:type="pct"/>
                  <w:vMerge w:val="continue"/>
                  <w:vAlign w:val="center"/>
                </w:tcPr>
                <w:p w14:paraId="24EC25C0">
                  <w:pPr>
                    <w:jc w:val="center"/>
                    <w:rPr>
                      <w:rFonts w:hint="default"/>
                      <w:sz w:val="21"/>
                      <w:szCs w:val="21"/>
                      <w:highlight w:val="none"/>
                      <w:lang w:eastAsia="zh-CN"/>
                    </w:rPr>
                  </w:pPr>
                </w:p>
              </w:tc>
              <w:tc>
                <w:tcPr>
                  <w:tcW w:w="449" w:type="pct"/>
                  <w:vMerge w:val="continue"/>
                  <w:vAlign w:val="center"/>
                </w:tcPr>
                <w:p w14:paraId="6F5ECC51">
                  <w:pPr>
                    <w:jc w:val="center"/>
                    <w:rPr>
                      <w:rFonts w:hint="default"/>
                      <w:sz w:val="21"/>
                      <w:szCs w:val="21"/>
                      <w:highlight w:val="none"/>
                      <w:lang w:eastAsia="zh-CN"/>
                    </w:rPr>
                  </w:pPr>
                </w:p>
              </w:tc>
              <w:tc>
                <w:tcPr>
                  <w:tcW w:w="514" w:type="pct"/>
                  <w:vMerge w:val="continue"/>
                  <w:vAlign w:val="center"/>
                </w:tcPr>
                <w:p w14:paraId="149C8968">
                  <w:pPr>
                    <w:jc w:val="center"/>
                    <w:rPr>
                      <w:rFonts w:hint="default"/>
                      <w:sz w:val="21"/>
                      <w:szCs w:val="21"/>
                      <w:highlight w:val="none"/>
                      <w:lang w:eastAsia="zh-CN"/>
                    </w:rPr>
                  </w:pPr>
                </w:p>
              </w:tc>
            </w:tr>
          </w:tbl>
          <w:p w14:paraId="67499E6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val="0"/>
                <w:bCs w:val="0"/>
                <w:color w:val="auto"/>
                <w:kern w:val="0"/>
                <w:sz w:val="24"/>
                <w:szCs w:val="24"/>
                <w:highlight w:val="none"/>
                <w:lang w:val="en-US" w:eastAsia="zh-CN"/>
              </w:rPr>
            </w:pPr>
            <w:r>
              <w:rPr>
                <w:rFonts w:hint="eastAsia" w:cs="Times New Roman"/>
                <w:b w:val="0"/>
                <w:bCs w:val="0"/>
                <w:color w:val="auto"/>
                <w:kern w:val="0"/>
                <w:sz w:val="24"/>
                <w:szCs w:val="24"/>
                <w:highlight w:val="none"/>
                <w:lang w:val="en-US" w:eastAsia="zh-CN"/>
              </w:rPr>
              <w:t>2）风量核算</w:t>
            </w:r>
          </w:p>
          <w:p w14:paraId="2EC066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cs="Times New Roman"/>
                <w:b w:val="0"/>
                <w:bCs w:val="0"/>
                <w:color w:val="auto"/>
                <w:kern w:val="0"/>
                <w:sz w:val="24"/>
                <w:szCs w:val="24"/>
                <w:highlight w:val="none"/>
                <w:lang w:val="en-US" w:eastAsia="zh-CN"/>
              </w:rPr>
            </w:pPr>
            <w:r>
              <w:rPr>
                <w:rFonts w:hint="eastAsia" w:cs="Times New Roman"/>
                <w:b w:val="0"/>
                <w:bCs w:val="0"/>
                <w:color w:val="auto"/>
                <w:kern w:val="0"/>
                <w:sz w:val="24"/>
                <w:szCs w:val="24"/>
                <w:highlight w:val="none"/>
                <w:lang w:val="en-US" w:eastAsia="zh-CN"/>
              </w:rPr>
              <w:t>项目设置8台锡膏印刷机、7台挤出机、7台成型机，项目在印刷机钢网印刷区域设置8个集气罩，</w:t>
            </w:r>
            <w:r>
              <w:rPr>
                <w:rFonts w:hint="eastAsia" w:cs="Times New Roman"/>
                <w:b w:val="0"/>
                <w:bCs w:val="0"/>
                <w:color w:val="auto"/>
                <w:kern w:val="0"/>
                <w:sz w:val="24"/>
                <w:szCs w:val="24"/>
                <w:highlight w:val="none"/>
                <w:lang w:val="en-US" w:eastAsia="zh-CN"/>
              </w:rPr>
              <w:t>尺寸为</w:t>
            </w:r>
            <w:r>
              <w:rPr>
                <w:rFonts w:hint="eastAsia" w:ascii="Times New Roman" w:hAnsi="Times New Roman" w:eastAsia="宋体" w:cs="Times New Roman"/>
                <w:color w:val="auto"/>
                <w:kern w:val="0"/>
                <w:sz w:val="24"/>
                <w:szCs w:val="24"/>
                <w:highlight w:val="none"/>
                <w:lang w:val="en-US" w:eastAsia="zh-CN" w:bidi="ar-SA"/>
              </w:rPr>
              <w:t>0.5m×0.4m</w:t>
            </w:r>
            <w:r>
              <w:rPr>
                <w:rFonts w:hint="eastAsia" w:cs="Times New Roman"/>
                <w:b w:val="0"/>
                <w:bCs w:val="0"/>
                <w:color w:val="auto"/>
                <w:kern w:val="0"/>
                <w:sz w:val="24"/>
                <w:szCs w:val="24"/>
                <w:highlight w:val="none"/>
                <w:lang w:val="en-US" w:eastAsia="zh-CN"/>
              </w:rPr>
              <w:t>；挤出机出口设置7个集气罩，成型机出口设置7个</w:t>
            </w:r>
            <w:r>
              <w:rPr>
                <w:rFonts w:hint="eastAsia" w:ascii="Times New Roman" w:hAnsi="Times New Roman" w:eastAsia="宋体" w:cs="Times New Roman"/>
                <w:color w:val="auto"/>
                <w:kern w:val="0"/>
                <w:sz w:val="24"/>
                <w:szCs w:val="24"/>
                <w:highlight w:val="none"/>
                <w:lang w:val="en-US" w:eastAsia="zh-CN" w:bidi="ar-SA"/>
              </w:rPr>
              <w:t>集气罩</w:t>
            </w:r>
            <w:r>
              <w:rPr>
                <w:rFonts w:hint="eastAsia" w:cs="Times New Roman"/>
                <w:color w:val="auto"/>
                <w:kern w:val="0"/>
                <w:sz w:val="24"/>
                <w:szCs w:val="24"/>
                <w:highlight w:val="none"/>
                <w:lang w:val="en-US" w:eastAsia="zh-CN" w:bidi="ar-SA"/>
              </w:rPr>
              <w:t>，</w:t>
            </w:r>
            <w:r>
              <w:rPr>
                <w:rFonts w:hint="eastAsia" w:ascii="Times New Roman" w:hAnsi="Times New Roman" w:eastAsia="宋体" w:cs="Times New Roman"/>
                <w:color w:val="auto"/>
                <w:kern w:val="0"/>
                <w:sz w:val="24"/>
                <w:szCs w:val="24"/>
                <w:highlight w:val="none"/>
                <w:lang w:val="en-US" w:eastAsia="zh-CN" w:bidi="ar-SA"/>
              </w:rPr>
              <w:t>尺寸为0.4m×0.3m</w:t>
            </w:r>
            <w:r>
              <w:rPr>
                <w:rFonts w:hint="eastAsia" w:cs="Times New Roman"/>
                <w:color w:val="auto"/>
                <w:kern w:val="0"/>
                <w:sz w:val="24"/>
                <w:szCs w:val="24"/>
                <w:highlight w:val="none"/>
                <w:lang w:val="en-US" w:eastAsia="zh-CN" w:bidi="ar-SA"/>
              </w:rPr>
              <w:t>。</w:t>
            </w:r>
          </w:p>
          <w:p w14:paraId="2CD4465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kern w:val="0"/>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bidi="ar-SA"/>
              </w:rPr>
              <w:t>集气罩风量参照以下公式计算：</w:t>
            </w:r>
          </w:p>
          <w:p w14:paraId="674B75A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eastAsia="宋体" w:cs="Times New Roman"/>
                <w:color w:val="auto"/>
                <w:sz w:val="24"/>
                <w:szCs w:val="32"/>
                <w:highlight w:val="none"/>
                <w:lang w:val="en-US" w:eastAsia="zh-CN"/>
              </w:rPr>
              <w:t>风量(m</w:t>
            </w:r>
            <w:r>
              <w:rPr>
                <w:rFonts w:hint="eastAsia" w:ascii="Times New Roman" w:hAnsi="Times New Roman" w:eastAsia="宋体" w:cs="Times New Roman"/>
                <w:color w:val="auto"/>
                <w:sz w:val="24"/>
                <w:szCs w:val="32"/>
                <w:highlight w:val="none"/>
                <w:vertAlign w:val="superscript"/>
                <w:lang w:val="en-US" w:eastAsia="zh-CN"/>
              </w:rPr>
              <w:t>3</w:t>
            </w:r>
            <w:r>
              <w:rPr>
                <w:rFonts w:hint="eastAsia" w:ascii="Times New Roman" w:hAnsi="Times New Roman" w:eastAsia="宋体" w:cs="Times New Roman"/>
                <w:color w:val="auto"/>
                <w:sz w:val="24"/>
                <w:szCs w:val="32"/>
                <w:highlight w:val="none"/>
                <w:lang w:val="en-US" w:eastAsia="zh-CN"/>
              </w:rPr>
              <w:t>/h)=K(a+b)×h×V</w:t>
            </w:r>
            <w:r>
              <w:rPr>
                <w:rFonts w:hint="eastAsia" w:ascii="Times New Roman" w:hAnsi="Times New Roman" w:eastAsia="宋体" w:cs="Times New Roman"/>
                <w:color w:val="auto"/>
                <w:sz w:val="24"/>
                <w:szCs w:val="32"/>
                <w:highlight w:val="none"/>
                <w:vertAlign w:val="subscript"/>
                <w:lang w:val="en-US" w:eastAsia="zh-CN"/>
              </w:rPr>
              <w:t>0</w:t>
            </w:r>
            <w:r>
              <w:rPr>
                <w:rFonts w:hint="eastAsia" w:ascii="Times New Roman" w:hAnsi="Times New Roman" w:eastAsia="宋体" w:cs="Times New Roman"/>
                <w:color w:val="auto"/>
                <w:sz w:val="24"/>
                <w:szCs w:val="32"/>
                <w:highlight w:val="none"/>
                <w:lang w:val="en-US" w:eastAsia="zh-CN"/>
              </w:rPr>
              <w:t>×3600</w:t>
            </w:r>
          </w:p>
          <w:p w14:paraId="48CC637E">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-‌安全系数1.4；</w:t>
            </w:r>
          </w:p>
          <w:p w14:paraId="3CA8F3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a+b--集气罩周长，</w:t>
            </w:r>
            <w:r>
              <w:rPr>
                <w:rFonts w:hint="eastAsia"/>
                <w:color w:val="auto"/>
                <w:sz w:val="24"/>
                <w:szCs w:val="32"/>
                <w:highlight w:val="none"/>
                <w:lang w:val="en-US" w:eastAsia="zh-CN"/>
              </w:rPr>
              <w:t>单位：m；</w:t>
            </w:r>
          </w:p>
          <w:p w14:paraId="75284C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h--罩口至‌污染源的距离，</w:t>
            </w:r>
            <w:r>
              <w:rPr>
                <w:rFonts w:hint="eastAsia"/>
                <w:color w:val="auto"/>
                <w:sz w:val="24"/>
                <w:szCs w:val="32"/>
                <w:highlight w:val="none"/>
                <w:lang w:val="en-US" w:eastAsia="zh-CN"/>
              </w:rPr>
              <w:t>单位：m；</w:t>
            </w:r>
          </w:p>
          <w:p w14:paraId="1A24D1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V</w:t>
            </w:r>
            <w:r>
              <w:rPr>
                <w:rFonts w:hint="eastAsia" w:cs="Times New Roman"/>
                <w:color w:val="auto"/>
                <w:sz w:val="24"/>
                <w:szCs w:val="24"/>
                <w:highlight w:val="none"/>
                <w:vertAlign w:val="subscript"/>
                <w:lang w:val="en-US" w:eastAsia="zh-CN"/>
              </w:rPr>
              <w:t>0</w:t>
            </w:r>
            <w:r>
              <w:rPr>
                <w:rFonts w:hint="eastAsia" w:cs="Times New Roman"/>
                <w:color w:val="auto"/>
                <w:sz w:val="24"/>
                <w:szCs w:val="24"/>
                <w:highlight w:val="none"/>
                <w:lang w:val="en-US" w:eastAsia="zh-CN"/>
              </w:rPr>
              <w:t>--污染源气体流速，取0.4m/s；</w:t>
            </w:r>
          </w:p>
          <w:p w14:paraId="6086FC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b/>
                <w:bCs/>
                <w:color w:val="auto"/>
                <w:kern w:val="0"/>
                <w:sz w:val="21"/>
                <w:szCs w:val="21"/>
                <w:highlight w:val="none"/>
                <w:lang w:val="en-US" w:eastAsia="zh-CN"/>
              </w:rPr>
            </w:pPr>
          </w:p>
          <w:p w14:paraId="4C75B2D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Times New Roman"/>
                <w:b/>
                <w:bCs/>
                <w:color w:val="auto"/>
                <w:kern w:val="0"/>
                <w:sz w:val="21"/>
                <w:szCs w:val="21"/>
                <w:highlight w:val="none"/>
                <w:lang w:val="en-US" w:eastAsia="zh-CN"/>
              </w:rPr>
            </w:pPr>
          </w:p>
          <w:p w14:paraId="4FFD0C7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color w:val="auto"/>
                <w:kern w:val="0"/>
                <w:sz w:val="24"/>
                <w:szCs w:val="24"/>
                <w:highlight w:val="none"/>
                <w:lang w:val="en-US" w:eastAsia="zh-CN"/>
              </w:rPr>
            </w:pPr>
            <w:r>
              <w:rPr>
                <w:rFonts w:hint="eastAsia" w:cs="Times New Roman"/>
                <w:b/>
                <w:bCs/>
                <w:color w:val="auto"/>
                <w:kern w:val="0"/>
                <w:sz w:val="21"/>
                <w:szCs w:val="21"/>
                <w:highlight w:val="none"/>
                <w:lang w:val="en-US" w:eastAsia="zh-CN"/>
              </w:rPr>
              <w:t>表4-2  集气罩风量核算一览表</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
              <w:gridCol w:w="1323"/>
              <w:gridCol w:w="1634"/>
              <w:gridCol w:w="1137"/>
              <w:gridCol w:w="1138"/>
              <w:gridCol w:w="1138"/>
              <w:gridCol w:w="1138"/>
            </w:tblGrid>
            <w:tr w14:paraId="04F6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 w:type="dxa"/>
                  <w:vAlign w:val="center"/>
                </w:tcPr>
                <w:p w14:paraId="2F041FF6">
                  <w:pPr>
                    <w:jc w:val="center"/>
                    <w:rPr>
                      <w:rFonts w:hint="default"/>
                      <w:b/>
                      <w:bCs/>
                      <w:highlight w:val="none"/>
                      <w:lang w:val="en-US" w:eastAsia="zh-CN"/>
                    </w:rPr>
                  </w:pPr>
                  <w:r>
                    <w:rPr>
                      <w:rFonts w:hint="eastAsia"/>
                      <w:b/>
                      <w:bCs/>
                      <w:highlight w:val="none"/>
                      <w:lang w:val="en-US" w:eastAsia="zh-CN"/>
                    </w:rPr>
                    <w:t>序号</w:t>
                  </w:r>
                </w:p>
              </w:tc>
              <w:tc>
                <w:tcPr>
                  <w:tcW w:w="1323" w:type="dxa"/>
                  <w:vAlign w:val="center"/>
                </w:tcPr>
                <w:p w14:paraId="0BCCD44E">
                  <w:pPr>
                    <w:jc w:val="center"/>
                    <w:rPr>
                      <w:rFonts w:hint="default"/>
                      <w:b/>
                      <w:bCs/>
                      <w:highlight w:val="none"/>
                      <w:lang w:val="en-US" w:eastAsia="zh-CN"/>
                    </w:rPr>
                  </w:pPr>
                  <w:r>
                    <w:rPr>
                      <w:rFonts w:hint="eastAsia"/>
                      <w:b/>
                      <w:bCs/>
                      <w:highlight w:val="none"/>
                      <w:lang w:val="en-US" w:eastAsia="zh-CN"/>
                    </w:rPr>
                    <w:t>名称</w:t>
                  </w:r>
                </w:p>
              </w:tc>
              <w:tc>
                <w:tcPr>
                  <w:tcW w:w="1634" w:type="dxa"/>
                  <w:vAlign w:val="center"/>
                </w:tcPr>
                <w:p w14:paraId="3CEED9E4">
                  <w:pPr>
                    <w:jc w:val="center"/>
                    <w:rPr>
                      <w:rFonts w:hint="default"/>
                      <w:b/>
                      <w:bCs/>
                      <w:highlight w:val="none"/>
                      <w:lang w:val="en-US" w:eastAsia="zh-CN"/>
                    </w:rPr>
                  </w:pPr>
                  <w:r>
                    <w:rPr>
                      <w:rFonts w:hint="eastAsia"/>
                      <w:b/>
                      <w:bCs/>
                      <w:highlight w:val="none"/>
                      <w:lang w:val="en-US" w:eastAsia="zh-CN"/>
                    </w:rPr>
                    <w:t>周长（m）</w:t>
                  </w:r>
                </w:p>
              </w:tc>
              <w:tc>
                <w:tcPr>
                  <w:tcW w:w="1137" w:type="dxa"/>
                  <w:vAlign w:val="center"/>
                </w:tcPr>
                <w:p w14:paraId="394FA891">
                  <w:pPr>
                    <w:jc w:val="center"/>
                    <w:rPr>
                      <w:rFonts w:hint="default"/>
                      <w:b/>
                      <w:bCs/>
                      <w:highlight w:val="none"/>
                      <w:lang w:val="en-US" w:eastAsia="zh-CN"/>
                    </w:rPr>
                  </w:pPr>
                  <w:r>
                    <w:rPr>
                      <w:rFonts w:hint="eastAsia"/>
                      <w:b/>
                      <w:bCs/>
                      <w:highlight w:val="none"/>
                      <w:lang w:val="en-US" w:eastAsia="zh-CN"/>
                    </w:rPr>
                    <w:t>罩口至污染源的距离（m）</w:t>
                  </w:r>
                </w:p>
              </w:tc>
              <w:tc>
                <w:tcPr>
                  <w:tcW w:w="1138" w:type="dxa"/>
                  <w:vAlign w:val="center"/>
                </w:tcPr>
                <w:p w14:paraId="555448D8">
                  <w:pPr>
                    <w:jc w:val="center"/>
                    <w:rPr>
                      <w:rFonts w:hint="default"/>
                      <w:b/>
                      <w:bCs/>
                      <w:highlight w:val="none"/>
                      <w:lang w:val="en-US" w:eastAsia="zh-CN"/>
                    </w:rPr>
                  </w:pPr>
                  <w:r>
                    <w:rPr>
                      <w:rFonts w:hint="eastAsia"/>
                      <w:b/>
                      <w:bCs/>
                      <w:highlight w:val="none"/>
                      <w:lang w:val="en-US" w:eastAsia="zh-CN"/>
                    </w:rPr>
                    <w:t>流速（m/s）</w:t>
                  </w:r>
                </w:p>
              </w:tc>
              <w:tc>
                <w:tcPr>
                  <w:tcW w:w="1138" w:type="dxa"/>
                  <w:vAlign w:val="center"/>
                </w:tcPr>
                <w:p w14:paraId="335D76AF">
                  <w:pPr>
                    <w:jc w:val="center"/>
                    <w:rPr>
                      <w:rFonts w:hint="default"/>
                      <w:b/>
                      <w:bCs/>
                      <w:highlight w:val="none"/>
                      <w:lang w:val="en-US" w:eastAsia="zh-CN"/>
                    </w:rPr>
                  </w:pPr>
                  <w:r>
                    <w:rPr>
                      <w:rFonts w:hint="eastAsia"/>
                      <w:b/>
                      <w:bCs/>
                      <w:highlight w:val="none"/>
                      <w:lang w:val="en-US" w:eastAsia="zh-CN"/>
                    </w:rPr>
                    <w:t>数量</w:t>
                  </w:r>
                </w:p>
              </w:tc>
              <w:tc>
                <w:tcPr>
                  <w:tcW w:w="1138" w:type="dxa"/>
                  <w:vAlign w:val="center"/>
                </w:tcPr>
                <w:p w14:paraId="0B424EBF">
                  <w:pPr>
                    <w:jc w:val="center"/>
                    <w:rPr>
                      <w:rFonts w:hint="default"/>
                      <w:b/>
                      <w:bCs/>
                      <w:highlight w:val="none"/>
                      <w:lang w:val="en-US" w:eastAsia="zh-CN"/>
                    </w:rPr>
                  </w:pPr>
                  <w:r>
                    <w:rPr>
                      <w:rFonts w:hint="eastAsia"/>
                      <w:b/>
                      <w:bCs/>
                      <w:highlight w:val="none"/>
                      <w:lang w:val="en-US" w:eastAsia="zh-CN"/>
                    </w:rPr>
                    <w:t>风量（m</w:t>
                  </w:r>
                  <w:r>
                    <w:rPr>
                      <w:rFonts w:hint="eastAsia"/>
                      <w:b/>
                      <w:bCs/>
                      <w:highlight w:val="none"/>
                      <w:vertAlign w:val="superscript"/>
                      <w:lang w:val="en-US" w:eastAsia="zh-CN"/>
                    </w:rPr>
                    <w:t>3</w:t>
                  </w:r>
                  <w:r>
                    <w:rPr>
                      <w:rFonts w:hint="eastAsia"/>
                      <w:b/>
                      <w:bCs/>
                      <w:highlight w:val="none"/>
                      <w:lang w:val="en-US" w:eastAsia="zh-CN"/>
                    </w:rPr>
                    <w:t>/h）</w:t>
                  </w:r>
                </w:p>
              </w:tc>
            </w:tr>
            <w:tr w14:paraId="5A90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 w:type="dxa"/>
                  <w:vAlign w:val="center"/>
                </w:tcPr>
                <w:p w14:paraId="36AD4B66">
                  <w:pPr>
                    <w:jc w:val="center"/>
                    <w:rPr>
                      <w:rFonts w:hint="default"/>
                      <w:highlight w:val="none"/>
                      <w:lang w:val="en-US" w:eastAsia="zh-CN"/>
                    </w:rPr>
                  </w:pPr>
                  <w:r>
                    <w:rPr>
                      <w:rFonts w:hint="eastAsia"/>
                      <w:highlight w:val="none"/>
                      <w:lang w:val="en-US" w:eastAsia="zh-CN"/>
                    </w:rPr>
                    <w:t>1</w:t>
                  </w:r>
                </w:p>
              </w:tc>
              <w:tc>
                <w:tcPr>
                  <w:tcW w:w="1323" w:type="dxa"/>
                  <w:vAlign w:val="center"/>
                </w:tcPr>
                <w:p w14:paraId="03598DDB">
                  <w:pPr>
                    <w:jc w:val="center"/>
                    <w:rPr>
                      <w:rFonts w:hint="default"/>
                      <w:highlight w:val="none"/>
                      <w:lang w:eastAsia="zh-CN"/>
                    </w:rPr>
                  </w:pPr>
                  <w:r>
                    <w:rPr>
                      <w:rFonts w:hint="default"/>
                      <w:highlight w:val="none"/>
                      <w:lang w:eastAsia="zh-CN"/>
                    </w:rPr>
                    <w:t>锡膏印刷机（钢网擦拭位置和印刷机相同）</w:t>
                  </w:r>
                </w:p>
              </w:tc>
              <w:tc>
                <w:tcPr>
                  <w:tcW w:w="1634" w:type="dxa"/>
                  <w:vAlign w:val="center"/>
                </w:tcPr>
                <w:p w14:paraId="2563E49A">
                  <w:pPr>
                    <w:jc w:val="center"/>
                    <w:rPr>
                      <w:rFonts w:hint="default"/>
                      <w:highlight w:val="none"/>
                      <w:lang w:val="en-US" w:eastAsia="zh-CN"/>
                    </w:rPr>
                  </w:pPr>
                  <w:r>
                    <w:rPr>
                      <w:rFonts w:hint="eastAsia"/>
                      <w:highlight w:val="none"/>
                      <w:lang w:eastAsia="zh-CN"/>
                    </w:rPr>
                    <w:t>（</w:t>
                  </w:r>
                  <w:r>
                    <w:rPr>
                      <w:rFonts w:hint="eastAsia"/>
                      <w:highlight w:val="none"/>
                      <w:lang w:val="en-US" w:eastAsia="zh-CN"/>
                    </w:rPr>
                    <w:t>0.5+0.4</w:t>
                  </w:r>
                  <w:r>
                    <w:rPr>
                      <w:rFonts w:hint="eastAsia"/>
                      <w:highlight w:val="none"/>
                      <w:lang w:eastAsia="zh-CN"/>
                    </w:rPr>
                    <w:t>）</w:t>
                  </w:r>
                  <w:r>
                    <w:rPr>
                      <w:rFonts w:hint="eastAsia"/>
                      <w:highlight w:val="none"/>
                      <w:lang w:val="en-US" w:eastAsia="zh-CN"/>
                    </w:rPr>
                    <w:t>×2</w:t>
                  </w:r>
                </w:p>
              </w:tc>
              <w:tc>
                <w:tcPr>
                  <w:tcW w:w="1137" w:type="dxa"/>
                  <w:vAlign w:val="center"/>
                </w:tcPr>
                <w:p w14:paraId="0AB883DB">
                  <w:pPr>
                    <w:jc w:val="center"/>
                    <w:rPr>
                      <w:rFonts w:hint="default"/>
                      <w:highlight w:val="none"/>
                      <w:lang w:val="en-US" w:eastAsia="zh-CN"/>
                    </w:rPr>
                  </w:pPr>
                  <w:r>
                    <w:rPr>
                      <w:rFonts w:hint="eastAsia"/>
                      <w:highlight w:val="none"/>
                      <w:lang w:val="en-US" w:eastAsia="zh-CN"/>
                    </w:rPr>
                    <w:t>0.2</w:t>
                  </w:r>
                </w:p>
              </w:tc>
              <w:tc>
                <w:tcPr>
                  <w:tcW w:w="1138" w:type="dxa"/>
                  <w:vAlign w:val="center"/>
                </w:tcPr>
                <w:p w14:paraId="4DB7DAD5">
                  <w:pPr>
                    <w:jc w:val="center"/>
                    <w:rPr>
                      <w:rFonts w:hint="default"/>
                      <w:highlight w:val="none"/>
                      <w:lang w:val="en-US" w:eastAsia="zh-CN"/>
                    </w:rPr>
                  </w:pPr>
                  <w:r>
                    <w:rPr>
                      <w:rFonts w:hint="eastAsia"/>
                      <w:highlight w:val="none"/>
                      <w:lang w:val="en-US" w:eastAsia="zh-CN"/>
                    </w:rPr>
                    <w:t>0.4</w:t>
                  </w:r>
                </w:p>
              </w:tc>
              <w:tc>
                <w:tcPr>
                  <w:tcW w:w="1138" w:type="dxa"/>
                  <w:vAlign w:val="center"/>
                </w:tcPr>
                <w:p w14:paraId="35182109">
                  <w:pPr>
                    <w:jc w:val="center"/>
                    <w:rPr>
                      <w:rFonts w:hint="default"/>
                      <w:highlight w:val="none"/>
                      <w:lang w:val="en-US" w:eastAsia="zh-CN"/>
                    </w:rPr>
                  </w:pPr>
                  <w:r>
                    <w:rPr>
                      <w:rFonts w:hint="eastAsia"/>
                      <w:highlight w:val="none"/>
                      <w:lang w:val="en-US" w:eastAsia="zh-CN"/>
                    </w:rPr>
                    <w:t>8</w:t>
                  </w:r>
                </w:p>
              </w:tc>
              <w:tc>
                <w:tcPr>
                  <w:tcW w:w="1138" w:type="dxa"/>
                  <w:vAlign w:val="center"/>
                </w:tcPr>
                <w:p w14:paraId="7B07F17E">
                  <w:pPr>
                    <w:jc w:val="center"/>
                    <w:rPr>
                      <w:rFonts w:hint="default"/>
                      <w:highlight w:val="none"/>
                      <w:lang w:val="en-US" w:eastAsia="zh-CN"/>
                    </w:rPr>
                  </w:pPr>
                  <w:r>
                    <w:rPr>
                      <w:rFonts w:hint="eastAsia"/>
                      <w:highlight w:val="none"/>
                      <w:lang w:val="en-US" w:eastAsia="zh-CN"/>
                    </w:rPr>
                    <w:t>5806.08</w:t>
                  </w:r>
                </w:p>
              </w:tc>
            </w:tr>
            <w:tr w14:paraId="245DF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 w:type="dxa"/>
                  <w:vAlign w:val="center"/>
                </w:tcPr>
                <w:p w14:paraId="4F2028E3">
                  <w:pPr>
                    <w:jc w:val="center"/>
                    <w:rPr>
                      <w:rFonts w:hint="default"/>
                      <w:highlight w:val="none"/>
                      <w:lang w:val="en-US" w:eastAsia="zh-CN"/>
                    </w:rPr>
                  </w:pPr>
                  <w:r>
                    <w:rPr>
                      <w:rFonts w:hint="eastAsia"/>
                      <w:highlight w:val="none"/>
                      <w:lang w:val="en-US" w:eastAsia="zh-CN"/>
                    </w:rPr>
                    <w:t>2</w:t>
                  </w:r>
                </w:p>
              </w:tc>
              <w:tc>
                <w:tcPr>
                  <w:tcW w:w="1323" w:type="dxa"/>
                  <w:vAlign w:val="center"/>
                </w:tcPr>
                <w:p w14:paraId="0F493D7F">
                  <w:pPr>
                    <w:jc w:val="center"/>
                    <w:rPr>
                      <w:rFonts w:hint="default"/>
                      <w:highlight w:val="none"/>
                      <w:lang w:val="en-US" w:eastAsia="zh-CN"/>
                    </w:rPr>
                  </w:pPr>
                  <w:r>
                    <w:rPr>
                      <w:rFonts w:hint="eastAsia"/>
                      <w:highlight w:val="none"/>
                      <w:lang w:val="en-US" w:eastAsia="zh-CN"/>
                    </w:rPr>
                    <w:t>挤出机</w:t>
                  </w:r>
                </w:p>
              </w:tc>
              <w:tc>
                <w:tcPr>
                  <w:tcW w:w="1634" w:type="dxa"/>
                  <w:vAlign w:val="center"/>
                </w:tcPr>
                <w:p w14:paraId="4A533879">
                  <w:pPr>
                    <w:jc w:val="center"/>
                    <w:rPr>
                      <w:rFonts w:hint="default"/>
                      <w:highlight w:val="none"/>
                      <w:lang w:eastAsia="zh-CN"/>
                    </w:rPr>
                  </w:pPr>
                  <w:r>
                    <w:rPr>
                      <w:rFonts w:hint="eastAsia"/>
                      <w:highlight w:val="none"/>
                      <w:lang w:eastAsia="zh-CN"/>
                    </w:rPr>
                    <w:t>（</w:t>
                  </w:r>
                  <w:r>
                    <w:rPr>
                      <w:rFonts w:hint="eastAsia"/>
                      <w:highlight w:val="none"/>
                      <w:lang w:val="en-US" w:eastAsia="zh-CN"/>
                    </w:rPr>
                    <w:t>0.4+0.3</w:t>
                  </w:r>
                  <w:r>
                    <w:rPr>
                      <w:rFonts w:hint="eastAsia"/>
                      <w:highlight w:val="none"/>
                      <w:lang w:eastAsia="zh-CN"/>
                    </w:rPr>
                    <w:t>）</w:t>
                  </w:r>
                  <w:r>
                    <w:rPr>
                      <w:rFonts w:hint="eastAsia"/>
                      <w:highlight w:val="none"/>
                      <w:lang w:val="en-US" w:eastAsia="zh-CN"/>
                    </w:rPr>
                    <w:t>×2</w:t>
                  </w:r>
                </w:p>
              </w:tc>
              <w:tc>
                <w:tcPr>
                  <w:tcW w:w="1137" w:type="dxa"/>
                  <w:vAlign w:val="center"/>
                </w:tcPr>
                <w:p w14:paraId="607FF7FD">
                  <w:pPr>
                    <w:jc w:val="center"/>
                    <w:rPr>
                      <w:rFonts w:hint="default"/>
                      <w:highlight w:val="none"/>
                      <w:lang w:val="en-US" w:eastAsia="zh-CN"/>
                    </w:rPr>
                  </w:pPr>
                  <w:r>
                    <w:rPr>
                      <w:rFonts w:hint="eastAsia"/>
                      <w:highlight w:val="none"/>
                      <w:lang w:val="en-US" w:eastAsia="zh-CN"/>
                    </w:rPr>
                    <w:t>0.2</w:t>
                  </w:r>
                </w:p>
              </w:tc>
              <w:tc>
                <w:tcPr>
                  <w:tcW w:w="1138" w:type="dxa"/>
                  <w:vAlign w:val="center"/>
                </w:tcPr>
                <w:p w14:paraId="147BE9A1">
                  <w:pPr>
                    <w:jc w:val="center"/>
                    <w:rPr>
                      <w:rFonts w:hint="default"/>
                      <w:highlight w:val="none"/>
                      <w:lang w:val="en-US" w:eastAsia="zh-CN"/>
                    </w:rPr>
                  </w:pPr>
                  <w:r>
                    <w:rPr>
                      <w:rFonts w:hint="eastAsia"/>
                      <w:highlight w:val="none"/>
                      <w:lang w:val="en-US" w:eastAsia="zh-CN"/>
                    </w:rPr>
                    <w:t>0.4</w:t>
                  </w:r>
                </w:p>
              </w:tc>
              <w:tc>
                <w:tcPr>
                  <w:tcW w:w="1138" w:type="dxa"/>
                  <w:vAlign w:val="center"/>
                </w:tcPr>
                <w:p w14:paraId="3ED3C898">
                  <w:pPr>
                    <w:jc w:val="center"/>
                    <w:rPr>
                      <w:rFonts w:hint="default"/>
                      <w:highlight w:val="none"/>
                      <w:lang w:val="en-US" w:eastAsia="zh-CN"/>
                    </w:rPr>
                  </w:pPr>
                  <w:r>
                    <w:rPr>
                      <w:rFonts w:hint="eastAsia"/>
                      <w:highlight w:val="none"/>
                      <w:lang w:val="en-US" w:eastAsia="zh-CN"/>
                    </w:rPr>
                    <w:t>7</w:t>
                  </w:r>
                </w:p>
              </w:tc>
              <w:tc>
                <w:tcPr>
                  <w:tcW w:w="1138" w:type="dxa"/>
                  <w:vAlign w:val="center"/>
                </w:tcPr>
                <w:p w14:paraId="047B7AF0">
                  <w:pPr>
                    <w:jc w:val="center"/>
                    <w:rPr>
                      <w:rFonts w:hint="default"/>
                      <w:highlight w:val="none"/>
                      <w:lang w:val="en-US" w:eastAsia="zh-CN"/>
                    </w:rPr>
                  </w:pPr>
                  <w:r>
                    <w:rPr>
                      <w:rFonts w:hint="eastAsia"/>
                      <w:highlight w:val="none"/>
                      <w:lang w:val="en-US" w:eastAsia="zh-CN"/>
                    </w:rPr>
                    <w:t>3951.36</w:t>
                  </w:r>
                </w:p>
              </w:tc>
            </w:tr>
            <w:tr w14:paraId="43DFC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 w:type="dxa"/>
                  <w:vAlign w:val="center"/>
                </w:tcPr>
                <w:p w14:paraId="29EDEC58">
                  <w:pPr>
                    <w:jc w:val="center"/>
                    <w:rPr>
                      <w:rFonts w:hint="default"/>
                      <w:highlight w:val="none"/>
                      <w:lang w:val="en-US" w:eastAsia="zh-CN"/>
                    </w:rPr>
                  </w:pPr>
                  <w:r>
                    <w:rPr>
                      <w:rFonts w:hint="eastAsia"/>
                      <w:highlight w:val="none"/>
                      <w:lang w:val="en-US" w:eastAsia="zh-CN"/>
                    </w:rPr>
                    <w:t>3</w:t>
                  </w:r>
                </w:p>
              </w:tc>
              <w:tc>
                <w:tcPr>
                  <w:tcW w:w="1323" w:type="dxa"/>
                  <w:vAlign w:val="center"/>
                </w:tcPr>
                <w:p w14:paraId="3280CAC4">
                  <w:pPr>
                    <w:jc w:val="center"/>
                    <w:rPr>
                      <w:rFonts w:hint="default"/>
                      <w:highlight w:val="none"/>
                      <w:lang w:val="en-US" w:eastAsia="zh-CN"/>
                    </w:rPr>
                  </w:pPr>
                  <w:r>
                    <w:rPr>
                      <w:rFonts w:hint="eastAsia"/>
                      <w:highlight w:val="none"/>
                      <w:lang w:val="en-US" w:eastAsia="zh-CN"/>
                    </w:rPr>
                    <w:t>成型机</w:t>
                  </w:r>
                </w:p>
              </w:tc>
              <w:tc>
                <w:tcPr>
                  <w:tcW w:w="1634" w:type="dxa"/>
                  <w:vAlign w:val="center"/>
                </w:tcPr>
                <w:p w14:paraId="6669F276">
                  <w:pPr>
                    <w:jc w:val="center"/>
                    <w:rPr>
                      <w:rFonts w:hint="default"/>
                      <w:highlight w:val="none"/>
                      <w:lang w:eastAsia="zh-CN"/>
                    </w:rPr>
                  </w:pPr>
                  <w:r>
                    <w:rPr>
                      <w:rFonts w:hint="eastAsia"/>
                      <w:highlight w:val="none"/>
                      <w:lang w:eastAsia="zh-CN"/>
                    </w:rPr>
                    <w:t>（</w:t>
                  </w:r>
                  <w:r>
                    <w:rPr>
                      <w:rFonts w:hint="eastAsia"/>
                      <w:highlight w:val="none"/>
                      <w:lang w:val="en-US" w:eastAsia="zh-CN"/>
                    </w:rPr>
                    <w:t>0.4+0.3</w:t>
                  </w:r>
                  <w:r>
                    <w:rPr>
                      <w:rFonts w:hint="eastAsia"/>
                      <w:highlight w:val="none"/>
                      <w:lang w:eastAsia="zh-CN"/>
                    </w:rPr>
                    <w:t>）</w:t>
                  </w:r>
                  <w:r>
                    <w:rPr>
                      <w:rFonts w:hint="eastAsia"/>
                      <w:highlight w:val="none"/>
                      <w:lang w:val="en-US" w:eastAsia="zh-CN"/>
                    </w:rPr>
                    <w:t>×2</w:t>
                  </w:r>
                </w:p>
              </w:tc>
              <w:tc>
                <w:tcPr>
                  <w:tcW w:w="1137" w:type="dxa"/>
                  <w:vAlign w:val="center"/>
                </w:tcPr>
                <w:p w14:paraId="5D651EE2">
                  <w:pPr>
                    <w:jc w:val="center"/>
                    <w:rPr>
                      <w:rFonts w:hint="default"/>
                      <w:highlight w:val="none"/>
                      <w:lang w:val="en-US" w:eastAsia="zh-CN"/>
                    </w:rPr>
                  </w:pPr>
                  <w:r>
                    <w:rPr>
                      <w:rFonts w:hint="eastAsia"/>
                      <w:highlight w:val="none"/>
                      <w:lang w:val="en-US" w:eastAsia="zh-CN"/>
                    </w:rPr>
                    <w:t>0.2</w:t>
                  </w:r>
                </w:p>
              </w:tc>
              <w:tc>
                <w:tcPr>
                  <w:tcW w:w="1138" w:type="dxa"/>
                  <w:vAlign w:val="center"/>
                </w:tcPr>
                <w:p w14:paraId="57C4EB78">
                  <w:pPr>
                    <w:jc w:val="center"/>
                    <w:rPr>
                      <w:rFonts w:hint="default"/>
                      <w:highlight w:val="none"/>
                      <w:lang w:val="en-US" w:eastAsia="zh-CN"/>
                    </w:rPr>
                  </w:pPr>
                  <w:r>
                    <w:rPr>
                      <w:rFonts w:hint="eastAsia"/>
                      <w:highlight w:val="none"/>
                      <w:lang w:val="en-US" w:eastAsia="zh-CN"/>
                    </w:rPr>
                    <w:t>0.4</w:t>
                  </w:r>
                </w:p>
              </w:tc>
              <w:tc>
                <w:tcPr>
                  <w:tcW w:w="1138" w:type="dxa"/>
                  <w:vAlign w:val="center"/>
                </w:tcPr>
                <w:p w14:paraId="1CCCF6F4">
                  <w:pPr>
                    <w:jc w:val="center"/>
                    <w:rPr>
                      <w:rFonts w:hint="default"/>
                      <w:highlight w:val="none"/>
                      <w:lang w:val="en-US" w:eastAsia="zh-CN"/>
                    </w:rPr>
                  </w:pPr>
                  <w:r>
                    <w:rPr>
                      <w:rFonts w:hint="eastAsia"/>
                      <w:highlight w:val="none"/>
                      <w:lang w:val="en-US" w:eastAsia="zh-CN"/>
                    </w:rPr>
                    <w:t>7</w:t>
                  </w:r>
                </w:p>
              </w:tc>
              <w:tc>
                <w:tcPr>
                  <w:tcW w:w="1138" w:type="dxa"/>
                  <w:vAlign w:val="center"/>
                </w:tcPr>
                <w:p w14:paraId="14DFB747">
                  <w:pPr>
                    <w:jc w:val="center"/>
                    <w:rPr>
                      <w:rFonts w:hint="default"/>
                      <w:highlight w:val="none"/>
                      <w:lang w:val="en-US" w:eastAsia="zh-CN"/>
                    </w:rPr>
                  </w:pPr>
                  <w:r>
                    <w:rPr>
                      <w:rFonts w:hint="eastAsia"/>
                      <w:highlight w:val="none"/>
                      <w:lang w:val="en-US" w:eastAsia="zh-CN"/>
                    </w:rPr>
                    <w:t>3951.36</w:t>
                  </w:r>
                </w:p>
              </w:tc>
            </w:tr>
          </w:tbl>
          <w:p w14:paraId="4FDE3792">
            <w:pPr>
              <w:spacing w:line="360" w:lineRule="auto"/>
              <w:ind w:firstLine="480" w:firstLineChars="200"/>
              <w:rPr>
                <w:rFonts w:hint="eastAsia"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w:t>
            </w:r>
            <w:r>
              <w:rPr>
                <w:rFonts w:hint="eastAsia" w:cs="Times New Roman"/>
                <w:color w:val="auto"/>
                <w:sz w:val="24"/>
                <w:szCs w:val="24"/>
                <w:highlight w:val="none"/>
                <w:lang w:val="en-US" w:eastAsia="zh-CN"/>
              </w:rPr>
              <w:t>回流焊</w:t>
            </w:r>
            <w:r>
              <w:rPr>
                <w:rFonts w:hint="eastAsia" w:ascii="Times New Roman" w:hAnsi="Times New Roman" w:eastAsia="宋体" w:cs="Times New Roman"/>
                <w:color w:val="auto"/>
                <w:sz w:val="24"/>
                <w:szCs w:val="24"/>
                <w:highlight w:val="none"/>
                <w:lang w:val="en-US" w:eastAsia="zh-CN"/>
              </w:rPr>
              <w:t>上方设置</w:t>
            </w:r>
            <w:r>
              <w:rPr>
                <w:rFonts w:hint="eastAsia"/>
                <w:color w:val="auto"/>
                <w:sz w:val="24"/>
                <w:szCs w:val="32"/>
                <w:highlight w:val="none"/>
                <w:lang w:val="en-US" w:eastAsia="zh-CN"/>
              </w:rPr>
              <w:t>抽风管道</w:t>
            </w:r>
            <w:r>
              <w:rPr>
                <w:rFonts w:hint="eastAsia" w:cs="Times New Roman"/>
                <w:color w:val="auto"/>
                <w:sz w:val="24"/>
                <w:szCs w:val="24"/>
                <w:highlight w:val="none"/>
                <w:lang w:val="en-US" w:eastAsia="zh-CN"/>
              </w:rPr>
              <w:t>直连设备</w:t>
            </w:r>
            <w:r>
              <w:rPr>
                <w:rFonts w:hint="eastAsia" w:ascii="Times New Roman" w:hAnsi="Times New Roman" w:eastAsia="宋体" w:cs="Times New Roman"/>
                <w:color w:val="auto"/>
                <w:sz w:val="24"/>
                <w:szCs w:val="24"/>
                <w:highlight w:val="none"/>
                <w:lang w:val="en-US" w:eastAsia="zh-CN"/>
              </w:rPr>
              <w:t>对废气进行</w:t>
            </w:r>
            <w:r>
              <w:rPr>
                <w:rFonts w:hint="eastAsia" w:cs="Times New Roman"/>
                <w:color w:val="auto"/>
                <w:sz w:val="24"/>
                <w:szCs w:val="24"/>
                <w:highlight w:val="none"/>
                <w:lang w:val="en-US" w:eastAsia="zh-CN"/>
              </w:rPr>
              <w:t>微负压</w:t>
            </w:r>
            <w:r>
              <w:rPr>
                <w:rFonts w:hint="eastAsia" w:ascii="Times New Roman" w:hAnsi="Times New Roman" w:eastAsia="宋体" w:cs="Times New Roman"/>
                <w:color w:val="auto"/>
                <w:sz w:val="24"/>
                <w:szCs w:val="24"/>
                <w:highlight w:val="none"/>
                <w:lang w:val="en-US" w:eastAsia="zh-CN"/>
              </w:rPr>
              <w:t>收集</w:t>
            </w:r>
            <w:r>
              <w:rPr>
                <w:rFonts w:hint="eastAsia"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负压收集风量参照以下公式计算：</w:t>
            </w:r>
          </w:p>
          <w:p w14:paraId="777F797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color w:val="auto"/>
                <w:sz w:val="24"/>
                <w:szCs w:val="32"/>
                <w:highlight w:val="none"/>
                <w:lang w:val="en-US" w:eastAsia="zh-CN"/>
              </w:rPr>
            </w:pPr>
            <w:r>
              <w:rPr>
                <w:rFonts w:hint="eastAsia"/>
                <w:color w:val="auto"/>
                <w:sz w:val="24"/>
                <w:szCs w:val="32"/>
                <w:highlight w:val="none"/>
                <w:lang w:val="en-US" w:eastAsia="zh-CN"/>
              </w:rPr>
              <w:t>Q=</w:t>
            </w:r>
            <w:r>
              <w:rPr>
                <w:rFonts w:hint="default" w:ascii="Times New Roman" w:hAnsi="Times New Roman" w:cs="Times New Roman"/>
                <w:color w:val="auto"/>
                <w:sz w:val="24"/>
                <w:szCs w:val="32"/>
                <w:highlight w:val="none"/>
                <w:lang w:val="en-US" w:eastAsia="zh-CN"/>
              </w:rPr>
              <w:t>π</w:t>
            </w:r>
            <w:r>
              <w:rPr>
                <w:rFonts w:hint="eastAsia"/>
                <w:color w:val="auto"/>
                <w:sz w:val="24"/>
                <w:szCs w:val="32"/>
                <w:highlight w:val="none"/>
                <w:lang w:val="en-US" w:eastAsia="zh-CN"/>
              </w:rPr>
              <w:t>*R</w:t>
            </w:r>
            <w:r>
              <w:rPr>
                <w:rFonts w:hint="eastAsia"/>
                <w:color w:val="auto"/>
                <w:sz w:val="24"/>
                <w:szCs w:val="32"/>
                <w:highlight w:val="none"/>
                <w:vertAlign w:val="superscript"/>
                <w:lang w:val="en-US" w:eastAsia="zh-CN"/>
              </w:rPr>
              <w:t>2</w:t>
            </w:r>
            <w:r>
              <w:rPr>
                <w:rFonts w:hint="eastAsia"/>
                <w:color w:val="auto"/>
                <w:sz w:val="24"/>
                <w:szCs w:val="32"/>
                <w:highlight w:val="none"/>
                <w:lang w:val="en-US" w:eastAsia="zh-CN"/>
              </w:rPr>
              <w:t>*V*t</w:t>
            </w:r>
          </w:p>
          <w:p w14:paraId="1266EA07">
            <w:pPr>
              <w:spacing w:line="360" w:lineRule="auto"/>
              <w:ind w:firstLine="480" w:firstLineChars="200"/>
              <w:rPr>
                <w:rFonts w:hint="eastAsia"/>
                <w:color w:val="auto"/>
                <w:sz w:val="24"/>
                <w:szCs w:val="32"/>
                <w:highlight w:val="none"/>
                <w:lang w:val="en-US" w:eastAsia="zh-CN"/>
              </w:rPr>
            </w:pPr>
            <w:r>
              <w:rPr>
                <w:rFonts w:hint="eastAsia"/>
                <w:color w:val="auto"/>
                <w:sz w:val="24"/>
                <w:szCs w:val="32"/>
                <w:highlight w:val="none"/>
                <w:lang w:val="en-US" w:eastAsia="zh-CN"/>
              </w:rPr>
              <w:t>式中：R--表示抽风管道半径，单位：m；</w:t>
            </w:r>
          </w:p>
          <w:p w14:paraId="5717E82D">
            <w:pPr>
              <w:spacing w:line="360" w:lineRule="auto"/>
              <w:ind w:firstLine="480" w:firstLineChars="200"/>
              <w:rPr>
                <w:rFonts w:hint="eastAsia"/>
                <w:color w:val="auto"/>
                <w:sz w:val="24"/>
                <w:szCs w:val="32"/>
                <w:highlight w:val="none"/>
                <w:lang w:val="en-US" w:eastAsia="zh-CN"/>
              </w:rPr>
            </w:pPr>
            <w:r>
              <w:rPr>
                <w:rFonts w:hint="eastAsia"/>
                <w:color w:val="auto"/>
                <w:sz w:val="24"/>
                <w:szCs w:val="32"/>
                <w:highlight w:val="none"/>
                <w:lang w:val="en-US" w:eastAsia="zh-CN"/>
              </w:rPr>
              <w:t>V--表示抽风流速，</w:t>
            </w:r>
            <w:r>
              <w:rPr>
                <w:rFonts w:hint="eastAsia" w:cs="Times New Roman"/>
                <w:color w:val="auto"/>
                <w:sz w:val="24"/>
                <w:szCs w:val="24"/>
                <w:highlight w:val="none"/>
                <w:lang w:val="en-US" w:eastAsia="zh-CN"/>
              </w:rPr>
              <w:t>取6m/s</w:t>
            </w:r>
            <w:r>
              <w:rPr>
                <w:rFonts w:hint="eastAsia"/>
                <w:color w:val="auto"/>
                <w:sz w:val="24"/>
                <w:szCs w:val="32"/>
                <w:highlight w:val="none"/>
                <w:lang w:val="en-US" w:eastAsia="zh-CN"/>
              </w:rPr>
              <w:t>；</w:t>
            </w:r>
          </w:p>
          <w:p w14:paraId="36E357A7">
            <w:pPr>
              <w:spacing w:line="360" w:lineRule="auto"/>
              <w:ind w:firstLine="480" w:firstLineChars="200"/>
              <w:rPr>
                <w:rFonts w:hint="eastAsia"/>
                <w:color w:val="auto"/>
                <w:sz w:val="24"/>
                <w:szCs w:val="32"/>
                <w:highlight w:val="none"/>
                <w:lang w:val="en-US" w:eastAsia="zh-CN"/>
              </w:rPr>
            </w:pPr>
            <w:r>
              <w:rPr>
                <w:rFonts w:hint="eastAsia"/>
                <w:color w:val="auto"/>
                <w:sz w:val="24"/>
                <w:szCs w:val="32"/>
                <w:highlight w:val="none"/>
                <w:lang w:val="en-US" w:eastAsia="zh-CN"/>
              </w:rPr>
              <w:t>t--表示时间，取3600s；</w:t>
            </w:r>
          </w:p>
          <w:p w14:paraId="17D13021">
            <w:pPr>
              <w:spacing w:line="360" w:lineRule="auto"/>
              <w:jc w:val="center"/>
              <w:rPr>
                <w:rFonts w:hint="default"/>
                <w:color w:val="auto"/>
                <w:sz w:val="24"/>
                <w:szCs w:val="32"/>
                <w:highlight w:val="none"/>
                <w:lang w:val="en-US" w:eastAsia="zh-CN"/>
              </w:rPr>
            </w:pPr>
            <w:r>
              <w:rPr>
                <w:rFonts w:hint="eastAsia"/>
                <w:b/>
                <w:bCs/>
                <w:color w:val="auto"/>
                <w:sz w:val="21"/>
                <w:szCs w:val="21"/>
                <w:highlight w:val="none"/>
                <w:lang w:val="en-US" w:eastAsia="zh-CN"/>
              </w:rPr>
              <w:t>表4-3  管道风量核算一览表</w:t>
            </w:r>
          </w:p>
          <w:tbl>
            <w:tblPr>
              <w:tblStyle w:val="26"/>
              <w:tblW w:w="7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651"/>
              <w:gridCol w:w="1635"/>
              <w:gridCol w:w="1245"/>
              <w:gridCol w:w="1328"/>
              <w:gridCol w:w="1328"/>
            </w:tblGrid>
            <w:tr w14:paraId="544EA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9" w:type="dxa"/>
                  <w:vAlign w:val="center"/>
                </w:tcPr>
                <w:p w14:paraId="3F8DF964">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序号</w:t>
                  </w:r>
                </w:p>
              </w:tc>
              <w:tc>
                <w:tcPr>
                  <w:tcW w:w="1651" w:type="dxa"/>
                  <w:vAlign w:val="center"/>
                </w:tcPr>
                <w:p w14:paraId="6093A3C7">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名称</w:t>
                  </w:r>
                </w:p>
              </w:tc>
              <w:tc>
                <w:tcPr>
                  <w:tcW w:w="1635" w:type="dxa"/>
                  <w:vAlign w:val="center"/>
                </w:tcPr>
                <w:p w14:paraId="6EF6B384">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管道内径（m）</w:t>
                  </w:r>
                </w:p>
              </w:tc>
              <w:tc>
                <w:tcPr>
                  <w:tcW w:w="1245" w:type="dxa"/>
                  <w:vAlign w:val="center"/>
                </w:tcPr>
                <w:p w14:paraId="0EC5DA35">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数量</w:t>
                  </w:r>
                </w:p>
              </w:tc>
              <w:tc>
                <w:tcPr>
                  <w:tcW w:w="1328" w:type="dxa"/>
                  <w:vAlign w:val="center"/>
                </w:tcPr>
                <w:p w14:paraId="1C476277">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风速（m/s）</w:t>
                  </w:r>
                </w:p>
              </w:tc>
              <w:tc>
                <w:tcPr>
                  <w:tcW w:w="1328" w:type="dxa"/>
                  <w:vAlign w:val="center"/>
                </w:tcPr>
                <w:p w14:paraId="1314A8DC">
                  <w:pPr>
                    <w:spacing w:line="240" w:lineRule="auto"/>
                    <w:jc w:val="center"/>
                    <w:rPr>
                      <w:rFonts w:hint="eastAsia"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风量（m</w:t>
                  </w:r>
                  <w:r>
                    <w:rPr>
                      <w:rFonts w:hint="eastAsia" w:cs="Times New Roman"/>
                      <w:b/>
                      <w:bCs/>
                      <w:color w:val="auto"/>
                      <w:szCs w:val="21"/>
                      <w:highlight w:val="none"/>
                      <w:vertAlign w:val="superscript"/>
                      <w:lang w:val="en-US" w:eastAsia="zh-CN"/>
                    </w:rPr>
                    <w:t>3</w:t>
                  </w:r>
                  <w:r>
                    <w:rPr>
                      <w:rFonts w:hint="eastAsia" w:cs="Times New Roman"/>
                      <w:b/>
                      <w:bCs/>
                      <w:color w:val="auto"/>
                      <w:szCs w:val="21"/>
                      <w:highlight w:val="none"/>
                      <w:vertAlign w:val="baseline"/>
                      <w:lang w:val="en-US" w:eastAsia="zh-CN"/>
                    </w:rPr>
                    <w:t>/h）</w:t>
                  </w:r>
                </w:p>
              </w:tc>
            </w:tr>
            <w:tr w14:paraId="3E200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79" w:type="dxa"/>
                  <w:vAlign w:val="center"/>
                </w:tcPr>
                <w:p w14:paraId="770D139C">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1</w:t>
                  </w:r>
                </w:p>
              </w:tc>
              <w:tc>
                <w:tcPr>
                  <w:tcW w:w="1651" w:type="dxa"/>
                  <w:vAlign w:val="center"/>
                </w:tcPr>
                <w:p w14:paraId="5054245B">
                  <w:pPr>
                    <w:spacing w:line="240" w:lineRule="auto"/>
                    <w:jc w:val="center"/>
                    <w:rPr>
                      <w:rFonts w:hint="eastAsia"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回流焊</w:t>
                  </w:r>
                </w:p>
              </w:tc>
              <w:tc>
                <w:tcPr>
                  <w:tcW w:w="1635" w:type="dxa"/>
                  <w:vAlign w:val="center"/>
                </w:tcPr>
                <w:p w14:paraId="70A392E5">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0.2</w:t>
                  </w:r>
                </w:p>
              </w:tc>
              <w:tc>
                <w:tcPr>
                  <w:tcW w:w="1245" w:type="dxa"/>
                  <w:vAlign w:val="center"/>
                </w:tcPr>
                <w:p w14:paraId="36D8A9F9">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4</w:t>
                  </w:r>
                </w:p>
              </w:tc>
              <w:tc>
                <w:tcPr>
                  <w:tcW w:w="1328" w:type="dxa"/>
                  <w:vAlign w:val="center"/>
                </w:tcPr>
                <w:p w14:paraId="4877D51A">
                  <w:pPr>
                    <w:spacing w:line="240" w:lineRule="auto"/>
                    <w:jc w:val="center"/>
                    <w:rPr>
                      <w:rFonts w:hint="default"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6</w:t>
                  </w:r>
                </w:p>
              </w:tc>
              <w:tc>
                <w:tcPr>
                  <w:tcW w:w="1328" w:type="dxa"/>
                  <w:shd w:val="clear" w:color="auto" w:fill="auto"/>
                  <w:vAlign w:val="center"/>
                </w:tcPr>
                <w:p w14:paraId="40C2C74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eastAsia" w:cs="Times New Roman"/>
                      <w:i w:val="0"/>
                      <w:iCs w:val="0"/>
                      <w:color w:val="auto"/>
                      <w:kern w:val="2"/>
                      <w:sz w:val="21"/>
                      <w:szCs w:val="21"/>
                      <w:highlight w:val="none"/>
                      <w:u w:val="none"/>
                      <w:lang w:val="en-US" w:eastAsia="zh-CN" w:bidi="ar-SA"/>
                    </w:rPr>
                    <w:t>4069.44</w:t>
                  </w:r>
                </w:p>
              </w:tc>
            </w:tr>
          </w:tbl>
          <w:p w14:paraId="2BF3B9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val="0"/>
                <w:bCs w:val="0"/>
                <w:color w:val="auto"/>
                <w:kern w:val="0"/>
                <w:sz w:val="24"/>
                <w:szCs w:val="24"/>
                <w:highlight w:val="none"/>
                <w:lang w:val="en-US" w:eastAsia="zh-CN"/>
              </w:rPr>
            </w:pPr>
            <w:r>
              <w:rPr>
                <w:rFonts w:hint="eastAsia" w:cs="Times New Roman"/>
                <w:b w:val="0"/>
                <w:bCs w:val="0"/>
                <w:color w:val="auto"/>
                <w:kern w:val="0"/>
                <w:sz w:val="24"/>
                <w:szCs w:val="24"/>
                <w:highlight w:val="none"/>
                <w:lang w:val="en-US" w:eastAsia="zh-CN"/>
              </w:rPr>
              <w:t>根据以上计算结果，</w:t>
            </w:r>
            <w:r>
              <w:rPr>
                <w:rFonts w:hint="eastAsia" w:cs="Times New Roman"/>
                <w:b w:val="0"/>
                <w:bCs w:val="0"/>
                <w:color w:val="auto"/>
                <w:kern w:val="0"/>
                <w:sz w:val="24"/>
                <w:szCs w:val="24"/>
                <w:highlight w:val="none"/>
                <w:lang w:val="en-US" w:eastAsia="zh-CN"/>
              </w:rPr>
              <w:t>项目废气处理系统风机总风量为17778.24</w:t>
            </w:r>
            <w:r>
              <w:rPr>
                <w:rFonts w:hint="eastAsia" w:cs="Times New Roman"/>
                <w:b w:val="0"/>
                <w:bCs w:val="0"/>
                <w:color w:val="auto"/>
                <w:sz w:val="24"/>
                <w:szCs w:val="24"/>
                <w:highlight w:val="none"/>
                <w:vertAlign w:val="baseline"/>
                <w:lang w:val="en-US" w:eastAsia="zh-CN"/>
              </w:rPr>
              <w:t>m</w:t>
            </w:r>
            <w:r>
              <w:rPr>
                <w:rFonts w:hint="eastAsia" w:cs="Times New Roman"/>
                <w:b w:val="0"/>
                <w:bCs w:val="0"/>
                <w:color w:val="auto"/>
                <w:sz w:val="24"/>
                <w:szCs w:val="24"/>
                <w:highlight w:val="none"/>
                <w:vertAlign w:val="superscript"/>
                <w:lang w:val="en-US" w:eastAsia="zh-CN"/>
              </w:rPr>
              <w:t>3</w:t>
            </w:r>
            <w:r>
              <w:rPr>
                <w:rFonts w:hint="eastAsia" w:cs="Times New Roman"/>
                <w:b w:val="0"/>
                <w:bCs w:val="0"/>
                <w:color w:val="auto"/>
                <w:sz w:val="24"/>
                <w:szCs w:val="24"/>
                <w:highlight w:val="none"/>
                <w:vertAlign w:val="baseline"/>
                <w:lang w:val="en-US" w:eastAsia="zh-CN"/>
              </w:rPr>
              <w:t>/h；</w:t>
            </w:r>
            <w:r>
              <w:rPr>
                <w:rFonts w:hint="eastAsia" w:cs="Times New Roman"/>
                <w:color w:val="auto"/>
                <w:sz w:val="24"/>
                <w:szCs w:val="24"/>
                <w:highlight w:val="none"/>
                <w:lang w:val="en-US" w:eastAsia="zh-CN"/>
              </w:rPr>
              <w:t>考虑到管道内部摩擦</w:t>
            </w:r>
            <w:r>
              <w:rPr>
                <w:rFonts w:hint="eastAsia"/>
                <w:color w:val="auto"/>
                <w:sz w:val="24"/>
                <w:szCs w:val="32"/>
                <w:highlight w:val="none"/>
                <w:lang w:val="en-US" w:eastAsia="zh-CN"/>
              </w:rPr>
              <w:t>损耗及留有部分余量，确定最终风量为：18000m</w:t>
            </w:r>
            <w:r>
              <w:rPr>
                <w:rFonts w:hint="eastAsia"/>
                <w:color w:val="auto"/>
                <w:sz w:val="24"/>
                <w:szCs w:val="32"/>
                <w:highlight w:val="none"/>
                <w:vertAlign w:val="superscript"/>
                <w:lang w:val="en-US" w:eastAsia="zh-CN"/>
              </w:rPr>
              <w:t>3</w:t>
            </w:r>
            <w:r>
              <w:rPr>
                <w:rFonts w:hint="eastAsia"/>
                <w:color w:val="auto"/>
                <w:sz w:val="24"/>
                <w:szCs w:val="32"/>
                <w:highlight w:val="none"/>
                <w:lang w:val="en-US" w:eastAsia="zh-CN"/>
              </w:rPr>
              <w:t>/h。</w:t>
            </w:r>
          </w:p>
          <w:p w14:paraId="05ABAB0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val="0"/>
                <w:bCs w:val="0"/>
                <w:color w:val="auto"/>
                <w:kern w:val="0"/>
                <w:sz w:val="24"/>
                <w:szCs w:val="24"/>
                <w:highlight w:val="none"/>
                <w:lang w:val="en-US" w:eastAsia="zh-CN"/>
              </w:rPr>
            </w:pPr>
            <w:r>
              <w:rPr>
                <w:rFonts w:hint="eastAsia" w:cs="Times New Roman"/>
                <w:b w:val="0"/>
                <w:bCs w:val="0"/>
                <w:color w:val="auto"/>
                <w:kern w:val="0"/>
                <w:sz w:val="24"/>
                <w:szCs w:val="24"/>
                <w:highlight w:val="none"/>
                <w:lang w:val="en-US" w:eastAsia="zh-CN"/>
              </w:rPr>
              <w:t>3）废气源强核算</w:t>
            </w:r>
          </w:p>
          <w:p w14:paraId="088C41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b w:val="0"/>
                <w:bCs w:val="0"/>
                <w:color w:val="auto"/>
                <w:kern w:val="0"/>
                <w:sz w:val="24"/>
                <w:szCs w:val="24"/>
                <w:highlight w:val="none"/>
                <w:lang w:eastAsia="zh-CN"/>
              </w:rPr>
            </w:pPr>
            <w:r>
              <w:rPr>
                <w:rFonts w:hint="default" w:ascii="Times New Roman" w:hAnsi="Times New Roman" w:cs="Times New Roman"/>
                <w:b w:val="0"/>
                <w:bCs w:val="0"/>
                <w:color w:val="auto"/>
                <w:kern w:val="0"/>
                <w:sz w:val="24"/>
                <w:szCs w:val="24"/>
                <w:highlight w:val="none"/>
                <w:lang w:eastAsia="zh-CN"/>
              </w:rPr>
              <w:t>①</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p>
          <w:p w14:paraId="705286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val="0"/>
                <w:bCs w:val="0"/>
                <w:color w:val="auto"/>
                <w:kern w:val="0"/>
                <w:sz w:val="24"/>
                <w:szCs w:val="24"/>
                <w:highlight w:val="none"/>
                <w:lang w:val="en-US" w:eastAsia="zh-CN"/>
              </w:rPr>
            </w:pPr>
            <w:r>
              <w:rPr>
                <w:rFonts w:hint="eastAsia" w:ascii="Times New Roman" w:hAnsi="Times New Roman" w:cs="Times New Roman"/>
                <w:b w:val="0"/>
                <w:bCs w:val="0"/>
                <w:color w:val="auto"/>
                <w:kern w:val="0"/>
                <w:sz w:val="24"/>
                <w:szCs w:val="24"/>
                <w:highlight w:val="none"/>
                <w:lang w:eastAsia="zh-CN"/>
              </w:rPr>
              <w:t>锡膏印刷过程中锡膏中焊剂会产生有机废气</w:t>
            </w:r>
            <w:r>
              <w:rPr>
                <w:rFonts w:hint="eastAsia" w:cs="Times New Roman"/>
                <w:b w:val="0"/>
                <w:bCs w:val="0"/>
                <w:color w:val="auto"/>
                <w:kern w:val="0"/>
                <w:sz w:val="24"/>
                <w:szCs w:val="24"/>
                <w:highlight w:val="none"/>
                <w:lang w:eastAsia="zh-CN"/>
              </w:rPr>
              <w:t>（非甲烷总烃）。根据建设单位提供的资料，项目</w:t>
            </w:r>
            <w:r>
              <w:rPr>
                <w:rFonts w:hint="eastAsia" w:ascii="Times New Roman" w:hAnsi="Times New Roman" w:cs="Times New Roman"/>
                <w:b w:val="0"/>
                <w:bCs w:val="0"/>
                <w:color w:val="auto"/>
                <w:kern w:val="0"/>
                <w:sz w:val="24"/>
                <w:szCs w:val="24"/>
                <w:highlight w:val="none"/>
                <w:lang w:eastAsia="zh-CN"/>
              </w:rPr>
              <w:t>无铅锡膏</w:t>
            </w:r>
            <w:r>
              <w:rPr>
                <w:rFonts w:hint="eastAsia" w:cs="Times New Roman"/>
                <w:b w:val="0"/>
                <w:bCs w:val="0"/>
                <w:color w:val="auto"/>
                <w:kern w:val="0"/>
                <w:sz w:val="24"/>
                <w:szCs w:val="24"/>
                <w:highlight w:val="none"/>
                <w:lang w:val="en-US" w:eastAsia="zh-CN"/>
              </w:rPr>
              <w:t>年用量160t，无铅锡膏中锡、铜、银等金属含量占锡膏成分的81-96%，</w:t>
            </w:r>
            <w:r>
              <w:rPr>
                <w:rFonts w:hint="eastAsia" w:ascii="Times New Roman" w:hAnsi="Times New Roman" w:eastAsia="宋体" w:cs="Times New Roman"/>
                <w:color w:val="auto"/>
                <w:sz w:val="24"/>
                <w:szCs w:val="32"/>
                <w:highlight w:val="none"/>
                <w:lang w:val="en-US" w:eastAsia="zh-CN"/>
              </w:rPr>
              <w:t>二甘醇单乙醚（混合醚，</w:t>
            </w:r>
            <w:r>
              <w:rPr>
                <w:rFonts w:hint="eastAsia" w:ascii="Times New Roman" w:hAnsi="Times New Roman" w:eastAsia="宋体" w:cs="Times New Roman"/>
                <w:color w:val="auto"/>
                <w:sz w:val="24"/>
                <w:szCs w:val="32"/>
                <w:highlight w:val="none"/>
                <w:vertAlign w:val="baseline"/>
                <w:lang w:val="en-US" w:eastAsia="zh-CN"/>
              </w:rPr>
              <w:t>CAS</w:t>
            </w:r>
            <w:r>
              <w:rPr>
                <w:rFonts w:hint="eastAsia" w:ascii="Times New Roman" w:hAnsi="Times New Roman" w:eastAsia="宋体"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vertAlign w:val="baseline"/>
                <w:lang w:val="en-US" w:eastAsia="zh-CN"/>
              </w:rPr>
              <w:t>111-90-0</w:t>
            </w:r>
            <w:r>
              <w:rPr>
                <w:rFonts w:hint="eastAsia" w:ascii="Times New Roman" w:hAnsi="Times New Roman" w:eastAsia="宋体" w:cs="Times New Roman"/>
                <w:color w:val="auto"/>
                <w:sz w:val="24"/>
                <w:szCs w:val="32"/>
                <w:highlight w:val="none"/>
                <w:lang w:val="en-US" w:eastAsia="zh-CN"/>
              </w:rPr>
              <w:t>）</w:t>
            </w:r>
            <w:r>
              <w:rPr>
                <w:rFonts w:hint="eastAsia" w:cs="Times New Roman"/>
                <w:b w:val="0"/>
                <w:bCs w:val="0"/>
                <w:color w:val="auto"/>
                <w:kern w:val="0"/>
                <w:sz w:val="24"/>
                <w:szCs w:val="24"/>
                <w:highlight w:val="none"/>
                <w:lang w:val="en-US" w:eastAsia="zh-CN"/>
              </w:rPr>
              <w:t>占锡膏成分的2-8%，氢化松香占锡膏成分的2-5%，</w:t>
            </w:r>
            <w:r>
              <w:rPr>
                <w:rFonts w:hint="eastAsia" w:cs="Times New Roman"/>
                <w:color w:val="auto"/>
                <w:sz w:val="24"/>
                <w:szCs w:val="32"/>
                <w:highlight w:val="none"/>
                <w:lang w:val="en-US" w:eastAsia="zh-CN"/>
              </w:rPr>
              <w:t>己二酸（有机酸，</w:t>
            </w:r>
            <w:r>
              <w:rPr>
                <w:rFonts w:hint="eastAsia" w:ascii="Times New Roman" w:hAnsi="Times New Roman" w:eastAsia="宋体" w:cs="Times New Roman"/>
                <w:color w:val="auto"/>
                <w:sz w:val="24"/>
                <w:szCs w:val="32"/>
                <w:highlight w:val="none"/>
                <w:vertAlign w:val="baseline"/>
                <w:lang w:val="en-US" w:eastAsia="zh-CN"/>
              </w:rPr>
              <w:t>CAS</w:t>
            </w:r>
            <w:r>
              <w:rPr>
                <w:rFonts w:hint="eastAsia" w:ascii="Times New Roman" w:hAnsi="Times New Roman" w:eastAsia="宋体"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vertAlign w:val="baseline"/>
                <w:lang w:val="en-US" w:eastAsia="zh-CN"/>
              </w:rPr>
              <w:t>124-04-9</w:t>
            </w:r>
            <w:r>
              <w:rPr>
                <w:rFonts w:hint="eastAsia" w:cs="Times New Roman"/>
                <w:color w:val="auto"/>
                <w:sz w:val="24"/>
                <w:szCs w:val="32"/>
                <w:highlight w:val="none"/>
                <w:lang w:val="en-US" w:eastAsia="zh-CN"/>
              </w:rPr>
              <w:t>）</w:t>
            </w:r>
            <w:r>
              <w:rPr>
                <w:rFonts w:hint="eastAsia" w:cs="Times New Roman"/>
                <w:b w:val="0"/>
                <w:bCs w:val="0"/>
                <w:color w:val="auto"/>
                <w:kern w:val="0"/>
                <w:sz w:val="24"/>
                <w:szCs w:val="24"/>
                <w:highlight w:val="none"/>
                <w:lang w:val="en-US" w:eastAsia="zh-CN"/>
              </w:rPr>
              <w:t>含量占锡膏成分的0.2-1%。</w:t>
            </w:r>
            <w:r>
              <w:rPr>
                <w:rFonts w:hint="eastAsia" w:ascii="Times New Roman" w:hAnsi="Times New Roman" w:eastAsia="宋体" w:cs="Times New Roman"/>
                <w:b w:val="0"/>
                <w:bCs w:val="0"/>
                <w:color w:val="auto"/>
                <w:kern w:val="0"/>
                <w:sz w:val="24"/>
                <w:szCs w:val="24"/>
                <w:highlight w:val="none"/>
                <w:lang w:eastAsia="zh-CN"/>
              </w:rPr>
              <w:t>本次</w:t>
            </w:r>
            <w:r>
              <w:rPr>
                <w:rFonts w:hint="eastAsia" w:cs="Times New Roman"/>
                <w:b w:val="0"/>
                <w:bCs w:val="0"/>
                <w:color w:val="auto"/>
                <w:kern w:val="0"/>
                <w:sz w:val="24"/>
                <w:szCs w:val="24"/>
                <w:highlight w:val="none"/>
                <w:lang w:eastAsia="zh-CN"/>
              </w:rPr>
              <w:t>评价保守考虑，</w:t>
            </w:r>
            <w:r>
              <w:rPr>
                <w:rFonts w:hint="eastAsia" w:ascii="Times New Roman" w:hAnsi="Times New Roman" w:eastAsia="宋体" w:cs="Times New Roman"/>
                <w:b w:val="0"/>
                <w:bCs w:val="0"/>
                <w:color w:val="auto"/>
                <w:kern w:val="0"/>
                <w:sz w:val="24"/>
                <w:szCs w:val="24"/>
                <w:highlight w:val="none"/>
                <w:lang w:eastAsia="zh-CN"/>
              </w:rPr>
              <w:t>按</w:t>
            </w:r>
            <w:r>
              <w:rPr>
                <w:rFonts w:hint="eastAsia" w:ascii="Times New Roman" w:hAnsi="Times New Roman" w:cs="Times New Roman"/>
                <w:b w:val="0"/>
                <w:bCs w:val="0"/>
                <w:color w:val="auto"/>
                <w:kern w:val="0"/>
                <w:sz w:val="24"/>
                <w:szCs w:val="24"/>
                <w:highlight w:val="none"/>
                <w:lang w:eastAsia="zh-CN"/>
              </w:rPr>
              <w:t>无铅锡膏</w:t>
            </w:r>
            <w:r>
              <w:rPr>
                <w:rFonts w:hint="eastAsia" w:cs="Times New Roman"/>
                <w:b w:val="0"/>
                <w:bCs w:val="0"/>
                <w:color w:val="auto"/>
                <w:kern w:val="0"/>
                <w:sz w:val="24"/>
                <w:szCs w:val="24"/>
                <w:highlight w:val="none"/>
                <w:lang w:eastAsia="zh-CN"/>
              </w:rPr>
              <w:t>中</w:t>
            </w:r>
            <w:r>
              <w:rPr>
                <w:rFonts w:hint="eastAsia" w:ascii="Times New Roman" w:hAnsi="Times New Roman" w:eastAsia="宋体" w:cs="Times New Roman"/>
                <w:color w:val="auto"/>
                <w:sz w:val="24"/>
                <w:szCs w:val="32"/>
                <w:highlight w:val="none"/>
                <w:lang w:val="en-US" w:eastAsia="zh-CN"/>
              </w:rPr>
              <w:t>二甘醇单乙醚</w:t>
            </w:r>
            <w:r>
              <w:rPr>
                <w:rFonts w:hint="eastAsia" w:cs="Times New Roman"/>
                <w:color w:val="auto"/>
                <w:sz w:val="24"/>
                <w:szCs w:val="32"/>
                <w:highlight w:val="none"/>
                <w:lang w:val="en-US" w:eastAsia="zh-CN"/>
              </w:rPr>
              <w:t>、</w:t>
            </w:r>
            <w:r>
              <w:rPr>
                <w:rFonts w:hint="eastAsia" w:cs="Times New Roman"/>
                <w:b w:val="0"/>
                <w:bCs w:val="0"/>
                <w:color w:val="auto"/>
                <w:kern w:val="0"/>
                <w:sz w:val="24"/>
                <w:szCs w:val="24"/>
                <w:highlight w:val="none"/>
                <w:lang w:val="en-US" w:eastAsia="zh-CN"/>
              </w:rPr>
              <w:t>氢化松香</w:t>
            </w:r>
            <w:r>
              <w:rPr>
                <w:rFonts w:hint="eastAsia" w:cs="Times New Roman"/>
                <w:color w:val="auto"/>
                <w:sz w:val="24"/>
                <w:szCs w:val="32"/>
                <w:highlight w:val="none"/>
                <w:lang w:val="en-US" w:eastAsia="zh-CN"/>
              </w:rPr>
              <w:t>及己二酸成分</w:t>
            </w:r>
            <w:r>
              <w:rPr>
                <w:rFonts w:hint="eastAsia" w:cs="Times New Roman"/>
                <w:b w:val="0"/>
                <w:bCs w:val="0"/>
                <w:color w:val="auto"/>
                <w:kern w:val="0"/>
                <w:sz w:val="24"/>
                <w:szCs w:val="24"/>
                <w:highlight w:val="none"/>
                <w:lang w:eastAsia="zh-CN"/>
              </w:rPr>
              <w:t>全部</w:t>
            </w:r>
            <w:r>
              <w:rPr>
                <w:rFonts w:hint="eastAsia" w:cs="Times New Roman"/>
                <w:color w:val="auto"/>
                <w:sz w:val="24"/>
                <w:szCs w:val="32"/>
                <w:highlight w:val="none"/>
                <w:lang w:val="en-US" w:eastAsia="zh-CN"/>
              </w:rPr>
              <w:t>挥发计（即有机物最大</w:t>
            </w:r>
            <w:r>
              <w:rPr>
                <w:rFonts w:hint="eastAsia" w:ascii="Times New Roman" w:hAnsi="Times New Roman" w:cs="Times New Roman"/>
                <w:b w:val="0"/>
                <w:bCs w:val="0"/>
                <w:color w:val="auto"/>
                <w:kern w:val="0"/>
                <w:sz w:val="24"/>
                <w:szCs w:val="24"/>
                <w:highlight w:val="none"/>
                <w:lang w:eastAsia="zh-CN"/>
              </w:rPr>
              <w:t>含量</w:t>
            </w:r>
            <w:r>
              <w:rPr>
                <w:rFonts w:hint="eastAsia" w:cs="Times New Roman"/>
                <w:b w:val="0"/>
                <w:bCs w:val="0"/>
                <w:color w:val="auto"/>
                <w:kern w:val="0"/>
                <w:sz w:val="24"/>
                <w:szCs w:val="24"/>
                <w:highlight w:val="none"/>
                <w:lang w:val="en-US" w:eastAsia="zh-CN"/>
              </w:rPr>
              <w:t>14</w:t>
            </w:r>
            <w:r>
              <w:rPr>
                <w:rFonts w:hint="eastAsia" w:ascii="Times New Roman" w:hAnsi="Times New Roman" w:cs="Times New Roman"/>
                <w:b w:val="0"/>
                <w:bCs w:val="0"/>
                <w:color w:val="auto"/>
                <w:kern w:val="0"/>
                <w:sz w:val="24"/>
                <w:szCs w:val="24"/>
                <w:highlight w:val="none"/>
                <w:lang w:eastAsia="zh-CN"/>
              </w:rPr>
              <w:t>%</w:t>
            </w:r>
            <w:r>
              <w:rPr>
                <w:rFonts w:hint="eastAsia" w:ascii="Times New Roman" w:hAnsi="Times New Roman" w:cs="Times New Roman"/>
                <w:b w:val="0"/>
                <w:bCs w:val="0"/>
                <w:color w:val="auto"/>
                <w:kern w:val="0"/>
                <w:sz w:val="24"/>
                <w:szCs w:val="24"/>
                <w:highlight w:val="none"/>
                <w:lang w:val="en-US" w:eastAsia="zh-CN"/>
              </w:rPr>
              <w:t>计</w:t>
            </w:r>
            <w:r>
              <w:rPr>
                <w:rFonts w:hint="eastAsia" w:cs="Times New Roman"/>
                <w:color w:val="auto"/>
                <w:sz w:val="24"/>
                <w:szCs w:val="32"/>
                <w:highlight w:val="none"/>
                <w:lang w:val="en-US" w:eastAsia="zh-CN"/>
              </w:rPr>
              <w:t>）</w:t>
            </w:r>
            <w:r>
              <w:rPr>
                <w:rFonts w:hint="eastAsia" w:ascii="Times New Roman" w:hAnsi="Times New Roman" w:cs="Times New Roman"/>
                <w:b w:val="0"/>
                <w:bCs w:val="0"/>
                <w:color w:val="auto"/>
                <w:kern w:val="0"/>
                <w:sz w:val="24"/>
                <w:szCs w:val="24"/>
                <w:highlight w:val="none"/>
                <w:lang w:eastAsia="zh-CN"/>
              </w:rPr>
              <w:t>，则</w:t>
            </w:r>
            <w:r>
              <w:rPr>
                <w:rFonts w:hint="eastAsia" w:cs="Times New Roman"/>
                <w:b w:val="0"/>
                <w:bCs w:val="0"/>
                <w:color w:val="auto"/>
                <w:kern w:val="0"/>
                <w:sz w:val="24"/>
                <w:szCs w:val="24"/>
                <w:highlight w:val="none"/>
                <w:lang w:val="en-US" w:eastAsia="zh-CN"/>
              </w:rPr>
              <w:t>项目</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产生量为</w:t>
            </w:r>
            <w:r>
              <w:rPr>
                <w:rFonts w:hint="eastAsia" w:cs="Times New Roman"/>
                <w:b w:val="0"/>
                <w:bCs w:val="0"/>
                <w:color w:val="auto"/>
                <w:kern w:val="0"/>
                <w:sz w:val="24"/>
                <w:szCs w:val="24"/>
                <w:highlight w:val="none"/>
                <w:lang w:val="en-US" w:eastAsia="zh-CN"/>
              </w:rPr>
              <w:t>22.4t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val="en-US" w:eastAsia="zh-CN"/>
              </w:rPr>
              <w:t>。结合工艺流程分析，锡膏中的有机物主要在印刷和回流焊过程中挥发，其中锡膏印刷工序常温下进行，按照1%有机物挥发计，则锡膏印刷工序</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0.224t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eastAsia="zh-CN"/>
              </w:rPr>
              <w:t>，</w:t>
            </w:r>
            <w:r>
              <w:rPr>
                <w:rFonts w:hint="eastAsia" w:cs="Times New Roman"/>
                <w:color w:val="auto"/>
                <w:kern w:val="0"/>
                <w:sz w:val="24"/>
                <w:szCs w:val="24"/>
                <w:highlight w:val="none"/>
                <w:lang w:eastAsia="zh-CN"/>
              </w:rPr>
              <w:t>锡膏印刷工序工作时间为</w:t>
            </w:r>
            <w:r>
              <w:rPr>
                <w:rFonts w:hint="eastAsia" w:cs="Times New Roman"/>
                <w:b w:val="0"/>
                <w:bCs w:val="0"/>
                <w:color w:val="auto"/>
                <w:kern w:val="0"/>
                <w:sz w:val="24"/>
                <w:szCs w:val="24"/>
                <w:highlight w:val="none"/>
                <w:lang w:val="en-US" w:eastAsia="zh-CN"/>
              </w:rPr>
              <w:t>4800h/a</w:t>
            </w:r>
            <w:r>
              <w:rPr>
                <w:rFonts w:hint="eastAsia" w:ascii="Times New Roman" w:hAnsi="Times New Roman" w:cs="Times New Roman"/>
                <w:b w:val="0"/>
                <w:bCs w:val="0"/>
                <w:color w:val="auto"/>
                <w:kern w:val="0"/>
                <w:sz w:val="24"/>
                <w:szCs w:val="24"/>
                <w:highlight w:val="none"/>
                <w:lang w:eastAsia="zh-CN"/>
              </w:rPr>
              <w:t>。</w:t>
            </w:r>
            <w:r>
              <w:rPr>
                <w:rFonts w:hint="eastAsia" w:cs="Times New Roman"/>
                <w:b w:val="0"/>
                <w:bCs w:val="0"/>
                <w:color w:val="auto"/>
                <w:kern w:val="0"/>
                <w:sz w:val="24"/>
                <w:szCs w:val="24"/>
                <w:highlight w:val="none"/>
                <w:lang w:val="en-US" w:eastAsia="zh-CN"/>
              </w:rPr>
              <w:t>锡膏废气由集气罩收集经干式过滤器+二级活性炭吸附装置处理后通过1根23米高排气筒排放，集气罩收集效率按90%计，总风量为18000m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/h，故有组织非甲烷总烃产生量为0.202t/a，产生速率为0.042kg/h，产生浓度为2.338mg/m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；非甲烷总烃处理效率按90%计，经计算，有组织非甲烷总烃排放量为0.020t/a，排放速率为0.004kg/h，排放浓度为0.231mg/m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vertAlign w:val="baseline"/>
                <w:lang w:val="en-US" w:eastAsia="zh-CN"/>
              </w:rPr>
              <w:t>。</w:t>
            </w:r>
          </w:p>
          <w:p w14:paraId="4BDCCE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val="0"/>
                <w:bCs w:val="0"/>
                <w:color w:val="auto"/>
                <w:kern w:val="0"/>
                <w:sz w:val="24"/>
                <w:szCs w:val="24"/>
                <w:highlight w:val="none"/>
                <w:lang w:val="en-US" w:eastAsia="zh-CN"/>
              </w:rPr>
            </w:pPr>
            <w:r>
              <w:rPr>
                <w:rFonts w:hint="eastAsia" w:cs="Times New Roman"/>
                <w:b w:val="0"/>
                <w:bCs w:val="0"/>
                <w:color w:val="auto"/>
                <w:kern w:val="0"/>
                <w:sz w:val="24"/>
                <w:szCs w:val="24"/>
                <w:highlight w:val="none"/>
                <w:lang w:val="en-US" w:eastAsia="zh-CN"/>
              </w:rPr>
              <w:t>未被收集的废气以无组织形式排放，故无组织非甲烷总烃产生量为0.022t/a，产生速率为0.005kg/h。</w:t>
            </w:r>
          </w:p>
          <w:p w14:paraId="2F6466D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lang w:eastAsia="zh-CN"/>
              </w:rPr>
              <w:t>②</w:t>
            </w:r>
            <w:r>
              <w:rPr>
                <w:rFonts w:hint="eastAsia" w:cs="Times New Roman"/>
                <w:color w:val="auto"/>
                <w:kern w:val="0"/>
                <w:sz w:val="24"/>
                <w:szCs w:val="24"/>
                <w:highlight w:val="none"/>
                <w:lang w:val="en-US" w:eastAsia="zh-CN"/>
              </w:rPr>
              <w:t>钢网擦拭废气</w:t>
            </w:r>
          </w:p>
          <w:p w14:paraId="07D06F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自动印刷机里的钢网每4-6小时</w:t>
            </w:r>
            <w:r>
              <w:rPr>
                <w:rFonts w:hint="eastAsia" w:cs="Times New Roman"/>
                <w:color w:val="auto"/>
                <w:sz w:val="24"/>
                <w:szCs w:val="24"/>
                <w:highlight w:val="none"/>
                <w:lang w:val="en-US" w:eastAsia="zh-CN"/>
              </w:rPr>
              <w:t>使用酒精</w:t>
            </w:r>
            <w:r>
              <w:rPr>
                <w:rFonts w:hint="eastAsia" w:ascii="Times New Roman" w:hAnsi="Times New Roman" w:eastAsia="宋体" w:cs="Times New Roman"/>
                <w:color w:val="auto"/>
                <w:sz w:val="24"/>
                <w:szCs w:val="24"/>
                <w:highlight w:val="none"/>
                <w:lang w:val="en-US" w:eastAsia="zh-CN"/>
              </w:rPr>
              <w:t>进行一次擦拭</w:t>
            </w:r>
            <w:r>
              <w:rPr>
                <w:rFonts w:hint="eastAsia" w:cs="Times New Roman"/>
                <w:color w:val="auto"/>
                <w:sz w:val="24"/>
                <w:szCs w:val="24"/>
                <w:highlight w:val="none"/>
                <w:lang w:val="en-US" w:eastAsia="zh-CN"/>
              </w:rPr>
              <w:t>，酒精挥发会产生钢网擦拭废气（非甲烷总烃）。</w:t>
            </w:r>
            <w:r>
              <w:rPr>
                <w:rFonts w:hint="eastAsia" w:cs="Times New Roman"/>
                <w:b w:val="0"/>
                <w:bCs w:val="0"/>
                <w:color w:val="auto"/>
                <w:kern w:val="0"/>
                <w:sz w:val="24"/>
                <w:szCs w:val="24"/>
                <w:highlight w:val="none"/>
                <w:lang w:eastAsia="zh-CN"/>
              </w:rPr>
              <w:t>根据建设单位提供的资料，</w:t>
            </w:r>
            <w:r>
              <w:rPr>
                <w:rFonts w:hint="eastAsia" w:ascii="Times New Roman" w:hAnsi="Times New Roman" w:cs="Times New Roman"/>
                <w:b w:val="0"/>
                <w:bCs w:val="0"/>
                <w:color w:val="auto"/>
                <w:kern w:val="0"/>
                <w:sz w:val="24"/>
                <w:szCs w:val="24"/>
                <w:highlight w:val="none"/>
                <w:lang w:eastAsia="zh-CN"/>
              </w:rPr>
              <w:t>项目</w:t>
            </w:r>
            <w:r>
              <w:rPr>
                <w:rFonts w:hint="eastAsia" w:cs="Times New Roman"/>
                <w:b w:val="0"/>
                <w:bCs w:val="0"/>
                <w:color w:val="auto"/>
                <w:kern w:val="0"/>
                <w:sz w:val="24"/>
                <w:szCs w:val="24"/>
                <w:highlight w:val="none"/>
                <w:lang w:eastAsia="zh-CN"/>
              </w:rPr>
              <w:t>擦拭过程酒精</w:t>
            </w:r>
            <w:r>
              <w:rPr>
                <w:rFonts w:hint="eastAsia" w:ascii="Times New Roman" w:hAnsi="Times New Roman" w:cs="Times New Roman"/>
                <w:b w:val="0"/>
                <w:bCs w:val="0"/>
                <w:color w:val="auto"/>
                <w:kern w:val="0"/>
                <w:sz w:val="24"/>
                <w:szCs w:val="24"/>
                <w:highlight w:val="none"/>
                <w:lang w:eastAsia="zh-CN"/>
              </w:rPr>
              <w:t>使用量为</w:t>
            </w:r>
            <w:r>
              <w:rPr>
                <w:rFonts w:hint="eastAsia" w:cs="Times New Roman"/>
                <w:b w:val="0"/>
                <w:bCs w:val="0"/>
                <w:color w:val="auto"/>
                <w:kern w:val="0"/>
                <w:sz w:val="24"/>
                <w:szCs w:val="24"/>
                <w:highlight w:val="none"/>
                <w:lang w:val="en-US" w:eastAsia="zh-CN"/>
              </w:rPr>
              <w:t>0.8t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eastAsia="zh-CN"/>
              </w:rPr>
              <w:t>，酒精浓度</w:t>
            </w:r>
            <w:r>
              <w:rPr>
                <w:rFonts w:hint="eastAsia" w:cs="Times New Roman"/>
                <w:b w:val="0"/>
                <w:bCs w:val="0"/>
                <w:color w:val="auto"/>
                <w:kern w:val="0"/>
                <w:sz w:val="24"/>
                <w:szCs w:val="24"/>
                <w:highlight w:val="none"/>
                <w:lang w:val="en-US" w:eastAsia="zh-CN"/>
              </w:rPr>
              <w:t>98%，</w:t>
            </w:r>
            <w:r>
              <w:rPr>
                <w:rFonts w:hint="eastAsia" w:cs="Times New Roman"/>
                <w:color w:val="auto"/>
                <w:sz w:val="24"/>
                <w:szCs w:val="24"/>
                <w:highlight w:val="none"/>
                <w:lang w:val="en-US" w:eastAsia="zh-CN"/>
              </w:rPr>
              <w:t>按100%挥发计，</w:t>
            </w:r>
            <w:r>
              <w:rPr>
                <w:rFonts w:hint="eastAsia" w:cs="Times New Roman"/>
                <w:b w:val="0"/>
                <w:bCs w:val="0"/>
                <w:color w:val="auto"/>
                <w:kern w:val="0"/>
                <w:sz w:val="24"/>
                <w:szCs w:val="24"/>
                <w:highlight w:val="none"/>
                <w:lang w:eastAsia="zh-CN"/>
              </w:rPr>
              <w:t>则</w:t>
            </w:r>
            <w:r>
              <w:rPr>
                <w:rFonts w:hint="eastAsia" w:cs="Times New Roman"/>
                <w:color w:val="auto"/>
                <w:kern w:val="0"/>
                <w:sz w:val="24"/>
                <w:szCs w:val="24"/>
                <w:highlight w:val="none"/>
                <w:lang w:val="en-US" w:eastAsia="zh-CN"/>
              </w:rPr>
              <w:t>钢网擦拭</w:t>
            </w:r>
            <w:r>
              <w:rPr>
                <w:rFonts w:hint="eastAsia" w:cs="Times New Roman"/>
                <w:b w:val="0"/>
                <w:bCs w:val="0"/>
                <w:color w:val="auto"/>
                <w:kern w:val="0"/>
                <w:sz w:val="24"/>
                <w:szCs w:val="24"/>
                <w:highlight w:val="none"/>
                <w:lang w:val="en-US" w:eastAsia="zh-CN"/>
              </w:rPr>
              <w:t>工序</w:t>
            </w:r>
            <w:r>
              <w:rPr>
                <w:rFonts w:hint="eastAsia" w:cs="Times New Roman"/>
                <w:b w:val="0"/>
                <w:bCs w:val="0"/>
                <w:color w:val="auto"/>
                <w:kern w:val="0"/>
                <w:sz w:val="24"/>
                <w:szCs w:val="24"/>
                <w:highlight w:val="none"/>
                <w:lang w:eastAsia="zh-CN"/>
              </w:rPr>
              <w:t>非甲烷总烃产生量为</w:t>
            </w:r>
            <w:r>
              <w:rPr>
                <w:rFonts w:hint="eastAsia" w:cs="Times New Roman"/>
                <w:b w:val="0"/>
                <w:bCs w:val="0"/>
                <w:color w:val="auto"/>
                <w:kern w:val="0"/>
                <w:sz w:val="24"/>
                <w:szCs w:val="24"/>
                <w:highlight w:val="none"/>
                <w:lang w:val="en-US" w:eastAsia="zh-CN"/>
              </w:rPr>
              <w:t>0.784t</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val="en-US" w:eastAsia="zh-CN"/>
              </w:rPr>
              <w:t>，钢网擦拭</w:t>
            </w:r>
            <w:r>
              <w:rPr>
                <w:rFonts w:hint="eastAsia" w:cs="Times New Roman"/>
                <w:color w:val="auto"/>
                <w:kern w:val="0"/>
                <w:sz w:val="24"/>
                <w:szCs w:val="24"/>
                <w:highlight w:val="none"/>
                <w:lang w:eastAsia="zh-CN"/>
              </w:rPr>
              <w:t>工序工作时间为</w:t>
            </w:r>
            <w:r>
              <w:rPr>
                <w:rFonts w:hint="eastAsia" w:cs="Times New Roman"/>
                <w:b w:val="0"/>
                <w:bCs w:val="0"/>
                <w:color w:val="auto"/>
                <w:kern w:val="0"/>
                <w:sz w:val="24"/>
                <w:szCs w:val="24"/>
                <w:highlight w:val="none"/>
                <w:lang w:val="en-US" w:eastAsia="zh-CN"/>
              </w:rPr>
              <w:t>300h/a</w:t>
            </w:r>
            <w:r>
              <w:rPr>
                <w:rFonts w:hint="eastAsia" w:cs="Times New Roman"/>
                <w:color w:val="auto"/>
                <w:sz w:val="24"/>
                <w:szCs w:val="24"/>
                <w:highlight w:val="none"/>
                <w:lang w:val="en-US" w:eastAsia="zh-CN"/>
              </w:rPr>
              <w:t>。钢网擦拭废气由集气罩收集</w:t>
            </w:r>
            <w:r>
              <w:rPr>
                <w:rFonts w:hint="eastAsia" w:cs="Times New Roman"/>
                <w:b w:val="0"/>
                <w:bCs w:val="0"/>
                <w:color w:val="auto"/>
                <w:kern w:val="0"/>
                <w:sz w:val="24"/>
                <w:szCs w:val="24"/>
                <w:highlight w:val="none"/>
                <w:lang w:val="en-US" w:eastAsia="zh-CN"/>
              </w:rPr>
              <w:t>经干式过滤器+二级活性炭吸附装置处理后通过1根23米高排气筒排放，集气罩收集效率按90%计，总风量为18000m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/h，故有组织非甲烷总烃产生量为0.706t/a，产生速率为2.353kg/h，产生浓度为130.741mg/m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，非甲烷总烃处理效率按90%计，经计算，有组织非甲烷总烃排放量为0.071t/a，排放速率为0.235kg/h，排放浓度为13.074mg/m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vertAlign w:val="baseline"/>
                <w:lang w:val="en-US" w:eastAsia="zh-CN"/>
              </w:rPr>
              <w:t>。</w:t>
            </w:r>
          </w:p>
          <w:p w14:paraId="29158E0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未被收集的废气以无组织形式排放，故无组织非甲烷总烃产生量为0.078t/a，产生速率为0.26kg/h。</w:t>
            </w:r>
          </w:p>
          <w:p w14:paraId="44DCCE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③</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p>
          <w:p w14:paraId="1A0163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eastAsia="zh-CN"/>
              </w:rPr>
              <w:t>元件在回流焊</w:t>
            </w:r>
            <w:r>
              <w:rPr>
                <w:rFonts w:hint="eastAsia" w:ascii="Times New Roman" w:hAnsi="Times New Roman" w:cs="Times New Roman"/>
                <w:color w:val="auto"/>
                <w:kern w:val="0"/>
                <w:sz w:val="24"/>
                <w:szCs w:val="24"/>
                <w:highlight w:val="none"/>
                <w:lang w:eastAsia="zh-CN"/>
              </w:rPr>
              <w:t>焊接加工过程</w:t>
            </w:r>
            <w:r>
              <w:rPr>
                <w:rFonts w:hint="eastAsia" w:cs="Times New Roman"/>
                <w:color w:val="auto"/>
                <w:kern w:val="0"/>
                <w:sz w:val="24"/>
                <w:szCs w:val="24"/>
                <w:highlight w:val="none"/>
                <w:lang w:eastAsia="zh-CN"/>
              </w:rPr>
              <w:t>会</w:t>
            </w:r>
            <w:r>
              <w:rPr>
                <w:rFonts w:hint="eastAsia" w:ascii="Times New Roman" w:hAnsi="Times New Roman" w:cs="Times New Roman"/>
                <w:color w:val="auto"/>
                <w:kern w:val="0"/>
                <w:sz w:val="24"/>
                <w:szCs w:val="24"/>
                <w:highlight w:val="none"/>
                <w:lang w:eastAsia="zh-CN"/>
              </w:rPr>
              <w:t>产生焊接</w:t>
            </w:r>
            <w:r>
              <w:rPr>
                <w:rFonts w:hint="eastAsia" w:cs="Times New Roman"/>
                <w:color w:val="auto"/>
                <w:kern w:val="0"/>
                <w:sz w:val="24"/>
                <w:szCs w:val="24"/>
                <w:highlight w:val="none"/>
                <w:lang w:eastAsia="zh-CN"/>
              </w:rPr>
              <w:t>废气。</w:t>
            </w:r>
            <w:r>
              <w:rPr>
                <w:rFonts w:hint="eastAsia" w:ascii="Times New Roman" w:hAnsi="Times New Roman" w:cs="Times New Roman"/>
                <w:color w:val="auto"/>
                <w:kern w:val="0"/>
                <w:sz w:val="24"/>
                <w:szCs w:val="24"/>
                <w:highlight w:val="none"/>
                <w:lang w:eastAsia="zh-CN"/>
              </w:rPr>
              <w:t>根据《排放源统计调查产排污核算方法和系数手册38-40电子电气行业系数手册》</w:t>
            </w:r>
            <w:r>
              <w:rPr>
                <w:rFonts w:hint="eastAsia" w:cs="Times New Roman"/>
                <w:color w:val="auto"/>
                <w:kern w:val="0"/>
                <w:sz w:val="24"/>
                <w:szCs w:val="24"/>
                <w:highlight w:val="none"/>
                <w:lang w:eastAsia="zh-CN"/>
              </w:rPr>
              <w:t>，当焊料为无铅焊料时，回流焊颗粒物的产污系数为0.3638g/kg-焊料；</w:t>
            </w:r>
            <w:r>
              <w:rPr>
                <w:rFonts w:hint="eastAsia" w:cs="Times New Roman"/>
                <w:b w:val="0"/>
                <w:bCs w:val="0"/>
                <w:color w:val="auto"/>
                <w:kern w:val="0"/>
                <w:sz w:val="24"/>
                <w:szCs w:val="24"/>
                <w:highlight w:val="none"/>
                <w:lang w:eastAsia="zh-CN"/>
              </w:rPr>
              <w:t>根据建设单位提供的资料</w:t>
            </w:r>
            <w:r>
              <w:rPr>
                <w:rFonts w:hint="eastAsia" w:cs="Times New Roman"/>
                <w:b w:val="0"/>
                <w:bCs w:val="0"/>
                <w:color w:val="auto"/>
                <w:kern w:val="0"/>
                <w:sz w:val="24"/>
                <w:szCs w:val="24"/>
                <w:highlight w:val="none"/>
                <w:lang w:eastAsia="zh-CN"/>
              </w:rPr>
              <w:t>，</w:t>
            </w:r>
            <w:r>
              <w:rPr>
                <w:rFonts w:hint="eastAsia" w:cs="Times New Roman"/>
                <w:color w:val="auto"/>
                <w:kern w:val="0"/>
                <w:sz w:val="24"/>
                <w:szCs w:val="24"/>
                <w:highlight w:val="none"/>
                <w:lang w:eastAsia="zh-CN"/>
              </w:rPr>
              <w:t>项目无铅锡膏的使用量为</w:t>
            </w:r>
            <w:r>
              <w:rPr>
                <w:rFonts w:hint="eastAsia" w:cs="Times New Roman"/>
                <w:color w:val="auto"/>
                <w:kern w:val="0"/>
                <w:sz w:val="24"/>
                <w:szCs w:val="24"/>
                <w:highlight w:val="none"/>
                <w:lang w:val="en-US" w:eastAsia="zh-CN"/>
              </w:rPr>
              <w:t>160</w:t>
            </w:r>
            <w:r>
              <w:rPr>
                <w:rFonts w:hint="eastAsia" w:cs="Times New Roman"/>
                <w:color w:val="auto"/>
                <w:kern w:val="0"/>
                <w:sz w:val="24"/>
                <w:szCs w:val="24"/>
                <w:highlight w:val="none"/>
                <w:lang w:eastAsia="zh-CN"/>
              </w:rPr>
              <w:t>t/a，</w:t>
            </w:r>
            <w:r>
              <w:rPr>
                <w:rFonts w:hint="eastAsia" w:cs="Times New Roman"/>
                <w:color w:val="auto"/>
                <w:kern w:val="0"/>
                <w:sz w:val="24"/>
                <w:szCs w:val="24"/>
                <w:highlight w:val="none"/>
                <w:lang w:val="en-US" w:eastAsia="zh-CN"/>
              </w:rPr>
              <w:t>则回流焊工序颗粒物的产生量约为0.058t/a，</w:t>
            </w:r>
            <w:r>
              <w:rPr>
                <w:rFonts w:hint="eastAsia" w:cs="Times New Roman"/>
                <w:b w:val="0"/>
                <w:bCs w:val="0"/>
                <w:color w:val="auto"/>
                <w:kern w:val="0"/>
                <w:sz w:val="24"/>
                <w:szCs w:val="24"/>
                <w:highlight w:val="none"/>
                <w:lang w:val="en-US" w:eastAsia="zh-CN"/>
              </w:rPr>
              <w:t>无铅锡膏中锡含量占锡膏成分的80-90%，本评价以最不利影响锡含量90%计，则锡及其化合物产生量为0.052t/a。</w:t>
            </w:r>
            <w:r>
              <w:rPr>
                <w:rFonts w:hint="eastAsia" w:cs="Times New Roman"/>
                <w:b w:val="0"/>
                <w:bCs w:val="0"/>
                <w:color w:val="auto"/>
                <w:kern w:val="0"/>
                <w:sz w:val="24"/>
                <w:szCs w:val="24"/>
                <w:highlight w:val="none"/>
                <w:lang w:val="en-US" w:eastAsia="zh-CN"/>
              </w:rPr>
              <w:t>回流焊工序</w:t>
            </w:r>
            <w:r>
              <w:rPr>
                <w:rFonts w:hint="default" w:ascii="Times New Roman" w:hAnsi="Times New Roman" w:eastAsia="宋体" w:cs="Times New Roman"/>
                <w:color w:val="auto"/>
                <w:sz w:val="24"/>
                <w:szCs w:val="24"/>
                <w:highlight w:val="none"/>
              </w:rPr>
              <w:t>温度</w:t>
            </w:r>
            <w:r>
              <w:rPr>
                <w:rFonts w:hint="eastAsia" w:cs="Times New Roman"/>
                <w:color w:val="auto"/>
                <w:sz w:val="24"/>
                <w:szCs w:val="24"/>
                <w:highlight w:val="none"/>
                <w:lang w:eastAsia="zh-CN"/>
              </w:rPr>
              <w:t>可达</w:t>
            </w:r>
            <w:r>
              <w:rPr>
                <w:rFonts w:hint="default" w:ascii="Times New Roman" w:hAnsi="Times New Roman" w:eastAsia="宋体" w:cs="Times New Roman"/>
                <w:color w:val="auto"/>
                <w:sz w:val="24"/>
                <w:szCs w:val="24"/>
                <w:highlight w:val="none"/>
              </w:rPr>
              <w:t>200~300</w:t>
            </w:r>
            <w:r>
              <w:rPr>
                <w:rFonts w:hint="default" w:ascii="Times New Roman" w:hAnsi="Times New Roman" w:eastAsia="宋体" w:cs="Times New Roman"/>
                <w:color w:val="auto"/>
                <w:sz w:val="24"/>
                <w:szCs w:val="24"/>
                <w:highlight w:val="none"/>
                <w:lang w:eastAsia="zh-CN"/>
              </w:rPr>
              <w:t>℃</w:t>
            </w:r>
            <w:r>
              <w:rPr>
                <w:rFonts w:hint="eastAsia" w:eastAsia="宋体" w:cs="Times New Roman"/>
                <w:color w:val="auto"/>
                <w:sz w:val="24"/>
                <w:szCs w:val="24"/>
                <w:highlight w:val="none"/>
                <w:lang w:eastAsia="zh-CN"/>
              </w:rPr>
              <w:t>，</w:t>
            </w:r>
            <w:r>
              <w:rPr>
                <w:rFonts w:hint="eastAsia" w:cs="Times New Roman"/>
                <w:b w:val="0"/>
                <w:bCs w:val="0"/>
                <w:color w:val="auto"/>
                <w:kern w:val="0"/>
                <w:sz w:val="24"/>
                <w:szCs w:val="24"/>
                <w:highlight w:val="none"/>
                <w:lang w:val="en-US" w:eastAsia="zh-CN"/>
              </w:rPr>
              <w:t>锡膏中剩余的有机物（约99%）会在</w:t>
            </w:r>
            <w:r>
              <w:rPr>
                <w:rFonts w:hint="eastAsia" w:cs="Times New Roman"/>
                <w:color w:val="auto"/>
                <w:kern w:val="0"/>
                <w:sz w:val="24"/>
                <w:szCs w:val="24"/>
                <w:highlight w:val="none"/>
                <w:lang w:eastAsia="zh-CN"/>
              </w:rPr>
              <w:t>回流焊焊接</w:t>
            </w:r>
            <w:r>
              <w:rPr>
                <w:rFonts w:hint="eastAsia" w:cs="Times New Roman"/>
                <w:b w:val="0"/>
                <w:bCs w:val="0"/>
                <w:color w:val="auto"/>
                <w:kern w:val="0"/>
                <w:sz w:val="24"/>
                <w:szCs w:val="24"/>
                <w:highlight w:val="none"/>
                <w:lang w:val="en-US" w:eastAsia="zh-CN"/>
              </w:rPr>
              <w:t>过程全部挥发，则非甲烷总烃产生量为22.176t/a，回流焊</w:t>
            </w:r>
            <w:r>
              <w:rPr>
                <w:rFonts w:hint="eastAsia" w:cs="Times New Roman"/>
                <w:color w:val="auto"/>
                <w:kern w:val="0"/>
                <w:sz w:val="24"/>
                <w:szCs w:val="24"/>
                <w:highlight w:val="none"/>
                <w:lang w:eastAsia="zh-CN"/>
              </w:rPr>
              <w:t>工作时间为</w:t>
            </w:r>
            <w:r>
              <w:rPr>
                <w:rFonts w:hint="eastAsia" w:cs="Times New Roman"/>
                <w:b w:val="0"/>
                <w:bCs w:val="0"/>
                <w:color w:val="auto"/>
                <w:kern w:val="0"/>
                <w:sz w:val="24"/>
                <w:szCs w:val="24"/>
                <w:highlight w:val="none"/>
                <w:lang w:val="en-US" w:eastAsia="zh-CN"/>
              </w:rPr>
              <w:t>4800h/a。回流焊焊接废气由管道收集经干式过滤器+二级活性炭吸附装置处理后通过1根23米高排气筒排放，管道收集效率按100%计，总风量为18000m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/h，故有组织颗粒物</w:t>
            </w:r>
            <w:r>
              <w:rPr>
                <w:rFonts w:hint="eastAsia" w:cs="Times New Roman"/>
                <w:b w:val="0"/>
                <w:bCs w:val="0"/>
                <w:color w:val="auto"/>
                <w:kern w:val="0"/>
                <w:sz w:val="24"/>
                <w:szCs w:val="24"/>
                <w:highlight w:val="none"/>
                <w:lang w:val="en-US" w:eastAsia="zh-CN"/>
              </w:rPr>
              <w:t>产生量为0.058t/a，产生速率为0.012kg/h，产生浓度为0.671mg/m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，有组织锡及其化合物产生量为0.052t/a，产生速率为0.011kg/h，产生浓度为0.602mg/m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w:t>
            </w:r>
            <w:r>
              <w:rPr>
                <w:rFonts w:hint="eastAsia" w:cs="Times New Roman"/>
                <w:b w:val="0"/>
                <w:bCs w:val="0"/>
                <w:color w:val="auto"/>
                <w:kern w:val="0"/>
                <w:sz w:val="24"/>
                <w:szCs w:val="24"/>
                <w:highlight w:val="none"/>
                <w:lang w:val="en-US" w:eastAsia="zh-CN"/>
              </w:rPr>
              <w:t>有组织非甲烷总烃产生量为22.176t/a，产生速率为4.620kg/h，产生浓度为256.667mg/m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，颗粒物、锡及其化合物、非甲烷总烃处理效率均按90%计，经计算，</w:t>
            </w:r>
            <w:r>
              <w:rPr>
                <w:rFonts w:hint="eastAsia" w:cs="Times New Roman"/>
                <w:b w:val="0"/>
                <w:bCs w:val="0"/>
                <w:color w:val="auto"/>
                <w:kern w:val="0"/>
                <w:sz w:val="24"/>
                <w:szCs w:val="24"/>
                <w:highlight w:val="none"/>
                <w:lang w:val="en-US" w:eastAsia="zh-CN"/>
              </w:rPr>
              <w:t>有组织颗粒物排放量为0.006t/a，排放速率为0.001kg/h，排放浓度为0.069mg/m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，有组织锡及其化合物排放量为0.005t/a，排放速率为0.001kg/h，排放浓度为0.058mg/m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w:t>
            </w:r>
            <w:r>
              <w:rPr>
                <w:rFonts w:hint="eastAsia" w:cs="Times New Roman"/>
                <w:b w:val="0"/>
                <w:bCs w:val="0"/>
                <w:color w:val="auto"/>
                <w:kern w:val="0"/>
                <w:sz w:val="24"/>
                <w:szCs w:val="24"/>
                <w:highlight w:val="none"/>
                <w:lang w:val="en-US" w:eastAsia="zh-CN"/>
              </w:rPr>
              <w:t>有组织非甲烷总烃排放量为2.218t/a，排放速率为0.462kg/h，排放浓度为25.671mg/m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w:t>
            </w:r>
          </w:p>
          <w:p w14:paraId="742432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④</w:t>
            </w:r>
            <w:r>
              <w:rPr>
                <w:rFonts w:hint="eastAsia" w:cs="Times New Roman"/>
                <w:color w:val="auto"/>
                <w:kern w:val="0"/>
                <w:sz w:val="24"/>
                <w:szCs w:val="24"/>
                <w:highlight w:val="none"/>
                <w:lang w:eastAsia="zh-CN"/>
              </w:rPr>
              <w:t>手工焊焊接废气</w:t>
            </w:r>
          </w:p>
          <w:p w14:paraId="6027037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cs="Times New Roman"/>
                <w:color w:val="auto"/>
                <w:sz w:val="24"/>
                <w:szCs w:val="24"/>
                <w:highlight w:val="none"/>
                <w:lang w:val="en-US" w:eastAsia="zh-CN"/>
              </w:rPr>
            </w:pPr>
            <w:r>
              <w:rPr>
                <w:rFonts w:hint="eastAsia" w:cs="Times New Roman"/>
                <w:color w:val="auto"/>
                <w:kern w:val="0"/>
                <w:sz w:val="24"/>
                <w:szCs w:val="24"/>
                <w:highlight w:val="none"/>
                <w:lang w:eastAsia="zh-CN"/>
              </w:rPr>
              <w:t>手工焊采用</w:t>
            </w:r>
            <w:r>
              <w:rPr>
                <w:rFonts w:hint="eastAsia"/>
                <w:color w:val="auto"/>
                <w:sz w:val="24"/>
                <w:szCs w:val="24"/>
                <w:highlight w:val="none"/>
                <w:lang w:val="en-US" w:eastAsia="zh-CN"/>
              </w:rPr>
              <w:t>无铅锡丝进行</w:t>
            </w:r>
            <w:r>
              <w:rPr>
                <w:rFonts w:hint="eastAsia" w:ascii="Times New Roman" w:hAnsi="Times New Roman" w:cs="Times New Roman"/>
                <w:color w:val="auto"/>
                <w:kern w:val="0"/>
                <w:sz w:val="24"/>
                <w:szCs w:val="24"/>
                <w:highlight w:val="none"/>
                <w:lang w:eastAsia="zh-CN"/>
              </w:rPr>
              <w:t>焊接，</w:t>
            </w:r>
            <w:r>
              <w:rPr>
                <w:rFonts w:hint="eastAsia" w:cs="Times New Roman"/>
                <w:color w:val="auto"/>
                <w:kern w:val="0"/>
                <w:sz w:val="24"/>
                <w:szCs w:val="24"/>
                <w:highlight w:val="none"/>
                <w:lang w:eastAsia="zh-CN"/>
              </w:rPr>
              <w:t>此过程会产生焊</w:t>
            </w:r>
            <w:r>
              <w:rPr>
                <w:rFonts w:hint="eastAsia" w:ascii="Times New Roman" w:hAnsi="Times New Roman" w:cs="Times New Roman"/>
                <w:color w:val="auto"/>
                <w:kern w:val="0"/>
                <w:sz w:val="24"/>
                <w:szCs w:val="24"/>
                <w:highlight w:val="none"/>
                <w:lang w:eastAsia="zh-CN"/>
              </w:rPr>
              <w:t>接烟尘</w:t>
            </w:r>
            <w:r>
              <w:rPr>
                <w:rFonts w:hint="eastAsia" w:cs="Times New Roman"/>
                <w:color w:val="auto"/>
                <w:kern w:val="0"/>
                <w:sz w:val="24"/>
                <w:szCs w:val="24"/>
                <w:highlight w:val="none"/>
                <w:lang w:eastAsia="zh-CN"/>
              </w:rPr>
              <w:t>。</w:t>
            </w:r>
            <w:r>
              <w:rPr>
                <w:rFonts w:hint="eastAsia" w:ascii="Times New Roman" w:hAnsi="Times New Roman" w:cs="Times New Roman"/>
                <w:color w:val="auto"/>
                <w:kern w:val="0"/>
                <w:sz w:val="24"/>
                <w:szCs w:val="24"/>
                <w:highlight w:val="none"/>
                <w:lang w:eastAsia="zh-CN"/>
              </w:rPr>
              <w:t>根据《排放源统计调查产排污核算方法和系数手册 38-40 电子电气行业系数手册》</w:t>
            </w:r>
            <w:r>
              <w:rPr>
                <w:rFonts w:hint="eastAsia" w:cs="Times New Roman"/>
                <w:color w:val="auto"/>
                <w:kern w:val="0"/>
                <w:sz w:val="24"/>
                <w:szCs w:val="24"/>
                <w:highlight w:val="none"/>
                <w:lang w:eastAsia="zh-CN"/>
              </w:rPr>
              <w:t>，当焊料为无铅焊料时，手工焊颗粒物的产污系数为0.</w:t>
            </w:r>
            <w:r>
              <w:rPr>
                <w:rFonts w:hint="eastAsia" w:cs="Times New Roman"/>
                <w:color w:val="auto"/>
                <w:kern w:val="0"/>
                <w:sz w:val="24"/>
                <w:szCs w:val="24"/>
                <w:highlight w:val="none"/>
                <w:lang w:val="en-US" w:eastAsia="zh-CN"/>
              </w:rPr>
              <w:t>4023</w:t>
            </w:r>
            <w:r>
              <w:rPr>
                <w:rFonts w:hint="eastAsia" w:cs="Times New Roman"/>
                <w:color w:val="auto"/>
                <w:kern w:val="0"/>
                <w:sz w:val="24"/>
                <w:szCs w:val="24"/>
                <w:highlight w:val="none"/>
                <w:lang w:eastAsia="zh-CN"/>
              </w:rPr>
              <w:t>g/kg-焊料，项目无铅</w:t>
            </w:r>
            <w:r>
              <w:rPr>
                <w:rFonts w:hint="eastAsia"/>
                <w:color w:val="auto"/>
                <w:sz w:val="24"/>
                <w:szCs w:val="24"/>
                <w:highlight w:val="none"/>
                <w:lang w:val="en-US" w:eastAsia="zh-CN"/>
              </w:rPr>
              <w:t>锡丝的使用量为0.15</w:t>
            </w:r>
            <w:r>
              <w:rPr>
                <w:rFonts w:hint="eastAsia" w:cs="Times New Roman"/>
                <w:color w:val="auto"/>
                <w:kern w:val="0"/>
                <w:sz w:val="24"/>
                <w:szCs w:val="24"/>
                <w:highlight w:val="none"/>
                <w:lang w:eastAsia="zh-CN"/>
              </w:rPr>
              <w:t>t/a，则手工焊工序颗粒物的产生量为0.</w:t>
            </w:r>
            <w:r>
              <w:rPr>
                <w:rFonts w:hint="eastAsia" w:cs="Times New Roman"/>
                <w:color w:val="auto"/>
                <w:kern w:val="0"/>
                <w:sz w:val="24"/>
                <w:szCs w:val="24"/>
                <w:highlight w:val="none"/>
                <w:lang w:val="en-US" w:eastAsia="zh-CN"/>
              </w:rPr>
              <w:t>06kg</w:t>
            </w:r>
            <w:r>
              <w:rPr>
                <w:rFonts w:hint="eastAsia" w:cs="Times New Roman"/>
                <w:color w:val="auto"/>
                <w:kern w:val="0"/>
                <w:sz w:val="24"/>
                <w:szCs w:val="24"/>
                <w:highlight w:val="none"/>
                <w:lang w:eastAsia="zh-CN"/>
              </w:rPr>
              <w:t>/a。</w:t>
            </w:r>
            <w:r>
              <w:rPr>
                <w:rFonts w:hint="eastAsia" w:cs="Times New Roman"/>
                <w:color w:val="auto"/>
                <w:kern w:val="0"/>
                <w:sz w:val="24"/>
                <w:szCs w:val="24"/>
                <w:highlight w:val="none"/>
                <w:lang w:val="en-US" w:eastAsia="zh-CN"/>
              </w:rPr>
              <w:t>颗粒物中</w:t>
            </w:r>
            <w:r>
              <w:rPr>
                <w:rFonts w:hint="eastAsia" w:cs="Times New Roman"/>
                <w:color w:val="auto"/>
                <w:kern w:val="0"/>
                <w:sz w:val="24"/>
                <w:szCs w:val="24"/>
                <w:highlight w:val="none"/>
                <w:lang w:eastAsia="zh-CN"/>
              </w:rPr>
              <w:t>锡含量为99.3%，铜含量在0.7%，则手工焊工序锡及其化合物产生量约为</w:t>
            </w:r>
            <w:r>
              <w:rPr>
                <w:rFonts w:hint="eastAsia" w:cs="Times New Roman"/>
                <w:color w:val="auto"/>
                <w:kern w:val="0"/>
                <w:sz w:val="24"/>
                <w:szCs w:val="24"/>
                <w:highlight w:val="none"/>
                <w:lang w:val="en-US" w:eastAsia="zh-CN"/>
              </w:rPr>
              <w:t>0.060kg</w:t>
            </w:r>
            <w:r>
              <w:rPr>
                <w:rFonts w:hint="eastAsia" w:cs="Times New Roman"/>
                <w:color w:val="auto"/>
                <w:kern w:val="0"/>
                <w:sz w:val="24"/>
                <w:szCs w:val="24"/>
                <w:highlight w:val="none"/>
                <w:lang w:eastAsia="zh-CN"/>
              </w:rPr>
              <w:t>/a。</w:t>
            </w:r>
            <w:r>
              <w:rPr>
                <w:rFonts w:hint="eastAsia"/>
                <w:color w:val="auto"/>
                <w:sz w:val="24"/>
                <w:szCs w:val="24"/>
                <w:highlight w:val="none"/>
                <w:lang w:val="en-US" w:eastAsia="zh-CN"/>
              </w:rPr>
              <w:t>无铅锡丝树脂（最大占比3.3%）保守估计全部挥发，</w:t>
            </w:r>
            <w:r>
              <w:rPr>
                <w:rFonts w:hint="eastAsia" w:cs="Times New Roman"/>
                <w:color w:val="auto"/>
                <w:kern w:val="0"/>
                <w:sz w:val="24"/>
                <w:szCs w:val="24"/>
                <w:highlight w:val="none"/>
                <w:lang w:eastAsia="zh-CN"/>
              </w:rPr>
              <w:t>手工焊</w:t>
            </w:r>
            <w:r>
              <w:rPr>
                <w:rFonts w:hint="eastAsia" w:cs="Times New Roman"/>
                <w:b w:val="0"/>
                <w:bCs w:val="0"/>
                <w:color w:val="auto"/>
                <w:kern w:val="0"/>
                <w:sz w:val="24"/>
                <w:szCs w:val="24"/>
                <w:highlight w:val="none"/>
                <w:lang w:eastAsia="zh-CN"/>
              </w:rPr>
              <w:t>非甲烷总烃</w:t>
            </w:r>
            <w:r>
              <w:rPr>
                <w:rFonts w:hint="eastAsia" w:ascii="Times New Roman" w:hAnsi="Times New Roman" w:cs="Times New Roman"/>
                <w:b w:val="0"/>
                <w:bCs w:val="0"/>
                <w:color w:val="auto"/>
                <w:kern w:val="0"/>
                <w:sz w:val="24"/>
                <w:szCs w:val="24"/>
                <w:highlight w:val="none"/>
                <w:lang w:eastAsia="zh-CN"/>
              </w:rPr>
              <w:t>产生量</w:t>
            </w:r>
            <w:r>
              <w:rPr>
                <w:rFonts w:hint="eastAsia" w:cs="Times New Roman"/>
                <w:b w:val="0"/>
                <w:bCs w:val="0"/>
                <w:color w:val="auto"/>
                <w:kern w:val="0"/>
                <w:sz w:val="24"/>
                <w:szCs w:val="24"/>
                <w:highlight w:val="none"/>
                <w:lang w:val="en-US" w:eastAsia="zh-CN"/>
              </w:rPr>
              <w:t>约</w:t>
            </w:r>
            <w:r>
              <w:rPr>
                <w:rFonts w:hint="eastAsia" w:ascii="Times New Roman" w:hAnsi="Times New Roman" w:cs="Times New Roman"/>
                <w:b w:val="0"/>
                <w:bCs w:val="0"/>
                <w:color w:val="auto"/>
                <w:kern w:val="0"/>
                <w:sz w:val="24"/>
                <w:szCs w:val="24"/>
                <w:highlight w:val="none"/>
                <w:lang w:eastAsia="zh-CN"/>
              </w:rPr>
              <w:t>为</w:t>
            </w:r>
            <w:r>
              <w:rPr>
                <w:rFonts w:hint="eastAsia" w:cs="Times New Roman"/>
                <w:b w:val="0"/>
                <w:bCs w:val="0"/>
                <w:color w:val="auto"/>
                <w:kern w:val="0"/>
                <w:sz w:val="24"/>
                <w:szCs w:val="24"/>
                <w:highlight w:val="none"/>
                <w:lang w:val="en-US" w:eastAsia="zh-CN"/>
              </w:rPr>
              <w:t>0.005kg</w:t>
            </w:r>
            <w:r>
              <w:rPr>
                <w:rFonts w:hint="eastAsia" w:ascii="Times New Roman" w:hAnsi="Times New Roman" w:cs="Times New Roman"/>
                <w:b w:val="0"/>
                <w:bCs w:val="0"/>
                <w:color w:val="auto"/>
                <w:kern w:val="0"/>
                <w:sz w:val="24"/>
                <w:szCs w:val="24"/>
                <w:highlight w:val="none"/>
                <w:lang w:eastAsia="zh-CN"/>
              </w:rPr>
              <w:t>/a</w:t>
            </w:r>
            <w:r>
              <w:rPr>
                <w:rFonts w:hint="eastAsia" w:cs="Times New Roman"/>
                <w:b w:val="0"/>
                <w:bCs w:val="0"/>
                <w:color w:val="auto"/>
                <w:kern w:val="0"/>
                <w:sz w:val="24"/>
                <w:szCs w:val="24"/>
                <w:highlight w:val="none"/>
                <w:lang w:val="en-US" w:eastAsia="zh-CN"/>
              </w:rPr>
              <w:t>，</w:t>
            </w:r>
            <w:r>
              <w:rPr>
                <w:rFonts w:hint="eastAsia" w:cs="Times New Roman"/>
                <w:color w:val="auto"/>
                <w:kern w:val="0"/>
                <w:sz w:val="24"/>
                <w:szCs w:val="24"/>
                <w:highlight w:val="none"/>
                <w:lang w:eastAsia="zh-CN"/>
              </w:rPr>
              <w:t>手工焊</w:t>
            </w:r>
            <w:r>
              <w:rPr>
                <w:rFonts w:hint="eastAsia" w:cs="Times New Roman"/>
                <w:b w:val="0"/>
                <w:bCs w:val="0"/>
                <w:color w:val="auto"/>
                <w:kern w:val="0"/>
                <w:sz w:val="24"/>
                <w:szCs w:val="24"/>
                <w:highlight w:val="none"/>
                <w:lang w:val="en-US" w:eastAsia="zh-CN"/>
              </w:rPr>
              <w:t>工序</w:t>
            </w:r>
            <w:r>
              <w:rPr>
                <w:rFonts w:hint="eastAsia" w:cs="Times New Roman"/>
                <w:color w:val="auto"/>
                <w:kern w:val="0"/>
                <w:sz w:val="24"/>
                <w:szCs w:val="24"/>
                <w:highlight w:val="none"/>
                <w:lang w:eastAsia="zh-CN"/>
              </w:rPr>
              <w:t>工作时间为</w:t>
            </w:r>
            <w:r>
              <w:rPr>
                <w:rFonts w:hint="eastAsia" w:cs="Times New Roman"/>
                <w:color w:val="auto"/>
                <w:kern w:val="0"/>
                <w:sz w:val="24"/>
                <w:szCs w:val="24"/>
                <w:highlight w:val="none"/>
                <w:lang w:val="en-US" w:eastAsia="zh-CN"/>
              </w:rPr>
              <w:t>600h/a</w:t>
            </w:r>
            <w:r>
              <w:rPr>
                <w:rFonts w:hint="eastAsia" w:cs="Times New Roman"/>
                <w:color w:val="auto"/>
                <w:sz w:val="24"/>
                <w:szCs w:val="24"/>
                <w:highlight w:val="none"/>
                <w:lang w:val="en-US" w:eastAsia="zh-CN"/>
              </w:rPr>
              <w:t>。项目手工焊焊接废气产生量极小，以无组织形式排放，故无组织颗粒物产生量为0.06kg/a，产生速率为0.0001kg/h，无组织锡及其化合物产生量为0.005kg/a，产生速率为0.000008kg/h。</w:t>
            </w:r>
          </w:p>
          <w:p w14:paraId="2EF770F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cs="Times New Roman"/>
                <w:b/>
                <w:bCs/>
                <w:color w:val="auto"/>
                <w:sz w:val="24"/>
                <w:szCs w:val="24"/>
                <w:highlight w:val="none"/>
                <w:lang w:val="en-US" w:eastAsia="zh-CN"/>
              </w:rPr>
            </w:pPr>
            <w:r>
              <w:rPr>
                <w:rFonts w:hint="eastAsia" w:cs="Times New Roman"/>
                <w:b w:val="0"/>
                <w:bCs w:val="0"/>
                <w:color w:val="auto"/>
                <w:sz w:val="24"/>
                <w:szCs w:val="24"/>
                <w:highlight w:val="none"/>
                <w:lang w:val="en-US" w:eastAsia="zh-CN"/>
              </w:rPr>
              <w:t>⑤挤出成型废气</w:t>
            </w:r>
          </w:p>
          <w:p w14:paraId="5482BED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项目使用PS挤出成型过程中会产生挤出成型废气，根据《合成树脂工业污染物排放标准》（GB31572-2015）使用PS树脂生产过程中涉及的因子为非甲烷总烃、甲苯、乙苯、苯乙烯，本项目为挤出加工，考虑树脂中残留的微量单体物质，</w:t>
            </w:r>
            <w:r>
              <w:rPr>
                <w:rFonts w:hint="eastAsia" w:cs="Times New Roman"/>
                <w:b w:val="0"/>
                <w:bCs w:val="0"/>
                <w:color w:val="auto"/>
                <w:sz w:val="24"/>
                <w:szCs w:val="24"/>
                <w:highlight w:val="none"/>
                <w:lang w:val="en-US" w:eastAsia="zh-CN"/>
              </w:rPr>
              <w:t>本次评价选取非甲烷总烃、甲苯、乙苯、苯乙烯作为评价因子。根据《气相色谱-质谱法分析聚苯乙烯加热分解产物》（中国卫生检验杂志2009年9月第19卷第9期），称取25g聚苯乙烯粉末于250ml具塞碘量瓶中，置于电热干燥箱中，在80℃-260℃区间逐步提高加热温度，在不同加热温度平衡0.5h后，用100μl进样针抽取100μl热解气体进样分析。聚苯乙烯在160℃时，甲苯产生浓度为0.73mg/m</w:t>
            </w:r>
            <w:r>
              <w:rPr>
                <w:rFonts w:hint="eastAsia" w:cs="Times New Roman"/>
                <w:b w:val="0"/>
                <w:bCs w:val="0"/>
                <w:color w:val="auto"/>
                <w:sz w:val="24"/>
                <w:szCs w:val="24"/>
                <w:highlight w:val="none"/>
                <w:vertAlign w:val="superscript"/>
                <w:lang w:val="en-US" w:eastAsia="zh-CN"/>
              </w:rPr>
              <w:t>3</w:t>
            </w:r>
            <w:r>
              <w:rPr>
                <w:rFonts w:hint="eastAsia" w:cs="Times New Roman"/>
                <w:b w:val="0"/>
                <w:bCs w:val="0"/>
                <w:color w:val="auto"/>
                <w:sz w:val="24"/>
                <w:szCs w:val="24"/>
                <w:highlight w:val="none"/>
                <w:lang w:val="en-US" w:eastAsia="zh-CN"/>
              </w:rPr>
              <w:t>，乙苯产生浓度为0.38mg/m</w:t>
            </w:r>
            <w:r>
              <w:rPr>
                <w:rFonts w:hint="eastAsia" w:cs="Times New Roman"/>
                <w:b w:val="0"/>
                <w:bCs w:val="0"/>
                <w:color w:val="auto"/>
                <w:sz w:val="24"/>
                <w:szCs w:val="24"/>
                <w:highlight w:val="none"/>
                <w:vertAlign w:val="superscript"/>
                <w:lang w:val="en-US" w:eastAsia="zh-CN"/>
              </w:rPr>
              <w:t>3</w:t>
            </w:r>
            <w:r>
              <w:rPr>
                <w:rFonts w:hint="eastAsia" w:cs="Times New Roman"/>
                <w:b w:val="0"/>
                <w:bCs w:val="0"/>
                <w:color w:val="auto"/>
                <w:sz w:val="24"/>
                <w:szCs w:val="24"/>
                <w:highlight w:val="none"/>
                <w:lang w:val="en-US" w:eastAsia="zh-CN"/>
              </w:rPr>
              <w:t>，苯乙烯产生浓度为0.23mg/m</w:t>
            </w:r>
            <w:r>
              <w:rPr>
                <w:rFonts w:hint="eastAsia" w:cs="Times New Roman"/>
                <w:b w:val="0"/>
                <w:bCs w:val="0"/>
                <w:color w:val="auto"/>
                <w:sz w:val="24"/>
                <w:szCs w:val="24"/>
                <w:highlight w:val="none"/>
                <w:vertAlign w:val="superscript"/>
                <w:lang w:val="en-US" w:eastAsia="zh-CN"/>
              </w:rPr>
              <w:t>3</w:t>
            </w:r>
            <w:r>
              <w:rPr>
                <w:rFonts w:hint="eastAsia" w:cs="Times New Roman"/>
                <w:b w:val="0"/>
                <w:bCs w:val="0"/>
                <w:color w:val="auto"/>
                <w:sz w:val="24"/>
                <w:szCs w:val="24"/>
                <w:highlight w:val="none"/>
                <w:lang w:val="en-US" w:eastAsia="zh-CN"/>
              </w:rPr>
              <w:t>，根据实验条件计算，甲苯产生系数为0.73×10</w:t>
            </w:r>
            <w:r>
              <w:rPr>
                <w:rFonts w:hint="eastAsia" w:cs="Times New Roman"/>
                <w:b w:val="0"/>
                <w:bCs w:val="0"/>
                <w:color w:val="auto"/>
                <w:sz w:val="24"/>
                <w:szCs w:val="24"/>
                <w:highlight w:val="none"/>
                <w:vertAlign w:val="superscript"/>
                <w:lang w:val="en-US" w:eastAsia="zh-CN"/>
              </w:rPr>
              <w:t>-2</w:t>
            </w:r>
            <w:r>
              <w:rPr>
                <w:rFonts w:hint="eastAsia" w:cs="Times New Roman"/>
                <w:b w:val="0"/>
                <w:bCs w:val="0"/>
                <w:color w:val="auto"/>
                <w:sz w:val="24"/>
                <w:szCs w:val="24"/>
                <w:highlight w:val="none"/>
                <w:vertAlign w:val="baseline"/>
                <w:lang w:val="en-US" w:eastAsia="zh-CN"/>
              </w:rPr>
              <w:t>kg/t原料，乙苯产生系数为</w:t>
            </w:r>
            <w:r>
              <w:rPr>
                <w:rFonts w:hint="eastAsia" w:cs="Times New Roman"/>
                <w:b w:val="0"/>
                <w:bCs w:val="0"/>
                <w:color w:val="auto"/>
                <w:sz w:val="24"/>
                <w:szCs w:val="24"/>
                <w:highlight w:val="none"/>
                <w:lang w:val="en-US" w:eastAsia="zh-CN"/>
              </w:rPr>
              <w:t>0.38×10</w:t>
            </w:r>
            <w:r>
              <w:rPr>
                <w:rFonts w:hint="eastAsia" w:cs="Times New Roman"/>
                <w:b w:val="0"/>
                <w:bCs w:val="0"/>
                <w:color w:val="auto"/>
                <w:sz w:val="24"/>
                <w:szCs w:val="24"/>
                <w:highlight w:val="none"/>
                <w:vertAlign w:val="superscript"/>
                <w:lang w:val="en-US" w:eastAsia="zh-CN"/>
              </w:rPr>
              <w:t>-2</w:t>
            </w:r>
            <w:r>
              <w:rPr>
                <w:rFonts w:hint="eastAsia" w:cs="Times New Roman"/>
                <w:b w:val="0"/>
                <w:bCs w:val="0"/>
                <w:color w:val="auto"/>
                <w:sz w:val="24"/>
                <w:szCs w:val="24"/>
                <w:highlight w:val="none"/>
                <w:vertAlign w:val="baseline"/>
                <w:lang w:val="en-US" w:eastAsia="zh-CN"/>
              </w:rPr>
              <w:t>mg/kg原料，苯乙烯产生系数为</w:t>
            </w:r>
            <w:r>
              <w:rPr>
                <w:rFonts w:hint="eastAsia" w:cs="Times New Roman"/>
                <w:b w:val="0"/>
                <w:bCs w:val="0"/>
                <w:color w:val="auto"/>
                <w:sz w:val="24"/>
                <w:szCs w:val="24"/>
                <w:highlight w:val="none"/>
                <w:lang w:val="en-US" w:eastAsia="zh-CN"/>
              </w:rPr>
              <w:t>0.23×10</w:t>
            </w:r>
            <w:r>
              <w:rPr>
                <w:rFonts w:hint="eastAsia" w:cs="Times New Roman"/>
                <w:b w:val="0"/>
                <w:bCs w:val="0"/>
                <w:color w:val="auto"/>
                <w:sz w:val="24"/>
                <w:szCs w:val="24"/>
                <w:highlight w:val="none"/>
                <w:vertAlign w:val="superscript"/>
                <w:lang w:val="en-US" w:eastAsia="zh-CN"/>
              </w:rPr>
              <w:t>-2</w:t>
            </w:r>
            <w:r>
              <w:rPr>
                <w:rFonts w:hint="eastAsia" w:cs="Times New Roman"/>
                <w:b w:val="0"/>
                <w:bCs w:val="0"/>
                <w:color w:val="auto"/>
                <w:sz w:val="24"/>
                <w:szCs w:val="24"/>
                <w:highlight w:val="none"/>
                <w:vertAlign w:val="baseline"/>
                <w:lang w:val="en-US" w:eastAsia="zh-CN"/>
              </w:rPr>
              <w:t>mg/kg原料；</w:t>
            </w:r>
            <w:r>
              <w:rPr>
                <w:rFonts w:hint="eastAsia" w:ascii="Times New Roman" w:hAnsi="Times New Roman" w:cs="Times New Roman"/>
                <w:color w:val="auto"/>
                <w:kern w:val="0"/>
                <w:sz w:val="24"/>
                <w:szCs w:val="24"/>
                <w:highlight w:val="none"/>
                <w:lang w:eastAsia="zh-CN"/>
              </w:rPr>
              <w:t>根据《排放源统计调查产排污核算方法和系数手册-</w:t>
            </w:r>
            <w:r>
              <w:rPr>
                <w:rFonts w:hint="eastAsia" w:cs="Times New Roman"/>
                <w:color w:val="auto"/>
                <w:kern w:val="0"/>
                <w:sz w:val="24"/>
                <w:szCs w:val="24"/>
                <w:highlight w:val="none"/>
                <w:lang w:val="en-US" w:eastAsia="zh-CN"/>
              </w:rPr>
              <w:t>292塑料制品行业系数手册</w:t>
            </w:r>
            <w:r>
              <w:rPr>
                <w:rFonts w:hint="eastAsia" w:ascii="Times New Roman" w:hAnsi="Times New Roman"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-2929塑料零部件及其他塑料制品制造行业系数表</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非甲烷总烃的产污系数为2.70kg/t-产品，项目年产显示屏模组器件2000万件（约54t），PS年用量为54t/a，则非甲烷总烃产生量为0.146t/a，</w:t>
            </w:r>
            <w:r>
              <w:rPr>
                <w:rFonts w:hint="eastAsia" w:cs="Times New Roman"/>
                <w:color w:val="auto"/>
                <w:kern w:val="0"/>
                <w:sz w:val="24"/>
                <w:szCs w:val="24"/>
                <w:highlight w:val="none"/>
                <w:lang w:val="en-US" w:eastAsia="zh-CN"/>
              </w:rPr>
              <w:t>甲苯产生量约0.394g/a，乙苯产生量约0.205g/a，苯乙烯产生量约0.124g/a，</w:t>
            </w:r>
            <w:r>
              <w:rPr>
                <w:rFonts w:hint="eastAsia" w:cs="Times New Roman"/>
                <w:color w:val="auto"/>
                <w:kern w:val="0"/>
                <w:sz w:val="24"/>
                <w:szCs w:val="24"/>
                <w:highlight w:val="none"/>
                <w:lang w:val="en-US" w:eastAsia="zh-CN"/>
              </w:rPr>
              <w:t>挤出成型工作时间为</w:t>
            </w:r>
            <w:r>
              <w:rPr>
                <w:rFonts w:hint="eastAsia" w:cs="Times New Roman"/>
                <w:b w:val="0"/>
                <w:bCs w:val="0"/>
                <w:color w:val="auto"/>
                <w:kern w:val="0"/>
                <w:sz w:val="24"/>
                <w:szCs w:val="24"/>
                <w:highlight w:val="none"/>
                <w:lang w:val="en-US" w:eastAsia="zh-CN"/>
              </w:rPr>
              <w:t>4800h/a。挤出成型废气由集气罩收集经干式过滤器+二级活性炭吸附装置处理后通过1根23米高排气筒排放，集气罩收集效率按90%计，总风量为18000m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/h。故有组织非甲烷总烃产生量为0.131t/a，产生速率为0.027kg/h，产生浓度为1.516mg/m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；有组织甲苯产生量为0.355g/a，产生速率为7.396×10</w:t>
            </w:r>
            <w:r>
              <w:rPr>
                <w:rFonts w:hint="eastAsia" w:cs="Times New Roman"/>
                <w:b w:val="0"/>
                <w:bCs w:val="0"/>
                <w:color w:val="auto"/>
                <w:kern w:val="0"/>
                <w:sz w:val="24"/>
                <w:szCs w:val="24"/>
                <w:highlight w:val="none"/>
                <w:vertAlign w:val="superscript"/>
                <w:lang w:val="en-US" w:eastAsia="zh-CN"/>
              </w:rPr>
              <w:t>-5</w:t>
            </w:r>
            <w:r>
              <w:rPr>
                <w:rFonts w:hint="eastAsia" w:cs="Times New Roman"/>
                <w:b w:val="0"/>
                <w:bCs w:val="0"/>
                <w:color w:val="auto"/>
                <w:kern w:val="0"/>
                <w:sz w:val="24"/>
                <w:szCs w:val="24"/>
                <w:highlight w:val="none"/>
                <w:lang w:val="en-US" w:eastAsia="zh-CN"/>
              </w:rPr>
              <w:t>g/h，产生浓度为4.109×10</w:t>
            </w:r>
            <w:r>
              <w:rPr>
                <w:rFonts w:hint="eastAsia" w:cs="Times New Roman"/>
                <w:b w:val="0"/>
                <w:bCs w:val="0"/>
                <w:color w:val="auto"/>
                <w:kern w:val="0"/>
                <w:sz w:val="24"/>
                <w:szCs w:val="24"/>
                <w:highlight w:val="none"/>
                <w:vertAlign w:val="superscript"/>
                <w:lang w:val="en-US" w:eastAsia="zh-CN"/>
              </w:rPr>
              <w:t>-6</w:t>
            </w:r>
            <w:r>
              <w:rPr>
                <w:rFonts w:hint="eastAsia" w:cs="Times New Roman"/>
                <w:b w:val="0"/>
                <w:bCs w:val="0"/>
                <w:color w:val="auto"/>
                <w:kern w:val="0"/>
                <w:sz w:val="24"/>
                <w:szCs w:val="24"/>
                <w:highlight w:val="none"/>
                <w:lang w:val="en-US" w:eastAsia="zh-CN"/>
              </w:rPr>
              <w:t>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；有组织乙苯产生量为0.185g/a，产生速率为3.854×10</w:t>
            </w:r>
            <w:r>
              <w:rPr>
                <w:rFonts w:hint="eastAsia" w:cs="Times New Roman"/>
                <w:b w:val="0"/>
                <w:bCs w:val="0"/>
                <w:color w:val="auto"/>
                <w:kern w:val="0"/>
                <w:sz w:val="24"/>
                <w:szCs w:val="24"/>
                <w:highlight w:val="none"/>
                <w:vertAlign w:val="superscript"/>
                <w:lang w:val="en-US" w:eastAsia="zh-CN"/>
              </w:rPr>
              <w:t>-5</w:t>
            </w:r>
            <w:r>
              <w:rPr>
                <w:rFonts w:hint="eastAsia" w:cs="Times New Roman"/>
                <w:b w:val="0"/>
                <w:bCs w:val="0"/>
                <w:color w:val="auto"/>
                <w:kern w:val="0"/>
                <w:sz w:val="24"/>
                <w:szCs w:val="24"/>
                <w:highlight w:val="none"/>
                <w:lang w:val="en-US" w:eastAsia="zh-CN"/>
              </w:rPr>
              <w:t>g/h，产生浓度为2.141×10</w:t>
            </w:r>
            <w:r>
              <w:rPr>
                <w:rFonts w:hint="eastAsia" w:cs="Times New Roman"/>
                <w:b w:val="0"/>
                <w:bCs w:val="0"/>
                <w:color w:val="auto"/>
                <w:kern w:val="0"/>
                <w:sz w:val="24"/>
                <w:szCs w:val="24"/>
                <w:highlight w:val="none"/>
                <w:vertAlign w:val="superscript"/>
                <w:lang w:val="en-US" w:eastAsia="zh-CN"/>
              </w:rPr>
              <w:t>-6</w:t>
            </w:r>
            <w:r>
              <w:rPr>
                <w:rFonts w:hint="eastAsia" w:cs="Times New Roman"/>
                <w:b w:val="0"/>
                <w:bCs w:val="0"/>
                <w:color w:val="auto"/>
                <w:kern w:val="0"/>
                <w:sz w:val="24"/>
                <w:szCs w:val="24"/>
                <w:highlight w:val="none"/>
                <w:lang w:val="en-US" w:eastAsia="zh-CN"/>
              </w:rPr>
              <w:t>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；有组织苯乙烯产生量为0.112g/a，产生速率为2.333×10</w:t>
            </w:r>
            <w:r>
              <w:rPr>
                <w:rFonts w:hint="eastAsia" w:cs="Times New Roman"/>
                <w:b w:val="0"/>
                <w:bCs w:val="0"/>
                <w:color w:val="auto"/>
                <w:kern w:val="0"/>
                <w:sz w:val="24"/>
                <w:szCs w:val="24"/>
                <w:highlight w:val="none"/>
                <w:vertAlign w:val="superscript"/>
                <w:lang w:val="en-US" w:eastAsia="zh-CN"/>
              </w:rPr>
              <w:t>-5</w:t>
            </w:r>
            <w:r>
              <w:rPr>
                <w:rFonts w:hint="eastAsia" w:cs="Times New Roman"/>
                <w:b w:val="0"/>
                <w:bCs w:val="0"/>
                <w:color w:val="auto"/>
                <w:kern w:val="0"/>
                <w:sz w:val="24"/>
                <w:szCs w:val="24"/>
                <w:highlight w:val="none"/>
                <w:lang w:val="en-US" w:eastAsia="zh-CN"/>
              </w:rPr>
              <w:t>g/h，产生浓度为1.296×10</w:t>
            </w:r>
            <w:r>
              <w:rPr>
                <w:rFonts w:hint="eastAsia" w:cs="Times New Roman"/>
                <w:b w:val="0"/>
                <w:bCs w:val="0"/>
                <w:color w:val="auto"/>
                <w:kern w:val="0"/>
                <w:sz w:val="24"/>
                <w:szCs w:val="24"/>
                <w:highlight w:val="none"/>
                <w:vertAlign w:val="superscript"/>
                <w:lang w:val="en-US" w:eastAsia="zh-CN"/>
              </w:rPr>
              <w:t>-6</w:t>
            </w:r>
            <w:r>
              <w:rPr>
                <w:rFonts w:hint="eastAsia" w:cs="Times New Roman"/>
                <w:b w:val="0"/>
                <w:bCs w:val="0"/>
                <w:color w:val="auto"/>
                <w:kern w:val="0"/>
                <w:sz w:val="24"/>
                <w:szCs w:val="24"/>
                <w:highlight w:val="none"/>
                <w:lang w:val="en-US" w:eastAsia="zh-CN"/>
              </w:rPr>
              <w:t>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。非甲烷总烃、甲苯、乙苯、苯乙烯处理效率按90%计，经计算，有组织非甲烷总烃排放量为0.015t/a，排放速率为0.003kg/h，排放浓度0.152mg/m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；有组织甲苯排放量为0.036g/a，排放速率为7.396×10</w:t>
            </w:r>
            <w:r>
              <w:rPr>
                <w:rFonts w:hint="eastAsia" w:cs="Times New Roman"/>
                <w:b w:val="0"/>
                <w:bCs w:val="0"/>
                <w:color w:val="auto"/>
                <w:kern w:val="0"/>
                <w:sz w:val="24"/>
                <w:szCs w:val="24"/>
                <w:highlight w:val="none"/>
                <w:vertAlign w:val="superscript"/>
                <w:lang w:val="en-US" w:eastAsia="zh-CN"/>
              </w:rPr>
              <w:t>-6</w:t>
            </w:r>
            <w:r>
              <w:rPr>
                <w:rFonts w:hint="eastAsia" w:cs="Times New Roman"/>
                <w:b w:val="0"/>
                <w:bCs w:val="0"/>
                <w:color w:val="auto"/>
                <w:kern w:val="0"/>
                <w:sz w:val="24"/>
                <w:szCs w:val="24"/>
                <w:highlight w:val="none"/>
                <w:lang w:val="en-US" w:eastAsia="zh-CN"/>
              </w:rPr>
              <w:t>g/h，排放浓度4.109×10</w:t>
            </w:r>
            <w:r>
              <w:rPr>
                <w:rFonts w:hint="eastAsia" w:cs="Times New Roman"/>
                <w:b w:val="0"/>
                <w:bCs w:val="0"/>
                <w:color w:val="auto"/>
                <w:kern w:val="0"/>
                <w:sz w:val="24"/>
                <w:szCs w:val="24"/>
                <w:highlight w:val="none"/>
                <w:vertAlign w:val="superscript"/>
                <w:lang w:val="en-US" w:eastAsia="zh-CN"/>
              </w:rPr>
              <w:t>-7</w:t>
            </w:r>
            <w:r>
              <w:rPr>
                <w:rFonts w:hint="eastAsia" w:cs="Times New Roman"/>
                <w:b w:val="0"/>
                <w:bCs w:val="0"/>
                <w:color w:val="auto"/>
                <w:kern w:val="0"/>
                <w:sz w:val="24"/>
                <w:szCs w:val="24"/>
                <w:highlight w:val="none"/>
                <w:lang w:val="en-US" w:eastAsia="zh-CN"/>
              </w:rPr>
              <w:t>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；有组织乙苯排放量为0.019g/a，排放速率为3.854×10</w:t>
            </w:r>
            <w:r>
              <w:rPr>
                <w:rFonts w:hint="eastAsia" w:cs="Times New Roman"/>
                <w:b w:val="0"/>
                <w:bCs w:val="0"/>
                <w:color w:val="auto"/>
                <w:kern w:val="0"/>
                <w:sz w:val="24"/>
                <w:szCs w:val="24"/>
                <w:highlight w:val="none"/>
                <w:vertAlign w:val="superscript"/>
                <w:lang w:val="en-US" w:eastAsia="zh-CN"/>
              </w:rPr>
              <w:t>-6</w:t>
            </w:r>
            <w:r>
              <w:rPr>
                <w:rFonts w:hint="eastAsia" w:cs="Times New Roman"/>
                <w:b w:val="0"/>
                <w:bCs w:val="0"/>
                <w:color w:val="auto"/>
                <w:kern w:val="0"/>
                <w:sz w:val="24"/>
                <w:szCs w:val="24"/>
                <w:highlight w:val="none"/>
                <w:lang w:val="en-US" w:eastAsia="zh-CN"/>
              </w:rPr>
              <w:t>g/h，排放浓度为2.141×10</w:t>
            </w:r>
            <w:r>
              <w:rPr>
                <w:rFonts w:hint="eastAsia" w:cs="Times New Roman"/>
                <w:b w:val="0"/>
                <w:bCs w:val="0"/>
                <w:color w:val="auto"/>
                <w:kern w:val="0"/>
                <w:sz w:val="24"/>
                <w:szCs w:val="24"/>
                <w:highlight w:val="none"/>
                <w:vertAlign w:val="superscript"/>
                <w:lang w:val="en-US" w:eastAsia="zh-CN"/>
              </w:rPr>
              <w:t>-7</w:t>
            </w:r>
            <w:r>
              <w:rPr>
                <w:rFonts w:hint="eastAsia" w:cs="Times New Roman"/>
                <w:b w:val="0"/>
                <w:bCs w:val="0"/>
                <w:color w:val="auto"/>
                <w:kern w:val="0"/>
                <w:sz w:val="24"/>
                <w:szCs w:val="24"/>
                <w:highlight w:val="none"/>
                <w:lang w:val="en-US" w:eastAsia="zh-CN"/>
              </w:rPr>
              <w:t>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lang w:val="en-US" w:eastAsia="zh-CN"/>
              </w:rPr>
              <w:t>；有组织苯乙烯排放量为0.011g/a，排放速率为2.333×10</w:t>
            </w:r>
            <w:r>
              <w:rPr>
                <w:rFonts w:hint="eastAsia" w:cs="Times New Roman"/>
                <w:b w:val="0"/>
                <w:bCs w:val="0"/>
                <w:color w:val="auto"/>
                <w:kern w:val="0"/>
                <w:sz w:val="24"/>
                <w:szCs w:val="24"/>
                <w:highlight w:val="none"/>
                <w:vertAlign w:val="superscript"/>
                <w:lang w:val="en-US" w:eastAsia="zh-CN"/>
              </w:rPr>
              <w:t>-6</w:t>
            </w:r>
            <w:r>
              <w:rPr>
                <w:rFonts w:hint="eastAsia" w:cs="Times New Roman"/>
                <w:b w:val="0"/>
                <w:bCs w:val="0"/>
                <w:color w:val="auto"/>
                <w:kern w:val="0"/>
                <w:sz w:val="24"/>
                <w:szCs w:val="24"/>
                <w:highlight w:val="none"/>
                <w:lang w:val="en-US" w:eastAsia="zh-CN"/>
              </w:rPr>
              <w:t>g/h，排放浓度为1.296×10</w:t>
            </w:r>
            <w:r>
              <w:rPr>
                <w:rFonts w:hint="eastAsia" w:cs="Times New Roman"/>
                <w:b w:val="0"/>
                <w:bCs w:val="0"/>
                <w:color w:val="auto"/>
                <w:kern w:val="0"/>
                <w:sz w:val="24"/>
                <w:szCs w:val="24"/>
                <w:highlight w:val="none"/>
                <w:vertAlign w:val="superscript"/>
                <w:lang w:val="en-US" w:eastAsia="zh-CN"/>
              </w:rPr>
              <w:t>-7</w:t>
            </w:r>
            <w:r>
              <w:rPr>
                <w:rFonts w:hint="eastAsia" w:cs="Times New Roman"/>
                <w:b w:val="0"/>
                <w:bCs w:val="0"/>
                <w:color w:val="auto"/>
                <w:kern w:val="0"/>
                <w:sz w:val="24"/>
                <w:szCs w:val="24"/>
                <w:highlight w:val="none"/>
                <w:lang w:val="en-US" w:eastAsia="zh-CN"/>
              </w:rPr>
              <w:t>mg/m</w:t>
            </w:r>
            <w:r>
              <w:rPr>
                <w:rFonts w:hint="eastAsia" w:cs="Times New Roman"/>
                <w:b w:val="0"/>
                <w:bCs w:val="0"/>
                <w:color w:val="auto"/>
                <w:kern w:val="0"/>
                <w:sz w:val="24"/>
                <w:szCs w:val="24"/>
                <w:highlight w:val="none"/>
                <w:vertAlign w:val="superscript"/>
                <w:lang w:val="en-US" w:eastAsia="zh-CN"/>
              </w:rPr>
              <w:t>3</w:t>
            </w:r>
            <w:r>
              <w:rPr>
                <w:rFonts w:hint="eastAsia" w:cs="Times New Roman"/>
                <w:b w:val="0"/>
                <w:bCs w:val="0"/>
                <w:color w:val="auto"/>
                <w:kern w:val="0"/>
                <w:sz w:val="24"/>
                <w:szCs w:val="24"/>
                <w:highlight w:val="none"/>
                <w:vertAlign w:val="baseline"/>
                <w:lang w:val="en-US" w:eastAsia="zh-CN"/>
              </w:rPr>
              <w:t>。</w:t>
            </w:r>
          </w:p>
          <w:p w14:paraId="380DB67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cs="Times New Roman"/>
                <w:b/>
                <w:bCs/>
                <w:color w:val="auto"/>
                <w:sz w:val="24"/>
                <w:szCs w:val="24"/>
                <w:highlight w:val="none"/>
                <w:lang w:val="en-US" w:eastAsia="zh-CN"/>
              </w:rPr>
            </w:pPr>
            <w:r>
              <w:rPr>
                <w:rFonts w:hint="eastAsia" w:cs="Times New Roman"/>
                <w:b w:val="0"/>
                <w:bCs w:val="0"/>
                <w:color w:val="auto"/>
                <w:sz w:val="24"/>
                <w:szCs w:val="24"/>
                <w:highlight w:val="none"/>
                <w:lang w:val="en-US" w:eastAsia="zh-CN"/>
              </w:rPr>
              <w:t>未被收集的废气以无组织形式排放，故无组织非甲烷总烃产生量为0.015t/a，产生速率为0.003kg/h；无组织甲苯产生量为0.039</w:t>
            </w:r>
            <w:r>
              <w:rPr>
                <w:rFonts w:hint="eastAsia" w:cs="Times New Roman"/>
                <w:b w:val="0"/>
                <w:bCs w:val="0"/>
                <w:color w:val="auto"/>
                <w:kern w:val="0"/>
                <w:sz w:val="24"/>
                <w:szCs w:val="24"/>
                <w:highlight w:val="none"/>
                <w:lang w:val="en-US" w:eastAsia="zh-CN"/>
              </w:rPr>
              <w:t>g/a，产生速率为8.125×10</w:t>
            </w:r>
            <w:r>
              <w:rPr>
                <w:rFonts w:hint="eastAsia" w:cs="Times New Roman"/>
                <w:b w:val="0"/>
                <w:bCs w:val="0"/>
                <w:color w:val="auto"/>
                <w:kern w:val="0"/>
                <w:sz w:val="24"/>
                <w:szCs w:val="24"/>
                <w:highlight w:val="none"/>
                <w:vertAlign w:val="superscript"/>
                <w:lang w:val="en-US" w:eastAsia="zh-CN"/>
              </w:rPr>
              <w:t>-6</w:t>
            </w:r>
            <w:r>
              <w:rPr>
                <w:rFonts w:hint="eastAsia" w:cs="Times New Roman"/>
                <w:b w:val="0"/>
                <w:bCs w:val="0"/>
                <w:color w:val="auto"/>
                <w:kern w:val="0"/>
                <w:sz w:val="24"/>
                <w:szCs w:val="24"/>
                <w:highlight w:val="none"/>
                <w:lang w:val="en-US" w:eastAsia="zh-CN"/>
              </w:rPr>
              <w:t>g/h；</w:t>
            </w:r>
            <w:r>
              <w:rPr>
                <w:rFonts w:hint="eastAsia" w:cs="Times New Roman"/>
                <w:b w:val="0"/>
                <w:bCs w:val="0"/>
                <w:color w:val="auto"/>
                <w:sz w:val="24"/>
                <w:szCs w:val="24"/>
                <w:highlight w:val="none"/>
                <w:lang w:val="en-US" w:eastAsia="zh-CN"/>
              </w:rPr>
              <w:t>无组织乙苯产生量为0.02</w:t>
            </w:r>
            <w:r>
              <w:rPr>
                <w:rFonts w:hint="eastAsia" w:cs="Times New Roman"/>
                <w:b w:val="0"/>
                <w:bCs w:val="0"/>
                <w:color w:val="auto"/>
                <w:kern w:val="0"/>
                <w:sz w:val="24"/>
                <w:szCs w:val="24"/>
                <w:highlight w:val="none"/>
                <w:lang w:val="en-US" w:eastAsia="zh-CN"/>
              </w:rPr>
              <w:t>g/a，产生速率为4.167×10</w:t>
            </w:r>
            <w:r>
              <w:rPr>
                <w:rFonts w:hint="eastAsia" w:cs="Times New Roman"/>
                <w:b w:val="0"/>
                <w:bCs w:val="0"/>
                <w:color w:val="auto"/>
                <w:kern w:val="0"/>
                <w:sz w:val="24"/>
                <w:szCs w:val="24"/>
                <w:highlight w:val="none"/>
                <w:vertAlign w:val="superscript"/>
                <w:lang w:val="en-US" w:eastAsia="zh-CN"/>
              </w:rPr>
              <w:t>-6</w:t>
            </w:r>
            <w:r>
              <w:rPr>
                <w:rFonts w:hint="eastAsia" w:cs="Times New Roman"/>
                <w:b w:val="0"/>
                <w:bCs w:val="0"/>
                <w:color w:val="auto"/>
                <w:kern w:val="0"/>
                <w:sz w:val="24"/>
                <w:szCs w:val="24"/>
                <w:highlight w:val="none"/>
                <w:lang w:val="en-US" w:eastAsia="zh-CN"/>
              </w:rPr>
              <w:t>g/h；</w:t>
            </w:r>
            <w:r>
              <w:rPr>
                <w:rFonts w:hint="eastAsia" w:cs="Times New Roman"/>
                <w:b w:val="0"/>
                <w:bCs w:val="0"/>
                <w:color w:val="auto"/>
                <w:sz w:val="24"/>
                <w:szCs w:val="24"/>
                <w:highlight w:val="none"/>
                <w:lang w:val="en-US" w:eastAsia="zh-CN"/>
              </w:rPr>
              <w:t>无组织苯乙烯产生量为0.012</w:t>
            </w:r>
            <w:r>
              <w:rPr>
                <w:rFonts w:hint="eastAsia" w:cs="Times New Roman"/>
                <w:b w:val="0"/>
                <w:bCs w:val="0"/>
                <w:color w:val="auto"/>
                <w:kern w:val="0"/>
                <w:sz w:val="24"/>
                <w:szCs w:val="24"/>
                <w:highlight w:val="none"/>
                <w:lang w:val="en-US" w:eastAsia="zh-CN"/>
              </w:rPr>
              <w:t>g/a，产生速率为2.500×10</w:t>
            </w:r>
            <w:r>
              <w:rPr>
                <w:rFonts w:hint="eastAsia" w:cs="Times New Roman"/>
                <w:b w:val="0"/>
                <w:bCs w:val="0"/>
                <w:color w:val="auto"/>
                <w:kern w:val="0"/>
                <w:sz w:val="24"/>
                <w:szCs w:val="24"/>
                <w:highlight w:val="none"/>
                <w:vertAlign w:val="superscript"/>
                <w:lang w:val="en-US" w:eastAsia="zh-CN"/>
              </w:rPr>
              <w:t>-6</w:t>
            </w:r>
            <w:r>
              <w:rPr>
                <w:rFonts w:hint="eastAsia" w:cs="Times New Roman"/>
                <w:b w:val="0"/>
                <w:bCs w:val="0"/>
                <w:color w:val="auto"/>
                <w:kern w:val="0"/>
                <w:sz w:val="24"/>
                <w:szCs w:val="24"/>
                <w:highlight w:val="none"/>
                <w:lang w:val="en-US" w:eastAsia="zh-CN"/>
              </w:rPr>
              <w:t>g/h。</w:t>
            </w:r>
          </w:p>
          <w:p w14:paraId="016FF44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⑥打孔粉尘</w:t>
            </w:r>
          </w:p>
          <w:p w14:paraId="72C4B9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cs="Times New Roman"/>
                <w:b/>
                <w:bCs/>
                <w:color w:val="auto"/>
                <w:sz w:val="24"/>
                <w:szCs w:val="24"/>
                <w:highlight w:val="none"/>
                <w:lang w:val="en-US" w:eastAsia="zh-CN"/>
              </w:rPr>
            </w:pPr>
            <w:r>
              <w:rPr>
                <w:rFonts w:hint="eastAsia" w:cs="Times New Roman"/>
                <w:b w:val="0"/>
                <w:bCs w:val="0"/>
                <w:color w:val="auto"/>
                <w:sz w:val="24"/>
                <w:szCs w:val="24"/>
                <w:highlight w:val="none"/>
                <w:lang w:val="en-US" w:eastAsia="zh-CN"/>
              </w:rPr>
              <w:t>项目显示屏模组器件打孔过程中会产生打孔粉尘，打孔粉尘参考</w:t>
            </w:r>
            <w:r>
              <w:rPr>
                <w:rFonts w:hint="eastAsia" w:ascii="Times New Roman" w:hAnsi="Times New Roman" w:cs="Times New Roman"/>
                <w:color w:val="auto"/>
                <w:kern w:val="0"/>
                <w:sz w:val="24"/>
                <w:szCs w:val="24"/>
                <w:highlight w:val="none"/>
                <w:lang w:eastAsia="zh-CN"/>
              </w:rPr>
              <w:t>《排放源统计调查产排污核算方法和系数手册38-40电子电气行业系数手册》</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机加工工段聚合物打孔颗粒物的产污系数为4.351×10</w:t>
            </w:r>
            <w:r>
              <w:rPr>
                <w:rFonts w:hint="eastAsia" w:cs="Times New Roman"/>
                <w:color w:val="auto"/>
                <w:kern w:val="0"/>
                <w:sz w:val="24"/>
                <w:szCs w:val="24"/>
                <w:highlight w:val="none"/>
                <w:vertAlign w:val="superscript"/>
                <w:lang w:val="en-US" w:eastAsia="zh-CN"/>
              </w:rPr>
              <w:t>-1</w:t>
            </w:r>
            <w:r>
              <w:rPr>
                <w:rFonts w:hint="eastAsia" w:cs="Times New Roman"/>
                <w:color w:val="auto"/>
                <w:kern w:val="0"/>
                <w:sz w:val="24"/>
                <w:szCs w:val="24"/>
                <w:highlight w:val="none"/>
                <w:vertAlign w:val="baseline"/>
                <w:lang w:val="en-US" w:eastAsia="zh-CN"/>
              </w:rPr>
              <w:t>g/kg-原料，项目主要对成型后的</w:t>
            </w:r>
            <w:r>
              <w:rPr>
                <w:rFonts w:hint="eastAsia" w:cs="Times New Roman"/>
                <w:b w:val="0"/>
                <w:bCs w:val="0"/>
                <w:color w:val="auto"/>
                <w:sz w:val="24"/>
                <w:szCs w:val="24"/>
                <w:highlight w:val="none"/>
                <w:lang w:val="en-US" w:eastAsia="zh-CN"/>
              </w:rPr>
              <w:t>显示屏模组器件打孔，故原料量以显示屏模组器件产品量进行核算，</w:t>
            </w:r>
            <w:r>
              <w:rPr>
                <w:rFonts w:hint="eastAsia" w:cs="Times New Roman"/>
                <w:color w:val="auto"/>
                <w:kern w:val="0"/>
                <w:sz w:val="24"/>
                <w:szCs w:val="24"/>
                <w:highlight w:val="none"/>
                <w:lang w:val="en-US" w:eastAsia="zh-CN"/>
              </w:rPr>
              <w:t>项目年产显示屏模组器件2000万件，根据建设单位提供的资料，折合重量约54吨，则颗粒物产生量为0.023t/a</w:t>
            </w:r>
            <w:r>
              <w:rPr>
                <w:rFonts w:hint="eastAsia" w:cs="Times New Roman"/>
                <w:b w:val="0"/>
                <w:bCs w:val="0"/>
                <w:color w:val="auto"/>
                <w:kern w:val="0"/>
                <w:sz w:val="24"/>
                <w:szCs w:val="24"/>
                <w:highlight w:val="none"/>
                <w:lang w:val="en-US" w:eastAsia="zh-CN"/>
              </w:rPr>
              <w:t>，</w:t>
            </w:r>
            <w:r>
              <w:rPr>
                <w:rFonts w:hint="eastAsia" w:cs="Times New Roman"/>
                <w:color w:val="auto"/>
                <w:kern w:val="0"/>
                <w:sz w:val="24"/>
                <w:szCs w:val="24"/>
                <w:highlight w:val="none"/>
                <w:lang w:val="en-US" w:eastAsia="zh-CN"/>
              </w:rPr>
              <w:t>打孔</w:t>
            </w:r>
            <w:r>
              <w:rPr>
                <w:rFonts w:hint="eastAsia" w:cs="Times New Roman"/>
                <w:b w:val="0"/>
                <w:bCs w:val="0"/>
                <w:color w:val="auto"/>
                <w:kern w:val="0"/>
                <w:sz w:val="24"/>
                <w:szCs w:val="24"/>
                <w:highlight w:val="none"/>
                <w:lang w:val="en-US" w:eastAsia="zh-CN"/>
              </w:rPr>
              <w:t>工序</w:t>
            </w:r>
            <w:r>
              <w:rPr>
                <w:rFonts w:hint="eastAsia" w:cs="Times New Roman"/>
                <w:color w:val="auto"/>
                <w:kern w:val="0"/>
                <w:sz w:val="24"/>
                <w:szCs w:val="24"/>
                <w:highlight w:val="none"/>
                <w:lang w:eastAsia="zh-CN"/>
              </w:rPr>
              <w:t>工作时间为</w:t>
            </w:r>
            <w:r>
              <w:rPr>
                <w:rFonts w:hint="eastAsia" w:cs="Times New Roman"/>
                <w:color w:val="auto"/>
                <w:kern w:val="0"/>
                <w:sz w:val="24"/>
                <w:szCs w:val="24"/>
                <w:highlight w:val="none"/>
                <w:lang w:val="en-US" w:eastAsia="zh-CN"/>
              </w:rPr>
              <w:t>600h/a</w:t>
            </w:r>
            <w:r>
              <w:rPr>
                <w:rFonts w:hint="eastAsia" w:cs="Times New Roman"/>
                <w:color w:val="auto"/>
                <w:sz w:val="24"/>
                <w:szCs w:val="24"/>
                <w:highlight w:val="none"/>
                <w:lang w:val="en-US" w:eastAsia="zh-CN"/>
              </w:rPr>
              <w:t>。打孔粉尘产生量较小，以无组织形式排放，故无组织颗粒物产生量为0.023t/a，产生速率为0.038kg/h。</w:t>
            </w:r>
          </w:p>
          <w:p w14:paraId="1BB0D73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（2）废气产排情况汇总</w:t>
            </w:r>
          </w:p>
          <w:p w14:paraId="21A2A975">
            <w:pPr>
              <w:spacing w:line="360" w:lineRule="auto"/>
              <w:ind w:firstLine="480" w:firstLineChars="200"/>
              <w:rPr>
                <w:rFonts w:hint="default" w:eastAsia="宋体"/>
                <w:color w:val="auto"/>
                <w:sz w:val="24"/>
                <w:szCs w:val="24"/>
                <w:highlight w:val="none"/>
                <w:lang w:val="en-US" w:eastAsia="zh-CN"/>
              </w:rPr>
            </w:pPr>
            <w:r>
              <w:rPr>
                <w:rFonts w:hint="eastAsia"/>
                <w:color w:val="auto"/>
                <w:sz w:val="24"/>
                <w:szCs w:val="24"/>
                <w:highlight w:val="none"/>
                <w:lang w:val="en-US" w:eastAsia="zh-CN"/>
              </w:rPr>
              <w:t>①有组织废气</w:t>
            </w:r>
          </w:p>
          <w:p w14:paraId="4EB1D6A3">
            <w:pPr>
              <w:spacing w:line="360" w:lineRule="auto"/>
              <w:jc w:val="center"/>
              <w:rPr>
                <w:rFonts w:hint="eastAsia" w:ascii="Times New Roman" w:hAnsi="Times New Roman" w:eastAsia="宋体" w:cs="Times New Roman"/>
                <w:b/>
                <w:bCs/>
                <w:color w:val="000000"/>
                <w:szCs w:val="21"/>
                <w:highlight w:val="none"/>
                <w:lang w:eastAsia="zh-CN"/>
              </w:rPr>
            </w:pPr>
            <w:r>
              <w:rPr>
                <w:rFonts w:hint="default" w:ascii="Times New Roman" w:hAnsi="Times New Roman" w:cs="Times New Roman"/>
                <w:b/>
                <w:bCs/>
                <w:color w:val="000000"/>
                <w:szCs w:val="21"/>
                <w:highlight w:val="none"/>
              </w:rPr>
              <w:t>表4-</w:t>
            </w:r>
            <w:r>
              <w:rPr>
                <w:rFonts w:hint="eastAsia" w:cs="Times New Roman"/>
                <w:b/>
                <w:bCs/>
                <w:color w:val="000000"/>
                <w:szCs w:val="21"/>
                <w:highlight w:val="none"/>
                <w:lang w:val="en-US" w:eastAsia="zh-CN"/>
              </w:rPr>
              <w:t>4</w:t>
            </w:r>
            <w:r>
              <w:rPr>
                <w:rFonts w:hint="default" w:ascii="Times New Roman" w:hAnsi="Times New Roman" w:cs="Times New Roman"/>
                <w:b/>
                <w:bCs/>
                <w:color w:val="000000"/>
                <w:szCs w:val="21"/>
                <w:highlight w:val="none"/>
              </w:rPr>
              <w:t xml:space="preserve">  建设项目有组织废气产生和排放情况一览表</w:t>
            </w:r>
          </w:p>
          <w:tbl>
            <w:tblPr>
              <w:tblStyle w:val="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 w:type="dxa"/>
                <w:bottom w:w="0" w:type="dxa"/>
                <w:right w:w="11" w:type="dxa"/>
              </w:tblCellMar>
            </w:tblPr>
            <w:tblGrid>
              <w:gridCol w:w="219"/>
              <w:gridCol w:w="521"/>
              <w:gridCol w:w="573"/>
              <w:gridCol w:w="692"/>
              <w:gridCol w:w="849"/>
              <w:gridCol w:w="851"/>
              <w:gridCol w:w="220"/>
              <w:gridCol w:w="849"/>
              <w:gridCol w:w="849"/>
              <w:gridCol w:w="851"/>
              <w:gridCol w:w="542"/>
              <w:gridCol w:w="513"/>
              <w:gridCol w:w="427"/>
            </w:tblGrid>
            <w:tr w14:paraId="1A063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137" w:type="pct"/>
                  <w:vMerge w:val="restar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71639A58">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产污环节</w:t>
                  </w:r>
                </w:p>
              </w:tc>
              <w:tc>
                <w:tcPr>
                  <w:tcW w:w="327" w:type="pct"/>
                  <w:vMerge w:val="restart"/>
                  <w:tcBorders>
                    <w:top w:val="single" w:color="000000" w:sz="4" w:space="0"/>
                    <w:left w:val="single" w:color="000000" w:sz="4" w:space="0"/>
                    <w:right w:val="single" w:color="000000" w:sz="4" w:space="0"/>
                  </w:tcBorders>
                  <w:noWrap w:val="0"/>
                  <w:tcMar>
                    <w:top w:w="28" w:type="dxa"/>
                    <w:left w:w="28" w:type="dxa"/>
                    <w:bottom w:w="28" w:type="dxa"/>
                    <w:right w:w="28" w:type="dxa"/>
                  </w:tcMar>
                  <w:vAlign w:val="center"/>
                </w:tcPr>
                <w:p w14:paraId="0486EC33">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污染物种类</w:t>
                  </w:r>
                </w:p>
              </w:tc>
              <w:tc>
                <w:tcPr>
                  <w:tcW w:w="360" w:type="pct"/>
                  <w:vMerge w:val="restart"/>
                  <w:tcBorders>
                    <w:top w:val="single" w:color="000000" w:sz="4" w:space="0"/>
                    <w:left w:val="single" w:color="000000" w:sz="4" w:space="0"/>
                    <w:right w:val="single" w:color="000000" w:sz="4" w:space="0"/>
                  </w:tcBorders>
                  <w:noWrap w:val="0"/>
                  <w:tcMar>
                    <w:top w:w="28" w:type="dxa"/>
                    <w:left w:w="28" w:type="dxa"/>
                    <w:bottom w:w="28" w:type="dxa"/>
                    <w:right w:w="28" w:type="dxa"/>
                  </w:tcMar>
                  <w:vAlign w:val="center"/>
                </w:tcPr>
                <w:p w14:paraId="79AAF7B2">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风量（m</w:t>
                  </w:r>
                  <w:r>
                    <w:rPr>
                      <w:rFonts w:hint="default" w:ascii="Times New Roman" w:hAnsi="Times New Roman" w:cs="Times New Roman"/>
                      <w:b/>
                      <w:bCs/>
                      <w:color w:val="000000"/>
                      <w:sz w:val="18"/>
                      <w:szCs w:val="18"/>
                      <w:highlight w:val="none"/>
                      <w:vertAlign w:val="superscript"/>
                    </w:rPr>
                    <w:t>3</w:t>
                  </w:r>
                  <w:r>
                    <w:rPr>
                      <w:rFonts w:hint="default" w:ascii="Times New Roman" w:hAnsi="Times New Roman" w:cs="Times New Roman"/>
                      <w:b/>
                      <w:bCs/>
                      <w:color w:val="000000"/>
                      <w:sz w:val="18"/>
                      <w:szCs w:val="18"/>
                      <w:highlight w:val="none"/>
                    </w:rPr>
                    <w:t>/h）</w:t>
                  </w:r>
                </w:p>
              </w:tc>
              <w:tc>
                <w:tcPr>
                  <w:tcW w:w="1503" w:type="pct"/>
                  <w:gridSpan w:val="3"/>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746B71A0">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产生情况</w:t>
                  </w:r>
                </w:p>
              </w:tc>
              <w:tc>
                <w:tcPr>
                  <w:tcW w:w="138" w:type="pct"/>
                  <w:vMerge w:val="restart"/>
                  <w:tcBorders>
                    <w:top w:val="single" w:color="000000" w:sz="4" w:space="0"/>
                    <w:left w:val="single" w:color="000000" w:sz="4" w:space="0"/>
                    <w:right w:val="single" w:color="auto" w:sz="4" w:space="0"/>
                  </w:tcBorders>
                  <w:noWrap w:val="0"/>
                  <w:tcMar>
                    <w:top w:w="28" w:type="dxa"/>
                    <w:left w:w="28" w:type="dxa"/>
                    <w:bottom w:w="28" w:type="dxa"/>
                    <w:right w:w="28" w:type="dxa"/>
                  </w:tcMar>
                  <w:vAlign w:val="center"/>
                </w:tcPr>
                <w:p w14:paraId="78ABB0E0">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治理设施</w:t>
                  </w:r>
                </w:p>
              </w:tc>
              <w:tc>
                <w:tcPr>
                  <w:tcW w:w="1601" w:type="pct"/>
                  <w:gridSpan w:val="3"/>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706A4365">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排放情况</w:t>
                  </w:r>
                </w:p>
              </w:tc>
              <w:tc>
                <w:tcPr>
                  <w:tcW w:w="340" w:type="pct"/>
                  <w:vMerge w:val="restart"/>
                  <w:tcBorders>
                    <w:top w:val="single" w:color="000000" w:sz="4" w:space="0"/>
                    <w:left w:val="single" w:color="000000" w:sz="4" w:space="0"/>
                    <w:right w:val="single" w:color="000000" w:sz="4" w:space="0"/>
                  </w:tcBorders>
                  <w:noWrap w:val="0"/>
                  <w:tcMar>
                    <w:top w:w="28" w:type="dxa"/>
                    <w:left w:w="28" w:type="dxa"/>
                    <w:bottom w:w="28" w:type="dxa"/>
                    <w:right w:w="28" w:type="dxa"/>
                  </w:tcMar>
                  <w:vAlign w:val="center"/>
                </w:tcPr>
                <w:p w14:paraId="40B078BE">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排放口编号</w:t>
                  </w:r>
                </w:p>
              </w:tc>
              <w:tc>
                <w:tcPr>
                  <w:tcW w:w="590" w:type="pct"/>
                  <w:gridSpan w:val="2"/>
                  <w:tcBorders>
                    <w:top w:val="single" w:color="000000" w:sz="4" w:space="0"/>
                    <w:left w:val="single" w:color="000000" w:sz="4" w:space="0"/>
                    <w:right w:val="single" w:color="000000" w:sz="4" w:space="0"/>
                  </w:tcBorders>
                  <w:noWrap w:val="0"/>
                  <w:tcMar>
                    <w:top w:w="28" w:type="dxa"/>
                    <w:left w:w="28" w:type="dxa"/>
                    <w:bottom w:w="28" w:type="dxa"/>
                    <w:right w:w="28" w:type="dxa"/>
                  </w:tcMar>
                  <w:vAlign w:val="center"/>
                </w:tcPr>
                <w:p w14:paraId="0793E57C">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排放标准</w:t>
                  </w:r>
                </w:p>
              </w:tc>
            </w:tr>
            <w:tr w14:paraId="05EC0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137" w:type="pct"/>
                  <w:vMerge w:val="continue"/>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39B52D14">
                  <w:pPr>
                    <w:jc w:val="center"/>
                    <w:rPr>
                      <w:rFonts w:hint="default" w:ascii="Times New Roman" w:hAnsi="Times New Roman" w:cs="Times New Roman"/>
                      <w:b/>
                      <w:bCs/>
                      <w:color w:val="000000"/>
                      <w:sz w:val="18"/>
                      <w:szCs w:val="18"/>
                      <w:highlight w:val="none"/>
                    </w:rPr>
                  </w:pPr>
                </w:p>
              </w:tc>
              <w:tc>
                <w:tcPr>
                  <w:tcW w:w="327" w:type="pct"/>
                  <w:vMerge w:val="continue"/>
                  <w:tcBorders>
                    <w:left w:val="single" w:color="000000" w:sz="4" w:space="0"/>
                    <w:right w:val="single" w:color="000000" w:sz="4" w:space="0"/>
                  </w:tcBorders>
                  <w:noWrap w:val="0"/>
                  <w:tcMar>
                    <w:top w:w="28" w:type="dxa"/>
                    <w:left w:w="28" w:type="dxa"/>
                    <w:bottom w:w="28" w:type="dxa"/>
                    <w:right w:w="28" w:type="dxa"/>
                  </w:tcMar>
                  <w:vAlign w:val="center"/>
                </w:tcPr>
                <w:p w14:paraId="261954B1">
                  <w:pPr>
                    <w:jc w:val="center"/>
                    <w:rPr>
                      <w:rFonts w:hint="default" w:ascii="Times New Roman" w:hAnsi="Times New Roman" w:cs="Times New Roman"/>
                      <w:b/>
                      <w:bCs/>
                      <w:color w:val="000000"/>
                      <w:sz w:val="18"/>
                      <w:szCs w:val="18"/>
                      <w:highlight w:val="none"/>
                    </w:rPr>
                  </w:pPr>
                </w:p>
              </w:tc>
              <w:tc>
                <w:tcPr>
                  <w:tcW w:w="360" w:type="pct"/>
                  <w:vMerge w:val="continue"/>
                  <w:tcBorders>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68D502EA">
                  <w:pPr>
                    <w:jc w:val="center"/>
                    <w:rPr>
                      <w:rFonts w:hint="default" w:ascii="Times New Roman" w:hAnsi="Times New Roman" w:cs="Times New Roman"/>
                      <w:b/>
                      <w:bCs/>
                      <w:color w:val="000000"/>
                      <w:sz w:val="18"/>
                      <w:szCs w:val="18"/>
                      <w:highlight w:val="none"/>
                    </w:rPr>
                  </w:pPr>
                </w:p>
              </w:tc>
              <w:tc>
                <w:tcPr>
                  <w:tcW w:w="434" w:type="pct"/>
                  <w:tcBorders>
                    <w:top w:val="single" w:color="000000" w:sz="4" w:space="0"/>
                    <w:left w:val="single" w:color="000000" w:sz="4" w:space="0"/>
                    <w:bottom w:val="single" w:color="000000" w:sz="4" w:space="0"/>
                    <w:right w:val="single" w:color="auto" w:sz="4" w:space="0"/>
                  </w:tcBorders>
                  <w:noWrap w:val="0"/>
                  <w:tcMar>
                    <w:top w:w="28" w:type="dxa"/>
                    <w:left w:w="28" w:type="dxa"/>
                    <w:bottom w:w="28" w:type="dxa"/>
                    <w:right w:w="28" w:type="dxa"/>
                  </w:tcMar>
                  <w:vAlign w:val="center"/>
                </w:tcPr>
                <w:p w14:paraId="7D5D717E">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浓度</w:t>
                  </w:r>
                </w:p>
                <w:p w14:paraId="5605F334">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mg/m</w:t>
                  </w:r>
                  <w:r>
                    <w:rPr>
                      <w:rFonts w:hint="default" w:ascii="Times New Roman" w:hAnsi="Times New Roman" w:cs="Times New Roman"/>
                      <w:b/>
                      <w:bCs/>
                      <w:color w:val="000000"/>
                      <w:sz w:val="18"/>
                      <w:szCs w:val="18"/>
                      <w:highlight w:val="none"/>
                      <w:vertAlign w:val="superscript"/>
                    </w:rPr>
                    <w:t>3</w:t>
                  </w:r>
                </w:p>
              </w:tc>
              <w:tc>
                <w:tcPr>
                  <w:tcW w:w="533" w:type="pct"/>
                  <w:tcBorders>
                    <w:top w:val="single" w:color="000000" w:sz="4" w:space="0"/>
                    <w:left w:val="single" w:color="auto" w:sz="4" w:space="0"/>
                    <w:bottom w:val="single" w:color="000000" w:sz="4" w:space="0"/>
                    <w:right w:val="single" w:color="auto" w:sz="4" w:space="0"/>
                  </w:tcBorders>
                  <w:noWrap w:val="0"/>
                  <w:tcMar>
                    <w:top w:w="28" w:type="dxa"/>
                    <w:left w:w="28" w:type="dxa"/>
                    <w:bottom w:w="28" w:type="dxa"/>
                    <w:right w:w="28" w:type="dxa"/>
                  </w:tcMar>
                  <w:vAlign w:val="center"/>
                </w:tcPr>
                <w:p w14:paraId="7E7C291B">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速率</w:t>
                  </w:r>
                </w:p>
                <w:p w14:paraId="197174A2">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kg/h</w:t>
                  </w:r>
                </w:p>
              </w:tc>
              <w:tc>
                <w:tcPr>
                  <w:tcW w:w="534" w:type="pct"/>
                  <w:tcBorders>
                    <w:top w:val="single" w:color="000000" w:sz="4" w:space="0"/>
                    <w:left w:val="single" w:color="auto" w:sz="4" w:space="0"/>
                    <w:bottom w:val="single" w:color="000000" w:sz="4" w:space="0"/>
                    <w:right w:val="single" w:color="000000" w:sz="4" w:space="0"/>
                  </w:tcBorders>
                  <w:noWrap w:val="0"/>
                  <w:tcMar>
                    <w:top w:w="28" w:type="dxa"/>
                    <w:left w:w="28" w:type="dxa"/>
                    <w:bottom w:w="28" w:type="dxa"/>
                    <w:right w:w="28" w:type="dxa"/>
                  </w:tcMar>
                  <w:vAlign w:val="center"/>
                </w:tcPr>
                <w:p w14:paraId="44E7269D">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产生量t/a</w:t>
                  </w:r>
                </w:p>
              </w:tc>
              <w:tc>
                <w:tcPr>
                  <w:tcW w:w="138"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6A39A8FF">
                  <w:pPr>
                    <w:jc w:val="center"/>
                    <w:rPr>
                      <w:rFonts w:hint="default" w:ascii="Times New Roman" w:hAnsi="Times New Roman" w:cs="Times New Roman"/>
                      <w:b/>
                      <w:bCs/>
                      <w:color w:val="000000"/>
                      <w:sz w:val="18"/>
                      <w:szCs w:val="18"/>
                      <w:highlight w:val="none"/>
                    </w:rPr>
                  </w:pPr>
                </w:p>
              </w:tc>
              <w:tc>
                <w:tcPr>
                  <w:tcW w:w="533"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028C962D">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浓度</w:t>
                  </w:r>
                </w:p>
                <w:p w14:paraId="5D1F7E01">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mg/m</w:t>
                  </w:r>
                  <w:r>
                    <w:rPr>
                      <w:rFonts w:hint="default" w:ascii="Times New Roman" w:hAnsi="Times New Roman" w:cs="Times New Roman"/>
                      <w:b/>
                      <w:bCs/>
                      <w:color w:val="000000"/>
                      <w:sz w:val="18"/>
                      <w:szCs w:val="18"/>
                      <w:highlight w:val="none"/>
                      <w:vertAlign w:val="superscript"/>
                    </w:rPr>
                    <w:t>3</w:t>
                  </w:r>
                </w:p>
              </w:tc>
              <w:tc>
                <w:tcPr>
                  <w:tcW w:w="533"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30D2750A">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速率</w:t>
                  </w:r>
                </w:p>
                <w:p w14:paraId="77FDF917">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kg/h</w:t>
                  </w:r>
                </w:p>
              </w:tc>
              <w:tc>
                <w:tcPr>
                  <w:tcW w:w="534"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392D292B">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排放量t/a</w:t>
                  </w:r>
                </w:p>
              </w:tc>
              <w:tc>
                <w:tcPr>
                  <w:tcW w:w="340" w:type="pct"/>
                  <w:vMerge w:val="continue"/>
                  <w:tcBorders>
                    <w:left w:val="single" w:color="000000" w:sz="4" w:space="0"/>
                    <w:right w:val="single" w:color="000000" w:sz="4" w:space="0"/>
                  </w:tcBorders>
                  <w:noWrap w:val="0"/>
                  <w:tcMar>
                    <w:top w:w="28" w:type="dxa"/>
                    <w:left w:w="28" w:type="dxa"/>
                    <w:bottom w:w="28" w:type="dxa"/>
                    <w:right w:w="28" w:type="dxa"/>
                  </w:tcMar>
                  <w:vAlign w:val="center"/>
                </w:tcPr>
                <w:p w14:paraId="3B03B921">
                  <w:pPr>
                    <w:jc w:val="center"/>
                    <w:rPr>
                      <w:rFonts w:hint="default" w:ascii="Times New Roman" w:hAnsi="Times New Roman" w:cs="Times New Roman"/>
                      <w:b/>
                      <w:bCs/>
                      <w:color w:val="000000"/>
                      <w:sz w:val="18"/>
                      <w:szCs w:val="18"/>
                      <w:highlight w:val="none"/>
                    </w:rPr>
                  </w:pPr>
                </w:p>
              </w:tc>
              <w:tc>
                <w:tcPr>
                  <w:tcW w:w="322" w:type="pct"/>
                  <w:tcBorders>
                    <w:left w:val="single" w:color="000000" w:sz="4" w:space="0"/>
                    <w:right w:val="single" w:color="auto" w:sz="4" w:space="0"/>
                  </w:tcBorders>
                  <w:noWrap w:val="0"/>
                  <w:tcMar>
                    <w:top w:w="28" w:type="dxa"/>
                    <w:left w:w="28" w:type="dxa"/>
                    <w:bottom w:w="28" w:type="dxa"/>
                    <w:right w:w="28" w:type="dxa"/>
                  </w:tcMar>
                  <w:vAlign w:val="center"/>
                </w:tcPr>
                <w:p w14:paraId="09230D80">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浓度</w:t>
                  </w:r>
                </w:p>
                <w:p w14:paraId="50AE4CB0">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mg/m</w:t>
                  </w:r>
                  <w:r>
                    <w:rPr>
                      <w:rFonts w:hint="default" w:ascii="Times New Roman" w:hAnsi="Times New Roman" w:cs="Times New Roman"/>
                      <w:b/>
                      <w:bCs/>
                      <w:color w:val="000000"/>
                      <w:sz w:val="18"/>
                      <w:szCs w:val="18"/>
                      <w:highlight w:val="none"/>
                      <w:vertAlign w:val="superscript"/>
                    </w:rPr>
                    <w:t>3</w:t>
                  </w:r>
                </w:p>
              </w:tc>
              <w:tc>
                <w:tcPr>
                  <w:tcW w:w="268" w:type="pct"/>
                  <w:tcBorders>
                    <w:left w:val="single" w:color="auto" w:sz="4" w:space="0"/>
                    <w:right w:val="single" w:color="000000" w:sz="4" w:space="0"/>
                  </w:tcBorders>
                  <w:noWrap w:val="0"/>
                  <w:tcMar>
                    <w:top w:w="28" w:type="dxa"/>
                    <w:left w:w="28" w:type="dxa"/>
                    <w:bottom w:w="28" w:type="dxa"/>
                    <w:right w:w="28" w:type="dxa"/>
                  </w:tcMar>
                  <w:vAlign w:val="center"/>
                </w:tcPr>
                <w:p w14:paraId="60ABFD4B">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速率</w:t>
                  </w:r>
                </w:p>
                <w:p w14:paraId="601B1B4E">
                  <w:pPr>
                    <w:jc w:val="center"/>
                    <w:rPr>
                      <w:rFonts w:hint="default" w:ascii="Times New Roman" w:hAnsi="Times New Roman" w:cs="Times New Roman"/>
                      <w:b/>
                      <w:bCs/>
                      <w:color w:val="000000"/>
                      <w:sz w:val="18"/>
                      <w:szCs w:val="18"/>
                      <w:highlight w:val="none"/>
                    </w:rPr>
                  </w:pPr>
                  <w:r>
                    <w:rPr>
                      <w:rFonts w:hint="default" w:ascii="Times New Roman" w:hAnsi="Times New Roman" w:cs="Times New Roman"/>
                      <w:b/>
                      <w:bCs/>
                      <w:color w:val="000000"/>
                      <w:sz w:val="18"/>
                      <w:szCs w:val="18"/>
                      <w:highlight w:val="none"/>
                    </w:rPr>
                    <w:t>kg/h</w:t>
                  </w:r>
                </w:p>
              </w:tc>
            </w:tr>
            <w:tr w14:paraId="495F9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137" w:type="pct"/>
                  <w:tcBorders>
                    <w:top w:val="single" w:color="auto" w:sz="4" w:space="0"/>
                    <w:left w:val="single" w:color="000000" w:sz="4" w:space="0"/>
                    <w:bottom w:val="single" w:color="auto" w:sz="4" w:space="0"/>
                    <w:right w:val="single" w:color="000000" w:sz="4" w:space="0"/>
                  </w:tcBorders>
                  <w:noWrap w:val="0"/>
                  <w:tcMar>
                    <w:top w:w="28" w:type="dxa"/>
                    <w:left w:w="28" w:type="dxa"/>
                    <w:bottom w:w="28" w:type="dxa"/>
                    <w:right w:w="28" w:type="dxa"/>
                  </w:tcMar>
                  <w:vAlign w:val="center"/>
                </w:tcPr>
                <w:p w14:paraId="44F6CD50">
                  <w:pPr>
                    <w:jc w:val="center"/>
                    <w:rPr>
                      <w:rFonts w:hint="default" w:ascii="Times New Roman" w:hAnsi="Times New Roman" w:eastAsia="宋体" w:cs="Times New Roman"/>
                      <w:color w:val="000000"/>
                      <w:sz w:val="18"/>
                      <w:szCs w:val="18"/>
                      <w:highlight w:val="none"/>
                      <w:lang w:val="en-US" w:eastAsia="zh-CN"/>
                    </w:rPr>
                  </w:pPr>
                  <w:r>
                    <w:rPr>
                      <w:rFonts w:hint="eastAsia" w:ascii="Times New Roman" w:hAnsi="Times New Roman" w:eastAsia="宋体" w:cs="Times New Roman"/>
                      <w:color w:val="000000"/>
                      <w:sz w:val="18"/>
                      <w:szCs w:val="18"/>
                      <w:highlight w:val="none"/>
                      <w:lang w:val="en-US" w:eastAsia="zh-CN"/>
                    </w:rPr>
                    <w:t>锡膏印刷</w:t>
                  </w:r>
                </w:p>
              </w:tc>
              <w:tc>
                <w:tcPr>
                  <w:tcW w:w="327" w:type="pct"/>
                  <w:tcBorders>
                    <w:left w:val="single" w:color="000000" w:sz="4" w:space="0"/>
                    <w:right w:val="single" w:color="000000" w:sz="4" w:space="0"/>
                  </w:tcBorders>
                  <w:noWrap w:val="0"/>
                  <w:tcMar>
                    <w:top w:w="28" w:type="dxa"/>
                    <w:left w:w="28" w:type="dxa"/>
                    <w:bottom w:w="28" w:type="dxa"/>
                    <w:right w:w="28" w:type="dxa"/>
                  </w:tcMar>
                  <w:vAlign w:val="center"/>
                </w:tcPr>
                <w:p w14:paraId="30A870D2">
                  <w:pPr>
                    <w:widowControl/>
                    <w:jc w:val="center"/>
                    <w:textAlignment w:val="center"/>
                    <w:rPr>
                      <w:rFonts w:hint="default" w:ascii="Times New Roman" w:hAnsi="Times New Roman" w:eastAsia="宋体" w:cs="Times New Roman"/>
                      <w:color w:val="000000"/>
                      <w:kern w:val="0"/>
                      <w:sz w:val="18"/>
                      <w:szCs w:val="18"/>
                      <w:highlight w:val="none"/>
                      <w:lang w:val="en-US" w:eastAsia="zh-CN" w:bidi="ar"/>
                    </w:rPr>
                  </w:pPr>
                  <w:r>
                    <w:rPr>
                      <w:rFonts w:hint="eastAsia" w:ascii="Times New Roman" w:hAnsi="Times New Roman" w:eastAsia="宋体" w:cs="Times New Roman"/>
                      <w:color w:val="000000"/>
                      <w:kern w:val="0"/>
                      <w:sz w:val="18"/>
                      <w:szCs w:val="18"/>
                      <w:highlight w:val="none"/>
                      <w:lang w:val="en-US" w:eastAsia="zh-CN" w:bidi="ar"/>
                    </w:rPr>
                    <w:t>非甲烷总烃</w:t>
                  </w:r>
                </w:p>
              </w:tc>
              <w:tc>
                <w:tcPr>
                  <w:tcW w:w="360" w:type="pct"/>
                  <w:vMerge w:val="restart"/>
                  <w:tcBorders>
                    <w:top w:val="single" w:color="000000" w:sz="4" w:space="0"/>
                    <w:left w:val="single" w:color="000000" w:sz="4" w:space="0"/>
                    <w:right w:val="single" w:color="auto" w:sz="4" w:space="0"/>
                  </w:tcBorders>
                  <w:noWrap w:val="0"/>
                  <w:tcMar>
                    <w:top w:w="28" w:type="dxa"/>
                    <w:left w:w="28" w:type="dxa"/>
                    <w:bottom w:w="28" w:type="dxa"/>
                    <w:right w:w="28" w:type="dxa"/>
                  </w:tcMar>
                  <w:vAlign w:val="center"/>
                </w:tcPr>
                <w:p w14:paraId="436507D1">
                  <w:pPr>
                    <w:jc w:val="center"/>
                    <w:rPr>
                      <w:rFonts w:hint="default" w:ascii="Times New Roman" w:hAnsi="Times New Roman" w:eastAsia="宋体" w:cs="Times New Roman"/>
                      <w:color w:val="000000"/>
                      <w:sz w:val="18"/>
                      <w:szCs w:val="18"/>
                      <w:highlight w:val="none"/>
                      <w:lang w:val="en-US" w:eastAsia="zh-CN"/>
                    </w:rPr>
                  </w:pPr>
                  <w:r>
                    <w:rPr>
                      <w:rFonts w:hint="eastAsia" w:ascii="Times New Roman" w:hAnsi="Times New Roman" w:eastAsia="宋体" w:cs="Times New Roman"/>
                      <w:color w:val="000000"/>
                      <w:sz w:val="18"/>
                      <w:szCs w:val="18"/>
                      <w:highlight w:val="none"/>
                      <w:lang w:val="en-US" w:eastAsia="zh-CN"/>
                    </w:rPr>
                    <w:t>18000</w:t>
                  </w:r>
                </w:p>
              </w:tc>
              <w:tc>
                <w:tcPr>
                  <w:tcW w:w="434" w:type="pct"/>
                  <w:tcBorders>
                    <w:top w:val="single" w:color="000000" w:sz="4" w:space="0"/>
                    <w:left w:val="single" w:color="000000" w:sz="4" w:space="0"/>
                    <w:bottom w:val="single" w:color="000000" w:sz="4" w:space="0"/>
                    <w:right w:val="single" w:color="auto" w:sz="4" w:space="0"/>
                  </w:tcBorders>
                  <w:noWrap w:val="0"/>
                  <w:tcMar>
                    <w:top w:w="28" w:type="dxa"/>
                    <w:left w:w="28" w:type="dxa"/>
                    <w:bottom w:w="28" w:type="dxa"/>
                    <w:right w:w="28" w:type="dxa"/>
                  </w:tcMar>
                  <w:vAlign w:val="center"/>
                </w:tcPr>
                <w:p w14:paraId="548E8950">
                  <w:pPr>
                    <w:snapToGrid w:val="0"/>
                    <w:jc w:val="center"/>
                    <w:textAlignment w:val="center"/>
                    <w:rPr>
                      <w:rFonts w:hint="default" w:ascii="Times New Roman" w:hAnsi="Times New Roman" w:eastAsia="宋体" w:cs="Times New Roman"/>
                      <w:color w:val="000000"/>
                      <w:sz w:val="18"/>
                      <w:szCs w:val="18"/>
                      <w:highlight w:val="none"/>
                      <w:lang w:val="en-US" w:eastAsia="zh-CN"/>
                    </w:rPr>
                  </w:pPr>
                  <w:r>
                    <w:rPr>
                      <w:rFonts w:hint="eastAsia" w:cs="Times New Roman"/>
                      <w:b w:val="0"/>
                      <w:bCs w:val="0"/>
                      <w:color w:val="auto"/>
                      <w:kern w:val="0"/>
                      <w:sz w:val="18"/>
                      <w:szCs w:val="18"/>
                      <w:highlight w:val="none"/>
                      <w:lang w:val="en-US" w:eastAsia="zh-CN"/>
                    </w:rPr>
                    <w:t>2.338</w:t>
                  </w:r>
                </w:p>
              </w:tc>
              <w:tc>
                <w:tcPr>
                  <w:tcW w:w="533" w:type="pct"/>
                  <w:tcBorders>
                    <w:top w:val="single" w:color="000000" w:sz="4" w:space="0"/>
                    <w:left w:val="single" w:color="auto" w:sz="4" w:space="0"/>
                    <w:bottom w:val="single" w:color="000000" w:sz="4" w:space="0"/>
                    <w:right w:val="single" w:color="auto" w:sz="4" w:space="0"/>
                  </w:tcBorders>
                  <w:noWrap w:val="0"/>
                  <w:tcMar>
                    <w:top w:w="28" w:type="dxa"/>
                    <w:left w:w="28" w:type="dxa"/>
                    <w:bottom w:w="28" w:type="dxa"/>
                    <w:right w:w="28" w:type="dxa"/>
                  </w:tcMar>
                  <w:vAlign w:val="center"/>
                </w:tcPr>
                <w:p w14:paraId="52A3BCD0">
                  <w:pPr>
                    <w:snapToGrid w:val="0"/>
                    <w:jc w:val="center"/>
                    <w:textAlignment w:val="center"/>
                    <w:rPr>
                      <w:rFonts w:hint="default" w:ascii="Times New Roman" w:hAnsi="Times New Roman" w:eastAsia="宋体" w:cs="Times New Roman"/>
                      <w:color w:val="000000"/>
                      <w:sz w:val="18"/>
                      <w:szCs w:val="18"/>
                      <w:highlight w:val="none"/>
                      <w:lang w:val="en-US" w:eastAsia="zh-CN"/>
                    </w:rPr>
                  </w:pPr>
                  <w:r>
                    <w:rPr>
                      <w:rFonts w:hint="eastAsia" w:cs="Times New Roman"/>
                      <w:b w:val="0"/>
                      <w:bCs w:val="0"/>
                      <w:color w:val="auto"/>
                      <w:kern w:val="0"/>
                      <w:sz w:val="18"/>
                      <w:szCs w:val="18"/>
                      <w:highlight w:val="none"/>
                      <w:lang w:val="en-US" w:eastAsia="zh-CN"/>
                    </w:rPr>
                    <w:t>0.042</w:t>
                  </w:r>
                </w:p>
              </w:tc>
              <w:tc>
                <w:tcPr>
                  <w:tcW w:w="534" w:type="pct"/>
                  <w:tcBorders>
                    <w:top w:val="single" w:color="000000" w:sz="4" w:space="0"/>
                    <w:left w:val="single" w:color="auto" w:sz="4" w:space="0"/>
                    <w:bottom w:val="single" w:color="000000" w:sz="4" w:space="0"/>
                    <w:right w:val="single" w:color="000000" w:sz="4" w:space="0"/>
                  </w:tcBorders>
                  <w:noWrap w:val="0"/>
                  <w:tcMar>
                    <w:top w:w="28" w:type="dxa"/>
                    <w:left w:w="28" w:type="dxa"/>
                    <w:bottom w:w="28" w:type="dxa"/>
                    <w:right w:w="28" w:type="dxa"/>
                  </w:tcMar>
                  <w:vAlign w:val="center"/>
                </w:tcPr>
                <w:p w14:paraId="4ACC77D7">
                  <w:pPr>
                    <w:snapToGrid w:val="0"/>
                    <w:jc w:val="center"/>
                    <w:textAlignment w:val="center"/>
                    <w:rPr>
                      <w:rFonts w:hint="default" w:ascii="Times New Roman" w:hAnsi="Times New Roman" w:eastAsia="宋体" w:cs="Times New Roman"/>
                      <w:color w:val="000000"/>
                      <w:sz w:val="18"/>
                      <w:szCs w:val="18"/>
                      <w:highlight w:val="none"/>
                      <w:lang w:val="en-US" w:eastAsia="zh-CN"/>
                    </w:rPr>
                  </w:pPr>
                  <w:r>
                    <w:rPr>
                      <w:rFonts w:hint="eastAsia" w:cs="Times New Roman"/>
                      <w:b w:val="0"/>
                      <w:bCs w:val="0"/>
                      <w:color w:val="auto"/>
                      <w:kern w:val="0"/>
                      <w:sz w:val="18"/>
                      <w:szCs w:val="18"/>
                      <w:highlight w:val="none"/>
                      <w:lang w:val="en-US" w:eastAsia="zh-CN"/>
                    </w:rPr>
                    <w:t>0.202</w:t>
                  </w:r>
                </w:p>
              </w:tc>
              <w:tc>
                <w:tcPr>
                  <w:tcW w:w="138" w:type="pct"/>
                  <w:vMerge w:val="restart"/>
                  <w:tcBorders>
                    <w:left w:val="single" w:color="000000" w:sz="4" w:space="0"/>
                    <w:right w:val="single" w:color="auto" w:sz="4" w:space="0"/>
                  </w:tcBorders>
                  <w:noWrap w:val="0"/>
                  <w:tcMar>
                    <w:top w:w="28" w:type="dxa"/>
                    <w:left w:w="28" w:type="dxa"/>
                    <w:bottom w:w="28" w:type="dxa"/>
                    <w:right w:w="28" w:type="dxa"/>
                  </w:tcMar>
                  <w:vAlign w:val="center"/>
                </w:tcPr>
                <w:p w14:paraId="7A425FB4">
                  <w:pPr>
                    <w:snapToGrid w:val="0"/>
                    <w:jc w:val="center"/>
                    <w:textAlignment w:val="center"/>
                    <w:rPr>
                      <w:rFonts w:hint="default" w:ascii="Times New Roman" w:hAnsi="Times New Roman" w:eastAsia="宋体" w:cs="Times New Roman"/>
                      <w:color w:val="000000"/>
                      <w:sz w:val="18"/>
                      <w:szCs w:val="18"/>
                      <w:highlight w:val="none"/>
                      <w:lang w:val="en-US" w:eastAsia="zh-CN"/>
                    </w:rPr>
                  </w:pPr>
                  <w:r>
                    <w:rPr>
                      <w:rFonts w:hint="default" w:ascii="Times New Roman" w:hAnsi="Times New Roman" w:eastAsia="宋体" w:cs="Times New Roman"/>
                      <w:color w:val="000000"/>
                      <w:sz w:val="18"/>
                      <w:szCs w:val="18"/>
                      <w:highlight w:val="none"/>
                      <w:lang w:val="en-US" w:eastAsia="zh-CN"/>
                    </w:rPr>
                    <w:t>干式过滤器+二级活性炭吸附装置</w:t>
                  </w:r>
                </w:p>
              </w:tc>
              <w:tc>
                <w:tcPr>
                  <w:tcW w:w="533"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155DDEEE">
                  <w:pPr>
                    <w:snapToGrid w:val="0"/>
                    <w:jc w:val="center"/>
                    <w:textAlignment w:val="center"/>
                    <w:rPr>
                      <w:rFonts w:hint="default" w:ascii="Times New Roman" w:hAnsi="Times New Roman" w:eastAsia="宋体" w:cs="Times New Roman"/>
                      <w:color w:val="000000"/>
                      <w:sz w:val="18"/>
                      <w:szCs w:val="18"/>
                      <w:highlight w:val="none"/>
                      <w:lang w:val="en-US" w:eastAsia="zh-CN"/>
                    </w:rPr>
                  </w:pPr>
                  <w:r>
                    <w:rPr>
                      <w:rFonts w:hint="default" w:ascii="Times New Roman" w:hAnsi="Times New Roman" w:eastAsia="宋体" w:cs="Times New Roman"/>
                      <w:color w:val="000000"/>
                      <w:sz w:val="18"/>
                      <w:szCs w:val="18"/>
                      <w:highlight w:val="none"/>
                      <w:lang w:val="en-US" w:eastAsia="zh-CN"/>
                    </w:rPr>
                    <w:t>0.231</w:t>
                  </w:r>
                </w:p>
              </w:tc>
              <w:tc>
                <w:tcPr>
                  <w:tcW w:w="533"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2580E11D">
                  <w:pPr>
                    <w:snapToGrid w:val="0"/>
                    <w:jc w:val="center"/>
                    <w:textAlignment w:val="center"/>
                    <w:rPr>
                      <w:rFonts w:hint="default" w:ascii="Times New Roman" w:hAnsi="Times New Roman" w:eastAsia="宋体" w:cs="Times New Roman"/>
                      <w:color w:val="000000"/>
                      <w:sz w:val="18"/>
                      <w:szCs w:val="18"/>
                      <w:highlight w:val="none"/>
                      <w:lang w:val="en-US" w:eastAsia="zh-CN"/>
                    </w:rPr>
                  </w:pPr>
                  <w:r>
                    <w:rPr>
                      <w:rFonts w:hint="default" w:ascii="Times New Roman" w:hAnsi="Times New Roman" w:eastAsia="宋体" w:cs="Times New Roman"/>
                      <w:color w:val="000000"/>
                      <w:sz w:val="18"/>
                      <w:szCs w:val="18"/>
                      <w:highlight w:val="none"/>
                      <w:lang w:val="en-US" w:eastAsia="zh-CN"/>
                    </w:rPr>
                    <w:t>0.004</w:t>
                  </w:r>
                </w:p>
              </w:tc>
              <w:tc>
                <w:tcPr>
                  <w:tcW w:w="534"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5EC04531">
                  <w:pPr>
                    <w:snapToGrid w:val="0"/>
                    <w:jc w:val="center"/>
                    <w:textAlignment w:val="center"/>
                    <w:rPr>
                      <w:rFonts w:hint="default" w:ascii="Times New Roman" w:hAnsi="Times New Roman" w:eastAsia="宋体" w:cs="Times New Roman"/>
                      <w:color w:val="000000"/>
                      <w:sz w:val="18"/>
                      <w:szCs w:val="18"/>
                      <w:highlight w:val="none"/>
                      <w:lang w:val="en-US" w:eastAsia="zh-CN"/>
                    </w:rPr>
                  </w:pPr>
                  <w:r>
                    <w:rPr>
                      <w:rFonts w:hint="default" w:ascii="Times New Roman" w:hAnsi="Times New Roman" w:eastAsia="宋体" w:cs="Times New Roman"/>
                      <w:color w:val="000000"/>
                      <w:sz w:val="18"/>
                      <w:szCs w:val="18"/>
                      <w:highlight w:val="none"/>
                      <w:lang w:val="en-US" w:eastAsia="zh-CN"/>
                    </w:rPr>
                    <w:t>0.020</w:t>
                  </w:r>
                </w:p>
              </w:tc>
              <w:tc>
                <w:tcPr>
                  <w:tcW w:w="340" w:type="pct"/>
                  <w:vMerge w:val="restart"/>
                  <w:tcBorders>
                    <w:top w:val="single" w:color="auto" w:sz="4" w:space="0"/>
                    <w:left w:val="single" w:color="000000" w:sz="4" w:space="0"/>
                    <w:right w:val="single" w:color="000000" w:sz="4" w:space="0"/>
                  </w:tcBorders>
                  <w:noWrap w:val="0"/>
                  <w:tcMar>
                    <w:top w:w="28" w:type="dxa"/>
                    <w:left w:w="28" w:type="dxa"/>
                    <w:bottom w:w="28" w:type="dxa"/>
                    <w:right w:w="28" w:type="dxa"/>
                  </w:tcMar>
                  <w:vAlign w:val="center"/>
                </w:tcPr>
                <w:p w14:paraId="5819B672">
                  <w:pPr>
                    <w:jc w:val="center"/>
                    <w:rPr>
                      <w:rFonts w:hint="default" w:ascii="Times New Roman" w:hAnsi="Times New Roman" w:eastAsia="宋体" w:cs="Times New Roman"/>
                      <w:color w:val="000000"/>
                      <w:sz w:val="18"/>
                      <w:szCs w:val="18"/>
                      <w:highlight w:val="none"/>
                      <w:lang w:val="en-US" w:eastAsia="zh-CN"/>
                    </w:rPr>
                  </w:pPr>
                  <w:r>
                    <w:rPr>
                      <w:rFonts w:hint="eastAsia" w:ascii="Times New Roman" w:hAnsi="Times New Roman" w:eastAsia="宋体" w:cs="Times New Roman"/>
                      <w:color w:val="000000"/>
                      <w:sz w:val="18"/>
                      <w:szCs w:val="18"/>
                      <w:highlight w:val="none"/>
                      <w:lang w:val="en-US" w:eastAsia="zh-CN"/>
                    </w:rPr>
                    <w:t>DA001</w:t>
                  </w:r>
                </w:p>
              </w:tc>
              <w:tc>
                <w:tcPr>
                  <w:tcW w:w="322" w:type="pct"/>
                  <w:tcBorders>
                    <w:left w:val="single" w:color="000000" w:sz="4" w:space="0"/>
                    <w:right w:val="single" w:color="auto" w:sz="4" w:space="0"/>
                  </w:tcBorders>
                  <w:noWrap w:val="0"/>
                  <w:tcMar>
                    <w:top w:w="28" w:type="dxa"/>
                    <w:left w:w="28" w:type="dxa"/>
                    <w:bottom w:w="28" w:type="dxa"/>
                    <w:right w:w="28" w:type="dxa"/>
                  </w:tcMar>
                  <w:vAlign w:val="center"/>
                </w:tcPr>
                <w:p w14:paraId="2A413383">
                  <w:pPr>
                    <w:jc w:val="center"/>
                    <w:rPr>
                      <w:rFonts w:hint="default" w:ascii="Times New Roman" w:hAnsi="Times New Roman" w:eastAsia="宋体" w:cs="Times New Roman"/>
                      <w:color w:val="000000"/>
                      <w:sz w:val="18"/>
                      <w:szCs w:val="18"/>
                      <w:highlight w:val="none"/>
                      <w:lang w:val="en-US" w:eastAsia="zh-CN"/>
                    </w:rPr>
                  </w:pPr>
                  <w:r>
                    <w:rPr>
                      <w:rFonts w:hint="eastAsia"/>
                      <w:sz w:val="18"/>
                      <w:szCs w:val="18"/>
                      <w:highlight w:val="none"/>
                      <w:lang w:val="en-US" w:eastAsia="zh-CN"/>
                    </w:rPr>
                    <w:t>40</w:t>
                  </w:r>
                </w:p>
              </w:tc>
              <w:tc>
                <w:tcPr>
                  <w:tcW w:w="268" w:type="pct"/>
                  <w:tcBorders>
                    <w:left w:val="single" w:color="auto" w:sz="4" w:space="0"/>
                    <w:right w:val="single" w:color="000000" w:sz="4" w:space="0"/>
                  </w:tcBorders>
                  <w:noWrap w:val="0"/>
                  <w:tcMar>
                    <w:top w:w="28" w:type="dxa"/>
                    <w:left w:w="28" w:type="dxa"/>
                    <w:bottom w:w="28" w:type="dxa"/>
                    <w:right w:w="28" w:type="dxa"/>
                  </w:tcMar>
                  <w:vAlign w:val="center"/>
                </w:tcPr>
                <w:p w14:paraId="1F5DF8A8">
                  <w:pPr>
                    <w:jc w:val="center"/>
                    <w:rPr>
                      <w:rFonts w:hint="eastAsia" w:ascii="Times New Roman" w:hAnsi="Times New Roman" w:eastAsia="宋体" w:cs="Times New Roman"/>
                      <w:color w:val="000000"/>
                      <w:sz w:val="18"/>
                      <w:szCs w:val="18"/>
                      <w:highlight w:val="none"/>
                      <w:lang w:val="en-US" w:eastAsia="zh-CN"/>
                    </w:rPr>
                  </w:pPr>
                  <w:r>
                    <w:rPr>
                      <w:rFonts w:hint="eastAsia"/>
                      <w:sz w:val="18"/>
                      <w:szCs w:val="18"/>
                      <w:highlight w:val="none"/>
                      <w:lang w:val="en-US" w:eastAsia="zh-CN"/>
                    </w:rPr>
                    <w:t>1.6</w:t>
                  </w:r>
                </w:p>
              </w:tc>
            </w:tr>
            <w:tr w14:paraId="62FC5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137" w:type="pct"/>
                  <w:tcBorders>
                    <w:top w:val="single" w:color="auto" w:sz="4" w:space="0"/>
                    <w:left w:val="single" w:color="000000" w:sz="4" w:space="0"/>
                    <w:bottom w:val="single" w:color="auto" w:sz="4" w:space="0"/>
                    <w:right w:val="single" w:color="000000" w:sz="4" w:space="0"/>
                  </w:tcBorders>
                  <w:noWrap w:val="0"/>
                  <w:tcMar>
                    <w:top w:w="28" w:type="dxa"/>
                    <w:left w:w="28" w:type="dxa"/>
                    <w:bottom w:w="28" w:type="dxa"/>
                    <w:right w:w="28" w:type="dxa"/>
                  </w:tcMar>
                  <w:vAlign w:val="center"/>
                </w:tcPr>
                <w:p w14:paraId="0E99C81D">
                  <w:pPr>
                    <w:jc w:val="center"/>
                    <w:rPr>
                      <w:rFonts w:hint="default" w:ascii="Times New Roman" w:hAnsi="Times New Roman" w:eastAsia="宋体"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钢网擦拭</w:t>
                  </w:r>
                </w:p>
              </w:tc>
              <w:tc>
                <w:tcPr>
                  <w:tcW w:w="327" w:type="pct"/>
                  <w:tcBorders>
                    <w:left w:val="single" w:color="000000" w:sz="4" w:space="0"/>
                    <w:right w:val="single" w:color="000000" w:sz="4" w:space="0"/>
                  </w:tcBorders>
                  <w:noWrap w:val="0"/>
                  <w:tcMar>
                    <w:top w:w="28" w:type="dxa"/>
                    <w:left w:w="28" w:type="dxa"/>
                    <w:bottom w:w="28" w:type="dxa"/>
                    <w:right w:w="28" w:type="dxa"/>
                  </w:tcMar>
                  <w:vAlign w:val="center"/>
                </w:tcPr>
                <w:p w14:paraId="2914412E">
                  <w:pPr>
                    <w:widowControl/>
                    <w:jc w:val="center"/>
                    <w:textAlignment w:val="center"/>
                    <w:rPr>
                      <w:rFonts w:hint="default" w:ascii="Times New Roman" w:hAnsi="Times New Roman" w:eastAsia="宋体" w:cs="Times New Roman"/>
                      <w:color w:val="000000"/>
                      <w:kern w:val="0"/>
                      <w:sz w:val="18"/>
                      <w:szCs w:val="18"/>
                      <w:highlight w:val="none"/>
                      <w:lang w:val="en-US" w:eastAsia="zh-CN" w:bidi="ar"/>
                    </w:rPr>
                  </w:pPr>
                  <w:r>
                    <w:rPr>
                      <w:rFonts w:hint="eastAsia" w:ascii="Times New Roman" w:hAnsi="Times New Roman" w:eastAsia="宋体" w:cs="Times New Roman"/>
                      <w:color w:val="000000"/>
                      <w:kern w:val="0"/>
                      <w:sz w:val="18"/>
                      <w:szCs w:val="18"/>
                      <w:highlight w:val="none"/>
                      <w:lang w:val="en-US" w:eastAsia="zh-CN" w:bidi="ar"/>
                    </w:rPr>
                    <w:t>非甲烷总烃</w:t>
                  </w:r>
                </w:p>
              </w:tc>
              <w:tc>
                <w:tcPr>
                  <w:tcW w:w="360"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6DCD57B9">
                  <w:pPr>
                    <w:jc w:val="center"/>
                    <w:rPr>
                      <w:rFonts w:hint="default" w:ascii="Times New Roman" w:hAnsi="Times New Roman" w:cs="Times New Roman"/>
                      <w:color w:val="000000"/>
                      <w:sz w:val="18"/>
                      <w:szCs w:val="18"/>
                      <w:highlight w:val="none"/>
                    </w:rPr>
                  </w:pPr>
                </w:p>
              </w:tc>
              <w:tc>
                <w:tcPr>
                  <w:tcW w:w="434" w:type="pct"/>
                  <w:tcBorders>
                    <w:top w:val="single" w:color="000000" w:sz="4" w:space="0"/>
                    <w:left w:val="single" w:color="000000" w:sz="4" w:space="0"/>
                    <w:right w:val="single" w:color="auto" w:sz="4" w:space="0"/>
                  </w:tcBorders>
                  <w:noWrap w:val="0"/>
                  <w:tcMar>
                    <w:top w:w="28" w:type="dxa"/>
                    <w:left w:w="28" w:type="dxa"/>
                    <w:bottom w:w="28" w:type="dxa"/>
                    <w:right w:w="28" w:type="dxa"/>
                  </w:tcMar>
                  <w:vAlign w:val="center"/>
                </w:tcPr>
                <w:p w14:paraId="2B290FC8">
                  <w:pPr>
                    <w:snapToGrid w:val="0"/>
                    <w:jc w:val="center"/>
                    <w:textAlignment w:val="center"/>
                    <w:rPr>
                      <w:rFonts w:hint="default" w:ascii="Times New Roman" w:hAnsi="Times New Roman" w:eastAsia="宋体" w:cs="Times New Roman"/>
                      <w:color w:val="000000"/>
                      <w:sz w:val="18"/>
                      <w:szCs w:val="18"/>
                      <w:highlight w:val="none"/>
                      <w:lang w:val="en-US" w:eastAsia="zh-CN"/>
                    </w:rPr>
                  </w:pPr>
                  <w:r>
                    <w:rPr>
                      <w:rFonts w:hint="default" w:ascii="Times New Roman" w:hAnsi="Times New Roman" w:eastAsia="宋体" w:cs="Times New Roman"/>
                      <w:color w:val="000000"/>
                      <w:sz w:val="18"/>
                      <w:szCs w:val="18"/>
                      <w:highlight w:val="none"/>
                      <w:lang w:val="en-US" w:eastAsia="zh-CN"/>
                    </w:rPr>
                    <w:t>130.741</w:t>
                  </w:r>
                </w:p>
              </w:tc>
              <w:tc>
                <w:tcPr>
                  <w:tcW w:w="533" w:type="pct"/>
                  <w:tcBorders>
                    <w:top w:val="single" w:color="000000" w:sz="4" w:space="0"/>
                    <w:left w:val="single" w:color="auto" w:sz="4" w:space="0"/>
                    <w:right w:val="single" w:color="auto" w:sz="4" w:space="0"/>
                  </w:tcBorders>
                  <w:noWrap w:val="0"/>
                  <w:tcMar>
                    <w:top w:w="28" w:type="dxa"/>
                    <w:left w:w="28" w:type="dxa"/>
                    <w:bottom w:w="28" w:type="dxa"/>
                    <w:right w:w="28" w:type="dxa"/>
                  </w:tcMar>
                  <w:vAlign w:val="center"/>
                </w:tcPr>
                <w:p w14:paraId="6269BB90">
                  <w:pPr>
                    <w:snapToGrid w:val="0"/>
                    <w:jc w:val="center"/>
                    <w:textAlignment w:val="center"/>
                    <w:rPr>
                      <w:rFonts w:hint="default" w:ascii="Times New Roman" w:hAnsi="Times New Roman" w:eastAsia="宋体" w:cs="Times New Roman"/>
                      <w:color w:val="000000"/>
                      <w:sz w:val="18"/>
                      <w:szCs w:val="18"/>
                      <w:highlight w:val="none"/>
                      <w:lang w:val="en-US" w:eastAsia="zh-CN"/>
                    </w:rPr>
                  </w:pPr>
                  <w:r>
                    <w:rPr>
                      <w:rFonts w:hint="eastAsia" w:cs="Times New Roman"/>
                      <w:b w:val="0"/>
                      <w:bCs w:val="0"/>
                      <w:color w:val="auto"/>
                      <w:kern w:val="0"/>
                      <w:sz w:val="18"/>
                      <w:szCs w:val="18"/>
                      <w:highlight w:val="none"/>
                      <w:lang w:val="en-US" w:eastAsia="zh-CN"/>
                    </w:rPr>
                    <w:t>2.353</w:t>
                  </w:r>
                </w:p>
              </w:tc>
              <w:tc>
                <w:tcPr>
                  <w:tcW w:w="534" w:type="pct"/>
                  <w:tcBorders>
                    <w:top w:val="single" w:color="000000" w:sz="4" w:space="0"/>
                    <w:left w:val="single" w:color="auto" w:sz="4" w:space="0"/>
                    <w:right w:val="single" w:color="000000" w:sz="4" w:space="0"/>
                  </w:tcBorders>
                  <w:noWrap w:val="0"/>
                  <w:tcMar>
                    <w:top w:w="28" w:type="dxa"/>
                    <w:left w:w="28" w:type="dxa"/>
                    <w:bottom w:w="28" w:type="dxa"/>
                    <w:right w:w="28" w:type="dxa"/>
                  </w:tcMar>
                  <w:vAlign w:val="center"/>
                </w:tcPr>
                <w:p w14:paraId="3BD192E7">
                  <w:pPr>
                    <w:snapToGrid w:val="0"/>
                    <w:jc w:val="center"/>
                    <w:textAlignment w:val="center"/>
                    <w:rPr>
                      <w:rFonts w:hint="default" w:ascii="Times New Roman" w:hAnsi="Times New Roman" w:eastAsia="宋体" w:cs="Times New Roman"/>
                      <w:color w:val="000000"/>
                      <w:sz w:val="18"/>
                      <w:szCs w:val="18"/>
                      <w:highlight w:val="none"/>
                      <w:lang w:val="en-US" w:eastAsia="zh-CN"/>
                    </w:rPr>
                  </w:pPr>
                  <w:r>
                    <w:rPr>
                      <w:rFonts w:hint="eastAsia" w:cs="Times New Roman"/>
                      <w:b w:val="0"/>
                      <w:bCs w:val="0"/>
                      <w:color w:val="auto"/>
                      <w:kern w:val="0"/>
                      <w:sz w:val="18"/>
                      <w:szCs w:val="18"/>
                      <w:highlight w:val="none"/>
                      <w:lang w:val="en-US" w:eastAsia="zh-CN"/>
                    </w:rPr>
                    <w:t>0.706</w:t>
                  </w:r>
                </w:p>
              </w:tc>
              <w:tc>
                <w:tcPr>
                  <w:tcW w:w="138"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46125BCD">
                  <w:pPr>
                    <w:snapToGrid w:val="0"/>
                    <w:jc w:val="center"/>
                    <w:textAlignment w:val="center"/>
                    <w:rPr>
                      <w:rFonts w:hint="default" w:ascii="Times New Roman" w:hAnsi="Times New Roman" w:eastAsia="宋体" w:cs="Times New Roman"/>
                      <w:color w:val="000000"/>
                      <w:sz w:val="18"/>
                      <w:szCs w:val="18"/>
                      <w:highlight w:val="none"/>
                      <w:lang w:val="en-US" w:eastAsia="zh-CN"/>
                    </w:rPr>
                  </w:pPr>
                </w:p>
              </w:tc>
              <w:tc>
                <w:tcPr>
                  <w:tcW w:w="533" w:type="pct"/>
                  <w:tcBorders>
                    <w:top w:val="single" w:color="000000" w:sz="4" w:space="0"/>
                    <w:left w:val="single" w:color="000000" w:sz="4" w:space="0"/>
                    <w:right w:val="single" w:color="000000" w:sz="4" w:space="0"/>
                  </w:tcBorders>
                  <w:noWrap w:val="0"/>
                  <w:tcMar>
                    <w:top w:w="28" w:type="dxa"/>
                    <w:left w:w="28" w:type="dxa"/>
                    <w:bottom w:w="28" w:type="dxa"/>
                    <w:right w:w="28" w:type="dxa"/>
                  </w:tcMar>
                  <w:vAlign w:val="center"/>
                </w:tcPr>
                <w:p w14:paraId="637890DC">
                  <w:pPr>
                    <w:snapToGrid w:val="0"/>
                    <w:jc w:val="center"/>
                    <w:textAlignment w:val="center"/>
                    <w:rPr>
                      <w:rFonts w:hint="default" w:ascii="Times New Roman" w:hAnsi="Times New Roman" w:eastAsia="宋体" w:cs="Times New Roman"/>
                      <w:b w:val="0"/>
                      <w:bCs w:val="0"/>
                      <w:color w:val="auto"/>
                      <w:kern w:val="0"/>
                      <w:sz w:val="18"/>
                      <w:szCs w:val="18"/>
                      <w:highlight w:val="none"/>
                      <w:lang w:val="en-US" w:eastAsia="zh-CN"/>
                    </w:rPr>
                  </w:pPr>
                  <w:r>
                    <w:rPr>
                      <w:rFonts w:hint="eastAsia" w:ascii="Times New Roman" w:hAnsi="Times New Roman" w:eastAsia="宋体" w:cs="Times New Roman"/>
                      <w:b w:val="0"/>
                      <w:bCs w:val="0"/>
                      <w:color w:val="auto"/>
                      <w:kern w:val="0"/>
                      <w:sz w:val="18"/>
                      <w:szCs w:val="18"/>
                      <w:highlight w:val="none"/>
                      <w:lang w:val="en-US" w:eastAsia="zh-CN"/>
                    </w:rPr>
                    <w:t>13.074</w:t>
                  </w:r>
                </w:p>
              </w:tc>
              <w:tc>
                <w:tcPr>
                  <w:tcW w:w="533" w:type="pct"/>
                  <w:tcBorders>
                    <w:top w:val="single" w:color="000000" w:sz="4" w:space="0"/>
                    <w:left w:val="single" w:color="000000" w:sz="4" w:space="0"/>
                    <w:right w:val="single" w:color="000000" w:sz="4" w:space="0"/>
                  </w:tcBorders>
                  <w:noWrap w:val="0"/>
                  <w:tcMar>
                    <w:top w:w="28" w:type="dxa"/>
                    <w:left w:w="28" w:type="dxa"/>
                    <w:bottom w:w="28" w:type="dxa"/>
                    <w:right w:w="28" w:type="dxa"/>
                  </w:tcMar>
                  <w:vAlign w:val="center"/>
                </w:tcPr>
                <w:p w14:paraId="0F00D054">
                  <w:pPr>
                    <w:snapToGrid w:val="0"/>
                    <w:jc w:val="center"/>
                    <w:textAlignment w:val="center"/>
                    <w:rPr>
                      <w:rFonts w:hint="default" w:ascii="Times New Roman" w:hAnsi="Times New Roman" w:eastAsia="宋体" w:cs="Times New Roman"/>
                      <w:b w:val="0"/>
                      <w:bCs w:val="0"/>
                      <w:color w:val="auto"/>
                      <w:kern w:val="0"/>
                      <w:sz w:val="18"/>
                      <w:szCs w:val="18"/>
                      <w:highlight w:val="none"/>
                      <w:lang w:val="en-US" w:eastAsia="zh-CN"/>
                    </w:rPr>
                  </w:pPr>
                  <w:r>
                    <w:rPr>
                      <w:rFonts w:hint="eastAsia" w:ascii="Times New Roman" w:hAnsi="Times New Roman" w:eastAsia="宋体" w:cs="Times New Roman"/>
                      <w:b w:val="0"/>
                      <w:bCs w:val="0"/>
                      <w:color w:val="auto"/>
                      <w:kern w:val="0"/>
                      <w:sz w:val="18"/>
                      <w:szCs w:val="18"/>
                      <w:highlight w:val="none"/>
                      <w:lang w:val="en-US" w:eastAsia="zh-CN"/>
                    </w:rPr>
                    <w:t>0.235</w:t>
                  </w:r>
                </w:p>
              </w:tc>
              <w:tc>
                <w:tcPr>
                  <w:tcW w:w="534" w:type="pct"/>
                  <w:tcBorders>
                    <w:top w:val="single" w:color="000000" w:sz="4" w:space="0"/>
                    <w:left w:val="single" w:color="000000" w:sz="4" w:space="0"/>
                    <w:right w:val="single" w:color="000000" w:sz="4" w:space="0"/>
                  </w:tcBorders>
                  <w:noWrap w:val="0"/>
                  <w:tcMar>
                    <w:top w:w="28" w:type="dxa"/>
                    <w:left w:w="28" w:type="dxa"/>
                    <w:bottom w:w="28" w:type="dxa"/>
                    <w:right w:w="28" w:type="dxa"/>
                  </w:tcMar>
                  <w:vAlign w:val="center"/>
                </w:tcPr>
                <w:p w14:paraId="1F20DFB3">
                  <w:pPr>
                    <w:snapToGrid w:val="0"/>
                    <w:jc w:val="center"/>
                    <w:textAlignment w:val="center"/>
                    <w:rPr>
                      <w:rFonts w:hint="default" w:ascii="Times New Roman" w:hAnsi="Times New Roman" w:eastAsia="宋体" w:cs="Times New Roman"/>
                      <w:b w:val="0"/>
                      <w:bCs w:val="0"/>
                      <w:color w:val="auto"/>
                      <w:kern w:val="0"/>
                      <w:sz w:val="18"/>
                      <w:szCs w:val="18"/>
                      <w:highlight w:val="none"/>
                      <w:lang w:val="en-US" w:eastAsia="zh-CN"/>
                    </w:rPr>
                  </w:pPr>
                  <w:r>
                    <w:rPr>
                      <w:rFonts w:hint="eastAsia" w:ascii="Times New Roman" w:hAnsi="Times New Roman" w:eastAsia="宋体" w:cs="Times New Roman"/>
                      <w:b w:val="0"/>
                      <w:bCs w:val="0"/>
                      <w:color w:val="auto"/>
                      <w:kern w:val="0"/>
                      <w:sz w:val="18"/>
                      <w:szCs w:val="18"/>
                      <w:highlight w:val="none"/>
                      <w:lang w:val="en-US" w:eastAsia="zh-CN"/>
                    </w:rPr>
                    <w:t>0.071</w:t>
                  </w:r>
                </w:p>
              </w:tc>
              <w:tc>
                <w:tcPr>
                  <w:tcW w:w="340" w:type="pct"/>
                  <w:vMerge w:val="continue"/>
                  <w:tcBorders>
                    <w:left w:val="single" w:color="000000" w:sz="4" w:space="0"/>
                    <w:right w:val="single" w:color="000000" w:sz="4" w:space="0"/>
                  </w:tcBorders>
                  <w:noWrap w:val="0"/>
                  <w:tcMar>
                    <w:top w:w="28" w:type="dxa"/>
                    <w:left w:w="28" w:type="dxa"/>
                    <w:bottom w:w="28" w:type="dxa"/>
                    <w:right w:w="28" w:type="dxa"/>
                  </w:tcMar>
                  <w:vAlign w:val="center"/>
                </w:tcPr>
                <w:p w14:paraId="485EC580">
                  <w:pPr>
                    <w:jc w:val="center"/>
                    <w:rPr>
                      <w:rFonts w:hint="default" w:ascii="Times New Roman" w:hAnsi="Times New Roman" w:cs="Times New Roman"/>
                      <w:color w:val="000000"/>
                      <w:sz w:val="18"/>
                      <w:szCs w:val="18"/>
                      <w:highlight w:val="none"/>
                    </w:rPr>
                  </w:pPr>
                </w:p>
              </w:tc>
              <w:tc>
                <w:tcPr>
                  <w:tcW w:w="322" w:type="pct"/>
                  <w:tcBorders>
                    <w:left w:val="single" w:color="000000" w:sz="4" w:space="0"/>
                    <w:right w:val="single" w:color="auto" w:sz="4" w:space="0"/>
                  </w:tcBorders>
                  <w:noWrap w:val="0"/>
                  <w:tcMar>
                    <w:top w:w="28" w:type="dxa"/>
                    <w:left w:w="28" w:type="dxa"/>
                    <w:bottom w:w="28" w:type="dxa"/>
                    <w:right w:w="28" w:type="dxa"/>
                  </w:tcMar>
                  <w:vAlign w:val="center"/>
                </w:tcPr>
                <w:p w14:paraId="64A614BF">
                  <w:pPr>
                    <w:jc w:val="center"/>
                    <w:rPr>
                      <w:rFonts w:hint="default" w:ascii="Times New Roman" w:hAnsi="Times New Roman" w:eastAsia="宋体" w:cs="Times New Roman"/>
                      <w:color w:val="000000"/>
                      <w:sz w:val="18"/>
                      <w:szCs w:val="18"/>
                      <w:highlight w:val="none"/>
                      <w:lang w:val="en-US" w:eastAsia="zh-CN"/>
                    </w:rPr>
                  </w:pPr>
                  <w:r>
                    <w:rPr>
                      <w:rFonts w:hint="eastAsia"/>
                      <w:sz w:val="18"/>
                      <w:szCs w:val="18"/>
                      <w:highlight w:val="none"/>
                      <w:lang w:val="en-US" w:eastAsia="zh-CN"/>
                    </w:rPr>
                    <w:t>40</w:t>
                  </w:r>
                </w:p>
              </w:tc>
              <w:tc>
                <w:tcPr>
                  <w:tcW w:w="268" w:type="pct"/>
                  <w:tcBorders>
                    <w:left w:val="single" w:color="auto" w:sz="4" w:space="0"/>
                    <w:right w:val="single" w:color="000000" w:sz="4" w:space="0"/>
                  </w:tcBorders>
                  <w:noWrap w:val="0"/>
                  <w:tcMar>
                    <w:top w:w="28" w:type="dxa"/>
                    <w:left w:w="28" w:type="dxa"/>
                    <w:bottom w:w="28" w:type="dxa"/>
                    <w:right w:w="28" w:type="dxa"/>
                  </w:tcMar>
                  <w:vAlign w:val="center"/>
                </w:tcPr>
                <w:p w14:paraId="09CB80DF">
                  <w:pPr>
                    <w:jc w:val="center"/>
                    <w:rPr>
                      <w:rFonts w:hint="default" w:ascii="Times New Roman" w:hAnsi="Times New Roman" w:eastAsia="宋体" w:cs="Times New Roman"/>
                      <w:color w:val="000000"/>
                      <w:sz w:val="18"/>
                      <w:szCs w:val="18"/>
                      <w:highlight w:val="none"/>
                      <w:lang w:val="en-US" w:eastAsia="zh-CN"/>
                    </w:rPr>
                  </w:pPr>
                  <w:r>
                    <w:rPr>
                      <w:rFonts w:hint="eastAsia"/>
                      <w:sz w:val="18"/>
                      <w:szCs w:val="18"/>
                      <w:highlight w:val="none"/>
                      <w:lang w:val="en-US" w:eastAsia="zh-CN"/>
                    </w:rPr>
                    <w:t>1.6</w:t>
                  </w:r>
                </w:p>
              </w:tc>
            </w:tr>
            <w:tr w14:paraId="2138A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137" w:type="pct"/>
                  <w:vMerge w:val="restart"/>
                  <w:tcBorders>
                    <w:top w:val="single" w:color="auto" w:sz="4" w:space="0"/>
                    <w:left w:val="single" w:color="000000" w:sz="4" w:space="0"/>
                    <w:right w:val="single" w:color="000000" w:sz="4" w:space="0"/>
                  </w:tcBorders>
                  <w:noWrap w:val="0"/>
                  <w:tcMar>
                    <w:top w:w="28" w:type="dxa"/>
                    <w:left w:w="28" w:type="dxa"/>
                    <w:bottom w:w="28" w:type="dxa"/>
                    <w:right w:w="28" w:type="dxa"/>
                  </w:tcMar>
                  <w:vAlign w:val="center"/>
                </w:tcPr>
                <w:p w14:paraId="3248DE81">
                  <w:pPr>
                    <w:jc w:val="center"/>
                    <w:rPr>
                      <w:rFonts w:hint="eastAsia" w:ascii="Times New Roman" w:hAnsi="Times New Roman" w:eastAsia="宋体"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回流焊</w:t>
                  </w:r>
                </w:p>
              </w:tc>
              <w:tc>
                <w:tcPr>
                  <w:tcW w:w="327" w:type="pct"/>
                  <w:tcBorders>
                    <w:left w:val="single" w:color="000000" w:sz="4" w:space="0"/>
                    <w:right w:val="single" w:color="000000" w:sz="4" w:space="0"/>
                  </w:tcBorders>
                  <w:noWrap w:val="0"/>
                  <w:tcMar>
                    <w:top w:w="28" w:type="dxa"/>
                    <w:left w:w="28" w:type="dxa"/>
                    <w:bottom w:w="28" w:type="dxa"/>
                    <w:right w:w="28" w:type="dxa"/>
                  </w:tcMar>
                  <w:vAlign w:val="center"/>
                </w:tcPr>
                <w:p w14:paraId="632A84F4">
                  <w:pPr>
                    <w:widowControl/>
                    <w:jc w:val="center"/>
                    <w:textAlignment w:val="center"/>
                    <w:rPr>
                      <w:rFonts w:hint="default" w:ascii="Times New Roman" w:hAnsi="Times New Roman" w:eastAsia="宋体" w:cs="Times New Roman"/>
                      <w:color w:val="000000"/>
                      <w:kern w:val="0"/>
                      <w:sz w:val="18"/>
                      <w:szCs w:val="18"/>
                      <w:highlight w:val="none"/>
                      <w:lang w:val="en-US" w:eastAsia="zh-CN" w:bidi="ar"/>
                    </w:rPr>
                  </w:pPr>
                  <w:r>
                    <w:rPr>
                      <w:rFonts w:hint="eastAsia" w:ascii="Times New Roman" w:hAnsi="Times New Roman" w:eastAsia="宋体" w:cs="Times New Roman"/>
                      <w:color w:val="000000"/>
                      <w:kern w:val="0"/>
                      <w:sz w:val="18"/>
                      <w:szCs w:val="18"/>
                      <w:highlight w:val="none"/>
                      <w:lang w:val="en-US" w:eastAsia="zh-CN" w:bidi="ar"/>
                    </w:rPr>
                    <w:t>颗粒物</w:t>
                  </w:r>
                </w:p>
              </w:tc>
              <w:tc>
                <w:tcPr>
                  <w:tcW w:w="360"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2363D0EF">
                  <w:pPr>
                    <w:jc w:val="center"/>
                    <w:rPr>
                      <w:rFonts w:hint="default" w:ascii="Times New Roman" w:hAnsi="Times New Roman" w:cs="Times New Roman"/>
                      <w:color w:val="000000"/>
                      <w:sz w:val="18"/>
                      <w:szCs w:val="18"/>
                      <w:highlight w:val="none"/>
                    </w:rPr>
                  </w:pPr>
                </w:p>
              </w:tc>
              <w:tc>
                <w:tcPr>
                  <w:tcW w:w="434" w:type="pct"/>
                  <w:tcBorders>
                    <w:top w:val="single" w:color="000000" w:sz="4" w:space="0"/>
                    <w:left w:val="single" w:color="000000" w:sz="4" w:space="0"/>
                    <w:bottom w:val="single" w:color="000000" w:sz="4" w:space="0"/>
                    <w:right w:val="single" w:color="auto" w:sz="4" w:space="0"/>
                  </w:tcBorders>
                  <w:noWrap w:val="0"/>
                  <w:tcMar>
                    <w:top w:w="28" w:type="dxa"/>
                    <w:left w:w="28" w:type="dxa"/>
                    <w:bottom w:w="28" w:type="dxa"/>
                    <w:right w:w="28" w:type="dxa"/>
                  </w:tcMar>
                  <w:vAlign w:val="center"/>
                </w:tcPr>
                <w:p w14:paraId="7DA89FB9">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eastAsia" w:cs="Times New Roman"/>
                      <w:color w:val="000000"/>
                      <w:kern w:val="2"/>
                      <w:sz w:val="18"/>
                      <w:szCs w:val="18"/>
                      <w:highlight w:val="none"/>
                      <w:lang w:val="en-US" w:eastAsia="zh-CN" w:bidi="ar-SA"/>
                    </w:rPr>
                    <w:t>0.671</w:t>
                  </w:r>
                </w:p>
              </w:tc>
              <w:tc>
                <w:tcPr>
                  <w:tcW w:w="533" w:type="pct"/>
                  <w:tcBorders>
                    <w:top w:val="single" w:color="000000" w:sz="4" w:space="0"/>
                    <w:left w:val="single" w:color="auto" w:sz="4" w:space="0"/>
                    <w:bottom w:val="single" w:color="000000" w:sz="4" w:space="0"/>
                    <w:right w:val="single" w:color="auto" w:sz="4" w:space="0"/>
                  </w:tcBorders>
                  <w:noWrap w:val="0"/>
                  <w:tcMar>
                    <w:top w:w="28" w:type="dxa"/>
                    <w:left w:w="28" w:type="dxa"/>
                    <w:bottom w:w="28" w:type="dxa"/>
                    <w:right w:w="28" w:type="dxa"/>
                  </w:tcMar>
                  <w:vAlign w:val="center"/>
                </w:tcPr>
                <w:p w14:paraId="72897CC6">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eastAsia" w:cs="Times New Roman"/>
                      <w:color w:val="000000"/>
                      <w:kern w:val="2"/>
                      <w:sz w:val="18"/>
                      <w:szCs w:val="18"/>
                      <w:highlight w:val="none"/>
                      <w:lang w:val="en-US" w:eastAsia="zh-CN" w:bidi="ar-SA"/>
                    </w:rPr>
                    <w:t>0.012</w:t>
                  </w:r>
                </w:p>
              </w:tc>
              <w:tc>
                <w:tcPr>
                  <w:tcW w:w="534" w:type="pct"/>
                  <w:tcBorders>
                    <w:top w:val="single" w:color="000000" w:sz="4" w:space="0"/>
                    <w:left w:val="single" w:color="auto" w:sz="4" w:space="0"/>
                    <w:bottom w:val="single" w:color="000000" w:sz="4" w:space="0"/>
                    <w:right w:val="single" w:color="000000" w:sz="4" w:space="0"/>
                  </w:tcBorders>
                  <w:noWrap w:val="0"/>
                  <w:tcMar>
                    <w:top w:w="28" w:type="dxa"/>
                    <w:left w:w="28" w:type="dxa"/>
                    <w:bottom w:w="28" w:type="dxa"/>
                    <w:right w:w="28" w:type="dxa"/>
                  </w:tcMar>
                  <w:vAlign w:val="center"/>
                </w:tcPr>
                <w:p w14:paraId="7871379E">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eastAsia" w:cs="Times New Roman"/>
                      <w:color w:val="000000"/>
                      <w:kern w:val="2"/>
                      <w:sz w:val="18"/>
                      <w:szCs w:val="18"/>
                      <w:highlight w:val="none"/>
                      <w:lang w:val="en-US" w:eastAsia="zh-CN" w:bidi="ar-SA"/>
                    </w:rPr>
                    <w:t>0.058</w:t>
                  </w:r>
                </w:p>
              </w:tc>
              <w:tc>
                <w:tcPr>
                  <w:tcW w:w="138"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2587C528">
                  <w:pPr>
                    <w:jc w:val="center"/>
                    <w:rPr>
                      <w:rFonts w:hint="default" w:ascii="Times New Roman" w:hAnsi="Times New Roman" w:eastAsia="宋体" w:cs="Times New Roman"/>
                      <w:color w:val="000000"/>
                      <w:sz w:val="18"/>
                      <w:szCs w:val="18"/>
                      <w:highlight w:val="none"/>
                      <w:lang w:val="en-US" w:eastAsia="zh-CN"/>
                    </w:rPr>
                  </w:pPr>
                </w:p>
              </w:tc>
              <w:tc>
                <w:tcPr>
                  <w:tcW w:w="533"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13A95732">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eastAsia" w:cs="Times New Roman"/>
                      <w:color w:val="000000"/>
                      <w:kern w:val="2"/>
                      <w:sz w:val="18"/>
                      <w:szCs w:val="18"/>
                      <w:highlight w:val="none"/>
                      <w:lang w:val="en-US" w:eastAsia="zh-CN" w:bidi="ar-SA"/>
                    </w:rPr>
                    <w:t>0.069</w:t>
                  </w:r>
                </w:p>
              </w:tc>
              <w:tc>
                <w:tcPr>
                  <w:tcW w:w="533"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6DEB1DDC">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default" w:ascii="Times New Roman" w:hAnsi="Times New Roman" w:eastAsia="宋体" w:cs="Times New Roman"/>
                      <w:color w:val="000000"/>
                      <w:kern w:val="2"/>
                      <w:sz w:val="18"/>
                      <w:szCs w:val="18"/>
                      <w:highlight w:val="none"/>
                      <w:lang w:val="en-US" w:eastAsia="zh-CN" w:bidi="ar-SA"/>
                    </w:rPr>
                    <w:t>0.00</w:t>
                  </w:r>
                  <w:r>
                    <w:rPr>
                      <w:rFonts w:hint="eastAsia" w:cs="Times New Roman"/>
                      <w:color w:val="000000"/>
                      <w:kern w:val="2"/>
                      <w:sz w:val="18"/>
                      <w:szCs w:val="18"/>
                      <w:highlight w:val="none"/>
                      <w:lang w:val="en-US" w:eastAsia="zh-CN" w:bidi="ar-SA"/>
                    </w:rPr>
                    <w:t>1</w:t>
                  </w:r>
                </w:p>
              </w:tc>
              <w:tc>
                <w:tcPr>
                  <w:tcW w:w="534"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091E440E">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eastAsia" w:cs="Times New Roman"/>
                      <w:color w:val="000000"/>
                      <w:kern w:val="2"/>
                      <w:sz w:val="18"/>
                      <w:szCs w:val="18"/>
                      <w:highlight w:val="none"/>
                      <w:lang w:val="en-US" w:eastAsia="zh-CN" w:bidi="ar-SA"/>
                    </w:rPr>
                    <w:t>0.006</w:t>
                  </w:r>
                </w:p>
              </w:tc>
              <w:tc>
                <w:tcPr>
                  <w:tcW w:w="340" w:type="pct"/>
                  <w:vMerge w:val="continue"/>
                  <w:tcBorders>
                    <w:left w:val="single" w:color="000000" w:sz="4" w:space="0"/>
                    <w:right w:val="single" w:color="000000" w:sz="4" w:space="0"/>
                  </w:tcBorders>
                  <w:noWrap w:val="0"/>
                  <w:tcMar>
                    <w:top w:w="28" w:type="dxa"/>
                    <w:left w:w="28" w:type="dxa"/>
                    <w:bottom w:w="28" w:type="dxa"/>
                    <w:right w:w="28" w:type="dxa"/>
                  </w:tcMar>
                  <w:vAlign w:val="center"/>
                </w:tcPr>
                <w:p w14:paraId="292FE735">
                  <w:pPr>
                    <w:jc w:val="center"/>
                    <w:rPr>
                      <w:rFonts w:hint="default" w:ascii="Times New Roman" w:hAnsi="Times New Roman" w:cs="Times New Roman"/>
                      <w:color w:val="000000"/>
                      <w:sz w:val="18"/>
                      <w:szCs w:val="18"/>
                      <w:highlight w:val="none"/>
                    </w:rPr>
                  </w:pPr>
                </w:p>
              </w:tc>
              <w:tc>
                <w:tcPr>
                  <w:tcW w:w="322" w:type="pct"/>
                  <w:tcBorders>
                    <w:left w:val="single" w:color="000000" w:sz="4" w:space="0"/>
                    <w:right w:val="single" w:color="auto" w:sz="4" w:space="0"/>
                  </w:tcBorders>
                  <w:noWrap w:val="0"/>
                  <w:tcMar>
                    <w:top w:w="28" w:type="dxa"/>
                    <w:left w:w="28" w:type="dxa"/>
                    <w:bottom w:w="28" w:type="dxa"/>
                    <w:right w:w="28" w:type="dxa"/>
                  </w:tcMar>
                  <w:vAlign w:val="center"/>
                </w:tcPr>
                <w:p w14:paraId="55373401">
                  <w:pPr>
                    <w:jc w:val="center"/>
                    <w:rPr>
                      <w:rFonts w:hint="default" w:ascii="Times New Roman" w:hAnsi="Times New Roman" w:eastAsia="宋体" w:cs="Times New Roman"/>
                      <w:sz w:val="18"/>
                      <w:szCs w:val="18"/>
                      <w:highlight w:val="none"/>
                      <w:lang w:val="en-US" w:eastAsia="zh-CN"/>
                    </w:rPr>
                  </w:pPr>
                  <w:r>
                    <w:rPr>
                      <w:rFonts w:hint="eastAsia" w:ascii="Times New Roman" w:hAnsi="Times New Roman" w:eastAsia="宋体" w:cs="Times New Roman"/>
                      <w:sz w:val="18"/>
                      <w:szCs w:val="18"/>
                      <w:highlight w:val="none"/>
                      <w:lang w:val="en-US" w:eastAsia="zh-CN"/>
                    </w:rPr>
                    <w:t>120</w:t>
                  </w:r>
                </w:p>
              </w:tc>
              <w:tc>
                <w:tcPr>
                  <w:tcW w:w="268" w:type="pct"/>
                  <w:tcBorders>
                    <w:left w:val="single" w:color="auto" w:sz="4" w:space="0"/>
                    <w:right w:val="single" w:color="000000" w:sz="4" w:space="0"/>
                  </w:tcBorders>
                  <w:noWrap w:val="0"/>
                  <w:tcMar>
                    <w:top w:w="28" w:type="dxa"/>
                    <w:left w:w="28" w:type="dxa"/>
                    <w:bottom w:w="28" w:type="dxa"/>
                    <w:right w:w="28" w:type="dxa"/>
                  </w:tcMar>
                  <w:vAlign w:val="center"/>
                </w:tcPr>
                <w:p w14:paraId="6DB0F6CA">
                  <w:pPr>
                    <w:jc w:val="center"/>
                    <w:rPr>
                      <w:rFonts w:hint="default" w:ascii="Times New Roman" w:hAnsi="Times New Roman" w:eastAsia="宋体" w:cs="Times New Roman"/>
                      <w:sz w:val="18"/>
                      <w:szCs w:val="18"/>
                      <w:highlight w:val="none"/>
                      <w:lang w:val="en-US" w:eastAsia="zh-CN"/>
                    </w:rPr>
                  </w:pPr>
                  <w:r>
                    <w:rPr>
                      <w:rFonts w:hint="eastAsia" w:ascii="Times New Roman" w:hAnsi="Times New Roman" w:eastAsia="宋体" w:cs="Times New Roman"/>
                      <w:sz w:val="18"/>
                      <w:szCs w:val="18"/>
                      <w:highlight w:val="none"/>
                      <w:lang w:val="en-US" w:eastAsia="zh-CN"/>
                    </w:rPr>
                    <w:t>5.515</w:t>
                  </w:r>
                </w:p>
              </w:tc>
            </w:tr>
            <w:tr w14:paraId="3A124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137" w:type="pct"/>
                  <w:vMerge w:val="continue"/>
                  <w:tcBorders>
                    <w:left w:val="single" w:color="000000" w:sz="4" w:space="0"/>
                    <w:right w:val="single" w:color="000000" w:sz="4" w:space="0"/>
                  </w:tcBorders>
                  <w:noWrap w:val="0"/>
                  <w:tcMar>
                    <w:top w:w="28" w:type="dxa"/>
                    <w:left w:w="28" w:type="dxa"/>
                    <w:bottom w:w="28" w:type="dxa"/>
                    <w:right w:w="28" w:type="dxa"/>
                  </w:tcMar>
                  <w:vAlign w:val="center"/>
                </w:tcPr>
                <w:p w14:paraId="213C325F">
                  <w:pPr>
                    <w:jc w:val="center"/>
                    <w:rPr>
                      <w:rFonts w:hint="default" w:ascii="Times New Roman" w:hAnsi="Times New Roman" w:cs="Times New Roman"/>
                      <w:color w:val="000000"/>
                      <w:sz w:val="18"/>
                      <w:szCs w:val="18"/>
                      <w:highlight w:val="none"/>
                    </w:rPr>
                  </w:pPr>
                </w:p>
              </w:tc>
              <w:tc>
                <w:tcPr>
                  <w:tcW w:w="327" w:type="pct"/>
                  <w:tcBorders>
                    <w:left w:val="single" w:color="000000" w:sz="4" w:space="0"/>
                    <w:right w:val="single" w:color="000000" w:sz="4" w:space="0"/>
                  </w:tcBorders>
                  <w:noWrap w:val="0"/>
                  <w:tcMar>
                    <w:top w:w="28" w:type="dxa"/>
                    <w:left w:w="28" w:type="dxa"/>
                    <w:bottom w:w="28" w:type="dxa"/>
                    <w:right w:w="28" w:type="dxa"/>
                  </w:tcMar>
                  <w:vAlign w:val="center"/>
                </w:tcPr>
                <w:p w14:paraId="64B0C2A9">
                  <w:pPr>
                    <w:widowControl/>
                    <w:jc w:val="center"/>
                    <w:textAlignment w:val="center"/>
                    <w:rPr>
                      <w:rFonts w:hint="default" w:ascii="Times New Roman" w:hAnsi="Times New Roman" w:eastAsia="宋体" w:cs="Times New Roman"/>
                      <w:color w:val="000000"/>
                      <w:kern w:val="0"/>
                      <w:sz w:val="18"/>
                      <w:szCs w:val="18"/>
                      <w:highlight w:val="none"/>
                      <w:lang w:val="en-US" w:eastAsia="zh-CN" w:bidi="ar"/>
                    </w:rPr>
                  </w:pPr>
                  <w:r>
                    <w:rPr>
                      <w:rFonts w:hint="eastAsia" w:ascii="Times New Roman" w:hAnsi="Times New Roman" w:eastAsia="宋体" w:cs="Times New Roman"/>
                      <w:color w:val="000000"/>
                      <w:kern w:val="0"/>
                      <w:sz w:val="18"/>
                      <w:szCs w:val="18"/>
                      <w:highlight w:val="none"/>
                      <w:lang w:val="en-US" w:eastAsia="zh-CN" w:bidi="ar"/>
                    </w:rPr>
                    <w:t>锡及其化合物</w:t>
                  </w:r>
                </w:p>
              </w:tc>
              <w:tc>
                <w:tcPr>
                  <w:tcW w:w="360"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22C0BC04">
                  <w:pPr>
                    <w:jc w:val="center"/>
                    <w:rPr>
                      <w:rFonts w:hint="default" w:ascii="Times New Roman" w:hAnsi="Times New Roman" w:cs="Times New Roman"/>
                      <w:color w:val="000000"/>
                      <w:sz w:val="18"/>
                      <w:szCs w:val="18"/>
                      <w:highlight w:val="none"/>
                    </w:rPr>
                  </w:pPr>
                </w:p>
              </w:tc>
              <w:tc>
                <w:tcPr>
                  <w:tcW w:w="434" w:type="pct"/>
                  <w:tcBorders>
                    <w:top w:val="single" w:color="000000" w:sz="4" w:space="0"/>
                    <w:left w:val="single" w:color="000000" w:sz="4" w:space="0"/>
                    <w:bottom w:val="single" w:color="000000" w:sz="4" w:space="0"/>
                    <w:right w:val="single" w:color="auto" w:sz="4" w:space="0"/>
                  </w:tcBorders>
                  <w:noWrap w:val="0"/>
                  <w:tcMar>
                    <w:top w:w="28" w:type="dxa"/>
                    <w:left w:w="28" w:type="dxa"/>
                    <w:bottom w:w="28" w:type="dxa"/>
                    <w:right w:w="28" w:type="dxa"/>
                  </w:tcMar>
                  <w:vAlign w:val="center"/>
                </w:tcPr>
                <w:p w14:paraId="7739455A">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eastAsia" w:cs="Times New Roman"/>
                      <w:color w:val="000000"/>
                      <w:kern w:val="2"/>
                      <w:sz w:val="18"/>
                      <w:szCs w:val="18"/>
                      <w:highlight w:val="none"/>
                      <w:lang w:val="en-US" w:eastAsia="zh-CN" w:bidi="ar-SA"/>
                    </w:rPr>
                    <w:t>0.602</w:t>
                  </w:r>
                </w:p>
              </w:tc>
              <w:tc>
                <w:tcPr>
                  <w:tcW w:w="533" w:type="pct"/>
                  <w:tcBorders>
                    <w:top w:val="single" w:color="000000" w:sz="4" w:space="0"/>
                    <w:left w:val="single" w:color="auto" w:sz="4" w:space="0"/>
                    <w:bottom w:val="single" w:color="000000" w:sz="4" w:space="0"/>
                    <w:right w:val="single" w:color="auto" w:sz="4" w:space="0"/>
                  </w:tcBorders>
                  <w:noWrap w:val="0"/>
                  <w:tcMar>
                    <w:top w:w="28" w:type="dxa"/>
                    <w:left w:w="28" w:type="dxa"/>
                    <w:bottom w:w="28" w:type="dxa"/>
                    <w:right w:w="28" w:type="dxa"/>
                  </w:tcMar>
                  <w:vAlign w:val="center"/>
                </w:tcPr>
                <w:p w14:paraId="19DC322C">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eastAsia" w:cs="Times New Roman"/>
                      <w:color w:val="000000"/>
                      <w:kern w:val="2"/>
                      <w:sz w:val="18"/>
                      <w:szCs w:val="18"/>
                      <w:highlight w:val="none"/>
                      <w:lang w:val="en-US" w:eastAsia="zh-CN" w:bidi="ar-SA"/>
                    </w:rPr>
                    <w:t>0.011</w:t>
                  </w:r>
                </w:p>
              </w:tc>
              <w:tc>
                <w:tcPr>
                  <w:tcW w:w="534" w:type="pct"/>
                  <w:tcBorders>
                    <w:top w:val="single" w:color="000000" w:sz="4" w:space="0"/>
                    <w:left w:val="single" w:color="auto" w:sz="4" w:space="0"/>
                    <w:bottom w:val="single" w:color="000000" w:sz="4" w:space="0"/>
                    <w:right w:val="single" w:color="000000" w:sz="4" w:space="0"/>
                  </w:tcBorders>
                  <w:noWrap w:val="0"/>
                  <w:tcMar>
                    <w:top w:w="28" w:type="dxa"/>
                    <w:left w:w="28" w:type="dxa"/>
                    <w:bottom w:w="28" w:type="dxa"/>
                    <w:right w:w="28" w:type="dxa"/>
                  </w:tcMar>
                  <w:vAlign w:val="center"/>
                </w:tcPr>
                <w:p w14:paraId="575BA5B1">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eastAsia" w:cs="Times New Roman"/>
                      <w:color w:val="000000"/>
                      <w:kern w:val="2"/>
                      <w:sz w:val="18"/>
                      <w:szCs w:val="18"/>
                      <w:highlight w:val="none"/>
                      <w:lang w:val="en-US" w:eastAsia="zh-CN" w:bidi="ar-SA"/>
                    </w:rPr>
                    <w:t>0.052</w:t>
                  </w:r>
                </w:p>
              </w:tc>
              <w:tc>
                <w:tcPr>
                  <w:tcW w:w="138"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211F7DAC">
                  <w:pPr>
                    <w:jc w:val="center"/>
                    <w:rPr>
                      <w:rFonts w:hint="default" w:ascii="Times New Roman" w:hAnsi="Times New Roman" w:eastAsia="宋体" w:cs="Times New Roman"/>
                      <w:color w:val="000000"/>
                      <w:sz w:val="18"/>
                      <w:szCs w:val="18"/>
                      <w:highlight w:val="none"/>
                      <w:lang w:val="en-US" w:eastAsia="zh-CN"/>
                    </w:rPr>
                  </w:pPr>
                </w:p>
              </w:tc>
              <w:tc>
                <w:tcPr>
                  <w:tcW w:w="533"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4E2C31E0">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default" w:ascii="Times New Roman" w:hAnsi="Times New Roman" w:eastAsia="宋体" w:cs="Times New Roman"/>
                      <w:color w:val="000000"/>
                      <w:kern w:val="2"/>
                      <w:sz w:val="18"/>
                      <w:szCs w:val="18"/>
                      <w:highlight w:val="none"/>
                      <w:lang w:val="en-US" w:eastAsia="zh-CN" w:bidi="ar-SA"/>
                    </w:rPr>
                    <w:t>0</w:t>
                  </w:r>
                  <w:r>
                    <w:rPr>
                      <w:rFonts w:hint="eastAsia" w:cs="Times New Roman"/>
                      <w:color w:val="000000"/>
                      <w:kern w:val="2"/>
                      <w:sz w:val="18"/>
                      <w:szCs w:val="18"/>
                      <w:highlight w:val="none"/>
                      <w:lang w:val="en-US" w:eastAsia="zh-CN" w:bidi="ar-SA"/>
                    </w:rPr>
                    <w:t>.058</w:t>
                  </w:r>
                </w:p>
              </w:tc>
              <w:tc>
                <w:tcPr>
                  <w:tcW w:w="533"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296F414E">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default" w:ascii="Times New Roman" w:hAnsi="Times New Roman" w:eastAsia="宋体" w:cs="Times New Roman"/>
                      <w:color w:val="000000"/>
                      <w:kern w:val="2"/>
                      <w:sz w:val="18"/>
                      <w:szCs w:val="18"/>
                      <w:highlight w:val="none"/>
                      <w:lang w:val="en-US" w:eastAsia="zh-CN" w:bidi="ar-SA"/>
                    </w:rPr>
                    <w:t>0.00</w:t>
                  </w:r>
                  <w:r>
                    <w:rPr>
                      <w:rFonts w:hint="eastAsia" w:cs="Times New Roman"/>
                      <w:color w:val="000000"/>
                      <w:kern w:val="2"/>
                      <w:sz w:val="18"/>
                      <w:szCs w:val="18"/>
                      <w:highlight w:val="none"/>
                      <w:lang w:val="en-US" w:eastAsia="zh-CN" w:bidi="ar-SA"/>
                    </w:rPr>
                    <w:t>1</w:t>
                  </w:r>
                </w:p>
              </w:tc>
              <w:tc>
                <w:tcPr>
                  <w:tcW w:w="534"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4D0DF1AC">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default" w:ascii="Times New Roman" w:hAnsi="Times New Roman" w:eastAsia="宋体" w:cs="Times New Roman"/>
                      <w:color w:val="000000"/>
                      <w:kern w:val="2"/>
                      <w:sz w:val="18"/>
                      <w:szCs w:val="18"/>
                      <w:highlight w:val="none"/>
                      <w:lang w:val="en-US" w:eastAsia="zh-CN" w:bidi="ar-SA"/>
                    </w:rPr>
                    <w:t>0.00</w:t>
                  </w:r>
                  <w:r>
                    <w:rPr>
                      <w:rFonts w:hint="eastAsia" w:cs="Times New Roman"/>
                      <w:color w:val="000000"/>
                      <w:kern w:val="2"/>
                      <w:sz w:val="18"/>
                      <w:szCs w:val="18"/>
                      <w:highlight w:val="none"/>
                      <w:lang w:val="en-US" w:eastAsia="zh-CN" w:bidi="ar-SA"/>
                    </w:rPr>
                    <w:t>5</w:t>
                  </w:r>
                </w:p>
              </w:tc>
              <w:tc>
                <w:tcPr>
                  <w:tcW w:w="340" w:type="pct"/>
                  <w:vMerge w:val="continue"/>
                  <w:tcBorders>
                    <w:left w:val="single" w:color="000000" w:sz="4" w:space="0"/>
                    <w:right w:val="single" w:color="000000" w:sz="4" w:space="0"/>
                  </w:tcBorders>
                  <w:noWrap w:val="0"/>
                  <w:tcMar>
                    <w:top w:w="28" w:type="dxa"/>
                    <w:left w:w="28" w:type="dxa"/>
                    <w:bottom w:w="28" w:type="dxa"/>
                    <w:right w:w="28" w:type="dxa"/>
                  </w:tcMar>
                  <w:vAlign w:val="center"/>
                </w:tcPr>
                <w:p w14:paraId="3C8863F7">
                  <w:pPr>
                    <w:jc w:val="center"/>
                    <w:rPr>
                      <w:rFonts w:hint="default" w:ascii="Times New Roman" w:hAnsi="Times New Roman" w:cs="Times New Roman"/>
                      <w:color w:val="000000"/>
                      <w:sz w:val="18"/>
                      <w:szCs w:val="18"/>
                      <w:highlight w:val="none"/>
                    </w:rPr>
                  </w:pPr>
                </w:p>
              </w:tc>
              <w:tc>
                <w:tcPr>
                  <w:tcW w:w="322" w:type="pct"/>
                  <w:tcBorders>
                    <w:left w:val="single" w:color="000000" w:sz="4" w:space="0"/>
                    <w:right w:val="single" w:color="auto" w:sz="4" w:space="0"/>
                  </w:tcBorders>
                  <w:noWrap w:val="0"/>
                  <w:tcMar>
                    <w:top w:w="28" w:type="dxa"/>
                    <w:left w:w="28" w:type="dxa"/>
                    <w:bottom w:w="28" w:type="dxa"/>
                    <w:right w:w="28" w:type="dxa"/>
                  </w:tcMar>
                  <w:vAlign w:val="center"/>
                </w:tcPr>
                <w:p w14:paraId="02FCA093">
                  <w:pPr>
                    <w:jc w:val="center"/>
                    <w:rPr>
                      <w:rFonts w:hint="default" w:ascii="Times New Roman" w:hAnsi="Times New Roman" w:eastAsia="宋体" w:cs="Times New Roman"/>
                      <w:sz w:val="18"/>
                      <w:szCs w:val="18"/>
                      <w:highlight w:val="none"/>
                      <w:lang w:val="en-US" w:eastAsia="zh-CN"/>
                    </w:rPr>
                  </w:pPr>
                  <w:r>
                    <w:rPr>
                      <w:rFonts w:hint="eastAsia" w:ascii="Times New Roman" w:hAnsi="Times New Roman" w:eastAsia="宋体" w:cs="Times New Roman"/>
                      <w:sz w:val="18"/>
                      <w:szCs w:val="18"/>
                      <w:highlight w:val="none"/>
                      <w:lang w:val="en-US" w:eastAsia="zh-CN"/>
                    </w:rPr>
                    <w:t>8.5</w:t>
                  </w:r>
                </w:p>
              </w:tc>
              <w:tc>
                <w:tcPr>
                  <w:tcW w:w="268" w:type="pct"/>
                  <w:tcBorders>
                    <w:left w:val="single" w:color="auto" w:sz="4" w:space="0"/>
                    <w:right w:val="single" w:color="000000" w:sz="4" w:space="0"/>
                  </w:tcBorders>
                  <w:noWrap w:val="0"/>
                  <w:tcMar>
                    <w:top w:w="28" w:type="dxa"/>
                    <w:left w:w="28" w:type="dxa"/>
                    <w:bottom w:w="28" w:type="dxa"/>
                    <w:right w:w="28" w:type="dxa"/>
                  </w:tcMar>
                  <w:vAlign w:val="center"/>
                </w:tcPr>
                <w:p w14:paraId="1981603D">
                  <w:pPr>
                    <w:jc w:val="center"/>
                    <w:rPr>
                      <w:rFonts w:hint="default" w:ascii="Times New Roman" w:hAnsi="Times New Roman" w:eastAsia="宋体" w:cs="Times New Roman"/>
                      <w:sz w:val="18"/>
                      <w:szCs w:val="18"/>
                      <w:highlight w:val="none"/>
                      <w:lang w:val="en-US" w:eastAsia="zh-CN"/>
                    </w:rPr>
                  </w:pPr>
                  <w:r>
                    <w:rPr>
                      <w:rFonts w:hint="eastAsia" w:ascii="Times New Roman" w:hAnsi="Times New Roman" w:eastAsia="宋体" w:cs="Times New Roman"/>
                      <w:sz w:val="18"/>
                      <w:szCs w:val="18"/>
                      <w:highlight w:val="none"/>
                      <w:lang w:val="en-US" w:eastAsia="zh-CN"/>
                    </w:rPr>
                    <w:t>0.452</w:t>
                  </w:r>
                </w:p>
              </w:tc>
            </w:tr>
            <w:tr w14:paraId="7D0BC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137" w:type="pct"/>
                  <w:vMerge w:val="continue"/>
                  <w:tcBorders>
                    <w:left w:val="single" w:color="000000" w:sz="4" w:space="0"/>
                    <w:bottom w:val="single" w:color="auto" w:sz="4" w:space="0"/>
                    <w:right w:val="single" w:color="000000" w:sz="4" w:space="0"/>
                  </w:tcBorders>
                  <w:noWrap w:val="0"/>
                  <w:tcMar>
                    <w:top w:w="28" w:type="dxa"/>
                    <w:left w:w="28" w:type="dxa"/>
                    <w:bottom w:w="28" w:type="dxa"/>
                    <w:right w:w="28" w:type="dxa"/>
                  </w:tcMar>
                  <w:vAlign w:val="center"/>
                </w:tcPr>
                <w:p w14:paraId="57A55C2A">
                  <w:pPr>
                    <w:jc w:val="center"/>
                    <w:rPr>
                      <w:rFonts w:hint="eastAsia" w:ascii="Times New Roman" w:hAnsi="Times New Roman" w:eastAsia="宋体" w:cs="Times New Roman"/>
                      <w:color w:val="000000"/>
                      <w:sz w:val="18"/>
                      <w:szCs w:val="18"/>
                      <w:highlight w:val="none"/>
                      <w:lang w:val="en-US" w:eastAsia="zh-CN"/>
                    </w:rPr>
                  </w:pPr>
                </w:p>
              </w:tc>
              <w:tc>
                <w:tcPr>
                  <w:tcW w:w="327" w:type="pct"/>
                  <w:tcBorders>
                    <w:left w:val="single" w:color="000000" w:sz="4" w:space="0"/>
                    <w:right w:val="single" w:color="000000" w:sz="4" w:space="0"/>
                  </w:tcBorders>
                  <w:noWrap w:val="0"/>
                  <w:tcMar>
                    <w:top w:w="28" w:type="dxa"/>
                    <w:left w:w="28" w:type="dxa"/>
                    <w:bottom w:w="28" w:type="dxa"/>
                    <w:right w:w="28" w:type="dxa"/>
                  </w:tcMar>
                  <w:vAlign w:val="center"/>
                </w:tcPr>
                <w:p w14:paraId="1EC3818C">
                  <w:pPr>
                    <w:snapToGrid w:val="0"/>
                    <w:spacing w:line="240" w:lineRule="auto"/>
                    <w:jc w:val="center"/>
                    <w:rPr>
                      <w:rFonts w:hint="default" w:ascii="Times New Roman" w:hAnsi="Times New Roman" w:eastAsia="宋体" w:cs="Times New Roman"/>
                      <w:color w:val="000000"/>
                      <w:kern w:val="0"/>
                      <w:sz w:val="18"/>
                      <w:szCs w:val="18"/>
                      <w:highlight w:val="none"/>
                      <w:lang w:val="en-US" w:eastAsia="zh-CN" w:bidi="ar"/>
                    </w:rPr>
                  </w:pPr>
                  <w:r>
                    <w:rPr>
                      <w:rFonts w:hint="eastAsia" w:ascii="Times New Roman" w:hAnsi="Times New Roman" w:eastAsia="宋体" w:cs="Times New Roman"/>
                      <w:color w:val="000000"/>
                      <w:kern w:val="0"/>
                      <w:sz w:val="18"/>
                      <w:szCs w:val="18"/>
                      <w:highlight w:val="none"/>
                      <w:lang w:val="en-US" w:eastAsia="zh-CN" w:bidi="ar"/>
                    </w:rPr>
                    <w:t>非甲烷总烃</w:t>
                  </w:r>
                </w:p>
              </w:tc>
              <w:tc>
                <w:tcPr>
                  <w:tcW w:w="360"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2D0F294C">
                  <w:pPr>
                    <w:jc w:val="center"/>
                    <w:rPr>
                      <w:rFonts w:hint="default" w:ascii="Times New Roman" w:hAnsi="Times New Roman" w:eastAsia="宋体" w:cs="Times New Roman"/>
                      <w:color w:val="000000"/>
                      <w:sz w:val="18"/>
                      <w:szCs w:val="18"/>
                      <w:highlight w:val="none"/>
                      <w:lang w:val="en-US" w:eastAsia="zh-CN"/>
                    </w:rPr>
                  </w:pPr>
                </w:p>
              </w:tc>
              <w:tc>
                <w:tcPr>
                  <w:tcW w:w="434" w:type="pct"/>
                  <w:tcBorders>
                    <w:top w:val="single" w:color="000000" w:sz="4" w:space="0"/>
                    <w:left w:val="single" w:color="000000" w:sz="4" w:space="0"/>
                    <w:bottom w:val="single" w:color="000000" w:sz="4" w:space="0"/>
                    <w:right w:val="single" w:color="auto" w:sz="4" w:space="0"/>
                  </w:tcBorders>
                  <w:noWrap w:val="0"/>
                  <w:tcMar>
                    <w:top w:w="28" w:type="dxa"/>
                    <w:left w:w="28" w:type="dxa"/>
                    <w:bottom w:w="28" w:type="dxa"/>
                    <w:right w:w="28" w:type="dxa"/>
                  </w:tcMar>
                  <w:vAlign w:val="center"/>
                </w:tcPr>
                <w:p w14:paraId="1B8D4A66">
                  <w:pPr>
                    <w:widowControl/>
                    <w:spacing w:line="240" w:lineRule="auto"/>
                    <w:jc w:val="center"/>
                    <w:textAlignment w:val="center"/>
                    <w:rPr>
                      <w:rFonts w:hint="default" w:eastAsia="宋体" w:cs="Times New Roman"/>
                      <w:color w:val="000000"/>
                      <w:kern w:val="2"/>
                      <w:sz w:val="18"/>
                      <w:szCs w:val="18"/>
                      <w:highlight w:val="none"/>
                      <w:lang w:val="en-US" w:eastAsia="zh-CN" w:bidi="ar-SA"/>
                    </w:rPr>
                  </w:pPr>
                  <w:r>
                    <w:rPr>
                      <w:rFonts w:hint="default" w:eastAsia="宋体" w:cs="Times New Roman"/>
                      <w:color w:val="000000"/>
                      <w:kern w:val="2"/>
                      <w:sz w:val="18"/>
                      <w:szCs w:val="18"/>
                      <w:highlight w:val="none"/>
                      <w:lang w:val="en-US" w:eastAsia="zh-CN" w:bidi="ar-SA"/>
                    </w:rPr>
                    <w:t>256.667</w:t>
                  </w:r>
                </w:p>
              </w:tc>
              <w:tc>
                <w:tcPr>
                  <w:tcW w:w="533" w:type="pct"/>
                  <w:tcBorders>
                    <w:top w:val="single" w:color="000000" w:sz="4" w:space="0"/>
                    <w:left w:val="single" w:color="auto" w:sz="4" w:space="0"/>
                    <w:bottom w:val="single" w:color="000000" w:sz="4" w:space="0"/>
                    <w:right w:val="single" w:color="auto" w:sz="4" w:space="0"/>
                  </w:tcBorders>
                  <w:noWrap w:val="0"/>
                  <w:tcMar>
                    <w:top w:w="28" w:type="dxa"/>
                    <w:left w:w="28" w:type="dxa"/>
                    <w:bottom w:w="28" w:type="dxa"/>
                    <w:right w:w="28" w:type="dxa"/>
                  </w:tcMar>
                  <w:vAlign w:val="center"/>
                </w:tcPr>
                <w:p w14:paraId="53443224">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default" w:ascii="Times New Roman" w:hAnsi="Times New Roman" w:eastAsia="宋体" w:cs="Times New Roman"/>
                      <w:color w:val="000000"/>
                      <w:kern w:val="2"/>
                      <w:sz w:val="18"/>
                      <w:szCs w:val="18"/>
                      <w:highlight w:val="none"/>
                      <w:lang w:val="en-US" w:eastAsia="zh-CN" w:bidi="ar-SA"/>
                    </w:rPr>
                    <w:t>4.620</w:t>
                  </w:r>
                </w:p>
              </w:tc>
              <w:tc>
                <w:tcPr>
                  <w:tcW w:w="534" w:type="pct"/>
                  <w:tcBorders>
                    <w:top w:val="single" w:color="000000" w:sz="4" w:space="0"/>
                    <w:left w:val="single" w:color="auto" w:sz="4" w:space="0"/>
                    <w:bottom w:val="single" w:color="000000" w:sz="4" w:space="0"/>
                    <w:right w:val="single" w:color="000000" w:sz="4" w:space="0"/>
                  </w:tcBorders>
                  <w:noWrap w:val="0"/>
                  <w:tcMar>
                    <w:top w:w="28" w:type="dxa"/>
                    <w:left w:w="28" w:type="dxa"/>
                    <w:bottom w:w="28" w:type="dxa"/>
                    <w:right w:w="28" w:type="dxa"/>
                  </w:tcMar>
                  <w:vAlign w:val="center"/>
                </w:tcPr>
                <w:p w14:paraId="45249D11">
                  <w:pPr>
                    <w:widowControl/>
                    <w:spacing w:line="240" w:lineRule="auto"/>
                    <w:jc w:val="center"/>
                    <w:textAlignment w:val="center"/>
                    <w:rPr>
                      <w:rFonts w:hint="default" w:eastAsia="宋体" w:cs="Times New Roman"/>
                      <w:color w:val="000000"/>
                      <w:kern w:val="2"/>
                      <w:sz w:val="18"/>
                      <w:szCs w:val="18"/>
                      <w:highlight w:val="none"/>
                      <w:lang w:val="en-US" w:eastAsia="zh-CN" w:bidi="ar-SA"/>
                    </w:rPr>
                  </w:pPr>
                  <w:r>
                    <w:rPr>
                      <w:rFonts w:hint="default" w:eastAsia="宋体" w:cs="Times New Roman"/>
                      <w:color w:val="000000"/>
                      <w:kern w:val="2"/>
                      <w:sz w:val="18"/>
                      <w:szCs w:val="18"/>
                      <w:highlight w:val="none"/>
                      <w:lang w:val="en-US" w:eastAsia="zh-CN" w:bidi="ar-SA"/>
                    </w:rPr>
                    <w:t>22.176</w:t>
                  </w:r>
                </w:p>
              </w:tc>
              <w:tc>
                <w:tcPr>
                  <w:tcW w:w="138"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4BB57617">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p>
              </w:tc>
              <w:tc>
                <w:tcPr>
                  <w:tcW w:w="533"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0F3CE39B">
                  <w:pPr>
                    <w:widowControl/>
                    <w:spacing w:line="240" w:lineRule="auto"/>
                    <w:jc w:val="center"/>
                    <w:textAlignment w:val="center"/>
                    <w:rPr>
                      <w:rFonts w:hint="default" w:eastAsia="宋体" w:cs="Times New Roman"/>
                      <w:color w:val="000000"/>
                      <w:kern w:val="2"/>
                      <w:sz w:val="18"/>
                      <w:szCs w:val="18"/>
                      <w:highlight w:val="none"/>
                      <w:lang w:val="en-US" w:eastAsia="zh-CN" w:bidi="ar-SA"/>
                    </w:rPr>
                  </w:pPr>
                  <w:r>
                    <w:rPr>
                      <w:rFonts w:hint="default" w:eastAsia="宋体" w:cs="Times New Roman"/>
                      <w:color w:val="000000"/>
                      <w:kern w:val="2"/>
                      <w:sz w:val="18"/>
                      <w:szCs w:val="18"/>
                      <w:highlight w:val="none"/>
                      <w:lang w:val="en-US" w:eastAsia="zh-CN" w:bidi="ar-SA"/>
                    </w:rPr>
                    <w:t>25.671</w:t>
                  </w:r>
                </w:p>
              </w:tc>
              <w:tc>
                <w:tcPr>
                  <w:tcW w:w="533"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0F842D80">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default" w:ascii="Times New Roman" w:hAnsi="Times New Roman" w:eastAsia="宋体" w:cs="Times New Roman"/>
                      <w:color w:val="000000"/>
                      <w:kern w:val="2"/>
                      <w:sz w:val="18"/>
                      <w:szCs w:val="18"/>
                      <w:highlight w:val="none"/>
                      <w:lang w:val="en-US" w:eastAsia="zh-CN" w:bidi="ar-SA"/>
                    </w:rPr>
                    <w:t>0.462</w:t>
                  </w:r>
                </w:p>
              </w:tc>
              <w:tc>
                <w:tcPr>
                  <w:tcW w:w="534"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71A50975">
                  <w:pPr>
                    <w:widowControl/>
                    <w:spacing w:line="240" w:lineRule="auto"/>
                    <w:jc w:val="center"/>
                    <w:textAlignment w:val="center"/>
                    <w:rPr>
                      <w:rFonts w:hint="default" w:eastAsia="宋体" w:cs="Times New Roman"/>
                      <w:color w:val="000000"/>
                      <w:kern w:val="2"/>
                      <w:sz w:val="18"/>
                      <w:szCs w:val="18"/>
                      <w:highlight w:val="none"/>
                      <w:lang w:val="en-US" w:eastAsia="zh-CN" w:bidi="ar-SA"/>
                    </w:rPr>
                  </w:pPr>
                  <w:r>
                    <w:rPr>
                      <w:rFonts w:hint="default" w:eastAsia="宋体" w:cs="Times New Roman"/>
                      <w:color w:val="000000"/>
                      <w:kern w:val="2"/>
                      <w:sz w:val="18"/>
                      <w:szCs w:val="18"/>
                      <w:highlight w:val="none"/>
                      <w:lang w:val="en-US" w:eastAsia="zh-CN" w:bidi="ar-SA"/>
                    </w:rPr>
                    <w:t>2.218</w:t>
                  </w:r>
                </w:p>
              </w:tc>
              <w:tc>
                <w:tcPr>
                  <w:tcW w:w="340" w:type="pct"/>
                  <w:vMerge w:val="continue"/>
                  <w:tcBorders>
                    <w:left w:val="single" w:color="000000" w:sz="4" w:space="0"/>
                    <w:right w:val="single" w:color="000000" w:sz="4" w:space="0"/>
                  </w:tcBorders>
                  <w:noWrap w:val="0"/>
                  <w:tcMar>
                    <w:top w:w="28" w:type="dxa"/>
                    <w:left w:w="28" w:type="dxa"/>
                    <w:bottom w:w="28" w:type="dxa"/>
                    <w:right w:w="28" w:type="dxa"/>
                  </w:tcMar>
                  <w:vAlign w:val="center"/>
                </w:tcPr>
                <w:p w14:paraId="3E2F0C50">
                  <w:pPr>
                    <w:jc w:val="center"/>
                    <w:rPr>
                      <w:rFonts w:hint="default" w:ascii="Times New Roman" w:hAnsi="Times New Roman" w:eastAsia="宋体" w:cs="Times New Roman"/>
                      <w:color w:val="000000"/>
                      <w:sz w:val="18"/>
                      <w:szCs w:val="18"/>
                      <w:highlight w:val="none"/>
                      <w:lang w:val="en-US" w:eastAsia="zh-CN"/>
                    </w:rPr>
                  </w:pPr>
                </w:p>
              </w:tc>
              <w:tc>
                <w:tcPr>
                  <w:tcW w:w="322" w:type="pct"/>
                  <w:tcBorders>
                    <w:left w:val="single" w:color="000000" w:sz="4" w:space="0"/>
                    <w:right w:val="single" w:color="auto" w:sz="4" w:space="0"/>
                  </w:tcBorders>
                  <w:noWrap w:val="0"/>
                  <w:tcMar>
                    <w:top w:w="28" w:type="dxa"/>
                    <w:left w:w="28" w:type="dxa"/>
                    <w:bottom w:w="28" w:type="dxa"/>
                    <w:right w:w="28" w:type="dxa"/>
                  </w:tcMar>
                  <w:vAlign w:val="center"/>
                </w:tcPr>
                <w:p w14:paraId="732CCB0E">
                  <w:pPr>
                    <w:jc w:val="center"/>
                    <w:rPr>
                      <w:rFonts w:hint="default" w:ascii="Times New Roman" w:hAnsi="Times New Roman" w:eastAsia="宋体" w:cs="Times New Roman"/>
                      <w:color w:val="000000"/>
                      <w:sz w:val="18"/>
                      <w:szCs w:val="18"/>
                      <w:highlight w:val="none"/>
                      <w:lang w:val="en-US" w:eastAsia="zh-CN"/>
                    </w:rPr>
                  </w:pPr>
                  <w:r>
                    <w:rPr>
                      <w:rFonts w:hint="eastAsia"/>
                      <w:sz w:val="18"/>
                      <w:szCs w:val="18"/>
                      <w:highlight w:val="none"/>
                      <w:lang w:val="en-US" w:eastAsia="zh-CN"/>
                    </w:rPr>
                    <w:t>40</w:t>
                  </w:r>
                </w:p>
              </w:tc>
              <w:tc>
                <w:tcPr>
                  <w:tcW w:w="268" w:type="pct"/>
                  <w:tcBorders>
                    <w:left w:val="single" w:color="auto" w:sz="4" w:space="0"/>
                    <w:right w:val="single" w:color="000000" w:sz="4" w:space="0"/>
                  </w:tcBorders>
                  <w:noWrap w:val="0"/>
                  <w:tcMar>
                    <w:top w:w="28" w:type="dxa"/>
                    <w:left w:w="28" w:type="dxa"/>
                    <w:bottom w:w="28" w:type="dxa"/>
                    <w:right w:w="28" w:type="dxa"/>
                  </w:tcMar>
                  <w:vAlign w:val="center"/>
                </w:tcPr>
                <w:p w14:paraId="7DF0489A">
                  <w:pPr>
                    <w:jc w:val="center"/>
                    <w:rPr>
                      <w:rFonts w:hint="default" w:ascii="Times New Roman" w:hAnsi="Times New Roman" w:eastAsia="宋体" w:cs="Times New Roman"/>
                      <w:color w:val="000000"/>
                      <w:sz w:val="18"/>
                      <w:szCs w:val="18"/>
                      <w:highlight w:val="none"/>
                      <w:lang w:val="en-US" w:eastAsia="zh-CN"/>
                    </w:rPr>
                  </w:pPr>
                  <w:r>
                    <w:rPr>
                      <w:rFonts w:hint="eastAsia"/>
                      <w:sz w:val="18"/>
                      <w:szCs w:val="18"/>
                      <w:highlight w:val="none"/>
                      <w:lang w:val="en-US" w:eastAsia="zh-CN"/>
                    </w:rPr>
                    <w:t>1.6</w:t>
                  </w:r>
                </w:p>
              </w:tc>
            </w:tr>
            <w:tr w14:paraId="7FA27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137" w:type="pct"/>
                  <w:vMerge w:val="restart"/>
                  <w:tcBorders>
                    <w:top w:val="single" w:color="auto" w:sz="4" w:space="0"/>
                    <w:left w:val="single" w:color="000000" w:sz="4" w:space="0"/>
                    <w:right w:val="single" w:color="000000" w:sz="4" w:space="0"/>
                  </w:tcBorders>
                  <w:noWrap w:val="0"/>
                  <w:tcMar>
                    <w:top w:w="28" w:type="dxa"/>
                    <w:left w:w="28" w:type="dxa"/>
                    <w:bottom w:w="28" w:type="dxa"/>
                    <w:right w:w="28" w:type="dxa"/>
                  </w:tcMar>
                  <w:vAlign w:val="center"/>
                </w:tcPr>
                <w:p w14:paraId="50DFE83E">
                  <w:pPr>
                    <w:jc w:val="center"/>
                    <w:rPr>
                      <w:rFonts w:hint="default" w:ascii="Times New Roman" w:hAnsi="Times New Roman" w:eastAsia="宋体"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挤出成型</w:t>
                  </w:r>
                </w:p>
              </w:tc>
              <w:tc>
                <w:tcPr>
                  <w:tcW w:w="327" w:type="pct"/>
                  <w:tcBorders>
                    <w:left w:val="single" w:color="000000" w:sz="4" w:space="0"/>
                    <w:right w:val="single" w:color="000000" w:sz="4" w:space="0"/>
                  </w:tcBorders>
                  <w:noWrap w:val="0"/>
                  <w:tcMar>
                    <w:top w:w="28" w:type="dxa"/>
                    <w:left w:w="28" w:type="dxa"/>
                    <w:bottom w:w="28" w:type="dxa"/>
                    <w:right w:w="28" w:type="dxa"/>
                  </w:tcMar>
                  <w:vAlign w:val="center"/>
                </w:tcPr>
                <w:p w14:paraId="2AAE9812">
                  <w:pPr>
                    <w:snapToGrid w:val="0"/>
                    <w:spacing w:line="240" w:lineRule="auto"/>
                    <w:jc w:val="center"/>
                    <w:rPr>
                      <w:rFonts w:hint="default" w:ascii="Times New Roman" w:hAnsi="Times New Roman" w:eastAsia="宋体" w:cs="Times New Roman"/>
                      <w:color w:val="000000"/>
                      <w:kern w:val="0"/>
                      <w:sz w:val="18"/>
                      <w:szCs w:val="18"/>
                      <w:highlight w:val="none"/>
                      <w:lang w:val="en-US" w:eastAsia="zh-CN" w:bidi="ar"/>
                    </w:rPr>
                  </w:pPr>
                  <w:r>
                    <w:rPr>
                      <w:rFonts w:hint="eastAsia" w:ascii="Times New Roman" w:hAnsi="Times New Roman" w:eastAsia="宋体" w:cs="Times New Roman"/>
                      <w:color w:val="000000"/>
                      <w:kern w:val="0"/>
                      <w:sz w:val="18"/>
                      <w:szCs w:val="18"/>
                      <w:highlight w:val="none"/>
                      <w:lang w:val="en-US" w:eastAsia="zh-CN" w:bidi="ar"/>
                    </w:rPr>
                    <w:t>非甲烷总烃</w:t>
                  </w:r>
                </w:p>
              </w:tc>
              <w:tc>
                <w:tcPr>
                  <w:tcW w:w="360"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140BE833">
                  <w:pPr>
                    <w:jc w:val="center"/>
                    <w:rPr>
                      <w:rFonts w:hint="default" w:ascii="Times New Roman" w:hAnsi="Times New Roman" w:cs="Times New Roman"/>
                      <w:color w:val="000000"/>
                      <w:sz w:val="18"/>
                      <w:szCs w:val="18"/>
                      <w:highlight w:val="none"/>
                    </w:rPr>
                  </w:pPr>
                </w:p>
              </w:tc>
              <w:tc>
                <w:tcPr>
                  <w:tcW w:w="434" w:type="pct"/>
                  <w:tcBorders>
                    <w:top w:val="single" w:color="000000" w:sz="4" w:space="0"/>
                    <w:left w:val="single" w:color="000000" w:sz="4" w:space="0"/>
                    <w:bottom w:val="single" w:color="000000" w:sz="4" w:space="0"/>
                    <w:right w:val="single" w:color="auto" w:sz="4" w:space="0"/>
                  </w:tcBorders>
                  <w:noWrap w:val="0"/>
                  <w:tcMar>
                    <w:top w:w="28" w:type="dxa"/>
                    <w:left w:w="28" w:type="dxa"/>
                    <w:bottom w:w="28" w:type="dxa"/>
                    <w:right w:w="28" w:type="dxa"/>
                  </w:tcMar>
                  <w:vAlign w:val="center"/>
                </w:tcPr>
                <w:p w14:paraId="44DF2426">
                  <w:pPr>
                    <w:widowControl/>
                    <w:spacing w:line="240" w:lineRule="auto"/>
                    <w:jc w:val="center"/>
                    <w:textAlignment w:val="center"/>
                    <w:rPr>
                      <w:rFonts w:hint="default" w:eastAsia="宋体" w:cs="Times New Roman"/>
                      <w:color w:val="000000"/>
                      <w:kern w:val="2"/>
                      <w:sz w:val="18"/>
                      <w:szCs w:val="18"/>
                      <w:highlight w:val="none"/>
                      <w:lang w:val="en-US" w:eastAsia="zh-CN" w:bidi="ar-SA"/>
                    </w:rPr>
                  </w:pPr>
                  <w:r>
                    <w:rPr>
                      <w:rFonts w:hint="eastAsia" w:cs="Times New Roman"/>
                      <w:b w:val="0"/>
                      <w:bCs w:val="0"/>
                      <w:color w:val="auto"/>
                      <w:kern w:val="0"/>
                      <w:sz w:val="18"/>
                      <w:szCs w:val="18"/>
                      <w:highlight w:val="none"/>
                      <w:lang w:val="en-US" w:eastAsia="zh-CN"/>
                    </w:rPr>
                    <w:t>1.516</w:t>
                  </w:r>
                </w:p>
              </w:tc>
              <w:tc>
                <w:tcPr>
                  <w:tcW w:w="533" w:type="pct"/>
                  <w:tcBorders>
                    <w:top w:val="single" w:color="000000" w:sz="4" w:space="0"/>
                    <w:left w:val="single" w:color="auto" w:sz="4" w:space="0"/>
                    <w:bottom w:val="single" w:color="000000" w:sz="4" w:space="0"/>
                    <w:right w:val="single" w:color="auto" w:sz="4" w:space="0"/>
                  </w:tcBorders>
                  <w:noWrap w:val="0"/>
                  <w:tcMar>
                    <w:top w:w="28" w:type="dxa"/>
                    <w:left w:w="28" w:type="dxa"/>
                    <w:bottom w:w="28" w:type="dxa"/>
                    <w:right w:w="28" w:type="dxa"/>
                  </w:tcMar>
                  <w:vAlign w:val="center"/>
                </w:tcPr>
                <w:p w14:paraId="263BA043">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eastAsia" w:cs="Times New Roman"/>
                      <w:b w:val="0"/>
                      <w:bCs w:val="0"/>
                      <w:color w:val="auto"/>
                      <w:kern w:val="0"/>
                      <w:sz w:val="18"/>
                      <w:szCs w:val="18"/>
                      <w:highlight w:val="none"/>
                      <w:lang w:val="en-US" w:eastAsia="zh-CN"/>
                    </w:rPr>
                    <w:t>0.027</w:t>
                  </w:r>
                </w:p>
              </w:tc>
              <w:tc>
                <w:tcPr>
                  <w:tcW w:w="534" w:type="pct"/>
                  <w:tcBorders>
                    <w:top w:val="single" w:color="000000" w:sz="4" w:space="0"/>
                    <w:left w:val="single" w:color="auto" w:sz="4" w:space="0"/>
                    <w:bottom w:val="single" w:color="000000" w:sz="4" w:space="0"/>
                    <w:right w:val="single" w:color="000000" w:sz="4" w:space="0"/>
                  </w:tcBorders>
                  <w:noWrap w:val="0"/>
                  <w:tcMar>
                    <w:top w:w="28" w:type="dxa"/>
                    <w:left w:w="28" w:type="dxa"/>
                    <w:bottom w:w="28" w:type="dxa"/>
                    <w:right w:w="28" w:type="dxa"/>
                  </w:tcMar>
                  <w:vAlign w:val="center"/>
                </w:tcPr>
                <w:p w14:paraId="094935B3">
                  <w:pPr>
                    <w:widowControl/>
                    <w:spacing w:line="240" w:lineRule="auto"/>
                    <w:jc w:val="center"/>
                    <w:textAlignment w:val="center"/>
                    <w:rPr>
                      <w:rFonts w:hint="default" w:eastAsia="宋体" w:cs="Times New Roman"/>
                      <w:color w:val="000000"/>
                      <w:kern w:val="2"/>
                      <w:sz w:val="18"/>
                      <w:szCs w:val="18"/>
                      <w:highlight w:val="none"/>
                      <w:lang w:val="en-US" w:eastAsia="zh-CN" w:bidi="ar-SA"/>
                    </w:rPr>
                  </w:pPr>
                  <w:r>
                    <w:rPr>
                      <w:rFonts w:hint="eastAsia" w:cs="Times New Roman"/>
                      <w:b w:val="0"/>
                      <w:bCs w:val="0"/>
                      <w:color w:val="auto"/>
                      <w:kern w:val="0"/>
                      <w:sz w:val="18"/>
                      <w:szCs w:val="18"/>
                      <w:highlight w:val="none"/>
                      <w:lang w:val="en-US" w:eastAsia="zh-CN"/>
                    </w:rPr>
                    <w:t>0.131</w:t>
                  </w:r>
                </w:p>
              </w:tc>
              <w:tc>
                <w:tcPr>
                  <w:tcW w:w="138"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714A3242">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p>
              </w:tc>
              <w:tc>
                <w:tcPr>
                  <w:tcW w:w="533"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62491B09">
                  <w:pPr>
                    <w:widowControl/>
                    <w:spacing w:line="240" w:lineRule="auto"/>
                    <w:jc w:val="center"/>
                    <w:textAlignment w:val="center"/>
                    <w:rPr>
                      <w:rFonts w:hint="default" w:eastAsia="宋体" w:cs="Times New Roman"/>
                      <w:color w:val="000000"/>
                      <w:kern w:val="2"/>
                      <w:sz w:val="18"/>
                      <w:szCs w:val="18"/>
                      <w:highlight w:val="none"/>
                      <w:lang w:val="en-US" w:eastAsia="zh-CN" w:bidi="ar-SA"/>
                    </w:rPr>
                  </w:pPr>
                  <w:r>
                    <w:rPr>
                      <w:rFonts w:hint="eastAsia" w:cs="Times New Roman"/>
                      <w:b w:val="0"/>
                      <w:bCs w:val="0"/>
                      <w:color w:val="auto"/>
                      <w:kern w:val="0"/>
                      <w:sz w:val="18"/>
                      <w:szCs w:val="18"/>
                      <w:highlight w:val="none"/>
                      <w:lang w:val="en-US" w:eastAsia="zh-CN"/>
                    </w:rPr>
                    <w:t>0.152</w:t>
                  </w:r>
                </w:p>
              </w:tc>
              <w:tc>
                <w:tcPr>
                  <w:tcW w:w="533"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2E781DB4">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r>
                    <w:rPr>
                      <w:rFonts w:hint="eastAsia" w:cs="Times New Roman"/>
                      <w:b w:val="0"/>
                      <w:bCs w:val="0"/>
                      <w:color w:val="auto"/>
                      <w:kern w:val="0"/>
                      <w:sz w:val="18"/>
                      <w:szCs w:val="18"/>
                      <w:highlight w:val="none"/>
                      <w:lang w:val="en-US" w:eastAsia="zh-CN"/>
                    </w:rPr>
                    <w:t>0.003</w:t>
                  </w:r>
                </w:p>
              </w:tc>
              <w:tc>
                <w:tcPr>
                  <w:tcW w:w="534"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39FB2AF6">
                  <w:pPr>
                    <w:widowControl/>
                    <w:spacing w:line="240" w:lineRule="auto"/>
                    <w:jc w:val="center"/>
                    <w:textAlignment w:val="center"/>
                    <w:rPr>
                      <w:rFonts w:hint="default" w:eastAsia="宋体" w:cs="Times New Roman"/>
                      <w:color w:val="000000"/>
                      <w:kern w:val="2"/>
                      <w:sz w:val="18"/>
                      <w:szCs w:val="18"/>
                      <w:highlight w:val="none"/>
                      <w:lang w:val="en-US" w:eastAsia="zh-CN" w:bidi="ar-SA"/>
                    </w:rPr>
                  </w:pPr>
                  <w:r>
                    <w:rPr>
                      <w:rFonts w:hint="eastAsia" w:cs="Times New Roman"/>
                      <w:b w:val="0"/>
                      <w:bCs w:val="0"/>
                      <w:color w:val="auto"/>
                      <w:kern w:val="0"/>
                      <w:sz w:val="18"/>
                      <w:szCs w:val="18"/>
                      <w:highlight w:val="none"/>
                      <w:lang w:val="en-US" w:eastAsia="zh-CN"/>
                    </w:rPr>
                    <w:t>0.015</w:t>
                  </w:r>
                </w:p>
              </w:tc>
              <w:tc>
                <w:tcPr>
                  <w:tcW w:w="340" w:type="pct"/>
                  <w:vMerge w:val="continue"/>
                  <w:tcBorders>
                    <w:left w:val="single" w:color="000000" w:sz="4" w:space="0"/>
                    <w:right w:val="single" w:color="000000" w:sz="4" w:space="0"/>
                  </w:tcBorders>
                  <w:noWrap w:val="0"/>
                  <w:tcMar>
                    <w:top w:w="28" w:type="dxa"/>
                    <w:left w:w="28" w:type="dxa"/>
                    <w:bottom w:w="28" w:type="dxa"/>
                    <w:right w:w="28" w:type="dxa"/>
                  </w:tcMar>
                  <w:vAlign w:val="center"/>
                </w:tcPr>
                <w:p w14:paraId="10A6D60C">
                  <w:pPr>
                    <w:jc w:val="center"/>
                    <w:rPr>
                      <w:rFonts w:hint="default" w:ascii="Times New Roman" w:hAnsi="Times New Roman" w:cs="Times New Roman"/>
                      <w:color w:val="000000"/>
                      <w:sz w:val="18"/>
                      <w:szCs w:val="18"/>
                      <w:highlight w:val="none"/>
                    </w:rPr>
                  </w:pPr>
                </w:p>
              </w:tc>
              <w:tc>
                <w:tcPr>
                  <w:tcW w:w="322" w:type="pct"/>
                  <w:tcBorders>
                    <w:left w:val="single" w:color="000000" w:sz="4" w:space="0"/>
                    <w:right w:val="single" w:color="auto" w:sz="4" w:space="0"/>
                  </w:tcBorders>
                  <w:noWrap w:val="0"/>
                  <w:tcMar>
                    <w:top w:w="28" w:type="dxa"/>
                    <w:left w:w="28" w:type="dxa"/>
                    <w:bottom w:w="28" w:type="dxa"/>
                    <w:right w:w="28" w:type="dxa"/>
                  </w:tcMar>
                  <w:vAlign w:val="center"/>
                </w:tcPr>
                <w:p w14:paraId="18C04CBC">
                  <w:pPr>
                    <w:jc w:val="center"/>
                    <w:rPr>
                      <w:rFonts w:hint="default" w:ascii="Times New Roman" w:hAnsi="Times New Roman" w:eastAsia="宋体" w:cs="Times New Roman"/>
                      <w:color w:val="000000"/>
                      <w:sz w:val="18"/>
                      <w:szCs w:val="18"/>
                      <w:highlight w:val="none"/>
                      <w:lang w:val="en-US" w:eastAsia="zh-CN"/>
                    </w:rPr>
                  </w:pPr>
                  <w:r>
                    <w:rPr>
                      <w:rFonts w:hint="eastAsia"/>
                      <w:sz w:val="18"/>
                      <w:szCs w:val="18"/>
                      <w:highlight w:val="none"/>
                      <w:lang w:val="en-US" w:eastAsia="zh-CN"/>
                    </w:rPr>
                    <w:t>40</w:t>
                  </w:r>
                </w:p>
              </w:tc>
              <w:tc>
                <w:tcPr>
                  <w:tcW w:w="268" w:type="pct"/>
                  <w:tcBorders>
                    <w:left w:val="single" w:color="auto" w:sz="4" w:space="0"/>
                    <w:right w:val="single" w:color="000000" w:sz="4" w:space="0"/>
                  </w:tcBorders>
                  <w:noWrap w:val="0"/>
                  <w:tcMar>
                    <w:top w:w="28" w:type="dxa"/>
                    <w:left w:w="28" w:type="dxa"/>
                    <w:bottom w:w="28" w:type="dxa"/>
                    <w:right w:w="28" w:type="dxa"/>
                  </w:tcMar>
                  <w:vAlign w:val="center"/>
                </w:tcPr>
                <w:p w14:paraId="246EAD62">
                  <w:pPr>
                    <w:jc w:val="center"/>
                    <w:rPr>
                      <w:rFonts w:hint="default" w:ascii="Times New Roman" w:hAnsi="Times New Roman" w:eastAsia="宋体" w:cs="Times New Roman"/>
                      <w:color w:val="000000"/>
                      <w:sz w:val="18"/>
                      <w:szCs w:val="18"/>
                      <w:highlight w:val="none"/>
                      <w:lang w:val="en-US" w:eastAsia="zh-CN"/>
                    </w:rPr>
                  </w:pPr>
                  <w:r>
                    <w:rPr>
                      <w:rFonts w:hint="eastAsia"/>
                      <w:sz w:val="18"/>
                      <w:szCs w:val="18"/>
                      <w:highlight w:val="none"/>
                      <w:lang w:val="en-US" w:eastAsia="zh-CN"/>
                    </w:rPr>
                    <w:t>1.6</w:t>
                  </w:r>
                </w:p>
              </w:tc>
            </w:tr>
            <w:tr w14:paraId="3A748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137" w:type="pct"/>
                  <w:vMerge w:val="continue"/>
                  <w:tcBorders>
                    <w:left w:val="single" w:color="000000" w:sz="4" w:space="0"/>
                    <w:right w:val="single" w:color="000000" w:sz="4" w:space="0"/>
                  </w:tcBorders>
                  <w:noWrap w:val="0"/>
                  <w:tcMar>
                    <w:top w:w="28" w:type="dxa"/>
                    <w:left w:w="28" w:type="dxa"/>
                    <w:bottom w:w="28" w:type="dxa"/>
                    <w:right w:w="28" w:type="dxa"/>
                  </w:tcMar>
                  <w:vAlign w:val="center"/>
                </w:tcPr>
                <w:p w14:paraId="2D7AF7F8">
                  <w:pPr>
                    <w:jc w:val="center"/>
                    <w:rPr>
                      <w:rFonts w:hint="eastAsia" w:ascii="Times New Roman" w:hAnsi="Times New Roman" w:cs="Times New Roman"/>
                      <w:color w:val="000000"/>
                      <w:sz w:val="18"/>
                      <w:szCs w:val="18"/>
                      <w:highlight w:val="none"/>
                      <w:lang w:val="en-US" w:eastAsia="zh-CN"/>
                    </w:rPr>
                  </w:pPr>
                </w:p>
              </w:tc>
              <w:tc>
                <w:tcPr>
                  <w:tcW w:w="327" w:type="pct"/>
                  <w:tcBorders>
                    <w:left w:val="single" w:color="000000" w:sz="4" w:space="0"/>
                    <w:right w:val="single" w:color="000000" w:sz="4" w:space="0"/>
                  </w:tcBorders>
                  <w:noWrap w:val="0"/>
                  <w:tcMar>
                    <w:top w:w="28" w:type="dxa"/>
                    <w:left w:w="28" w:type="dxa"/>
                    <w:bottom w:w="28" w:type="dxa"/>
                    <w:right w:w="28" w:type="dxa"/>
                  </w:tcMar>
                  <w:vAlign w:val="center"/>
                </w:tcPr>
                <w:p w14:paraId="0DA238A8">
                  <w:pPr>
                    <w:snapToGrid w:val="0"/>
                    <w:spacing w:line="240" w:lineRule="auto"/>
                    <w:jc w:val="center"/>
                    <w:rPr>
                      <w:rFonts w:hint="default" w:ascii="Times New Roman" w:hAnsi="Times New Roman" w:eastAsia="宋体" w:cs="Times New Roman"/>
                      <w:color w:val="000000"/>
                      <w:kern w:val="0"/>
                      <w:sz w:val="18"/>
                      <w:szCs w:val="18"/>
                      <w:highlight w:val="none"/>
                      <w:lang w:val="en-US" w:eastAsia="zh-CN" w:bidi="ar"/>
                    </w:rPr>
                  </w:pPr>
                  <w:r>
                    <w:rPr>
                      <w:rFonts w:hint="eastAsia" w:cs="Times New Roman"/>
                      <w:color w:val="000000"/>
                      <w:kern w:val="0"/>
                      <w:sz w:val="18"/>
                      <w:szCs w:val="18"/>
                      <w:highlight w:val="none"/>
                      <w:lang w:val="en-US" w:eastAsia="zh-CN" w:bidi="ar"/>
                    </w:rPr>
                    <w:t>甲苯</w:t>
                  </w:r>
                </w:p>
              </w:tc>
              <w:tc>
                <w:tcPr>
                  <w:tcW w:w="360"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750D8CA3">
                  <w:pPr>
                    <w:jc w:val="center"/>
                    <w:rPr>
                      <w:rFonts w:hint="default" w:ascii="Times New Roman" w:hAnsi="Times New Roman" w:cs="Times New Roman"/>
                      <w:color w:val="000000"/>
                      <w:sz w:val="18"/>
                      <w:szCs w:val="18"/>
                      <w:highlight w:val="none"/>
                    </w:rPr>
                  </w:pPr>
                </w:p>
              </w:tc>
              <w:tc>
                <w:tcPr>
                  <w:tcW w:w="434" w:type="pct"/>
                  <w:tcBorders>
                    <w:top w:val="single" w:color="000000" w:sz="4" w:space="0"/>
                    <w:left w:val="single" w:color="000000" w:sz="4" w:space="0"/>
                    <w:bottom w:val="single" w:color="000000" w:sz="4" w:space="0"/>
                    <w:right w:val="single" w:color="auto" w:sz="4" w:space="0"/>
                  </w:tcBorders>
                  <w:noWrap w:val="0"/>
                  <w:tcMar>
                    <w:top w:w="28" w:type="dxa"/>
                    <w:left w:w="28" w:type="dxa"/>
                    <w:bottom w:w="28" w:type="dxa"/>
                    <w:right w:w="28" w:type="dxa"/>
                  </w:tcMar>
                  <w:vAlign w:val="center"/>
                </w:tcPr>
                <w:p w14:paraId="4ACAB503">
                  <w:pPr>
                    <w:widowControl/>
                    <w:spacing w:line="240" w:lineRule="auto"/>
                    <w:jc w:val="center"/>
                    <w:textAlignment w:val="center"/>
                    <w:rPr>
                      <w:rFonts w:hint="eastAsia" w:cs="Times New Roman"/>
                      <w:b w:val="0"/>
                      <w:bCs w:val="0"/>
                      <w:color w:val="auto"/>
                      <w:kern w:val="0"/>
                      <w:sz w:val="18"/>
                      <w:szCs w:val="18"/>
                      <w:highlight w:val="none"/>
                      <w:lang w:val="en-US" w:eastAsia="zh-CN"/>
                    </w:rPr>
                  </w:pPr>
                  <w:r>
                    <w:rPr>
                      <w:rFonts w:hint="eastAsia" w:cs="Times New Roman"/>
                      <w:b w:val="0"/>
                      <w:bCs w:val="0"/>
                      <w:color w:val="auto"/>
                      <w:kern w:val="0"/>
                      <w:sz w:val="18"/>
                      <w:szCs w:val="18"/>
                      <w:highlight w:val="none"/>
                      <w:lang w:val="en-US" w:eastAsia="zh-CN"/>
                    </w:rPr>
                    <w:t>4.109×10</w:t>
                  </w:r>
                  <w:r>
                    <w:rPr>
                      <w:rFonts w:hint="eastAsia" w:cs="Times New Roman"/>
                      <w:b w:val="0"/>
                      <w:bCs w:val="0"/>
                      <w:color w:val="auto"/>
                      <w:kern w:val="0"/>
                      <w:sz w:val="18"/>
                      <w:szCs w:val="18"/>
                      <w:highlight w:val="none"/>
                      <w:vertAlign w:val="superscript"/>
                      <w:lang w:val="en-US" w:eastAsia="zh-CN"/>
                    </w:rPr>
                    <w:t>-6</w:t>
                  </w:r>
                </w:p>
              </w:tc>
              <w:tc>
                <w:tcPr>
                  <w:tcW w:w="533" w:type="pct"/>
                  <w:tcBorders>
                    <w:top w:val="single" w:color="000000" w:sz="4" w:space="0"/>
                    <w:left w:val="single" w:color="auto" w:sz="4" w:space="0"/>
                    <w:bottom w:val="single" w:color="000000" w:sz="4" w:space="0"/>
                    <w:right w:val="single" w:color="auto" w:sz="4" w:space="0"/>
                  </w:tcBorders>
                  <w:noWrap w:val="0"/>
                  <w:tcMar>
                    <w:top w:w="28" w:type="dxa"/>
                    <w:left w:w="28" w:type="dxa"/>
                    <w:bottom w:w="28" w:type="dxa"/>
                    <w:right w:w="28" w:type="dxa"/>
                  </w:tcMar>
                  <w:vAlign w:val="center"/>
                </w:tcPr>
                <w:p w14:paraId="71C74FF0">
                  <w:pPr>
                    <w:widowControl/>
                    <w:spacing w:line="240" w:lineRule="auto"/>
                    <w:jc w:val="center"/>
                    <w:textAlignment w:val="center"/>
                    <w:rPr>
                      <w:rFonts w:hint="default" w:cs="Times New Roman"/>
                      <w:b w:val="0"/>
                      <w:bCs w:val="0"/>
                      <w:color w:val="auto"/>
                      <w:kern w:val="0"/>
                      <w:sz w:val="18"/>
                      <w:szCs w:val="18"/>
                      <w:highlight w:val="none"/>
                      <w:lang w:val="en-US" w:eastAsia="zh-CN"/>
                    </w:rPr>
                  </w:pPr>
                  <w:r>
                    <w:rPr>
                      <w:rFonts w:hint="eastAsia" w:cs="Times New Roman"/>
                      <w:b w:val="0"/>
                      <w:bCs w:val="0"/>
                      <w:color w:val="auto"/>
                      <w:kern w:val="0"/>
                      <w:sz w:val="18"/>
                      <w:szCs w:val="18"/>
                      <w:highlight w:val="none"/>
                      <w:lang w:val="en-US" w:eastAsia="zh-CN"/>
                    </w:rPr>
                    <w:t>7.396×10</w:t>
                  </w:r>
                  <w:r>
                    <w:rPr>
                      <w:rFonts w:hint="eastAsia" w:cs="Times New Roman"/>
                      <w:b w:val="0"/>
                      <w:bCs w:val="0"/>
                      <w:color w:val="auto"/>
                      <w:kern w:val="0"/>
                      <w:sz w:val="18"/>
                      <w:szCs w:val="18"/>
                      <w:highlight w:val="none"/>
                      <w:vertAlign w:val="superscript"/>
                      <w:lang w:val="en-US" w:eastAsia="zh-CN"/>
                    </w:rPr>
                    <w:t>-8</w:t>
                  </w:r>
                </w:p>
              </w:tc>
              <w:tc>
                <w:tcPr>
                  <w:tcW w:w="534" w:type="pct"/>
                  <w:tcBorders>
                    <w:top w:val="single" w:color="000000" w:sz="4" w:space="0"/>
                    <w:left w:val="single" w:color="auto" w:sz="4" w:space="0"/>
                    <w:bottom w:val="single" w:color="000000" w:sz="4" w:space="0"/>
                    <w:right w:val="single" w:color="000000" w:sz="4" w:space="0"/>
                  </w:tcBorders>
                  <w:noWrap w:val="0"/>
                  <w:tcMar>
                    <w:top w:w="28" w:type="dxa"/>
                    <w:left w:w="28" w:type="dxa"/>
                    <w:bottom w:w="28" w:type="dxa"/>
                    <w:right w:w="28" w:type="dxa"/>
                  </w:tcMar>
                  <w:vAlign w:val="center"/>
                </w:tcPr>
                <w:p w14:paraId="19586253">
                  <w:pPr>
                    <w:widowControl/>
                    <w:spacing w:line="240" w:lineRule="auto"/>
                    <w:jc w:val="center"/>
                    <w:textAlignment w:val="center"/>
                    <w:rPr>
                      <w:rFonts w:hint="default" w:cs="Times New Roman"/>
                      <w:b w:val="0"/>
                      <w:bCs w:val="0"/>
                      <w:color w:val="auto"/>
                      <w:kern w:val="0"/>
                      <w:sz w:val="18"/>
                      <w:szCs w:val="18"/>
                      <w:highlight w:val="none"/>
                      <w:lang w:val="en-US" w:eastAsia="zh-CN"/>
                    </w:rPr>
                  </w:pPr>
                  <w:r>
                    <w:rPr>
                      <w:rFonts w:hint="eastAsia" w:cs="Times New Roman"/>
                      <w:b w:val="0"/>
                      <w:bCs w:val="0"/>
                      <w:color w:val="auto"/>
                      <w:kern w:val="0"/>
                      <w:sz w:val="18"/>
                      <w:szCs w:val="18"/>
                      <w:highlight w:val="none"/>
                      <w:lang w:val="en-US" w:eastAsia="zh-CN"/>
                    </w:rPr>
                    <w:t>0.355×10</w:t>
                  </w:r>
                  <w:r>
                    <w:rPr>
                      <w:rFonts w:hint="eastAsia" w:cs="Times New Roman"/>
                      <w:b w:val="0"/>
                      <w:bCs w:val="0"/>
                      <w:color w:val="auto"/>
                      <w:kern w:val="0"/>
                      <w:sz w:val="18"/>
                      <w:szCs w:val="18"/>
                      <w:highlight w:val="none"/>
                      <w:vertAlign w:val="superscript"/>
                      <w:lang w:val="en-US" w:eastAsia="zh-CN"/>
                    </w:rPr>
                    <w:t>-6</w:t>
                  </w:r>
                </w:p>
              </w:tc>
              <w:tc>
                <w:tcPr>
                  <w:tcW w:w="138"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2E3D6355">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p>
              </w:tc>
              <w:tc>
                <w:tcPr>
                  <w:tcW w:w="533" w:type="pct"/>
                  <w:tcBorders>
                    <w:top w:val="single" w:color="000000" w:sz="4" w:space="0"/>
                    <w:left w:val="single" w:color="000000" w:sz="4" w:space="0"/>
                    <w:bottom w:val="single" w:color="000000" w:sz="4" w:space="0"/>
                    <w:right w:val="single" w:color="000000" w:sz="4" w:space="0"/>
                  </w:tcBorders>
                  <w:shd w:val="clear" w:color="auto" w:fill="auto"/>
                  <w:noWrap w:val="0"/>
                  <w:tcMar>
                    <w:top w:w="28" w:type="dxa"/>
                    <w:left w:w="28" w:type="dxa"/>
                    <w:bottom w:w="28" w:type="dxa"/>
                    <w:right w:w="28" w:type="dxa"/>
                  </w:tcMar>
                  <w:vAlign w:val="center"/>
                </w:tcPr>
                <w:p w14:paraId="3C52C6A9">
                  <w:pPr>
                    <w:widowControl/>
                    <w:spacing w:line="240" w:lineRule="auto"/>
                    <w:jc w:val="center"/>
                    <w:textAlignment w:val="center"/>
                    <w:rPr>
                      <w:rFonts w:hint="eastAsia" w:ascii="Times New Roman" w:hAnsi="Times New Roman" w:eastAsia="宋体" w:cs="Times New Roman"/>
                      <w:b w:val="0"/>
                      <w:bCs w:val="0"/>
                      <w:color w:val="auto"/>
                      <w:kern w:val="0"/>
                      <w:sz w:val="18"/>
                      <w:szCs w:val="18"/>
                      <w:highlight w:val="none"/>
                      <w:lang w:val="en-US" w:eastAsia="zh-CN" w:bidi="ar-SA"/>
                    </w:rPr>
                  </w:pPr>
                  <w:r>
                    <w:rPr>
                      <w:rFonts w:hint="eastAsia" w:cs="Times New Roman"/>
                      <w:b w:val="0"/>
                      <w:bCs w:val="0"/>
                      <w:color w:val="auto"/>
                      <w:kern w:val="0"/>
                      <w:sz w:val="18"/>
                      <w:szCs w:val="18"/>
                      <w:highlight w:val="none"/>
                      <w:lang w:val="en-US" w:eastAsia="zh-CN"/>
                    </w:rPr>
                    <w:t>4.109×10</w:t>
                  </w:r>
                  <w:r>
                    <w:rPr>
                      <w:rFonts w:hint="eastAsia" w:cs="Times New Roman"/>
                      <w:b w:val="0"/>
                      <w:bCs w:val="0"/>
                      <w:color w:val="auto"/>
                      <w:kern w:val="0"/>
                      <w:sz w:val="18"/>
                      <w:szCs w:val="18"/>
                      <w:highlight w:val="none"/>
                      <w:vertAlign w:val="superscript"/>
                      <w:lang w:val="en-US" w:eastAsia="zh-CN"/>
                    </w:rPr>
                    <w:t>-7</w:t>
                  </w:r>
                </w:p>
              </w:tc>
              <w:tc>
                <w:tcPr>
                  <w:tcW w:w="533" w:type="pct"/>
                  <w:tcBorders>
                    <w:top w:val="single" w:color="000000" w:sz="4" w:space="0"/>
                    <w:left w:val="single" w:color="000000" w:sz="4" w:space="0"/>
                    <w:bottom w:val="single" w:color="000000" w:sz="4" w:space="0"/>
                    <w:right w:val="single" w:color="000000" w:sz="4" w:space="0"/>
                  </w:tcBorders>
                  <w:shd w:val="clear" w:color="auto" w:fill="auto"/>
                  <w:noWrap w:val="0"/>
                  <w:tcMar>
                    <w:top w:w="28" w:type="dxa"/>
                    <w:left w:w="28" w:type="dxa"/>
                    <w:bottom w:w="28" w:type="dxa"/>
                    <w:right w:w="28" w:type="dxa"/>
                  </w:tcMar>
                  <w:vAlign w:val="center"/>
                </w:tcPr>
                <w:p w14:paraId="5CF1A969">
                  <w:pPr>
                    <w:widowControl/>
                    <w:spacing w:line="240" w:lineRule="auto"/>
                    <w:jc w:val="center"/>
                    <w:textAlignment w:val="center"/>
                    <w:rPr>
                      <w:rFonts w:hint="eastAsia" w:ascii="Times New Roman" w:hAnsi="Times New Roman" w:eastAsia="宋体" w:cs="Times New Roman"/>
                      <w:b w:val="0"/>
                      <w:bCs w:val="0"/>
                      <w:color w:val="auto"/>
                      <w:kern w:val="0"/>
                      <w:sz w:val="18"/>
                      <w:szCs w:val="18"/>
                      <w:highlight w:val="none"/>
                      <w:lang w:val="en-US" w:eastAsia="zh-CN" w:bidi="ar-SA"/>
                    </w:rPr>
                  </w:pPr>
                  <w:r>
                    <w:rPr>
                      <w:rFonts w:hint="eastAsia" w:cs="Times New Roman"/>
                      <w:b w:val="0"/>
                      <w:bCs w:val="0"/>
                      <w:color w:val="auto"/>
                      <w:kern w:val="0"/>
                      <w:sz w:val="18"/>
                      <w:szCs w:val="18"/>
                      <w:highlight w:val="none"/>
                      <w:lang w:val="en-US" w:eastAsia="zh-CN"/>
                    </w:rPr>
                    <w:t>7.396×10</w:t>
                  </w:r>
                  <w:r>
                    <w:rPr>
                      <w:rFonts w:hint="eastAsia" w:cs="Times New Roman"/>
                      <w:b w:val="0"/>
                      <w:bCs w:val="0"/>
                      <w:color w:val="auto"/>
                      <w:kern w:val="0"/>
                      <w:sz w:val="18"/>
                      <w:szCs w:val="18"/>
                      <w:highlight w:val="none"/>
                      <w:vertAlign w:val="superscript"/>
                      <w:lang w:val="en-US" w:eastAsia="zh-CN"/>
                    </w:rPr>
                    <w:t>-9</w:t>
                  </w:r>
                </w:p>
              </w:tc>
              <w:tc>
                <w:tcPr>
                  <w:tcW w:w="534" w:type="pct"/>
                  <w:tcBorders>
                    <w:top w:val="single" w:color="000000" w:sz="4" w:space="0"/>
                    <w:left w:val="single" w:color="000000" w:sz="4" w:space="0"/>
                    <w:bottom w:val="single" w:color="000000" w:sz="4" w:space="0"/>
                    <w:right w:val="single" w:color="000000" w:sz="4" w:space="0"/>
                  </w:tcBorders>
                  <w:shd w:val="clear" w:color="auto" w:fill="auto"/>
                  <w:noWrap w:val="0"/>
                  <w:tcMar>
                    <w:top w:w="28" w:type="dxa"/>
                    <w:left w:w="28" w:type="dxa"/>
                    <w:bottom w:w="28" w:type="dxa"/>
                    <w:right w:w="28" w:type="dxa"/>
                  </w:tcMar>
                  <w:vAlign w:val="center"/>
                </w:tcPr>
                <w:p w14:paraId="7220DB7A">
                  <w:pPr>
                    <w:widowControl/>
                    <w:spacing w:line="240" w:lineRule="auto"/>
                    <w:jc w:val="center"/>
                    <w:textAlignment w:val="center"/>
                    <w:rPr>
                      <w:rFonts w:hint="eastAsia" w:ascii="Times New Roman" w:hAnsi="Times New Roman" w:eastAsia="宋体" w:cs="Times New Roman"/>
                      <w:b w:val="0"/>
                      <w:bCs w:val="0"/>
                      <w:color w:val="auto"/>
                      <w:kern w:val="0"/>
                      <w:sz w:val="18"/>
                      <w:szCs w:val="18"/>
                      <w:highlight w:val="none"/>
                      <w:lang w:val="en-US" w:eastAsia="zh-CN" w:bidi="ar-SA"/>
                    </w:rPr>
                  </w:pPr>
                  <w:r>
                    <w:rPr>
                      <w:rFonts w:hint="eastAsia" w:cs="Times New Roman"/>
                      <w:b w:val="0"/>
                      <w:bCs w:val="0"/>
                      <w:color w:val="auto"/>
                      <w:kern w:val="0"/>
                      <w:sz w:val="18"/>
                      <w:szCs w:val="18"/>
                      <w:highlight w:val="none"/>
                      <w:lang w:val="en-US" w:eastAsia="zh-CN"/>
                    </w:rPr>
                    <w:t>0.036×10</w:t>
                  </w:r>
                  <w:r>
                    <w:rPr>
                      <w:rFonts w:hint="eastAsia" w:cs="Times New Roman"/>
                      <w:b w:val="0"/>
                      <w:bCs w:val="0"/>
                      <w:color w:val="auto"/>
                      <w:kern w:val="0"/>
                      <w:sz w:val="18"/>
                      <w:szCs w:val="18"/>
                      <w:highlight w:val="none"/>
                      <w:vertAlign w:val="superscript"/>
                      <w:lang w:val="en-US" w:eastAsia="zh-CN"/>
                    </w:rPr>
                    <w:t>-6</w:t>
                  </w:r>
                </w:p>
              </w:tc>
              <w:tc>
                <w:tcPr>
                  <w:tcW w:w="340" w:type="pct"/>
                  <w:vMerge w:val="continue"/>
                  <w:tcBorders>
                    <w:left w:val="single" w:color="000000" w:sz="4" w:space="0"/>
                    <w:right w:val="single" w:color="000000" w:sz="4" w:space="0"/>
                  </w:tcBorders>
                  <w:noWrap w:val="0"/>
                  <w:tcMar>
                    <w:top w:w="28" w:type="dxa"/>
                    <w:left w:w="28" w:type="dxa"/>
                    <w:bottom w:w="28" w:type="dxa"/>
                    <w:right w:w="28" w:type="dxa"/>
                  </w:tcMar>
                  <w:vAlign w:val="center"/>
                </w:tcPr>
                <w:p w14:paraId="68347108">
                  <w:pPr>
                    <w:jc w:val="center"/>
                    <w:rPr>
                      <w:rFonts w:hint="default" w:ascii="Times New Roman" w:hAnsi="Times New Roman" w:cs="Times New Roman"/>
                      <w:color w:val="000000"/>
                      <w:sz w:val="18"/>
                      <w:szCs w:val="18"/>
                      <w:highlight w:val="none"/>
                    </w:rPr>
                  </w:pPr>
                </w:p>
              </w:tc>
              <w:tc>
                <w:tcPr>
                  <w:tcW w:w="322" w:type="pct"/>
                  <w:tcBorders>
                    <w:left w:val="single" w:color="000000" w:sz="4" w:space="0"/>
                    <w:right w:val="single" w:color="auto" w:sz="4" w:space="0"/>
                  </w:tcBorders>
                  <w:noWrap w:val="0"/>
                  <w:tcMar>
                    <w:top w:w="28" w:type="dxa"/>
                    <w:left w:w="28" w:type="dxa"/>
                    <w:bottom w:w="28" w:type="dxa"/>
                    <w:right w:w="28" w:type="dxa"/>
                  </w:tcMar>
                  <w:vAlign w:val="center"/>
                </w:tcPr>
                <w:p w14:paraId="693ADB0B">
                  <w:pPr>
                    <w:jc w:val="center"/>
                    <w:rPr>
                      <w:rFonts w:hint="eastAsia"/>
                      <w:sz w:val="18"/>
                      <w:szCs w:val="18"/>
                      <w:highlight w:val="none"/>
                      <w:lang w:val="en-US" w:eastAsia="zh-CN"/>
                    </w:rPr>
                  </w:pPr>
                  <w:r>
                    <w:rPr>
                      <w:rFonts w:hint="eastAsia"/>
                      <w:sz w:val="18"/>
                      <w:szCs w:val="18"/>
                      <w:highlight w:val="none"/>
                      <w:lang w:val="en-US" w:eastAsia="zh-CN"/>
                    </w:rPr>
                    <w:t>15</w:t>
                  </w:r>
                </w:p>
              </w:tc>
              <w:tc>
                <w:tcPr>
                  <w:tcW w:w="268" w:type="pct"/>
                  <w:tcBorders>
                    <w:left w:val="single" w:color="auto" w:sz="4" w:space="0"/>
                    <w:right w:val="single" w:color="000000" w:sz="4" w:space="0"/>
                  </w:tcBorders>
                  <w:noWrap w:val="0"/>
                  <w:tcMar>
                    <w:top w:w="28" w:type="dxa"/>
                    <w:left w:w="28" w:type="dxa"/>
                    <w:bottom w:w="28" w:type="dxa"/>
                    <w:right w:w="28" w:type="dxa"/>
                  </w:tcMar>
                  <w:vAlign w:val="center"/>
                </w:tcPr>
                <w:p w14:paraId="44234B5B">
                  <w:pPr>
                    <w:jc w:val="center"/>
                    <w:rPr>
                      <w:rFonts w:hint="default"/>
                      <w:sz w:val="18"/>
                      <w:szCs w:val="18"/>
                      <w:highlight w:val="none"/>
                      <w:lang w:val="en-US" w:eastAsia="zh-CN"/>
                    </w:rPr>
                  </w:pPr>
                  <w:r>
                    <w:rPr>
                      <w:rFonts w:hint="eastAsia"/>
                      <w:sz w:val="18"/>
                      <w:szCs w:val="18"/>
                      <w:highlight w:val="none"/>
                      <w:lang w:val="en-US" w:eastAsia="zh-CN"/>
                    </w:rPr>
                    <w:t>/</w:t>
                  </w:r>
                </w:p>
              </w:tc>
            </w:tr>
            <w:tr w14:paraId="425F5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137" w:type="pct"/>
                  <w:vMerge w:val="continue"/>
                  <w:tcBorders>
                    <w:left w:val="single" w:color="000000" w:sz="4" w:space="0"/>
                    <w:right w:val="single" w:color="000000" w:sz="4" w:space="0"/>
                  </w:tcBorders>
                  <w:noWrap w:val="0"/>
                  <w:tcMar>
                    <w:top w:w="28" w:type="dxa"/>
                    <w:left w:w="28" w:type="dxa"/>
                    <w:bottom w:w="28" w:type="dxa"/>
                    <w:right w:w="28" w:type="dxa"/>
                  </w:tcMar>
                  <w:vAlign w:val="center"/>
                </w:tcPr>
                <w:p w14:paraId="25241102">
                  <w:pPr>
                    <w:jc w:val="center"/>
                    <w:rPr>
                      <w:rFonts w:hint="eastAsia" w:ascii="Times New Roman" w:hAnsi="Times New Roman" w:cs="Times New Roman"/>
                      <w:color w:val="000000"/>
                      <w:sz w:val="18"/>
                      <w:szCs w:val="18"/>
                      <w:highlight w:val="none"/>
                      <w:lang w:val="en-US" w:eastAsia="zh-CN"/>
                    </w:rPr>
                  </w:pPr>
                </w:p>
              </w:tc>
              <w:tc>
                <w:tcPr>
                  <w:tcW w:w="327" w:type="pct"/>
                  <w:tcBorders>
                    <w:left w:val="single" w:color="000000" w:sz="4" w:space="0"/>
                    <w:right w:val="single" w:color="000000" w:sz="4" w:space="0"/>
                  </w:tcBorders>
                  <w:noWrap w:val="0"/>
                  <w:tcMar>
                    <w:top w:w="28" w:type="dxa"/>
                    <w:left w:w="28" w:type="dxa"/>
                    <w:bottom w:w="28" w:type="dxa"/>
                    <w:right w:w="28" w:type="dxa"/>
                  </w:tcMar>
                  <w:vAlign w:val="center"/>
                </w:tcPr>
                <w:p w14:paraId="1BA8D864">
                  <w:pPr>
                    <w:snapToGrid w:val="0"/>
                    <w:spacing w:line="240" w:lineRule="auto"/>
                    <w:jc w:val="center"/>
                    <w:rPr>
                      <w:rFonts w:hint="default" w:ascii="Times New Roman" w:hAnsi="Times New Roman" w:eastAsia="宋体" w:cs="Times New Roman"/>
                      <w:color w:val="000000"/>
                      <w:kern w:val="0"/>
                      <w:sz w:val="18"/>
                      <w:szCs w:val="18"/>
                      <w:highlight w:val="none"/>
                      <w:lang w:val="en-US" w:eastAsia="zh-CN" w:bidi="ar"/>
                    </w:rPr>
                  </w:pPr>
                  <w:r>
                    <w:rPr>
                      <w:rFonts w:hint="eastAsia" w:cs="Times New Roman"/>
                      <w:color w:val="000000"/>
                      <w:kern w:val="0"/>
                      <w:sz w:val="18"/>
                      <w:szCs w:val="18"/>
                      <w:highlight w:val="none"/>
                      <w:lang w:val="en-US" w:eastAsia="zh-CN" w:bidi="ar"/>
                    </w:rPr>
                    <w:t>乙苯</w:t>
                  </w:r>
                </w:p>
              </w:tc>
              <w:tc>
                <w:tcPr>
                  <w:tcW w:w="360"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3C455D0B">
                  <w:pPr>
                    <w:jc w:val="center"/>
                    <w:rPr>
                      <w:rFonts w:hint="default" w:ascii="Times New Roman" w:hAnsi="Times New Roman" w:cs="Times New Roman"/>
                      <w:color w:val="000000"/>
                      <w:sz w:val="18"/>
                      <w:szCs w:val="18"/>
                      <w:highlight w:val="none"/>
                    </w:rPr>
                  </w:pPr>
                </w:p>
              </w:tc>
              <w:tc>
                <w:tcPr>
                  <w:tcW w:w="434" w:type="pct"/>
                  <w:tcBorders>
                    <w:top w:val="single" w:color="000000" w:sz="4" w:space="0"/>
                    <w:left w:val="single" w:color="000000" w:sz="4" w:space="0"/>
                    <w:bottom w:val="single" w:color="000000" w:sz="4" w:space="0"/>
                    <w:right w:val="single" w:color="auto" w:sz="4" w:space="0"/>
                  </w:tcBorders>
                  <w:noWrap w:val="0"/>
                  <w:tcMar>
                    <w:top w:w="28" w:type="dxa"/>
                    <w:left w:w="28" w:type="dxa"/>
                    <w:bottom w:w="28" w:type="dxa"/>
                    <w:right w:w="28" w:type="dxa"/>
                  </w:tcMar>
                  <w:vAlign w:val="center"/>
                </w:tcPr>
                <w:p w14:paraId="2B4B9676">
                  <w:pPr>
                    <w:widowControl/>
                    <w:spacing w:line="240" w:lineRule="auto"/>
                    <w:jc w:val="center"/>
                    <w:textAlignment w:val="center"/>
                    <w:rPr>
                      <w:rFonts w:hint="eastAsia" w:cs="Times New Roman"/>
                      <w:b w:val="0"/>
                      <w:bCs w:val="0"/>
                      <w:color w:val="auto"/>
                      <w:kern w:val="0"/>
                      <w:sz w:val="18"/>
                      <w:szCs w:val="18"/>
                      <w:highlight w:val="none"/>
                      <w:lang w:val="en-US" w:eastAsia="zh-CN"/>
                    </w:rPr>
                  </w:pPr>
                  <w:r>
                    <w:rPr>
                      <w:rFonts w:hint="eastAsia" w:cs="Times New Roman"/>
                      <w:b w:val="0"/>
                      <w:bCs w:val="0"/>
                      <w:color w:val="auto"/>
                      <w:kern w:val="0"/>
                      <w:sz w:val="18"/>
                      <w:szCs w:val="18"/>
                      <w:highlight w:val="none"/>
                      <w:lang w:val="en-US" w:eastAsia="zh-CN"/>
                    </w:rPr>
                    <w:t>2.141×10</w:t>
                  </w:r>
                  <w:r>
                    <w:rPr>
                      <w:rFonts w:hint="eastAsia" w:cs="Times New Roman"/>
                      <w:b w:val="0"/>
                      <w:bCs w:val="0"/>
                      <w:color w:val="auto"/>
                      <w:kern w:val="0"/>
                      <w:sz w:val="18"/>
                      <w:szCs w:val="18"/>
                      <w:highlight w:val="none"/>
                      <w:vertAlign w:val="superscript"/>
                      <w:lang w:val="en-US" w:eastAsia="zh-CN"/>
                    </w:rPr>
                    <w:t>-6</w:t>
                  </w:r>
                </w:p>
              </w:tc>
              <w:tc>
                <w:tcPr>
                  <w:tcW w:w="533" w:type="pct"/>
                  <w:tcBorders>
                    <w:top w:val="single" w:color="000000" w:sz="4" w:space="0"/>
                    <w:left w:val="single" w:color="auto" w:sz="4" w:space="0"/>
                    <w:bottom w:val="single" w:color="000000" w:sz="4" w:space="0"/>
                    <w:right w:val="single" w:color="auto" w:sz="4" w:space="0"/>
                  </w:tcBorders>
                  <w:noWrap w:val="0"/>
                  <w:tcMar>
                    <w:top w:w="28" w:type="dxa"/>
                    <w:left w:w="28" w:type="dxa"/>
                    <w:bottom w:w="28" w:type="dxa"/>
                    <w:right w:w="28" w:type="dxa"/>
                  </w:tcMar>
                  <w:vAlign w:val="center"/>
                </w:tcPr>
                <w:p w14:paraId="6BB973F2">
                  <w:pPr>
                    <w:widowControl/>
                    <w:spacing w:line="240" w:lineRule="auto"/>
                    <w:jc w:val="center"/>
                    <w:textAlignment w:val="center"/>
                    <w:rPr>
                      <w:rFonts w:hint="eastAsia" w:cs="Times New Roman"/>
                      <w:b w:val="0"/>
                      <w:bCs w:val="0"/>
                      <w:color w:val="auto"/>
                      <w:kern w:val="0"/>
                      <w:sz w:val="18"/>
                      <w:szCs w:val="18"/>
                      <w:highlight w:val="none"/>
                      <w:lang w:val="en-US" w:eastAsia="zh-CN"/>
                    </w:rPr>
                  </w:pPr>
                  <w:r>
                    <w:rPr>
                      <w:rFonts w:hint="eastAsia" w:cs="Times New Roman"/>
                      <w:b w:val="0"/>
                      <w:bCs w:val="0"/>
                      <w:color w:val="auto"/>
                      <w:kern w:val="0"/>
                      <w:sz w:val="18"/>
                      <w:szCs w:val="18"/>
                      <w:highlight w:val="none"/>
                      <w:lang w:val="en-US" w:eastAsia="zh-CN"/>
                    </w:rPr>
                    <w:t>3.854×10</w:t>
                  </w:r>
                  <w:r>
                    <w:rPr>
                      <w:rFonts w:hint="eastAsia" w:cs="Times New Roman"/>
                      <w:b w:val="0"/>
                      <w:bCs w:val="0"/>
                      <w:color w:val="auto"/>
                      <w:kern w:val="0"/>
                      <w:sz w:val="18"/>
                      <w:szCs w:val="18"/>
                      <w:highlight w:val="none"/>
                      <w:vertAlign w:val="superscript"/>
                      <w:lang w:val="en-US" w:eastAsia="zh-CN"/>
                    </w:rPr>
                    <w:t>-8</w:t>
                  </w:r>
                </w:p>
              </w:tc>
              <w:tc>
                <w:tcPr>
                  <w:tcW w:w="534" w:type="pct"/>
                  <w:tcBorders>
                    <w:top w:val="single" w:color="000000" w:sz="4" w:space="0"/>
                    <w:left w:val="single" w:color="auto" w:sz="4" w:space="0"/>
                    <w:bottom w:val="single" w:color="000000" w:sz="4" w:space="0"/>
                    <w:right w:val="single" w:color="000000" w:sz="4" w:space="0"/>
                  </w:tcBorders>
                  <w:noWrap w:val="0"/>
                  <w:tcMar>
                    <w:top w:w="28" w:type="dxa"/>
                    <w:left w:w="28" w:type="dxa"/>
                    <w:bottom w:w="28" w:type="dxa"/>
                    <w:right w:w="28" w:type="dxa"/>
                  </w:tcMar>
                  <w:vAlign w:val="center"/>
                </w:tcPr>
                <w:p w14:paraId="226D3877">
                  <w:pPr>
                    <w:widowControl/>
                    <w:spacing w:line="240" w:lineRule="auto"/>
                    <w:jc w:val="center"/>
                    <w:textAlignment w:val="center"/>
                    <w:rPr>
                      <w:rFonts w:hint="eastAsia" w:cs="Times New Roman"/>
                      <w:b w:val="0"/>
                      <w:bCs w:val="0"/>
                      <w:color w:val="auto"/>
                      <w:kern w:val="0"/>
                      <w:sz w:val="18"/>
                      <w:szCs w:val="18"/>
                      <w:highlight w:val="none"/>
                      <w:lang w:val="en-US" w:eastAsia="zh-CN"/>
                    </w:rPr>
                  </w:pPr>
                  <w:r>
                    <w:rPr>
                      <w:rFonts w:hint="eastAsia" w:cs="Times New Roman"/>
                      <w:b w:val="0"/>
                      <w:bCs w:val="0"/>
                      <w:color w:val="auto"/>
                      <w:kern w:val="0"/>
                      <w:sz w:val="18"/>
                      <w:szCs w:val="18"/>
                      <w:highlight w:val="none"/>
                      <w:lang w:val="en-US" w:eastAsia="zh-CN"/>
                    </w:rPr>
                    <w:t>0.185×10</w:t>
                  </w:r>
                  <w:r>
                    <w:rPr>
                      <w:rFonts w:hint="eastAsia" w:cs="Times New Roman"/>
                      <w:b w:val="0"/>
                      <w:bCs w:val="0"/>
                      <w:color w:val="auto"/>
                      <w:kern w:val="0"/>
                      <w:sz w:val="18"/>
                      <w:szCs w:val="18"/>
                      <w:highlight w:val="none"/>
                      <w:vertAlign w:val="superscript"/>
                      <w:lang w:val="en-US" w:eastAsia="zh-CN"/>
                    </w:rPr>
                    <w:t>-6</w:t>
                  </w:r>
                </w:p>
              </w:tc>
              <w:tc>
                <w:tcPr>
                  <w:tcW w:w="138"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17A3DF21">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0"/>
                  <w:tcMar>
                    <w:top w:w="28" w:type="dxa"/>
                    <w:left w:w="28" w:type="dxa"/>
                    <w:bottom w:w="28" w:type="dxa"/>
                    <w:right w:w="28" w:type="dxa"/>
                  </w:tcMar>
                  <w:vAlign w:val="center"/>
                </w:tcPr>
                <w:p w14:paraId="1DB0FD5E">
                  <w:pPr>
                    <w:widowControl/>
                    <w:spacing w:line="240" w:lineRule="auto"/>
                    <w:jc w:val="center"/>
                    <w:textAlignment w:val="center"/>
                    <w:rPr>
                      <w:rFonts w:hint="eastAsia" w:ascii="Times New Roman" w:hAnsi="Times New Roman" w:eastAsia="宋体" w:cs="Times New Roman"/>
                      <w:b w:val="0"/>
                      <w:bCs w:val="0"/>
                      <w:color w:val="auto"/>
                      <w:kern w:val="0"/>
                      <w:sz w:val="18"/>
                      <w:szCs w:val="18"/>
                      <w:highlight w:val="none"/>
                      <w:lang w:val="en-US" w:eastAsia="zh-CN" w:bidi="ar-SA"/>
                    </w:rPr>
                  </w:pPr>
                  <w:r>
                    <w:rPr>
                      <w:rFonts w:hint="eastAsia" w:cs="Times New Roman"/>
                      <w:b w:val="0"/>
                      <w:bCs w:val="0"/>
                      <w:color w:val="auto"/>
                      <w:kern w:val="0"/>
                      <w:sz w:val="18"/>
                      <w:szCs w:val="18"/>
                      <w:highlight w:val="none"/>
                      <w:lang w:val="en-US" w:eastAsia="zh-CN"/>
                    </w:rPr>
                    <w:t>2.141×10</w:t>
                  </w:r>
                  <w:r>
                    <w:rPr>
                      <w:rFonts w:hint="eastAsia" w:cs="Times New Roman"/>
                      <w:b w:val="0"/>
                      <w:bCs w:val="0"/>
                      <w:color w:val="auto"/>
                      <w:kern w:val="0"/>
                      <w:sz w:val="18"/>
                      <w:szCs w:val="18"/>
                      <w:highlight w:val="none"/>
                      <w:vertAlign w:val="superscript"/>
                      <w:lang w:val="en-US" w:eastAsia="zh-CN"/>
                    </w:rPr>
                    <w:t>-7</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0"/>
                  <w:tcMar>
                    <w:top w:w="28" w:type="dxa"/>
                    <w:left w:w="28" w:type="dxa"/>
                    <w:bottom w:w="28" w:type="dxa"/>
                    <w:right w:w="28" w:type="dxa"/>
                  </w:tcMar>
                  <w:vAlign w:val="center"/>
                </w:tcPr>
                <w:p w14:paraId="6CFA9BC8">
                  <w:pPr>
                    <w:widowControl/>
                    <w:spacing w:line="240" w:lineRule="auto"/>
                    <w:jc w:val="center"/>
                    <w:textAlignment w:val="center"/>
                    <w:rPr>
                      <w:rFonts w:hint="eastAsia" w:ascii="Times New Roman" w:hAnsi="Times New Roman" w:eastAsia="宋体" w:cs="Times New Roman"/>
                      <w:b w:val="0"/>
                      <w:bCs w:val="0"/>
                      <w:color w:val="auto"/>
                      <w:kern w:val="0"/>
                      <w:sz w:val="18"/>
                      <w:szCs w:val="18"/>
                      <w:highlight w:val="none"/>
                      <w:lang w:val="en-US" w:eastAsia="zh-CN" w:bidi="ar-SA"/>
                    </w:rPr>
                  </w:pPr>
                  <w:r>
                    <w:rPr>
                      <w:rFonts w:hint="eastAsia" w:cs="Times New Roman"/>
                      <w:b w:val="0"/>
                      <w:bCs w:val="0"/>
                      <w:color w:val="auto"/>
                      <w:kern w:val="0"/>
                      <w:sz w:val="18"/>
                      <w:szCs w:val="18"/>
                      <w:highlight w:val="none"/>
                      <w:lang w:val="en-US" w:eastAsia="zh-CN"/>
                    </w:rPr>
                    <w:t>3.854×10</w:t>
                  </w:r>
                  <w:r>
                    <w:rPr>
                      <w:rFonts w:hint="eastAsia" w:cs="Times New Roman"/>
                      <w:b w:val="0"/>
                      <w:bCs w:val="0"/>
                      <w:color w:val="auto"/>
                      <w:kern w:val="0"/>
                      <w:sz w:val="18"/>
                      <w:szCs w:val="18"/>
                      <w:highlight w:val="none"/>
                      <w:vertAlign w:val="superscript"/>
                      <w:lang w:val="en-US" w:eastAsia="zh-CN"/>
                    </w:rPr>
                    <w:t>-9</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0"/>
                  <w:tcMar>
                    <w:top w:w="28" w:type="dxa"/>
                    <w:left w:w="28" w:type="dxa"/>
                    <w:bottom w:w="28" w:type="dxa"/>
                    <w:right w:w="28" w:type="dxa"/>
                  </w:tcMar>
                  <w:vAlign w:val="center"/>
                </w:tcPr>
                <w:p w14:paraId="2FAF4437">
                  <w:pPr>
                    <w:widowControl/>
                    <w:spacing w:line="240" w:lineRule="auto"/>
                    <w:jc w:val="center"/>
                    <w:textAlignment w:val="center"/>
                    <w:rPr>
                      <w:rFonts w:hint="eastAsia" w:ascii="Times New Roman" w:hAnsi="Times New Roman" w:eastAsia="宋体" w:cs="Times New Roman"/>
                      <w:b w:val="0"/>
                      <w:bCs w:val="0"/>
                      <w:color w:val="auto"/>
                      <w:kern w:val="0"/>
                      <w:sz w:val="18"/>
                      <w:szCs w:val="18"/>
                      <w:highlight w:val="none"/>
                      <w:lang w:val="en-US" w:eastAsia="zh-CN" w:bidi="ar-SA"/>
                    </w:rPr>
                  </w:pPr>
                  <w:r>
                    <w:rPr>
                      <w:rFonts w:hint="eastAsia" w:cs="Times New Roman"/>
                      <w:b w:val="0"/>
                      <w:bCs w:val="0"/>
                      <w:color w:val="auto"/>
                      <w:kern w:val="0"/>
                      <w:sz w:val="18"/>
                      <w:szCs w:val="18"/>
                      <w:highlight w:val="none"/>
                      <w:lang w:val="en-US" w:eastAsia="zh-CN"/>
                    </w:rPr>
                    <w:t>0.019×10</w:t>
                  </w:r>
                  <w:r>
                    <w:rPr>
                      <w:rFonts w:hint="eastAsia" w:cs="Times New Roman"/>
                      <w:b w:val="0"/>
                      <w:bCs w:val="0"/>
                      <w:color w:val="auto"/>
                      <w:kern w:val="0"/>
                      <w:sz w:val="18"/>
                      <w:szCs w:val="18"/>
                      <w:highlight w:val="none"/>
                      <w:vertAlign w:val="superscript"/>
                      <w:lang w:val="en-US" w:eastAsia="zh-CN"/>
                    </w:rPr>
                    <w:t>-6</w:t>
                  </w:r>
                </w:p>
              </w:tc>
              <w:tc>
                <w:tcPr>
                  <w:tcW w:w="340" w:type="pct"/>
                  <w:vMerge w:val="continue"/>
                  <w:tcBorders>
                    <w:left w:val="single" w:color="000000" w:sz="4" w:space="0"/>
                    <w:right w:val="single" w:color="000000" w:sz="4" w:space="0"/>
                  </w:tcBorders>
                  <w:noWrap w:val="0"/>
                  <w:tcMar>
                    <w:top w:w="28" w:type="dxa"/>
                    <w:left w:w="28" w:type="dxa"/>
                    <w:bottom w:w="28" w:type="dxa"/>
                    <w:right w:w="28" w:type="dxa"/>
                  </w:tcMar>
                  <w:vAlign w:val="center"/>
                </w:tcPr>
                <w:p w14:paraId="6B68A157">
                  <w:pPr>
                    <w:jc w:val="center"/>
                    <w:rPr>
                      <w:rFonts w:hint="default" w:ascii="Times New Roman" w:hAnsi="Times New Roman" w:cs="Times New Roman"/>
                      <w:color w:val="000000"/>
                      <w:sz w:val="18"/>
                      <w:szCs w:val="18"/>
                      <w:highlight w:val="none"/>
                    </w:rPr>
                  </w:pPr>
                </w:p>
              </w:tc>
              <w:tc>
                <w:tcPr>
                  <w:tcW w:w="322" w:type="pct"/>
                  <w:tcBorders>
                    <w:left w:val="single" w:color="000000" w:sz="4" w:space="0"/>
                    <w:right w:val="single" w:color="auto" w:sz="4" w:space="0"/>
                  </w:tcBorders>
                  <w:noWrap w:val="0"/>
                  <w:tcMar>
                    <w:top w:w="28" w:type="dxa"/>
                    <w:left w:w="28" w:type="dxa"/>
                    <w:bottom w:w="28" w:type="dxa"/>
                    <w:right w:w="28" w:type="dxa"/>
                  </w:tcMar>
                  <w:vAlign w:val="center"/>
                </w:tcPr>
                <w:p w14:paraId="39B1EEF4">
                  <w:pPr>
                    <w:jc w:val="center"/>
                    <w:rPr>
                      <w:rFonts w:hint="eastAsia"/>
                      <w:sz w:val="18"/>
                      <w:szCs w:val="18"/>
                      <w:highlight w:val="none"/>
                      <w:lang w:val="en-US" w:eastAsia="zh-CN"/>
                    </w:rPr>
                  </w:pPr>
                  <w:r>
                    <w:rPr>
                      <w:rFonts w:hint="eastAsia" w:cs="Times New Roman"/>
                      <w:b w:val="0"/>
                      <w:bCs w:val="0"/>
                      <w:snapToGrid w:val="0"/>
                      <w:color w:val="auto"/>
                      <w:kern w:val="0"/>
                      <w:sz w:val="18"/>
                      <w:szCs w:val="18"/>
                      <w:highlight w:val="none"/>
                      <w:vertAlign w:val="baseline"/>
                      <w:lang w:val="en-US" w:eastAsia="zh-CN"/>
                    </w:rPr>
                    <w:t>50</w:t>
                  </w:r>
                </w:p>
              </w:tc>
              <w:tc>
                <w:tcPr>
                  <w:tcW w:w="268" w:type="pct"/>
                  <w:tcBorders>
                    <w:left w:val="single" w:color="auto" w:sz="4" w:space="0"/>
                    <w:right w:val="single" w:color="000000" w:sz="4" w:space="0"/>
                  </w:tcBorders>
                  <w:noWrap w:val="0"/>
                  <w:tcMar>
                    <w:top w:w="28" w:type="dxa"/>
                    <w:left w:w="28" w:type="dxa"/>
                    <w:bottom w:w="28" w:type="dxa"/>
                    <w:right w:w="28" w:type="dxa"/>
                  </w:tcMar>
                  <w:vAlign w:val="center"/>
                </w:tcPr>
                <w:p w14:paraId="60CF92C7">
                  <w:pPr>
                    <w:jc w:val="center"/>
                    <w:rPr>
                      <w:rFonts w:hint="default"/>
                      <w:sz w:val="18"/>
                      <w:szCs w:val="18"/>
                      <w:highlight w:val="none"/>
                      <w:lang w:val="en-US" w:eastAsia="zh-CN"/>
                    </w:rPr>
                  </w:pPr>
                  <w:r>
                    <w:rPr>
                      <w:rFonts w:hint="eastAsia"/>
                      <w:sz w:val="18"/>
                      <w:szCs w:val="18"/>
                      <w:highlight w:val="none"/>
                      <w:lang w:val="en-US" w:eastAsia="zh-CN"/>
                    </w:rPr>
                    <w:t>/</w:t>
                  </w:r>
                </w:p>
              </w:tc>
            </w:tr>
            <w:tr w14:paraId="710CE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137" w:type="pct"/>
                  <w:vMerge w:val="continue"/>
                  <w:tcBorders>
                    <w:left w:val="single" w:color="000000" w:sz="4" w:space="0"/>
                    <w:bottom w:val="single" w:color="auto" w:sz="4" w:space="0"/>
                    <w:right w:val="single" w:color="000000" w:sz="4" w:space="0"/>
                  </w:tcBorders>
                  <w:noWrap w:val="0"/>
                  <w:tcMar>
                    <w:top w:w="28" w:type="dxa"/>
                    <w:left w:w="28" w:type="dxa"/>
                    <w:bottom w:w="28" w:type="dxa"/>
                    <w:right w:w="28" w:type="dxa"/>
                  </w:tcMar>
                  <w:vAlign w:val="center"/>
                </w:tcPr>
                <w:p w14:paraId="233115F4">
                  <w:pPr>
                    <w:jc w:val="center"/>
                    <w:rPr>
                      <w:rFonts w:hint="eastAsia" w:ascii="Times New Roman" w:hAnsi="Times New Roman" w:cs="Times New Roman"/>
                      <w:color w:val="000000"/>
                      <w:sz w:val="18"/>
                      <w:szCs w:val="18"/>
                      <w:highlight w:val="none"/>
                      <w:lang w:val="en-US" w:eastAsia="zh-CN"/>
                    </w:rPr>
                  </w:pPr>
                </w:p>
              </w:tc>
              <w:tc>
                <w:tcPr>
                  <w:tcW w:w="327" w:type="pct"/>
                  <w:tcBorders>
                    <w:left w:val="single" w:color="000000" w:sz="4" w:space="0"/>
                    <w:right w:val="single" w:color="000000" w:sz="4" w:space="0"/>
                  </w:tcBorders>
                  <w:noWrap w:val="0"/>
                  <w:tcMar>
                    <w:top w:w="28" w:type="dxa"/>
                    <w:left w:w="28" w:type="dxa"/>
                    <w:bottom w:w="28" w:type="dxa"/>
                    <w:right w:w="28" w:type="dxa"/>
                  </w:tcMar>
                  <w:vAlign w:val="center"/>
                </w:tcPr>
                <w:p w14:paraId="614F0612">
                  <w:pPr>
                    <w:snapToGrid w:val="0"/>
                    <w:spacing w:line="240" w:lineRule="auto"/>
                    <w:jc w:val="center"/>
                    <w:rPr>
                      <w:rFonts w:hint="default" w:ascii="Times New Roman" w:hAnsi="Times New Roman" w:eastAsia="宋体" w:cs="Times New Roman"/>
                      <w:color w:val="000000"/>
                      <w:kern w:val="0"/>
                      <w:sz w:val="18"/>
                      <w:szCs w:val="18"/>
                      <w:highlight w:val="none"/>
                      <w:lang w:val="en-US" w:eastAsia="zh-CN" w:bidi="ar"/>
                    </w:rPr>
                  </w:pPr>
                  <w:r>
                    <w:rPr>
                      <w:rFonts w:hint="eastAsia" w:cs="Times New Roman"/>
                      <w:color w:val="000000"/>
                      <w:kern w:val="0"/>
                      <w:sz w:val="18"/>
                      <w:szCs w:val="18"/>
                      <w:highlight w:val="none"/>
                      <w:lang w:val="en-US" w:eastAsia="zh-CN" w:bidi="ar"/>
                    </w:rPr>
                    <w:t>苯乙烯</w:t>
                  </w:r>
                </w:p>
              </w:tc>
              <w:tc>
                <w:tcPr>
                  <w:tcW w:w="360" w:type="pct"/>
                  <w:vMerge w:val="continue"/>
                  <w:tcBorders>
                    <w:left w:val="single" w:color="000000" w:sz="4" w:space="0"/>
                    <w:bottom w:val="single" w:color="auto" w:sz="4" w:space="0"/>
                    <w:right w:val="single" w:color="auto" w:sz="4" w:space="0"/>
                  </w:tcBorders>
                  <w:noWrap w:val="0"/>
                  <w:tcMar>
                    <w:top w:w="28" w:type="dxa"/>
                    <w:left w:w="28" w:type="dxa"/>
                    <w:bottom w:w="28" w:type="dxa"/>
                    <w:right w:w="28" w:type="dxa"/>
                  </w:tcMar>
                  <w:vAlign w:val="center"/>
                </w:tcPr>
                <w:p w14:paraId="73E8771E">
                  <w:pPr>
                    <w:jc w:val="center"/>
                    <w:rPr>
                      <w:rFonts w:hint="default" w:ascii="Times New Roman" w:hAnsi="Times New Roman" w:cs="Times New Roman"/>
                      <w:color w:val="000000"/>
                      <w:sz w:val="18"/>
                      <w:szCs w:val="18"/>
                      <w:highlight w:val="none"/>
                    </w:rPr>
                  </w:pPr>
                </w:p>
              </w:tc>
              <w:tc>
                <w:tcPr>
                  <w:tcW w:w="434" w:type="pct"/>
                  <w:tcBorders>
                    <w:top w:val="single" w:color="000000" w:sz="4" w:space="0"/>
                    <w:left w:val="single" w:color="000000" w:sz="4" w:space="0"/>
                    <w:bottom w:val="single" w:color="000000" w:sz="4" w:space="0"/>
                    <w:right w:val="single" w:color="auto" w:sz="4" w:space="0"/>
                  </w:tcBorders>
                  <w:noWrap w:val="0"/>
                  <w:tcMar>
                    <w:top w:w="28" w:type="dxa"/>
                    <w:left w:w="28" w:type="dxa"/>
                    <w:bottom w:w="28" w:type="dxa"/>
                    <w:right w:w="28" w:type="dxa"/>
                  </w:tcMar>
                  <w:vAlign w:val="center"/>
                </w:tcPr>
                <w:p w14:paraId="61B7F5FE">
                  <w:pPr>
                    <w:widowControl/>
                    <w:spacing w:line="240" w:lineRule="auto"/>
                    <w:jc w:val="center"/>
                    <w:textAlignment w:val="center"/>
                    <w:rPr>
                      <w:rFonts w:hint="eastAsia" w:cs="Times New Roman"/>
                      <w:b w:val="0"/>
                      <w:bCs w:val="0"/>
                      <w:color w:val="auto"/>
                      <w:kern w:val="0"/>
                      <w:sz w:val="18"/>
                      <w:szCs w:val="18"/>
                      <w:highlight w:val="none"/>
                      <w:lang w:val="en-US" w:eastAsia="zh-CN"/>
                    </w:rPr>
                  </w:pPr>
                  <w:r>
                    <w:rPr>
                      <w:rFonts w:hint="eastAsia" w:cs="Times New Roman"/>
                      <w:b w:val="0"/>
                      <w:bCs w:val="0"/>
                      <w:color w:val="auto"/>
                      <w:kern w:val="0"/>
                      <w:sz w:val="18"/>
                      <w:szCs w:val="18"/>
                      <w:highlight w:val="none"/>
                      <w:lang w:val="en-US" w:eastAsia="zh-CN"/>
                    </w:rPr>
                    <w:t>1.296×10</w:t>
                  </w:r>
                  <w:r>
                    <w:rPr>
                      <w:rFonts w:hint="eastAsia" w:cs="Times New Roman"/>
                      <w:b w:val="0"/>
                      <w:bCs w:val="0"/>
                      <w:color w:val="auto"/>
                      <w:kern w:val="0"/>
                      <w:sz w:val="18"/>
                      <w:szCs w:val="18"/>
                      <w:highlight w:val="none"/>
                      <w:vertAlign w:val="superscript"/>
                      <w:lang w:val="en-US" w:eastAsia="zh-CN"/>
                    </w:rPr>
                    <w:t>-6</w:t>
                  </w:r>
                </w:p>
              </w:tc>
              <w:tc>
                <w:tcPr>
                  <w:tcW w:w="533" w:type="pct"/>
                  <w:tcBorders>
                    <w:top w:val="single" w:color="000000" w:sz="4" w:space="0"/>
                    <w:left w:val="single" w:color="auto" w:sz="4" w:space="0"/>
                    <w:bottom w:val="single" w:color="000000" w:sz="4" w:space="0"/>
                    <w:right w:val="single" w:color="auto" w:sz="4" w:space="0"/>
                  </w:tcBorders>
                  <w:noWrap w:val="0"/>
                  <w:tcMar>
                    <w:top w:w="28" w:type="dxa"/>
                    <w:left w:w="28" w:type="dxa"/>
                    <w:bottom w:w="28" w:type="dxa"/>
                    <w:right w:w="28" w:type="dxa"/>
                  </w:tcMar>
                  <w:vAlign w:val="center"/>
                </w:tcPr>
                <w:p w14:paraId="6578D592">
                  <w:pPr>
                    <w:widowControl/>
                    <w:spacing w:line="240" w:lineRule="auto"/>
                    <w:jc w:val="center"/>
                    <w:textAlignment w:val="center"/>
                    <w:rPr>
                      <w:rFonts w:hint="eastAsia" w:cs="Times New Roman"/>
                      <w:b w:val="0"/>
                      <w:bCs w:val="0"/>
                      <w:color w:val="auto"/>
                      <w:kern w:val="0"/>
                      <w:sz w:val="18"/>
                      <w:szCs w:val="18"/>
                      <w:highlight w:val="none"/>
                      <w:lang w:val="en-US" w:eastAsia="zh-CN"/>
                    </w:rPr>
                  </w:pPr>
                  <w:r>
                    <w:rPr>
                      <w:rFonts w:hint="eastAsia" w:cs="Times New Roman"/>
                      <w:b w:val="0"/>
                      <w:bCs w:val="0"/>
                      <w:color w:val="auto"/>
                      <w:kern w:val="0"/>
                      <w:sz w:val="18"/>
                      <w:szCs w:val="18"/>
                      <w:highlight w:val="none"/>
                      <w:lang w:val="en-US" w:eastAsia="zh-CN"/>
                    </w:rPr>
                    <w:t>2.333×10</w:t>
                  </w:r>
                  <w:r>
                    <w:rPr>
                      <w:rFonts w:hint="eastAsia" w:cs="Times New Roman"/>
                      <w:b w:val="0"/>
                      <w:bCs w:val="0"/>
                      <w:color w:val="auto"/>
                      <w:kern w:val="0"/>
                      <w:sz w:val="18"/>
                      <w:szCs w:val="18"/>
                      <w:highlight w:val="none"/>
                      <w:vertAlign w:val="superscript"/>
                      <w:lang w:val="en-US" w:eastAsia="zh-CN"/>
                    </w:rPr>
                    <w:t>-8</w:t>
                  </w:r>
                </w:p>
              </w:tc>
              <w:tc>
                <w:tcPr>
                  <w:tcW w:w="534" w:type="pct"/>
                  <w:tcBorders>
                    <w:top w:val="single" w:color="000000" w:sz="4" w:space="0"/>
                    <w:left w:val="single" w:color="auto" w:sz="4" w:space="0"/>
                    <w:bottom w:val="single" w:color="000000" w:sz="4" w:space="0"/>
                    <w:right w:val="single" w:color="000000" w:sz="4" w:space="0"/>
                  </w:tcBorders>
                  <w:noWrap w:val="0"/>
                  <w:tcMar>
                    <w:top w:w="28" w:type="dxa"/>
                    <w:left w:w="28" w:type="dxa"/>
                    <w:bottom w:w="28" w:type="dxa"/>
                    <w:right w:w="28" w:type="dxa"/>
                  </w:tcMar>
                  <w:vAlign w:val="center"/>
                </w:tcPr>
                <w:p w14:paraId="7D78A1AB">
                  <w:pPr>
                    <w:widowControl/>
                    <w:spacing w:line="240" w:lineRule="auto"/>
                    <w:jc w:val="center"/>
                    <w:textAlignment w:val="center"/>
                    <w:rPr>
                      <w:rFonts w:hint="eastAsia" w:cs="Times New Roman"/>
                      <w:b w:val="0"/>
                      <w:bCs w:val="0"/>
                      <w:color w:val="auto"/>
                      <w:kern w:val="0"/>
                      <w:sz w:val="18"/>
                      <w:szCs w:val="18"/>
                      <w:highlight w:val="none"/>
                      <w:lang w:val="en-US" w:eastAsia="zh-CN"/>
                    </w:rPr>
                  </w:pPr>
                  <w:r>
                    <w:rPr>
                      <w:rFonts w:hint="eastAsia" w:cs="Times New Roman"/>
                      <w:b w:val="0"/>
                      <w:bCs w:val="0"/>
                      <w:color w:val="auto"/>
                      <w:kern w:val="0"/>
                      <w:sz w:val="18"/>
                      <w:szCs w:val="18"/>
                      <w:highlight w:val="none"/>
                      <w:lang w:val="en-US" w:eastAsia="zh-CN"/>
                    </w:rPr>
                    <w:t>0.112×10</w:t>
                  </w:r>
                  <w:r>
                    <w:rPr>
                      <w:rFonts w:hint="eastAsia" w:cs="Times New Roman"/>
                      <w:b w:val="0"/>
                      <w:bCs w:val="0"/>
                      <w:color w:val="auto"/>
                      <w:kern w:val="0"/>
                      <w:sz w:val="18"/>
                      <w:szCs w:val="18"/>
                      <w:highlight w:val="none"/>
                      <w:vertAlign w:val="superscript"/>
                      <w:lang w:val="en-US" w:eastAsia="zh-CN"/>
                    </w:rPr>
                    <w:t>-6</w:t>
                  </w:r>
                </w:p>
              </w:tc>
              <w:tc>
                <w:tcPr>
                  <w:tcW w:w="138" w:type="pct"/>
                  <w:vMerge w:val="continue"/>
                  <w:tcBorders>
                    <w:left w:val="single" w:color="000000" w:sz="4" w:space="0"/>
                    <w:bottom w:val="single" w:color="auto" w:sz="4" w:space="0"/>
                    <w:right w:val="single" w:color="auto" w:sz="4" w:space="0"/>
                  </w:tcBorders>
                  <w:noWrap w:val="0"/>
                  <w:tcMar>
                    <w:top w:w="28" w:type="dxa"/>
                    <w:left w:w="28" w:type="dxa"/>
                    <w:bottom w:w="28" w:type="dxa"/>
                    <w:right w:w="28" w:type="dxa"/>
                  </w:tcMar>
                  <w:vAlign w:val="center"/>
                </w:tcPr>
                <w:p w14:paraId="12DA2D6F">
                  <w:pPr>
                    <w:widowControl/>
                    <w:spacing w:line="240" w:lineRule="auto"/>
                    <w:jc w:val="center"/>
                    <w:textAlignment w:val="center"/>
                    <w:rPr>
                      <w:rFonts w:hint="default" w:ascii="Times New Roman" w:hAnsi="Times New Roman" w:eastAsia="宋体" w:cs="Times New Roman"/>
                      <w:color w:val="000000"/>
                      <w:kern w:val="2"/>
                      <w:sz w:val="18"/>
                      <w:szCs w:val="18"/>
                      <w:highlight w:val="none"/>
                      <w:lang w:val="en-US" w:eastAsia="zh-CN" w:bidi="ar-SA"/>
                    </w:rPr>
                  </w:pP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0"/>
                  <w:tcMar>
                    <w:top w:w="28" w:type="dxa"/>
                    <w:left w:w="28" w:type="dxa"/>
                    <w:bottom w:w="28" w:type="dxa"/>
                    <w:right w:w="28" w:type="dxa"/>
                  </w:tcMar>
                  <w:vAlign w:val="center"/>
                </w:tcPr>
                <w:p w14:paraId="66F2D428">
                  <w:pPr>
                    <w:widowControl/>
                    <w:spacing w:line="240" w:lineRule="auto"/>
                    <w:jc w:val="center"/>
                    <w:textAlignment w:val="center"/>
                    <w:rPr>
                      <w:rFonts w:hint="eastAsia" w:ascii="Times New Roman" w:hAnsi="Times New Roman" w:eastAsia="宋体" w:cs="Times New Roman"/>
                      <w:b w:val="0"/>
                      <w:bCs w:val="0"/>
                      <w:color w:val="auto"/>
                      <w:kern w:val="0"/>
                      <w:sz w:val="18"/>
                      <w:szCs w:val="18"/>
                      <w:highlight w:val="none"/>
                      <w:lang w:val="en-US" w:eastAsia="zh-CN" w:bidi="ar-SA"/>
                    </w:rPr>
                  </w:pPr>
                  <w:r>
                    <w:rPr>
                      <w:rFonts w:hint="eastAsia" w:cs="Times New Roman"/>
                      <w:b w:val="0"/>
                      <w:bCs w:val="0"/>
                      <w:color w:val="auto"/>
                      <w:kern w:val="0"/>
                      <w:sz w:val="18"/>
                      <w:szCs w:val="18"/>
                      <w:highlight w:val="none"/>
                      <w:lang w:val="en-US" w:eastAsia="zh-CN"/>
                    </w:rPr>
                    <w:t>1.296×10</w:t>
                  </w:r>
                  <w:r>
                    <w:rPr>
                      <w:rFonts w:hint="eastAsia" w:cs="Times New Roman"/>
                      <w:b w:val="0"/>
                      <w:bCs w:val="0"/>
                      <w:color w:val="auto"/>
                      <w:kern w:val="0"/>
                      <w:sz w:val="18"/>
                      <w:szCs w:val="18"/>
                      <w:highlight w:val="none"/>
                      <w:vertAlign w:val="superscript"/>
                      <w:lang w:val="en-US" w:eastAsia="zh-CN"/>
                    </w:rPr>
                    <w:t>-7</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0"/>
                  <w:tcMar>
                    <w:top w:w="28" w:type="dxa"/>
                    <w:left w:w="28" w:type="dxa"/>
                    <w:bottom w:w="28" w:type="dxa"/>
                    <w:right w:w="28" w:type="dxa"/>
                  </w:tcMar>
                  <w:vAlign w:val="center"/>
                </w:tcPr>
                <w:p w14:paraId="3C36637D">
                  <w:pPr>
                    <w:widowControl/>
                    <w:spacing w:line="240" w:lineRule="auto"/>
                    <w:jc w:val="center"/>
                    <w:textAlignment w:val="center"/>
                    <w:rPr>
                      <w:rFonts w:hint="eastAsia" w:ascii="Times New Roman" w:hAnsi="Times New Roman" w:eastAsia="宋体" w:cs="Times New Roman"/>
                      <w:b w:val="0"/>
                      <w:bCs w:val="0"/>
                      <w:color w:val="auto"/>
                      <w:kern w:val="0"/>
                      <w:sz w:val="18"/>
                      <w:szCs w:val="18"/>
                      <w:highlight w:val="none"/>
                      <w:lang w:val="en-US" w:eastAsia="zh-CN" w:bidi="ar-SA"/>
                    </w:rPr>
                  </w:pPr>
                  <w:r>
                    <w:rPr>
                      <w:rFonts w:hint="eastAsia" w:cs="Times New Roman"/>
                      <w:b w:val="0"/>
                      <w:bCs w:val="0"/>
                      <w:color w:val="auto"/>
                      <w:kern w:val="0"/>
                      <w:sz w:val="18"/>
                      <w:szCs w:val="18"/>
                      <w:highlight w:val="none"/>
                      <w:lang w:val="en-US" w:eastAsia="zh-CN"/>
                    </w:rPr>
                    <w:t>2.333×10</w:t>
                  </w:r>
                  <w:r>
                    <w:rPr>
                      <w:rFonts w:hint="eastAsia" w:cs="Times New Roman"/>
                      <w:b w:val="0"/>
                      <w:bCs w:val="0"/>
                      <w:color w:val="auto"/>
                      <w:kern w:val="0"/>
                      <w:sz w:val="18"/>
                      <w:szCs w:val="18"/>
                      <w:highlight w:val="none"/>
                      <w:vertAlign w:val="superscript"/>
                      <w:lang w:val="en-US" w:eastAsia="zh-CN"/>
                    </w:rPr>
                    <w:t>-9</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0"/>
                  <w:tcMar>
                    <w:top w:w="28" w:type="dxa"/>
                    <w:left w:w="28" w:type="dxa"/>
                    <w:bottom w:w="28" w:type="dxa"/>
                    <w:right w:w="28" w:type="dxa"/>
                  </w:tcMar>
                  <w:vAlign w:val="center"/>
                </w:tcPr>
                <w:p w14:paraId="51B5D2C4">
                  <w:pPr>
                    <w:widowControl/>
                    <w:spacing w:line="240" w:lineRule="auto"/>
                    <w:jc w:val="center"/>
                    <w:textAlignment w:val="center"/>
                    <w:rPr>
                      <w:rFonts w:hint="eastAsia" w:ascii="Times New Roman" w:hAnsi="Times New Roman" w:eastAsia="宋体" w:cs="Times New Roman"/>
                      <w:b w:val="0"/>
                      <w:bCs w:val="0"/>
                      <w:color w:val="auto"/>
                      <w:kern w:val="0"/>
                      <w:sz w:val="18"/>
                      <w:szCs w:val="18"/>
                      <w:highlight w:val="none"/>
                      <w:lang w:val="en-US" w:eastAsia="zh-CN" w:bidi="ar-SA"/>
                    </w:rPr>
                  </w:pPr>
                  <w:r>
                    <w:rPr>
                      <w:rFonts w:hint="eastAsia" w:cs="Times New Roman"/>
                      <w:b w:val="0"/>
                      <w:bCs w:val="0"/>
                      <w:color w:val="auto"/>
                      <w:kern w:val="0"/>
                      <w:sz w:val="18"/>
                      <w:szCs w:val="18"/>
                      <w:highlight w:val="none"/>
                      <w:lang w:val="en-US" w:eastAsia="zh-CN"/>
                    </w:rPr>
                    <w:t>0.011×10</w:t>
                  </w:r>
                  <w:r>
                    <w:rPr>
                      <w:rFonts w:hint="eastAsia" w:cs="Times New Roman"/>
                      <w:b w:val="0"/>
                      <w:bCs w:val="0"/>
                      <w:color w:val="auto"/>
                      <w:kern w:val="0"/>
                      <w:sz w:val="18"/>
                      <w:szCs w:val="18"/>
                      <w:highlight w:val="none"/>
                      <w:vertAlign w:val="superscript"/>
                      <w:lang w:val="en-US" w:eastAsia="zh-CN"/>
                    </w:rPr>
                    <w:t>-6</w:t>
                  </w:r>
                </w:p>
              </w:tc>
              <w:tc>
                <w:tcPr>
                  <w:tcW w:w="340" w:type="pct"/>
                  <w:vMerge w:val="continue"/>
                  <w:tcBorders>
                    <w:left w:val="single" w:color="000000" w:sz="4" w:space="0"/>
                    <w:bottom w:val="single" w:color="auto" w:sz="4" w:space="0"/>
                    <w:right w:val="single" w:color="000000" w:sz="4" w:space="0"/>
                  </w:tcBorders>
                  <w:noWrap w:val="0"/>
                  <w:tcMar>
                    <w:top w:w="28" w:type="dxa"/>
                    <w:left w:w="28" w:type="dxa"/>
                    <w:bottom w:w="28" w:type="dxa"/>
                    <w:right w:w="28" w:type="dxa"/>
                  </w:tcMar>
                  <w:vAlign w:val="center"/>
                </w:tcPr>
                <w:p w14:paraId="5787CAC5">
                  <w:pPr>
                    <w:jc w:val="center"/>
                    <w:rPr>
                      <w:rFonts w:hint="default" w:ascii="Times New Roman" w:hAnsi="Times New Roman" w:cs="Times New Roman"/>
                      <w:color w:val="000000"/>
                      <w:sz w:val="18"/>
                      <w:szCs w:val="18"/>
                      <w:highlight w:val="none"/>
                    </w:rPr>
                  </w:pPr>
                </w:p>
              </w:tc>
              <w:tc>
                <w:tcPr>
                  <w:tcW w:w="322" w:type="pct"/>
                  <w:tcBorders>
                    <w:left w:val="single" w:color="000000" w:sz="4" w:space="0"/>
                    <w:right w:val="single" w:color="auto" w:sz="4" w:space="0"/>
                  </w:tcBorders>
                  <w:noWrap w:val="0"/>
                  <w:tcMar>
                    <w:top w:w="28" w:type="dxa"/>
                    <w:left w:w="28" w:type="dxa"/>
                    <w:bottom w:w="28" w:type="dxa"/>
                    <w:right w:w="28" w:type="dxa"/>
                  </w:tcMar>
                  <w:vAlign w:val="center"/>
                </w:tcPr>
                <w:p w14:paraId="29F0E738">
                  <w:pPr>
                    <w:jc w:val="center"/>
                    <w:rPr>
                      <w:rFonts w:hint="eastAsia"/>
                      <w:sz w:val="18"/>
                      <w:szCs w:val="18"/>
                      <w:highlight w:val="none"/>
                      <w:lang w:val="en-US" w:eastAsia="zh-CN"/>
                    </w:rPr>
                  </w:pPr>
                  <w:r>
                    <w:rPr>
                      <w:rFonts w:hint="eastAsia"/>
                      <w:sz w:val="18"/>
                      <w:szCs w:val="18"/>
                      <w:highlight w:val="none"/>
                      <w:lang w:val="en-US" w:eastAsia="zh-CN"/>
                    </w:rPr>
                    <w:t>20</w:t>
                  </w:r>
                </w:p>
              </w:tc>
              <w:tc>
                <w:tcPr>
                  <w:tcW w:w="268" w:type="pct"/>
                  <w:tcBorders>
                    <w:left w:val="single" w:color="auto" w:sz="4" w:space="0"/>
                    <w:right w:val="single" w:color="000000" w:sz="4" w:space="0"/>
                  </w:tcBorders>
                  <w:noWrap w:val="0"/>
                  <w:tcMar>
                    <w:top w:w="28" w:type="dxa"/>
                    <w:left w:w="28" w:type="dxa"/>
                    <w:bottom w:w="28" w:type="dxa"/>
                    <w:right w:w="28" w:type="dxa"/>
                  </w:tcMar>
                  <w:vAlign w:val="center"/>
                </w:tcPr>
                <w:p w14:paraId="702EC334">
                  <w:pPr>
                    <w:jc w:val="center"/>
                    <w:rPr>
                      <w:rFonts w:hint="default"/>
                      <w:sz w:val="18"/>
                      <w:szCs w:val="18"/>
                      <w:highlight w:val="none"/>
                      <w:lang w:val="en-US" w:eastAsia="zh-CN"/>
                    </w:rPr>
                  </w:pPr>
                  <w:r>
                    <w:rPr>
                      <w:rFonts w:hint="eastAsia"/>
                      <w:sz w:val="18"/>
                      <w:szCs w:val="18"/>
                      <w:highlight w:val="none"/>
                      <w:lang w:val="en-US" w:eastAsia="zh-CN"/>
                    </w:rPr>
                    <w:t>/</w:t>
                  </w:r>
                </w:p>
              </w:tc>
            </w:tr>
          </w:tbl>
          <w:p w14:paraId="0DCF6EFB">
            <w:pPr>
              <w:spacing w:line="360" w:lineRule="auto"/>
              <w:jc w:val="center"/>
              <w:rPr>
                <w:rFonts w:hint="default" w:ascii="Times New Roman" w:hAnsi="Times New Roman" w:cs="Times New Roman"/>
                <w:b/>
                <w:color w:val="000000"/>
                <w:highlight w:val="none"/>
              </w:rPr>
            </w:pPr>
          </w:p>
          <w:p w14:paraId="56A0A926">
            <w:pPr>
              <w:spacing w:line="360" w:lineRule="auto"/>
              <w:jc w:val="center"/>
              <w:rPr>
                <w:rFonts w:hint="default" w:ascii="Times New Roman" w:hAnsi="Times New Roman" w:cs="Times New Roman"/>
                <w:b/>
                <w:color w:val="000000"/>
                <w:highlight w:val="none"/>
              </w:rPr>
            </w:pPr>
          </w:p>
          <w:p w14:paraId="06E46AC7">
            <w:pPr>
              <w:spacing w:line="360" w:lineRule="auto"/>
              <w:jc w:val="center"/>
              <w:rPr>
                <w:rFonts w:hint="default" w:ascii="Times New Roman" w:hAnsi="Times New Roman" w:cs="Times New Roman"/>
                <w:b/>
                <w:color w:val="000000"/>
                <w:highlight w:val="none"/>
              </w:rPr>
            </w:pPr>
          </w:p>
          <w:p w14:paraId="7FBB0281">
            <w:pPr>
              <w:spacing w:line="360" w:lineRule="auto"/>
              <w:jc w:val="center"/>
              <w:rPr>
                <w:rFonts w:hint="default" w:ascii="Times New Roman" w:hAnsi="Times New Roman" w:cs="Times New Roman"/>
                <w:b/>
                <w:color w:val="000000"/>
                <w:highlight w:val="none"/>
              </w:rPr>
            </w:pPr>
            <w:r>
              <w:rPr>
                <w:rFonts w:hint="default" w:ascii="Times New Roman" w:hAnsi="Times New Roman" w:cs="Times New Roman"/>
                <w:b/>
                <w:color w:val="000000"/>
                <w:highlight w:val="none"/>
              </w:rPr>
              <w:t>表4-</w:t>
            </w:r>
            <w:r>
              <w:rPr>
                <w:rFonts w:hint="eastAsia" w:cs="Times New Roman"/>
                <w:b/>
                <w:color w:val="000000"/>
                <w:highlight w:val="none"/>
                <w:lang w:val="en-US" w:eastAsia="zh-CN"/>
              </w:rPr>
              <w:t>5</w:t>
            </w:r>
            <w:r>
              <w:rPr>
                <w:rFonts w:hint="default" w:ascii="Times New Roman" w:hAnsi="Times New Roman" w:cs="Times New Roman"/>
                <w:b/>
                <w:color w:val="000000"/>
                <w:highlight w:val="none"/>
              </w:rPr>
              <w:t xml:space="preserve">   无组织废气</w:t>
            </w:r>
            <w:r>
              <w:rPr>
                <w:rFonts w:hint="default" w:ascii="Times New Roman" w:hAnsi="Times New Roman" w:cs="Times New Roman"/>
                <w:b/>
                <w:bCs/>
                <w:color w:val="000000"/>
                <w:szCs w:val="21"/>
                <w:highlight w:val="none"/>
              </w:rPr>
              <w:t>产生和排放情况</w:t>
            </w:r>
            <w:r>
              <w:rPr>
                <w:rFonts w:hint="default" w:ascii="Times New Roman" w:hAnsi="Times New Roman" w:cs="Times New Roman"/>
                <w:b/>
                <w:color w:val="000000"/>
                <w:highlight w:val="none"/>
              </w:rPr>
              <w:t>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5"/>
              <w:gridCol w:w="1542"/>
              <w:gridCol w:w="682"/>
              <w:gridCol w:w="696"/>
              <w:gridCol w:w="695"/>
              <w:gridCol w:w="1336"/>
              <w:gridCol w:w="1187"/>
            </w:tblGrid>
            <w:tr w14:paraId="36808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vMerge w:val="restart"/>
                  <w:noWrap w:val="0"/>
                  <w:vAlign w:val="center"/>
                </w:tcPr>
                <w:p w14:paraId="75B95ABC">
                  <w:pPr>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污染源名称</w:t>
                  </w:r>
                </w:p>
              </w:tc>
              <w:tc>
                <w:tcPr>
                  <w:tcW w:w="969" w:type="pct"/>
                  <w:vMerge w:val="restart"/>
                  <w:noWrap w:val="0"/>
                  <w:vAlign w:val="center"/>
                </w:tcPr>
                <w:p w14:paraId="712A384C">
                  <w:pPr>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污染物名称</w:t>
                  </w:r>
                </w:p>
              </w:tc>
              <w:tc>
                <w:tcPr>
                  <w:tcW w:w="1303" w:type="pct"/>
                  <w:gridSpan w:val="3"/>
                  <w:noWrap w:val="0"/>
                  <w:vAlign w:val="center"/>
                </w:tcPr>
                <w:p w14:paraId="7E81C262">
                  <w:pPr>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面源参数（m）</w:t>
                  </w:r>
                </w:p>
              </w:tc>
              <w:tc>
                <w:tcPr>
                  <w:tcW w:w="839" w:type="pct"/>
                  <w:vMerge w:val="restart"/>
                  <w:noWrap w:val="0"/>
                  <w:vAlign w:val="center"/>
                </w:tcPr>
                <w:p w14:paraId="4F0809D9">
                  <w:pPr>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排放量（t/a）</w:t>
                  </w:r>
                </w:p>
              </w:tc>
              <w:tc>
                <w:tcPr>
                  <w:tcW w:w="746" w:type="pct"/>
                  <w:vMerge w:val="restart"/>
                  <w:noWrap w:val="0"/>
                  <w:vAlign w:val="center"/>
                </w:tcPr>
                <w:p w14:paraId="7D59794D">
                  <w:pPr>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排放速率（kg/h）</w:t>
                  </w:r>
                </w:p>
              </w:tc>
            </w:tr>
            <w:tr w14:paraId="614FA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vMerge w:val="continue"/>
                  <w:noWrap w:val="0"/>
                  <w:vAlign w:val="center"/>
                </w:tcPr>
                <w:p w14:paraId="5CCDAC0C">
                  <w:pPr>
                    <w:jc w:val="center"/>
                    <w:rPr>
                      <w:rFonts w:hint="default" w:ascii="Times New Roman" w:hAnsi="Times New Roman" w:cs="Times New Roman"/>
                      <w:b/>
                      <w:color w:val="000000"/>
                      <w:sz w:val="21"/>
                      <w:szCs w:val="21"/>
                      <w:highlight w:val="none"/>
                    </w:rPr>
                  </w:pPr>
                </w:p>
              </w:tc>
              <w:tc>
                <w:tcPr>
                  <w:tcW w:w="969" w:type="pct"/>
                  <w:vMerge w:val="continue"/>
                  <w:noWrap w:val="0"/>
                  <w:vAlign w:val="center"/>
                </w:tcPr>
                <w:p w14:paraId="670201A8">
                  <w:pPr>
                    <w:jc w:val="center"/>
                    <w:rPr>
                      <w:rFonts w:hint="default" w:ascii="Times New Roman" w:hAnsi="Times New Roman" w:cs="Times New Roman"/>
                      <w:b/>
                      <w:color w:val="000000"/>
                      <w:sz w:val="21"/>
                      <w:szCs w:val="21"/>
                      <w:highlight w:val="none"/>
                    </w:rPr>
                  </w:pPr>
                </w:p>
              </w:tc>
              <w:tc>
                <w:tcPr>
                  <w:tcW w:w="428" w:type="pct"/>
                  <w:noWrap w:val="0"/>
                  <w:vAlign w:val="center"/>
                </w:tcPr>
                <w:p w14:paraId="4C7D2373">
                  <w:pPr>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长度</w:t>
                  </w:r>
                </w:p>
              </w:tc>
              <w:tc>
                <w:tcPr>
                  <w:tcW w:w="437" w:type="pct"/>
                  <w:noWrap w:val="0"/>
                  <w:vAlign w:val="center"/>
                </w:tcPr>
                <w:p w14:paraId="5CA5DBFA">
                  <w:pPr>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宽度</w:t>
                  </w:r>
                </w:p>
              </w:tc>
              <w:tc>
                <w:tcPr>
                  <w:tcW w:w="436" w:type="pct"/>
                  <w:noWrap w:val="0"/>
                  <w:vAlign w:val="center"/>
                </w:tcPr>
                <w:p w14:paraId="3FCA6CED">
                  <w:pPr>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高度</w:t>
                  </w:r>
                </w:p>
              </w:tc>
              <w:tc>
                <w:tcPr>
                  <w:tcW w:w="839" w:type="pct"/>
                  <w:vMerge w:val="continue"/>
                  <w:noWrap w:val="0"/>
                  <w:vAlign w:val="center"/>
                </w:tcPr>
                <w:p w14:paraId="60AC6F38">
                  <w:pPr>
                    <w:jc w:val="center"/>
                    <w:rPr>
                      <w:rFonts w:hint="default" w:ascii="Times New Roman" w:hAnsi="Times New Roman" w:cs="Times New Roman"/>
                      <w:b/>
                      <w:color w:val="000000"/>
                      <w:sz w:val="21"/>
                      <w:szCs w:val="21"/>
                      <w:highlight w:val="none"/>
                    </w:rPr>
                  </w:pPr>
                </w:p>
              </w:tc>
              <w:tc>
                <w:tcPr>
                  <w:tcW w:w="746" w:type="pct"/>
                  <w:vMerge w:val="continue"/>
                  <w:noWrap w:val="0"/>
                  <w:vAlign w:val="center"/>
                </w:tcPr>
                <w:p w14:paraId="30395BBE">
                  <w:pPr>
                    <w:jc w:val="center"/>
                    <w:rPr>
                      <w:rFonts w:hint="default" w:ascii="Times New Roman" w:hAnsi="Times New Roman" w:cs="Times New Roman"/>
                      <w:b/>
                      <w:color w:val="000000"/>
                      <w:sz w:val="21"/>
                      <w:szCs w:val="21"/>
                      <w:highlight w:val="none"/>
                    </w:rPr>
                  </w:pPr>
                </w:p>
              </w:tc>
            </w:tr>
            <w:tr w14:paraId="2BB34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noWrap w:val="0"/>
                  <w:vAlign w:val="center"/>
                </w:tcPr>
                <w:p w14:paraId="653D3C66">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cs="Times New Roman"/>
                      <w:b w:val="0"/>
                      <w:bCs/>
                      <w:color w:val="000000"/>
                      <w:sz w:val="21"/>
                      <w:szCs w:val="21"/>
                      <w:highlight w:val="none"/>
                      <w:lang w:val="en-US" w:eastAsia="zh-CN"/>
                    </w:rPr>
                    <w:t>锡膏印刷废气</w:t>
                  </w:r>
                </w:p>
              </w:tc>
              <w:tc>
                <w:tcPr>
                  <w:tcW w:w="969" w:type="pct"/>
                  <w:noWrap w:val="0"/>
                  <w:vAlign w:val="center"/>
                </w:tcPr>
                <w:p w14:paraId="72C0E0C7">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cs="Times New Roman"/>
                      <w:b w:val="0"/>
                      <w:bCs/>
                      <w:color w:val="000000"/>
                      <w:sz w:val="21"/>
                      <w:szCs w:val="21"/>
                      <w:highlight w:val="none"/>
                      <w:lang w:val="en-US" w:eastAsia="zh-CN"/>
                    </w:rPr>
                    <w:t>非甲烷总烃</w:t>
                  </w:r>
                </w:p>
              </w:tc>
              <w:tc>
                <w:tcPr>
                  <w:tcW w:w="428" w:type="pct"/>
                  <w:vMerge w:val="restart"/>
                  <w:noWrap w:val="0"/>
                  <w:vAlign w:val="center"/>
                </w:tcPr>
                <w:p w14:paraId="4177EB1F">
                  <w:pPr>
                    <w:keepNext w:val="0"/>
                    <w:keepLines w:val="0"/>
                    <w:widowControl/>
                    <w:suppressLineNumbers w:val="0"/>
                    <w:jc w:val="center"/>
                    <w:textAlignment w:val="center"/>
                    <w:rPr>
                      <w:rFonts w:hint="default" w:ascii="Times New Roman" w:hAnsi="Times New Roman" w:cs="Times New Roman"/>
                      <w:b w:val="0"/>
                      <w:bCs/>
                      <w:color w:val="000000"/>
                      <w:sz w:val="21"/>
                      <w:szCs w:val="21"/>
                      <w:highlight w:val="none"/>
                    </w:rPr>
                  </w:pPr>
                  <w:r>
                    <w:rPr>
                      <w:rFonts w:hint="default" w:ascii="Times New Roman" w:hAnsi="Times New Roman" w:eastAsia="宋体" w:cs="Times New Roman"/>
                      <w:b w:val="0"/>
                      <w:bCs/>
                      <w:i w:val="0"/>
                      <w:iCs w:val="0"/>
                      <w:color w:val="auto"/>
                      <w:kern w:val="0"/>
                      <w:sz w:val="21"/>
                      <w:szCs w:val="21"/>
                      <w:highlight w:val="none"/>
                      <w:u w:val="none"/>
                      <w:lang w:val="en-US" w:eastAsia="zh-CN" w:bidi="ar"/>
                    </w:rPr>
                    <w:t>72</w:t>
                  </w:r>
                </w:p>
              </w:tc>
              <w:tc>
                <w:tcPr>
                  <w:tcW w:w="437" w:type="pct"/>
                  <w:vMerge w:val="restart"/>
                  <w:noWrap w:val="0"/>
                  <w:vAlign w:val="center"/>
                </w:tcPr>
                <w:p w14:paraId="62F07BD1">
                  <w:pPr>
                    <w:keepNext w:val="0"/>
                    <w:keepLines w:val="0"/>
                    <w:widowControl/>
                    <w:suppressLineNumbers w:val="0"/>
                    <w:jc w:val="center"/>
                    <w:textAlignment w:val="center"/>
                    <w:rPr>
                      <w:rFonts w:hint="default" w:ascii="Times New Roman" w:hAnsi="Times New Roman" w:cs="Times New Roman"/>
                      <w:b w:val="0"/>
                      <w:bCs/>
                      <w:color w:val="000000"/>
                      <w:sz w:val="21"/>
                      <w:szCs w:val="21"/>
                      <w:highlight w:val="none"/>
                    </w:rPr>
                  </w:pPr>
                  <w:r>
                    <w:rPr>
                      <w:rFonts w:hint="default" w:ascii="Times New Roman" w:hAnsi="Times New Roman" w:eastAsia="宋体" w:cs="Times New Roman"/>
                      <w:b w:val="0"/>
                      <w:bCs/>
                      <w:i w:val="0"/>
                      <w:iCs w:val="0"/>
                      <w:color w:val="auto"/>
                      <w:kern w:val="0"/>
                      <w:sz w:val="21"/>
                      <w:szCs w:val="21"/>
                      <w:highlight w:val="none"/>
                      <w:u w:val="none"/>
                      <w:lang w:val="en-US" w:eastAsia="zh-CN" w:bidi="ar"/>
                    </w:rPr>
                    <w:t>35</w:t>
                  </w:r>
                </w:p>
              </w:tc>
              <w:tc>
                <w:tcPr>
                  <w:tcW w:w="436" w:type="pct"/>
                  <w:vMerge w:val="restart"/>
                  <w:noWrap w:val="0"/>
                  <w:vAlign w:val="center"/>
                </w:tcPr>
                <w:p w14:paraId="2F725EC6">
                  <w:pPr>
                    <w:keepNext w:val="0"/>
                    <w:keepLines w:val="0"/>
                    <w:widowControl/>
                    <w:suppressLineNumbers w:val="0"/>
                    <w:jc w:val="center"/>
                    <w:textAlignment w:val="center"/>
                    <w:rPr>
                      <w:rFonts w:hint="default" w:ascii="Times New Roman" w:hAnsi="Times New Roman" w:cs="Times New Roman"/>
                      <w:b w:val="0"/>
                      <w:bCs/>
                      <w:color w:val="000000"/>
                      <w:sz w:val="21"/>
                      <w:szCs w:val="21"/>
                      <w:highlight w:val="none"/>
                    </w:rPr>
                  </w:pPr>
                  <w:r>
                    <w:rPr>
                      <w:rFonts w:hint="default" w:ascii="Times New Roman" w:hAnsi="Times New Roman" w:eastAsia="宋体" w:cs="Times New Roman"/>
                      <w:b w:val="0"/>
                      <w:bCs/>
                      <w:i w:val="0"/>
                      <w:iCs w:val="0"/>
                      <w:color w:val="auto"/>
                      <w:kern w:val="0"/>
                      <w:sz w:val="21"/>
                      <w:szCs w:val="21"/>
                      <w:highlight w:val="none"/>
                      <w:u w:val="none"/>
                      <w:lang w:val="en-US" w:eastAsia="zh-CN" w:bidi="ar"/>
                    </w:rPr>
                    <w:t>12</w:t>
                  </w:r>
                </w:p>
              </w:tc>
              <w:tc>
                <w:tcPr>
                  <w:tcW w:w="839" w:type="pct"/>
                  <w:noWrap w:val="0"/>
                  <w:vAlign w:val="center"/>
                </w:tcPr>
                <w:p w14:paraId="11A0356B">
                  <w:pPr>
                    <w:jc w:val="center"/>
                    <w:rPr>
                      <w:rFonts w:hint="default" w:ascii="Times New Roman" w:hAnsi="Times New Roman" w:cs="Times New Roman"/>
                      <w:b w:val="0"/>
                      <w:bCs/>
                      <w:color w:val="000000"/>
                      <w:sz w:val="21"/>
                      <w:szCs w:val="21"/>
                      <w:highlight w:val="none"/>
                    </w:rPr>
                  </w:pPr>
                  <w:r>
                    <w:rPr>
                      <w:rFonts w:hint="default" w:ascii="Times New Roman" w:hAnsi="Times New Roman" w:cs="Times New Roman"/>
                      <w:b w:val="0"/>
                      <w:bCs/>
                      <w:color w:val="000000"/>
                      <w:sz w:val="21"/>
                      <w:szCs w:val="21"/>
                      <w:highlight w:val="none"/>
                    </w:rPr>
                    <w:t>0.022</w:t>
                  </w:r>
                </w:p>
              </w:tc>
              <w:tc>
                <w:tcPr>
                  <w:tcW w:w="746" w:type="pct"/>
                  <w:noWrap w:val="0"/>
                  <w:vAlign w:val="center"/>
                </w:tcPr>
                <w:p w14:paraId="02625286">
                  <w:pPr>
                    <w:jc w:val="center"/>
                    <w:rPr>
                      <w:rFonts w:hint="default" w:ascii="Times New Roman" w:hAnsi="Times New Roman" w:cs="Times New Roman"/>
                      <w:b w:val="0"/>
                      <w:bCs/>
                      <w:color w:val="000000"/>
                      <w:sz w:val="21"/>
                      <w:szCs w:val="21"/>
                      <w:highlight w:val="none"/>
                    </w:rPr>
                  </w:pPr>
                  <w:r>
                    <w:rPr>
                      <w:rFonts w:hint="default" w:ascii="Times New Roman" w:hAnsi="Times New Roman" w:cs="Times New Roman"/>
                      <w:b w:val="0"/>
                      <w:bCs/>
                      <w:color w:val="000000"/>
                      <w:sz w:val="21"/>
                      <w:szCs w:val="21"/>
                      <w:highlight w:val="none"/>
                    </w:rPr>
                    <w:t>0.005</w:t>
                  </w:r>
                </w:p>
              </w:tc>
            </w:tr>
            <w:tr w14:paraId="7D934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noWrap w:val="0"/>
                  <w:vAlign w:val="center"/>
                </w:tcPr>
                <w:p w14:paraId="571C42D1">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cs="Times New Roman"/>
                      <w:b w:val="0"/>
                      <w:bCs/>
                      <w:color w:val="000000"/>
                      <w:sz w:val="21"/>
                      <w:szCs w:val="21"/>
                      <w:highlight w:val="none"/>
                      <w:lang w:val="en-US" w:eastAsia="zh-CN"/>
                    </w:rPr>
                    <w:t>钢网擦拭废气</w:t>
                  </w:r>
                </w:p>
              </w:tc>
              <w:tc>
                <w:tcPr>
                  <w:tcW w:w="969" w:type="pct"/>
                  <w:noWrap w:val="0"/>
                  <w:vAlign w:val="center"/>
                </w:tcPr>
                <w:p w14:paraId="5B95F4A6">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cs="Times New Roman"/>
                      <w:b w:val="0"/>
                      <w:bCs/>
                      <w:color w:val="000000"/>
                      <w:sz w:val="21"/>
                      <w:szCs w:val="21"/>
                      <w:highlight w:val="none"/>
                      <w:lang w:val="en-US" w:eastAsia="zh-CN"/>
                    </w:rPr>
                    <w:t>非甲烷总烃</w:t>
                  </w:r>
                </w:p>
              </w:tc>
              <w:tc>
                <w:tcPr>
                  <w:tcW w:w="428" w:type="pct"/>
                  <w:vMerge w:val="continue"/>
                  <w:noWrap w:val="0"/>
                  <w:vAlign w:val="center"/>
                </w:tcPr>
                <w:p w14:paraId="0223C10E">
                  <w:pPr>
                    <w:jc w:val="center"/>
                    <w:rPr>
                      <w:rFonts w:hint="default" w:ascii="Times New Roman" w:hAnsi="Times New Roman" w:cs="Times New Roman"/>
                      <w:b w:val="0"/>
                      <w:bCs/>
                      <w:color w:val="000000"/>
                      <w:sz w:val="21"/>
                      <w:szCs w:val="21"/>
                      <w:highlight w:val="none"/>
                    </w:rPr>
                  </w:pPr>
                </w:p>
              </w:tc>
              <w:tc>
                <w:tcPr>
                  <w:tcW w:w="437" w:type="pct"/>
                  <w:vMerge w:val="continue"/>
                  <w:noWrap w:val="0"/>
                  <w:vAlign w:val="center"/>
                </w:tcPr>
                <w:p w14:paraId="0B815044">
                  <w:pPr>
                    <w:jc w:val="center"/>
                    <w:rPr>
                      <w:rFonts w:hint="default" w:ascii="Times New Roman" w:hAnsi="Times New Roman" w:cs="Times New Roman"/>
                      <w:b w:val="0"/>
                      <w:bCs/>
                      <w:color w:val="000000"/>
                      <w:sz w:val="21"/>
                      <w:szCs w:val="21"/>
                      <w:highlight w:val="none"/>
                    </w:rPr>
                  </w:pPr>
                </w:p>
              </w:tc>
              <w:tc>
                <w:tcPr>
                  <w:tcW w:w="436" w:type="pct"/>
                  <w:vMerge w:val="continue"/>
                  <w:noWrap w:val="0"/>
                  <w:vAlign w:val="center"/>
                </w:tcPr>
                <w:p w14:paraId="353BEF70">
                  <w:pPr>
                    <w:jc w:val="center"/>
                    <w:rPr>
                      <w:rFonts w:hint="default" w:ascii="Times New Roman" w:hAnsi="Times New Roman" w:cs="Times New Roman"/>
                      <w:b w:val="0"/>
                      <w:bCs/>
                      <w:color w:val="000000"/>
                      <w:sz w:val="21"/>
                      <w:szCs w:val="21"/>
                      <w:highlight w:val="none"/>
                    </w:rPr>
                  </w:pPr>
                </w:p>
              </w:tc>
              <w:tc>
                <w:tcPr>
                  <w:tcW w:w="839" w:type="pct"/>
                  <w:noWrap w:val="0"/>
                  <w:vAlign w:val="center"/>
                </w:tcPr>
                <w:p w14:paraId="784BBB4C">
                  <w:pPr>
                    <w:jc w:val="center"/>
                    <w:rPr>
                      <w:rFonts w:hint="default" w:ascii="Times New Roman" w:hAnsi="Times New Roman" w:cs="Times New Roman"/>
                      <w:b w:val="0"/>
                      <w:bCs/>
                      <w:color w:val="000000"/>
                      <w:sz w:val="21"/>
                      <w:szCs w:val="21"/>
                      <w:highlight w:val="none"/>
                    </w:rPr>
                  </w:pPr>
                  <w:r>
                    <w:rPr>
                      <w:rFonts w:hint="default" w:ascii="Times New Roman" w:hAnsi="Times New Roman" w:cs="Times New Roman"/>
                      <w:b w:val="0"/>
                      <w:bCs/>
                      <w:color w:val="000000"/>
                      <w:sz w:val="21"/>
                      <w:szCs w:val="21"/>
                      <w:highlight w:val="none"/>
                    </w:rPr>
                    <w:t>0.078</w:t>
                  </w:r>
                </w:p>
              </w:tc>
              <w:tc>
                <w:tcPr>
                  <w:tcW w:w="746" w:type="pct"/>
                  <w:noWrap w:val="0"/>
                  <w:vAlign w:val="center"/>
                </w:tcPr>
                <w:p w14:paraId="6650E48F">
                  <w:pPr>
                    <w:jc w:val="center"/>
                    <w:rPr>
                      <w:rFonts w:hint="default" w:ascii="Times New Roman" w:hAnsi="Times New Roman" w:cs="Times New Roman"/>
                      <w:b w:val="0"/>
                      <w:bCs/>
                      <w:color w:val="000000"/>
                      <w:sz w:val="21"/>
                      <w:szCs w:val="21"/>
                      <w:highlight w:val="none"/>
                    </w:rPr>
                  </w:pPr>
                  <w:r>
                    <w:rPr>
                      <w:rFonts w:hint="default" w:ascii="Times New Roman" w:hAnsi="Times New Roman" w:cs="Times New Roman"/>
                      <w:b w:val="0"/>
                      <w:bCs/>
                      <w:color w:val="000000"/>
                      <w:sz w:val="21"/>
                      <w:szCs w:val="21"/>
                      <w:highlight w:val="none"/>
                    </w:rPr>
                    <w:t>0.26</w:t>
                  </w:r>
                </w:p>
              </w:tc>
            </w:tr>
            <w:tr w14:paraId="348F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vMerge w:val="restart"/>
                  <w:noWrap w:val="0"/>
                  <w:vAlign w:val="center"/>
                </w:tcPr>
                <w:p w14:paraId="1246A1A2">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cs="Times New Roman"/>
                      <w:b w:val="0"/>
                      <w:bCs/>
                      <w:color w:val="000000"/>
                      <w:sz w:val="21"/>
                      <w:szCs w:val="21"/>
                      <w:highlight w:val="none"/>
                      <w:lang w:val="en-US" w:eastAsia="zh-CN"/>
                    </w:rPr>
                    <w:t>手工焊接废气</w:t>
                  </w:r>
                </w:p>
              </w:tc>
              <w:tc>
                <w:tcPr>
                  <w:tcW w:w="969" w:type="pct"/>
                  <w:noWrap w:val="0"/>
                  <w:vAlign w:val="center"/>
                </w:tcPr>
                <w:p w14:paraId="3C0C61DC">
                  <w:pPr>
                    <w:jc w:val="center"/>
                    <w:rPr>
                      <w:rFonts w:hint="eastAsia" w:ascii="Times New Roman" w:hAnsi="Times New Roman" w:eastAsia="宋体" w:cs="Times New Roman"/>
                      <w:b w:val="0"/>
                      <w:bCs/>
                      <w:color w:val="000000"/>
                      <w:sz w:val="21"/>
                      <w:szCs w:val="21"/>
                      <w:highlight w:val="none"/>
                      <w:lang w:val="en-US" w:eastAsia="zh-CN"/>
                    </w:rPr>
                  </w:pPr>
                  <w:r>
                    <w:rPr>
                      <w:rFonts w:hint="eastAsia" w:ascii="Times New Roman" w:hAnsi="Times New Roman" w:cs="Times New Roman"/>
                      <w:b w:val="0"/>
                      <w:bCs/>
                      <w:color w:val="000000"/>
                      <w:sz w:val="21"/>
                      <w:szCs w:val="21"/>
                      <w:highlight w:val="none"/>
                      <w:lang w:val="en-US" w:eastAsia="zh-CN"/>
                    </w:rPr>
                    <w:t>颗粒物</w:t>
                  </w:r>
                </w:p>
              </w:tc>
              <w:tc>
                <w:tcPr>
                  <w:tcW w:w="428" w:type="pct"/>
                  <w:vMerge w:val="continue"/>
                  <w:noWrap w:val="0"/>
                  <w:vAlign w:val="center"/>
                </w:tcPr>
                <w:p w14:paraId="027B1024">
                  <w:pPr>
                    <w:jc w:val="center"/>
                    <w:rPr>
                      <w:rFonts w:hint="default" w:ascii="Times New Roman" w:hAnsi="Times New Roman" w:cs="Times New Roman"/>
                      <w:b w:val="0"/>
                      <w:bCs/>
                      <w:color w:val="000000"/>
                      <w:sz w:val="21"/>
                      <w:szCs w:val="21"/>
                      <w:highlight w:val="none"/>
                    </w:rPr>
                  </w:pPr>
                </w:p>
              </w:tc>
              <w:tc>
                <w:tcPr>
                  <w:tcW w:w="437" w:type="pct"/>
                  <w:vMerge w:val="continue"/>
                  <w:noWrap w:val="0"/>
                  <w:vAlign w:val="center"/>
                </w:tcPr>
                <w:p w14:paraId="465CE1B2">
                  <w:pPr>
                    <w:jc w:val="center"/>
                    <w:rPr>
                      <w:rFonts w:hint="default" w:ascii="Times New Roman" w:hAnsi="Times New Roman" w:cs="Times New Roman"/>
                      <w:b w:val="0"/>
                      <w:bCs/>
                      <w:color w:val="000000"/>
                      <w:sz w:val="21"/>
                      <w:szCs w:val="21"/>
                      <w:highlight w:val="none"/>
                    </w:rPr>
                  </w:pPr>
                </w:p>
              </w:tc>
              <w:tc>
                <w:tcPr>
                  <w:tcW w:w="436" w:type="pct"/>
                  <w:vMerge w:val="continue"/>
                  <w:noWrap w:val="0"/>
                  <w:vAlign w:val="center"/>
                </w:tcPr>
                <w:p w14:paraId="3F6ED8AD">
                  <w:pPr>
                    <w:jc w:val="center"/>
                    <w:rPr>
                      <w:rFonts w:hint="default" w:ascii="Times New Roman" w:hAnsi="Times New Roman" w:cs="Times New Roman"/>
                      <w:b w:val="0"/>
                      <w:bCs/>
                      <w:color w:val="000000"/>
                      <w:sz w:val="21"/>
                      <w:szCs w:val="21"/>
                      <w:highlight w:val="none"/>
                    </w:rPr>
                  </w:pPr>
                </w:p>
              </w:tc>
              <w:tc>
                <w:tcPr>
                  <w:tcW w:w="839" w:type="pct"/>
                  <w:noWrap w:val="0"/>
                  <w:vAlign w:val="center"/>
                </w:tcPr>
                <w:p w14:paraId="23D5C640">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cs="Times New Roman"/>
                      <w:b w:val="0"/>
                      <w:bCs/>
                      <w:color w:val="000000"/>
                      <w:sz w:val="21"/>
                      <w:szCs w:val="21"/>
                      <w:highlight w:val="none"/>
                      <w:lang w:val="en-US" w:eastAsia="zh-CN"/>
                    </w:rPr>
                    <w:t>0.00006</w:t>
                  </w:r>
                </w:p>
              </w:tc>
              <w:tc>
                <w:tcPr>
                  <w:tcW w:w="746" w:type="pct"/>
                  <w:noWrap w:val="0"/>
                  <w:vAlign w:val="center"/>
                </w:tcPr>
                <w:p w14:paraId="7CC4F180">
                  <w:pPr>
                    <w:jc w:val="center"/>
                    <w:rPr>
                      <w:rFonts w:hint="default" w:ascii="Times New Roman" w:hAnsi="Times New Roman" w:cs="Times New Roman"/>
                      <w:b w:val="0"/>
                      <w:bCs/>
                      <w:color w:val="000000"/>
                      <w:sz w:val="21"/>
                      <w:szCs w:val="21"/>
                      <w:highlight w:val="none"/>
                    </w:rPr>
                  </w:pPr>
                  <w:r>
                    <w:rPr>
                      <w:rFonts w:hint="default" w:ascii="Times New Roman" w:hAnsi="Times New Roman" w:cs="Times New Roman"/>
                      <w:b w:val="0"/>
                      <w:bCs/>
                      <w:color w:val="000000"/>
                      <w:sz w:val="21"/>
                      <w:szCs w:val="21"/>
                      <w:highlight w:val="none"/>
                    </w:rPr>
                    <w:t>0.0001</w:t>
                  </w:r>
                </w:p>
              </w:tc>
            </w:tr>
            <w:tr w14:paraId="4DC1C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vMerge w:val="continue"/>
                  <w:noWrap w:val="0"/>
                  <w:vAlign w:val="center"/>
                </w:tcPr>
                <w:p w14:paraId="54598367">
                  <w:pPr>
                    <w:jc w:val="center"/>
                    <w:rPr>
                      <w:rFonts w:hint="default" w:ascii="Times New Roman" w:hAnsi="Times New Roman" w:cs="Times New Roman"/>
                      <w:b w:val="0"/>
                      <w:bCs/>
                      <w:color w:val="000000"/>
                      <w:sz w:val="21"/>
                      <w:szCs w:val="21"/>
                      <w:highlight w:val="none"/>
                    </w:rPr>
                  </w:pPr>
                </w:p>
              </w:tc>
              <w:tc>
                <w:tcPr>
                  <w:tcW w:w="969" w:type="pct"/>
                  <w:noWrap w:val="0"/>
                  <w:vAlign w:val="center"/>
                </w:tcPr>
                <w:p w14:paraId="45817543">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cs="Times New Roman"/>
                      <w:b w:val="0"/>
                      <w:bCs/>
                      <w:color w:val="000000"/>
                      <w:sz w:val="21"/>
                      <w:szCs w:val="21"/>
                      <w:highlight w:val="none"/>
                      <w:lang w:val="en-US" w:eastAsia="zh-CN"/>
                    </w:rPr>
                    <w:t>锡及其化合物</w:t>
                  </w:r>
                </w:p>
              </w:tc>
              <w:tc>
                <w:tcPr>
                  <w:tcW w:w="428" w:type="pct"/>
                  <w:vMerge w:val="continue"/>
                  <w:noWrap w:val="0"/>
                  <w:vAlign w:val="center"/>
                </w:tcPr>
                <w:p w14:paraId="33BB9712">
                  <w:pPr>
                    <w:jc w:val="center"/>
                    <w:rPr>
                      <w:rFonts w:hint="default" w:ascii="Times New Roman" w:hAnsi="Times New Roman" w:cs="Times New Roman"/>
                      <w:b w:val="0"/>
                      <w:bCs/>
                      <w:color w:val="000000"/>
                      <w:sz w:val="21"/>
                      <w:szCs w:val="21"/>
                      <w:highlight w:val="none"/>
                    </w:rPr>
                  </w:pPr>
                </w:p>
              </w:tc>
              <w:tc>
                <w:tcPr>
                  <w:tcW w:w="437" w:type="pct"/>
                  <w:vMerge w:val="continue"/>
                  <w:noWrap w:val="0"/>
                  <w:vAlign w:val="center"/>
                </w:tcPr>
                <w:p w14:paraId="1F5865E7">
                  <w:pPr>
                    <w:jc w:val="center"/>
                    <w:rPr>
                      <w:rFonts w:hint="default" w:ascii="Times New Roman" w:hAnsi="Times New Roman" w:cs="Times New Roman"/>
                      <w:b w:val="0"/>
                      <w:bCs/>
                      <w:color w:val="000000"/>
                      <w:sz w:val="21"/>
                      <w:szCs w:val="21"/>
                      <w:highlight w:val="none"/>
                    </w:rPr>
                  </w:pPr>
                </w:p>
              </w:tc>
              <w:tc>
                <w:tcPr>
                  <w:tcW w:w="436" w:type="pct"/>
                  <w:vMerge w:val="continue"/>
                  <w:noWrap w:val="0"/>
                  <w:vAlign w:val="center"/>
                </w:tcPr>
                <w:p w14:paraId="3F61B8BF">
                  <w:pPr>
                    <w:jc w:val="center"/>
                    <w:rPr>
                      <w:rFonts w:hint="default" w:ascii="Times New Roman" w:hAnsi="Times New Roman" w:cs="Times New Roman"/>
                      <w:b w:val="0"/>
                      <w:bCs/>
                      <w:color w:val="000000"/>
                      <w:sz w:val="21"/>
                      <w:szCs w:val="21"/>
                      <w:highlight w:val="none"/>
                    </w:rPr>
                  </w:pPr>
                </w:p>
              </w:tc>
              <w:tc>
                <w:tcPr>
                  <w:tcW w:w="839" w:type="pct"/>
                  <w:noWrap w:val="0"/>
                  <w:vAlign w:val="center"/>
                </w:tcPr>
                <w:p w14:paraId="3C8EAD95">
                  <w:pPr>
                    <w:jc w:val="center"/>
                    <w:rPr>
                      <w:rFonts w:hint="default" w:ascii="Times New Roman" w:hAnsi="Times New Roman" w:cs="Times New Roman"/>
                      <w:b w:val="0"/>
                      <w:bCs/>
                      <w:color w:val="000000"/>
                      <w:sz w:val="21"/>
                      <w:szCs w:val="21"/>
                      <w:highlight w:val="none"/>
                    </w:rPr>
                  </w:pPr>
                  <w:r>
                    <w:rPr>
                      <w:rFonts w:hint="default" w:ascii="Times New Roman" w:hAnsi="Times New Roman" w:cs="Times New Roman"/>
                      <w:b w:val="0"/>
                      <w:bCs/>
                      <w:color w:val="000000"/>
                      <w:sz w:val="21"/>
                      <w:szCs w:val="21"/>
                      <w:highlight w:val="none"/>
                    </w:rPr>
                    <w:t>0.00</w:t>
                  </w:r>
                  <w:r>
                    <w:rPr>
                      <w:rFonts w:hint="eastAsia" w:cs="Times New Roman"/>
                      <w:b w:val="0"/>
                      <w:bCs/>
                      <w:color w:val="000000"/>
                      <w:sz w:val="21"/>
                      <w:szCs w:val="21"/>
                      <w:highlight w:val="none"/>
                      <w:lang w:val="en-US" w:eastAsia="zh-CN"/>
                    </w:rPr>
                    <w:t>000</w:t>
                  </w:r>
                  <w:r>
                    <w:rPr>
                      <w:rFonts w:hint="default" w:ascii="Times New Roman" w:hAnsi="Times New Roman" w:cs="Times New Roman"/>
                      <w:b w:val="0"/>
                      <w:bCs/>
                      <w:color w:val="000000"/>
                      <w:sz w:val="21"/>
                      <w:szCs w:val="21"/>
                      <w:highlight w:val="none"/>
                    </w:rPr>
                    <w:t>5</w:t>
                  </w:r>
                </w:p>
              </w:tc>
              <w:tc>
                <w:tcPr>
                  <w:tcW w:w="746" w:type="pct"/>
                  <w:noWrap w:val="0"/>
                  <w:vAlign w:val="center"/>
                </w:tcPr>
                <w:p w14:paraId="402EC370">
                  <w:pPr>
                    <w:jc w:val="center"/>
                    <w:rPr>
                      <w:rFonts w:hint="default" w:ascii="Times New Roman" w:hAnsi="Times New Roman" w:cs="Times New Roman"/>
                      <w:b w:val="0"/>
                      <w:bCs/>
                      <w:color w:val="000000"/>
                      <w:sz w:val="21"/>
                      <w:szCs w:val="21"/>
                      <w:highlight w:val="none"/>
                    </w:rPr>
                  </w:pPr>
                  <w:r>
                    <w:rPr>
                      <w:rFonts w:hint="default" w:ascii="Times New Roman" w:hAnsi="Times New Roman" w:cs="Times New Roman"/>
                      <w:b w:val="0"/>
                      <w:bCs/>
                      <w:color w:val="000000"/>
                      <w:sz w:val="21"/>
                      <w:szCs w:val="21"/>
                      <w:highlight w:val="none"/>
                    </w:rPr>
                    <w:t>0.000008</w:t>
                  </w:r>
                </w:p>
              </w:tc>
            </w:tr>
            <w:tr w14:paraId="3CC03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vMerge w:val="restart"/>
                  <w:noWrap w:val="0"/>
                  <w:vAlign w:val="center"/>
                </w:tcPr>
                <w:p w14:paraId="341FDAE0">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cs="Times New Roman"/>
                      <w:b w:val="0"/>
                      <w:bCs/>
                      <w:color w:val="000000"/>
                      <w:sz w:val="21"/>
                      <w:szCs w:val="21"/>
                      <w:highlight w:val="none"/>
                      <w:lang w:val="en-US" w:eastAsia="zh-CN"/>
                    </w:rPr>
                    <w:t>挤出成型废气</w:t>
                  </w:r>
                </w:p>
              </w:tc>
              <w:tc>
                <w:tcPr>
                  <w:tcW w:w="969" w:type="pct"/>
                  <w:noWrap w:val="0"/>
                  <w:vAlign w:val="center"/>
                </w:tcPr>
                <w:p w14:paraId="77A43D25">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cs="Times New Roman"/>
                      <w:b w:val="0"/>
                      <w:bCs/>
                      <w:color w:val="000000"/>
                      <w:sz w:val="21"/>
                      <w:szCs w:val="21"/>
                      <w:highlight w:val="none"/>
                      <w:lang w:val="en-US" w:eastAsia="zh-CN"/>
                    </w:rPr>
                    <w:t>非甲烷总烃</w:t>
                  </w:r>
                </w:p>
              </w:tc>
              <w:tc>
                <w:tcPr>
                  <w:tcW w:w="428" w:type="pct"/>
                  <w:vMerge w:val="continue"/>
                  <w:noWrap w:val="0"/>
                  <w:vAlign w:val="center"/>
                </w:tcPr>
                <w:p w14:paraId="12F2F0AE">
                  <w:pPr>
                    <w:jc w:val="center"/>
                    <w:rPr>
                      <w:rFonts w:hint="default" w:ascii="Times New Roman" w:hAnsi="Times New Roman" w:cs="Times New Roman"/>
                      <w:b w:val="0"/>
                      <w:bCs/>
                      <w:color w:val="000000"/>
                      <w:sz w:val="21"/>
                      <w:szCs w:val="21"/>
                      <w:highlight w:val="none"/>
                    </w:rPr>
                  </w:pPr>
                </w:p>
              </w:tc>
              <w:tc>
                <w:tcPr>
                  <w:tcW w:w="437" w:type="pct"/>
                  <w:vMerge w:val="continue"/>
                  <w:noWrap w:val="0"/>
                  <w:vAlign w:val="center"/>
                </w:tcPr>
                <w:p w14:paraId="1CFA5C1D">
                  <w:pPr>
                    <w:jc w:val="center"/>
                    <w:rPr>
                      <w:rFonts w:hint="default" w:ascii="Times New Roman" w:hAnsi="Times New Roman" w:cs="Times New Roman"/>
                      <w:b w:val="0"/>
                      <w:bCs/>
                      <w:color w:val="000000"/>
                      <w:sz w:val="21"/>
                      <w:szCs w:val="21"/>
                      <w:highlight w:val="none"/>
                    </w:rPr>
                  </w:pPr>
                </w:p>
              </w:tc>
              <w:tc>
                <w:tcPr>
                  <w:tcW w:w="436" w:type="pct"/>
                  <w:vMerge w:val="continue"/>
                  <w:noWrap w:val="0"/>
                  <w:vAlign w:val="center"/>
                </w:tcPr>
                <w:p w14:paraId="4348D783">
                  <w:pPr>
                    <w:jc w:val="center"/>
                    <w:rPr>
                      <w:rFonts w:hint="default" w:ascii="Times New Roman" w:hAnsi="Times New Roman" w:cs="Times New Roman"/>
                      <w:b w:val="0"/>
                      <w:bCs/>
                      <w:color w:val="000000"/>
                      <w:sz w:val="21"/>
                      <w:szCs w:val="21"/>
                      <w:highlight w:val="none"/>
                    </w:rPr>
                  </w:pPr>
                </w:p>
              </w:tc>
              <w:tc>
                <w:tcPr>
                  <w:tcW w:w="839" w:type="pct"/>
                  <w:noWrap w:val="0"/>
                  <w:vAlign w:val="center"/>
                </w:tcPr>
                <w:p w14:paraId="415E83FD">
                  <w:pPr>
                    <w:jc w:val="center"/>
                    <w:rPr>
                      <w:rFonts w:hint="default" w:ascii="Times New Roman" w:hAnsi="Times New Roman" w:cs="Times New Roman"/>
                      <w:b w:val="0"/>
                      <w:bCs/>
                      <w:color w:val="000000"/>
                      <w:sz w:val="21"/>
                      <w:szCs w:val="21"/>
                      <w:highlight w:val="none"/>
                    </w:rPr>
                  </w:pPr>
                  <w:r>
                    <w:rPr>
                      <w:rFonts w:hint="default" w:ascii="Times New Roman" w:hAnsi="Times New Roman" w:cs="Times New Roman"/>
                      <w:b w:val="0"/>
                      <w:bCs/>
                      <w:color w:val="000000"/>
                      <w:sz w:val="21"/>
                      <w:szCs w:val="21"/>
                      <w:highlight w:val="none"/>
                    </w:rPr>
                    <w:t>0.015</w:t>
                  </w:r>
                </w:p>
              </w:tc>
              <w:tc>
                <w:tcPr>
                  <w:tcW w:w="746" w:type="pct"/>
                  <w:noWrap w:val="0"/>
                  <w:vAlign w:val="center"/>
                </w:tcPr>
                <w:p w14:paraId="6C9384B2">
                  <w:pPr>
                    <w:jc w:val="center"/>
                    <w:rPr>
                      <w:rFonts w:hint="default" w:ascii="Times New Roman" w:hAnsi="Times New Roman" w:cs="Times New Roman"/>
                      <w:b w:val="0"/>
                      <w:bCs/>
                      <w:color w:val="000000"/>
                      <w:sz w:val="21"/>
                      <w:szCs w:val="21"/>
                      <w:highlight w:val="none"/>
                    </w:rPr>
                  </w:pPr>
                  <w:r>
                    <w:rPr>
                      <w:rFonts w:hint="default" w:ascii="Times New Roman" w:hAnsi="Times New Roman" w:cs="Times New Roman"/>
                      <w:b w:val="0"/>
                      <w:bCs/>
                      <w:color w:val="000000"/>
                      <w:sz w:val="21"/>
                      <w:szCs w:val="21"/>
                      <w:highlight w:val="none"/>
                    </w:rPr>
                    <w:t>0.003</w:t>
                  </w:r>
                </w:p>
              </w:tc>
            </w:tr>
            <w:tr w14:paraId="4F0F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vMerge w:val="continue"/>
                  <w:noWrap w:val="0"/>
                  <w:vAlign w:val="center"/>
                </w:tcPr>
                <w:p w14:paraId="3551952B">
                  <w:pPr>
                    <w:jc w:val="center"/>
                    <w:rPr>
                      <w:rFonts w:hint="eastAsia" w:ascii="Times New Roman" w:hAnsi="Times New Roman" w:cs="Times New Roman"/>
                      <w:b w:val="0"/>
                      <w:bCs/>
                      <w:color w:val="000000"/>
                      <w:sz w:val="21"/>
                      <w:szCs w:val="21"/>
                      <w:highlight w:val="none"/>
                      <w:lang w:val="en-US" w:eastAsia="zh-CN"/>
                    </w:rPr>
                  </w:pPr>
                </w:p>
              </w:tc>
              <w:tc>
                <w:tcPr>
                  <w:tcW w:w="969" w:type="pct"/>
                  <w:shd w:val="clear" w:color="auto" w:fill="auto"/>
                  <w:noWrap w:val="0"/>
                  <w:vAlign w:val="center"/>
                </w:tcPr>
                <w:p w14:paraId="6E35F545">
                  <w:pPr>
                    <w:snapToGrid w:val="0"/>
                    <w:spacing w:line="240" w:lineRule="auto"/>
                    <w:jc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甲苯</w:t>
                  </w:r>
                </w:p>
              </w:tc>
              <w:tc>
                <w:tcPr>
                  <w:tcW w:w="428" w:type="pct"/>
                  <w:vMerge w:val="continue"/>
                  <w:noWrap w:val="0"/>
                  <w:vAlign w:val="center"/>
                </w:tcPr>
                <w:p w14:paraId="7CA6FF8D">
                  <w:pPr>
                    <w:jc w:val="center"/>
                    <w:rPr>
                      <w:rFonts w:hint="default" w:ascii="Times New Roman" w:hAnsi="Times New Roman" w:cs="Times New Roman"/>
                      <w:b w:val="0"/>
                      <w:bCs/>
                      <w:color w:val="000000"/>
                      <w:sz w:val="21"/>
                      <w:szCs w:val="21"/>
                      <w:highlight w:val="none"/>
                    </w:rPr>
                  </w:pPr>
                </w:p>
              </w:tc>
              <w:tc>
                <w:tcPr>
                  <w:tcW w:w="437" w:type="pct"/>
                  <w:vMerge w:val="continue"/>
                  <w:noWrap w:val="0"/>
                  <w:vAlign w:val="center"/>
                </w:tcPr>
                <w:p w14:paraId="49A154F8">
                  <w:pPr>
                    <w:jc w:val="center"/>
                    <w:rPr>
                      <w:rFonts w:hint="default" w:ascii="Times New Roman" w:hAnsi="Times New Roman" w:cs="Times New Roman"/>
                      <w:b w:val="0"/>
                      <w:bCs/>
                      <w:color w:val="000000"/>
                      <w:sz w:val="21"/>
                      <w:szCs w:val="21"/>
                      <w:highlight w:val="none"/>
                    </w:rPr>
                  </w:pPr>
                </w:p>
              </w:tc>
              <w:tc>
                <w:tcPr>
                  <w:tcW w:w="436" w:type="pct"/>
                  <w:vMerge w:val="continue"/>
                  <w:noWrap w:val="0"/>
                  <w:vAlign w:val="center"/>
                </w:tcPr>
                <w:p w14:paraId="52759989">
                  <w:pPr>
                    <w:jc w:val="center"/>
                    <w:rPr>
                      <w:rFonts w:hint="default" w:ascii="Times New Roman" w:hAnsi="Times New Roman" w:cs="Times New Roman"/>
                      <w:b w:val="0"/>
                      <w:bCs/>
                      <w:color w:val="000000"/>
                      <w:sz w:val="21"/>
                      <w:szCs w:val="21"/>
                      <w:highlight w:val="none"/>
                    </w:rPr>
                  </w:pPr>
                </w:p>
              </w:tc>
              <w:tc>
                <w:tcPr>
                  <w:tcW w:w="839" w:type="pct"/>
                  <w:noWrap w:val="0"/>
                  <w:vAlign w:val="center"/>
                </w:tcPr>
                <w:p w14:paraId="6982EE41">
                  <w:pPr>
                    <w:jc w:val="center"/>
                    <w:rPr>
                      <w:rFonts w:hint="default" w:ascii="Times New Roman" w:hAnsi="Times New Roman" w:eastAsia="宋体" w:cs="Times New Roman"/>
                      <w:b w:val="0"/>
                      <w:bCs/>
                      <w:color w:val="000000"/>
                      <w:sz w:val="21"/>
                      <w:szCs w:val="21"/>
                      <w:highlight w:val="none"/>
                      <w:lang w:val="en-US" w:eastAsia="zh-CN"/>
                    </w:rPr>
                  </w:pPr>
                  <w:r>
                    <w:rPr>
                      <w:rFonts w:hint="default" w:ascii="Times New Roman" w:hAnsi="Times New Roman" w:cs="Times New Roman"/>
                      <w:b w:val="0"/>
                      <w:bCs/>
                      <w:color w:val="000000"/>
                      <w:sz w:val="21"/>
                      <w:szCs w:val="21"/>
                      <w:highlight w:val="none"/>
                    </w:rPr>
                    <w:t>0.039</w:t>
                  </w:r>
                  <w:r>
                    <w:rPr>
                      <w:rFonts w:hint="eastAsia" w:cs="Times New Roman"/>
                      <w:b w:val="0"/>
                      <w:bCs/>
                      <w:color w:val="000000"/>
                      <w:sz w:val="21"/>
                      <w:szCs w:val="21"/>
                      <w:highlight w:val="none"/>
                      <w:lang w:val="en-US" w:eastAsia="zh-CN"/>
                    </w:rPr>
                    <w:t>×10</w:t>
                  </w:r>
                  <w:r>
                    <w:rPr>
                      <w:rFonts w:hint="eastAsia" w:cs="Times New Roman"/>
                      <w:b w:val="0"/>
                      <w:bCs/>
                      <w:color w:val="000000"/>
                      <w:sz w:val="21"/>
                      <w:szCs w:val="21"/>
                      <w:highlight w:val="none"/>
                      <w:vertAlign w:val="superscript"/>
                      <w:lang w:val="en-US" w:eastAsia="zh-CN"/>
                    </w:rPr>
                    <w:t>-6</w:t>
                  </w:r>
                </w:p>
              </w:tc>
              <w:tc>
                <w:tcPr>
                  <w:tcW w:w="746" w:type="pct"/>
                  <w:noWrap w:val="0"/>
                  <w:vAlign w:val="center"/>
                </w:tcPr>
                <w:p w14:paraId="5F53AC9A">
                  <w:pPr>
                    <w:jc w:val="center"/>
                    <w:rPr>
                      <w:rFonts w:hint="eastAsia" w:ascii="Times New Roman" w:hAnsi="Times New Roman" w:eastAsia="宋体" w:cs="Times New Roman"/>
                      <w:b w:val="0"/>
                      <w:bCs/>
                      <w:color w:val="000000"/>
                      <w:sz w:val="21"/>
                      <w:szCs w:val="21"/>
                      <w:highlight w:val="none"/>
                      <w:lang w:eastAsia="zh-CN"/>
                    </w:rPr>
                  </w:pPr>
                  <w:r>
                    <w:rPr>
                      <w:rFonts w:hint="default" w:ascii="Times New Roman" w:hAnsi="Times New Roman" w:cs="Times New Roman"/>
                      <w:b w:val="0"/>
                      <w:bCs/>
                      <w:color w:val="000000"/>
                      <w:sz w:val="21"/>
                      <w:szCs w:val="21"/>
                      <w:highlight w:val="none"/>
                    </w:rPr>
                    <w:t>8.125×10</w:t>
                  </w:r>
                  <w:r>
                    <w:rPr>
                      <w:rFonts w:hint="default" w:ascii="Times New Roman" w:hAnsi="Times New Roman" w:cs="Times New Roman"/>
                      <w:b w:val="0"/>
                      <w:bCs/>
                      <w:color w:val="000000"/>
                      <w:sz w:val="21"/>
                      <w:szCs w:val="21"/>
                      <w:highlight w:val="none"/>
                      <w:vertAlign w:val="superscript"/>
                    </w:rPr>
                    <w:t>-</w:t>
                  </w:r>
                  <w:r>
                    <w:rPr>
                      <w:rFonts w:hint="eastAsia" w:cs="Times New Roman"/>
                      <w:b w:val="0"/>
                      <w:bCs/>
                      <w:color w:val="000000"/>
                      <w:sz w:val="21"/>
                      <w:szCs w:val="21"/>
                      <w:highlight w:val="none"/>
                      <w:vertAlign w:val="superscript"/>
                      <w:lang w:val="en-US" w:eastAsia="zh-CN"/>
                    </w:rPr>
                    <w:t>9</w:t>
                  </w:r>
                </w:p>
              </w:tc>
            </w:tr>
            <w:tr w14:paraId="151ED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vMerge w:val="continue"/>
                  <w:noWrap w:val="0"/>
                  <w:vAlign w:val="center"/>
                </w:tcPr>
                <w:p w14:paraId="23C770F1">
                  <w:pPr>
                    <w:jc w:val="center"/>
                    <w:rPr>
                      <w:rFonts w:hint="eastAsia" w:ascii="Times New Roman" w:hAnsi="Times New Roman" w:cs="Times New Roman"/>
                      <w:b w:val="0"/>
                      <w:bCs/>
                      <w:color w:val="000000"/>
                      <w:sz w:val="21"/>
                      <w:szCs w:val="21"/>
                      <w:highlight w:val="none"/>
                      <w:lang w:val="en-US" w:eastAsia="zh-CN"/>
                    </w:rPr>
                  </w:pPr>
                </w:p>
              </w:tc>
              <w:tc>
                <w:tcPr>
                  <w:tcW w:w="969" w:type="pct"/>
                  <w:shd w:val="clear" w:color="auto" w:fill="auto"/>
                  <w:noWrap w:val="0"/>
                  <w:vAlign w:val="center"/>
                </w:tcPr>
                <w:p w14:paraId="320A95BE">
                  <w:pPr>
                    <w:snapToGrid w:val="0"/>
                    <w:spacing w:line="240" w:lineRule="auto"/>
                    <w:jc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乙苯</w:t>
                  </w:r>
                </w:p>
              </w:tc>
              <w:tc>
                <w:tcPr>
                  <w:tcW w:w="428" w:type="pct"/>
                  <w:vMerge w:val="continue"/>
                  <w:noWrap w:val="0"/>
                  <w:vAlign w:val="center"/>
                </w:tcPr>
                <w:p w14:paraId="5B3EFF4B">
                  <w:pPr>
                    <w:jc w:val="center"/>
                    <w:rPr>
                      <w:rFonts w:hint="default" w:ascii="Times New Roman" w:hAnsi="Times New Roman" w:cs="Times New Roman"/>
                      <w:b w:val="0"/>
                      <w:bCs/>
                      <w:color w:val="000000"/>
                      <w:sz w:val="21"/>
                      <w:szCs w:val="21"/>
                      <w:highlight w:val="none"/>
                    </w:rPr>
                  </w:pPr>
                </w:p>
              </w:tc>
              <w:tc>
                <w:tcPr>
                  <w:tcW w:w="437" w:type="pct"/>
                  <w:vMerge w:val="continue"/>
                  <w:noWrap w:val="0"/>
                  <w:vAlign w:val="center"/>
                </w:tcPr>
                <w:p w14:paraId="24345F17">
                  <w:pPr>
                    <w:jc w:val="center"/>
                    <w:rPr>
                      <w:rFonts w:hint="default" w:ascii="Times New Roman" w:hAnsi="Times New Roman" w:cs="Times New Roman"/>
                      <w:b w:val="0"/>
                      <w:bCs/>
                      <w:color w:val="000000"/>
                      <w:sz w:val="21"/>
                      <w:szCs w:val="21"/>
                      <w:highlight w:val="none"/>
                    </w:rPr>
                  </w:pPr>
                </w:p>
              </w:tc>
              <w:tc>
                <w:tcPr>
                  <w:tcW w:w="436" w:type="pct"/>
                  <w:vMerge w:val="continue"/>
                  <w:noWrap w:val="0"/>
                  <w:vAlign w:val="center"/>
                </w:tcPr>
                <w:p w14:paraId="130C882E">
                  <w:pPr>
                    <w:jc w:val="center"/>
                    <w:rPr>
                      <w:rFonts w:hint="default" w:ascii="Times New Roman" w:hAnsi="Times New Roman" w:cs="Times New Roman"/>
                      <w:b w:val="0"/>
                      <w:bCs/>
                      <w:color w:val="000000"/>
                      <w:sz w:val="21"/>
                      <w:szCs w:val="21"/>
                      <w:highlight w:val="none"/>
                    </w:rPr>
                  </w:pPr>
                </w:p>
              </w:tc>
              <w:tc>
                <w:tcPr>
                  <w:tcW w:w="1336" w:type="dxa"/>
                  <w:noWrap w:val="0"/>
                  <w:vAlign w:val="center"/>
                </w:tcPr>
                <w:p w14:paraId="55243331">
                  <w:pPr>
                    <w:jc w:val="center"/>
                    <w:rPr>
                      <w:rFonts w:hint="default" w:ascii="Times New Roman" w:hAnsi="Times New Roman" w:cs="Times New Roman"/>
                      <w:b w:val="0"/>
                      <w:bCs/>
                      <w:color w:val="000000"/>
                      <w:sz w:val="21"/>
                      <w:szCs w:val="21"/>
                      <w:highlight w:val="none"/>
                    </w:rPr>
                  </w:pPr>
                  <w:r>
                    <w:rPr>
                      <w:rFonts w:hint="eastAsia" w:cs="Times New Roman"/>
                      <w:b w:val="0"/>
                      <w:bCs/>
                      <w:color w:val="000000"/>
                      <w:sz w:val="21"/>
                      <w:szCs w:val="21"/>
                      <w:highlight w:val="none"/>
                      <w:lang w:val="en-US" w:eastAsia="zh-CN"/>
                    </w:rPr>
                    <w:t>0.020×10</w:t>
                  </w:r>
                  <w:r>
                    <w:rPr>
                      <w:rFonts w:hint="eastAsia" w:cs="Times New Roman"/>
                      <w:b w:val="0"/>
                      <w:bCs/>
                      <w:color w:val="000000"/>
                      <w:sz w:val="21"/>
                      <w:szCs w:val="21"/>
                      <w:highlight w:val="none"/>
                      <w:vertAlign w:val="superscript"/>
                      <w:lang w:val="en-US" w:eastAsia="zh-CN"/>
                    </w:rPr>
                    <w:t>-6</w:t>
                  </w:r>
                </w:p>
              </w:tc>
              <w:tc>
                <w:tcPr>
                  <w:tcW w:w="1187" w:type="dxa"/>
                  <w:noWrap w:val="0"/>
                  <w:vAlign w:val="center"/>
                </w:tcPr>
                <w:p w14:paraId="4D789262">
                  <w:pPr>
                    <w:jc w:val="center"/>
                    <w:rPr>
                      <w:rFonts w:hint="default" w:ascii="Times New Roman" w:hAnsi="Times New Roman" w:cs="Times New Roman"/>
                      <w:b w:val="0"/>
                      <w:bCs/>
                      <w:color w:val="000000"/>
                      <w:sz w:val="21"/>
                      <w:szCs w:val="21"/>
                      <w:highlight w:val="none"/>
                    </w:rPr>
                  </w:pPr>
                  <w:r>
                    <w:rPr>
                      <w:rFonts w:hint="default" w:ascii="Times New Roman" w:hAnsi="Times New Roman" w:cs="Times New Roman"/>
                      <w:b w:val="0"/>
                      <w:bCs/>
                      <w:color w:val="000000"/>
                      <w:sz w:val="21"/>
                      <w:szCs w:val="21"/>
                      <w:highlight w:val="none"/>
                    </w:rPr>
                    <w:t>4.167×10</w:t>
                  </w:r>
                  <w:r>
                    <w:rPr>
                      <w:rFonts w:hint="default" w:ascii="Times New Roman" w:hAnsi="Times New Roman" w:cs="Times New Roman"/>
                      <w:b w:val="0"/>
                      <w:bCs/>
                      <w:color w:val="000000"/>
                      <w:sz w:val="21"/>
                      <w:szCs w:val="21"/>
                      <w:highlight w:val="none"/>
                      <w:vertAlign w:val="superscript"/>
                    </w:rPr>
                    <w:t>-</w:t>
                  </w:r>
                  <w:r>
                    <w:rPr>
                      <w:rFonts w:hint="eastAsia" w:cs="Times New Roman"/>
                      <w:b w:val="0"/>
                      <w:bCs/>
                      <w:color w:val="000000"/>
                      <w:sz w:val="21"/>
                      <w:szCs w:val="21"/>
                      <w:highlight w:val="none"/>
                      <w:vertAlign w:val="superscript"/>
                      <w:lang w:val="en-US" w:eastAsia="zh-CN"/>
                    </w:rPr>
                    <w:t>9</w:t>
                  </w:r>
                </w:p>
              </w:tc>
            </w:tr>
            <w:tr w14:paraId="02189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vMerge w:val="continue"/>
                  <w:noWrap w:val="0"/>
                  <w:vAlign w:val="center"/>
                </w:tcPr>
                <w:p w14:paraId="02122173">
                  <w:pPr>
                    <w:jc w:val="center"/>
                    <w:rPr>
                      <w:rFonts w:hint="eastAsia" w:ascii="Times New Roman" w:hAnsi="Times New Roman" w:cs="Times New Roman"/>
                      <w:b w:val="0"/>
                      <w:bCs/>
                      <w:color w:val="000000"/>
                      <w:sz w:val="21"/>
                      <w:szCs w:val="21"/>
                      <w:highlight w:val="none"/>
                      <w:lang w:val="en-US" w:eastAsia="zh-CN"/>
                    </w:rPr>
                  </w:pPr>
                </w:p>
              </w:tc>
              <w:tc>
                <w:tcPr>
                  <w:tcW w:w="969" w:type="pct"/>
                  <w:shd w:val="clear" w:color="auto" w:fill="auto"/>
                  <w:noWrap w:val="0"/>
                  <w:vAlign w:val="center"/>
                </w:tcPr>
                <w:p w14:paraId="65A863CB">
                  <w:pPr>
                    <w:snapToGrid w:val="0"/>
                    <w:spacing w:line="240" w:lineRule="auto"/>
                    <w:jc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苯乙烯</w:t>
                  </w:r>
                </w:p>
              </w:tc>
              <w:tc>
                <w:tcPr>
                  <w:tcW w:w="428" w:type="pct"/>
                  <w:vMerge w:val="continue"/>
                  <w:noWrap w:val="0"/>
                  <w:vAlign w:val="center"/>
                </w:tcPr>
                <w:p w14:paraId="42FBD52D">
                  <w:pPr>
                    <w:jc w:val="center"/>
                    <w:rPr>
                      <w:rFonts w:hint="default" w:ascii="Times New Roman" w:hAnsi="Times New Roman" w:cs="Times New Roman"/>
                      <w:b w:val="0"/>
                      <w:bCs/>
                      <w:color w:val="000000"/>
                      <w:sz w:val="21"/>
                      <w:szCs w:val="21"/>
                      <w:highlight w:val="none"/>
                    </w:rPr>
                  </w:pPr>
                </w:p>
              </w:tc>
              <w:tc>
                <w:tcPr>
                  <w:tcW w:w="437" w:type="pct"/>
                  <w:vMerge w:val="continue"/>
                  <w:noWrap w:val="0"/>
                  <w:vAlign w:val="center"/>
                </w:tcPr>
                <w:p w14:paraId="6BBF7013">
                  <w:pPr>
                    <w:jc w:val="center"/>
                    <w:rPr>
                      <w:rFonts w:hint="default" w:ascii="Times New Roman" w:hAnsi="Times New Roman" w:cs="Times New Roman"/>
                      <w:b w:val="0"/>
                      <w:bCs/>
                      <w:color w:val="000000"/>
                      <w:sz w:val="21"/>
                      <w:szCs w:val="21"/>
                      <w:highlight w:val="none"/>
                    </w:rPr>
                  </w:pPr>
                </w:p>
              </w:tc>
              <w:tc>
                <w:tcPr>
                  <w:tcW w:w="436" w:type="pct"/>
                  <w:vMerge w:val="continue"/>
                  <w:noWrap w:val="0"/>
                  <w:vAlign w:val="center"/>
                </w:tcPr>
                <w:p w14:paraId="58BBA290">
                  <w:pPr>
                    <w:jc w:val="center"/>
                    <w:rPr>
                      <w:rFonts w:hint="default" w:ascii="Times New Roman" w:hAnsi="Times New Roman" w:cs="Times New Roman"/>
                      <w:b w:val="0"/>
                      <w:bCs/>
                      <w:color w:val="000000"/>
                      <w:sz w:val="21"/>
                      <w:szCs w:val="21"/>
                      <w:highlight w:val="none"/>
                    </w:rPr>
                  </w:pPr>
                </w:p>
              </w:tc>
              <w:tc>
                <w:tcPr>
                  <w:tcW w:w="1336" w:type="dxa"/>
                  <w:noWrap w:val="0"/>
                  <w:vAlign w:val="center"/>
                </w:tcPr>
                <w:p w14:paraId="743C8038">
                  <w:pPr>
                    <w:jc w:val="center"/>
                    <w:rPr>
                      <w:rFonts w:hint="default" w:ascii="Times New Roman" w:hAnsi="Times New Roman" w:cs="Times New Roman"/>
                      <w:b w:val="0"/>
                      <w:bCs/>
                      <w:color w:val="000000"/>
                      <w:sz w:val="21"/>
                      <w:szCs w:val="21"/>
                      <w:highlight w:val="none"/>
                    </w:rPr>
                  </w:pPr>
                  <w:r>
                    <w:rPr>
                      <w:rFonts w:hint="eastAsia" w:cs="Times New Roman"/>
                      <w:b w:val="0"/>
                      <w:bCs/>
                      <w:color w:val="000000"/>
                      <w:sz w:val="21"/>
                      <w:szCs w:val="21"/>
                      <w:highlight w:val="none"/>
                      <w:lang w:val="en-US" w:eastAsia="zh-CN"/>
                    </w:rPr>
                    <w:t>0.012×10</w:t>
                  </w:r>
                  <w:r>
                    <w:rPr>
                      <w:rFonts w:hint="eastAsia" w:cs="Times New Roman"/>
                      <w:b w:val="0"/>
                      <w:bCs/>
                      <w:color w:val="000000"/>
                      <w:sz w:val="21"/>
                      <w:szCs w:val="21"/>
                      <w:highlight w:val="none"/>
                      <w:vertAlign w:val="superscript"/>
                      <w:lang w:val="en-US" w:eastAsia="zh-CN"/>
                    </w:rPr>
                    <w:t>-6</w:t>
                  </w:r>
                </w:p>
              </w:tc>
              <w:tc>
                <w:tcPr>
                  <w:tcW w:w="1187" w:type="dxa"/>
                  <w:noWrap w:val="0"/>
                  <w:vAlign w:val="center"/>
                </w:tcPr>
                <w:p w14:paraId="47FAFA43">
                  <w:pPr>
                    <w:jc w:val="center"/>
                    <w:rPr>
                      <w:rFonts w:hint="default" w:ascii="Times New Roman" w:hAnsi="Times New Roman" w:cs="Times New Roman"/>
                      <w:b w:val="0"/>
                      <w:bCs/>
                      <w:color w:val="000000"/>
                      <w:sz w:val="21"/>
                      <w:szCs w:val="21"/>
                      <w:highlight w:val="none"/>
                    </w:rPr>
                  </w:pPr>
                  <w:r>
                    <w:rPr>
                      <w:rFonts w:hint="default" w:ascii="Times New Roman" w:hAnsi="Times New Roman" w:cs="Times New Roman"/>
                      <w:b w:val="0"/>
                      <w:bCs/>
                      <w:color w:val="000000"/>
                      <w:sz w:val="21"/>
                      <w:szCs w:val="21"/>
                      <w:highlight w:val="none"/>
                    </w:rPr>
                    <w:t>2.500×10</w:t>
                  </w:r>
                  <w:r>
                    <w:rPr>
                      <w:rFonts w:hint="default" w:ascii="Times New Roman" w:hAnsi="Times New Roman" w:cs="Times New Roman"/>
                      <w:b w:val="0"/>
                      <w:bCs/>
                      <w:color w:val="000000"/>
                      <w:sz w:val="21"/>
                      <w:szCs w:val="21"/>
                      <w:highlight w:val="none"/>
                      <w:vertAlign w:val="superscript"/>
                    </w:rPr>
                    <w:t>-</w:t>
                  </w:r>
                  <w:r>
                    <w:rPr>
                      <w:rFonts w:hint="eastAsia" w:cs="Times New Roman"/>
                      <w:b w:val="0"/>
                      <w:bCs/>
                      <w:color w:val="000000"/>
                      <w:sz w:val="21"/>
                      <w:szCs w:val="21"/>
                      <w:highlight w:val="none"/>
                      <w:vertAlign w:val="superscript"/>
                      <w:lang w:val="en-US" w:eastAsia="zh-CN"/>
                    </w:rPr>
                    <w:t>9</w:t>
                  </w:r>
                </w:p>
              </w:tc>
            </w:tr>
            <w:tr w14:paraId="1C08E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noWrap w:val="0"/>
                  <w:vAlign w:val="center"/>
                </w:tcPr>
                <w:p w14:paraId="628C6555">
                  <w:pPr>
                    <w:jc w:val="center"/>
                    <w:rPr>
                      <w:rFonts w:hint="default" w:ascii="Times New Roman" w:hAnsi="Times New Roman" w:cs="Times New Roman"/>
                      <w:b w:val="0"/>
                      <w:bCs/>
                      <w:color w:val="000000"/>
                      <w:sz w:val="21"/>
                      <w:szCs w:val="21"/>
                      <w:highlight w:val="none"/>
                      <w:lang w:val="en-US" w:eastAsia="zh-CN"/>
                    </w:rPr>
                  </w:pPr>
                  <w:r>
                    <w:rPr>
                      <w:rFonts w:hint="eastAsia" w:cs="Times New Roman"/>
                      <w:b w:val="0"/>
                      <w:bCs/>
                      <w:color w:val="000000"/>
                      <w:sz w:val="21"/>
                      <w:szCs w:val="21"/>
                      <w:highlight w:val="none"/>
                      <w:lang w:val="en-US" w:eastAsia="zh-CN"/>
                    </w:rPr>
                    <w:t>打孔粉尘</w:t>
                  </w:r>
                </w:p>
              </w:tc>
              <w:tc>
                <w:tcPr>
                  <w:tcW w:w="969" w:type="pct"/>
                  <w:noWrap w:val="0"/>
                  <w:vAlign w:val="center"/>
                </w:tcPr>
                <w:p w14:paraId="65CFB8C4">
                  <w:pPr>
                    <w:jc w:val="center"/>
                    <w:rPr>
                      <w:rFonts w:hint="default" w:ascii="Times New Roman" w:hAnsi="Times New Roman" w:cs="Times New Roman"/>
                      <w:b w:val="0"/>
                      <w:bCs/>
                      <w:color w:val="000000"/>
                      <w:sz w:val="21"/>
                      <w:szCs w:val="21"/>
                      <w:highlight w:val="none"/>
                      <w:lang w:val="en-US" w:eastAsia="zh-CN"/>
                    </w:rPr>
                  </w:pPr>
                  <w:r>
                    <w:rPr>
                      <w:rFonts w:hint="eastAsia" w:cs="Times New Roman"/>
                      <w:b w:val="0"/>
                      <w:bCs/>
                      <w:color w:val="000000"/>
                      <w:sz w:val="21"/>
                      <w:szCs w:val="21"/>
                      <w:highlight w:val="none"/>
                      <w:lang w:val="en-US" w:eastAsia="zh-CN"/>
                    </w:rPr>
                    <w:t>颗粒物</w:t>
                  </w:r>
                </w:p>
              </w:tc>
              <w:tc>
                <w:tcPr>
                  <w:tcW w:w="428" w:type="pct"/>
                  <w:vMerge w:val="continue"/>
                  <w:noWrap w:val="0"/>
                  <w:vAlign w:val="center"/>
                </w:tcPr>
                <w:p w14:paraId="7688784E">
                  <w:pPr>
                    <w:jc w:val="center"/>
                    <w:rPr>
                      <w:rFonts w:hint="default" w:ascii="Times New Roman" w:hAnsi="Times New Roman" w:cs="Times New Roman"/>
                      <w:b w:val="0"/>
                      <w:bCs/>
                      <w:color w:val="000000"/>
                      <w:sz w:val="21"/>
                      <w:szCs w:val="21"/>
                      <w:highlight w:val="none"/>
                    </w:rPr>
                  </w:pPr>
                </w:p>
              </w:tc>
              <w:tc>
                <w:tcPr>
                  <w:tcW w:w="437" w:type="pct"/>
                  <w:vMerge w:val="continue"/>
                  <w:noWrap w:val="0"/>
                  <w:vAlign w:val="center"/>
                </w:tcPr>
                <w:p w14:paraId="7FF976C6">
                  <w:pPr>
                    <w:jc w:val="center"/>
                    <w:rPr>
                      <w:rFonts w:hint="default" w:ascii="Times New Roman" w:hAnsi="Times New Roman" w:cs="Times New Roman"/>
                      <w:b w:val="0"/>
                      <w:bCs/>
                      <w:color w:val="000000"/>
                      <w:sz w:val="21"/>
                      <w:szCs w:val="21"/>
                      <w:highlight w:val="none"/>
                    </w:rPr>
                  </w:pPr>
                </w:p>
              </w:tc>
              <w:tc>
                <w:tcPr>
                  <w:tcW w:w="436" w:type="pct"/>
                  <w:vMerge w:val="continue"/>
                  <w:noWrap w:val="0"/>
                  <w:vAlign w:val="center"/>
                </w:tcPr>
                <w:p w14:paraId="343DB5D1">
                  <w:pPr>
                    <w:jc w:val="center"/>
                    <w:rPr>
                      <w:rFonts w:hint="default" w:ascii="Times New Roman" w:hAnsi="Times New Roman" w:cs="Times New Roman"/>
                      <w:b w:val="0"/>
                      <w:bCs/>
                      <w:color w:val="000000"/>
                      <w:sz w:val="21"/>
                      <w:szCs w:val="21"/>
                      <w:highlight w:val="none"/>
                    </w:rPr>
                  </w:pPr>
                </w:p>
              </w:tc>
              <w:tc>
                <w:tcPr>
                  <w:tcW w:w="839" w:type="pct"/>
                  <w:noWrap w:val="0"/>
                  <w:vAlign w:val="center"/>
                </w:tcPr>
                <w:p w14:paraId="37C0CA7A">
                  <w:pPr>
                    <w:jc w:val="center"/>
                    <w:rPr>
                      <w:rFonts w:hint="default" w:ascii="Times New Roman" w:hAnsi="Times New Roman" w:cs="Times New Roman"/>
                      <w:b w:val="0"/>
                      <w:bCs/>
                      <w:color w:val="000000"/>
                      <w:sz w:val="21"/>
                      <w:szCs w:val="21"/>
                      <w:highlight w:val="none"/>
                    </w:rPr>
                  </w:pPr>
                  <w:r>
                    <w:rPr>
                      <w:rFonts w:hint="eastAsia" w:cs="Times New Roman"/>
                      <w:color w:val="auto"/>
                      <w:sz w:val="21"/>
                      <w:szCs w:val="21"/>
                      <w:highlight w:val="none"/>
                      <w:lang w:val="en-US" w:eastAsia="zh-CN"/>
                    </w:rPr>
                    <w:t>0.023</w:t>
                  </w:r>
                </w:p>
              </w:tc>
              <w:tc>
                <w:tcPr>
                  <w:tcW w:w="746" w:type="pct"/>
                  <w:noWrap w:val="0"/>
                  <w:vAlign w:val="center"/>
                </w:tcPr>
                <w:p w14:paraId="7A918451">
                  <w:pPr>
                    <w:jc w:val="center"/>
                    <w:rPr>
                      <w:rFonts w:hint="default" w:ascii="Times New Roman" w:hAnsi="Times New Roman" w:cs="Times New Roman"/>
                      <w:b w:val="0"/>
                      <w:bCs/>
                      <w:color w:val="000000"/>
                      <w:sz w:val="21"/>
                      <w:szCs w:val="21"/>
                      <w:highlight w:val="none"/>
                    </w:rPr>
                  </w:pPr>
                  <w:r>
                    <w:rPr>
                      <w:rFonts w:hint="eastAsia" w:cs="Times New Roman"/>
                      <w:color w:val="auto"/>
                      <w:sz w:val="21"/>
                      <w:szCs w:val="21"/>
                      <w:highlight w:val="none"/>
                      <w:lang w:val="en-US" w:eastAsia="zh-CN"/>
                    </w:rPr>
                    <w:t>0.038</w:t>
                  </w:r>
                </w:p>
              </w:tc>
            </w:tr>
          </w:tbl>
          <w:p w14:paraId="53BB4DF3">
            <w:pPr>
              <w:spacing w:line="360" w:lineRule="auto"/>
              <w:ind w:firstLine="482" w:firstLineChars="200"/>
              <w:rPr>
                <w:rFonts w:hint="eastAsia" w:ascii="Times New Roman" w:hAnsi="Times New Roman" w:eastAsia="宋体" w:cs="Times New Roman"/>
                <w:color w:val="auto"/>
                <w:kern w:val="0"/>
                <w:sz w:val="24"/>
                <w:szCs w:val="24"/>
                <w:highlight w:val="none"/>
                <w:lang w:eastAsia="zh-CN"/>
              </w:rPr>
            </w:pPr>
            <w:r>
              <w:rPr>
                <w:rFonts w:hint="eastAsia"/>
                <w:b/>
                <w:bCs/>
                <w:color w:val="auto"/>
                <w:sz w:val="24"/>
                <w:szCs w:val="32"/>
                <w:highlight w:val="none"/>
                <w:lang w:val="en-US" w:eastAsia="zh-CN"/>
              </w:rPr>
              <w:t>（3）</w:t>
            </w:r>
            <w:r>
              <w:rPr>
                <w:rFonts w:hint="eastAsia" w:ascii="Times New Roman" w:hAnsi="Times New Roman" w:eastAsia="宋体" w:cs="Times New Roman"/>
                <w:b/>
                <w:bCs/>
                <w:color w:val="auto"/>
                <w:kern w:val="0"/>
                <w:sz w:val="24"/>
                <w:szCs w:val="24"/>
                <w:highlight w:val="none"/>
                <w:lang w:eastAsia="zh-CN"/>
              </w:rPr>
              <w:t>非正常</w:t>
            </w:r>
            <w:r>
              <w:rPr>
                <w:rFonts w:hint="eastAsia" w:cs="Times New Roman"/>
                <w:b/>
                <w:bCs/>
                <w:color w:val="auto"/>
                <w:kern w:val="0"/>
                <w:sz w:val="24"/>
                <w:szCs w:val="24"/>
                <w:highlight w:val="none"/>
                <w:lang w:eastAsia="zh-CN"/>
              </w:rPr>
              <w:t>工况</w:t>
            </w:r>
          </w:p>
          <w:p w14:paraId="5042CA4A">
            <w:pPr>
              <w:spacing w:line="360" w:lineRule="auto"/>
              <w:ind w:firstLine="480" w:firstLineChars="200"/>
              <w:rPr>
                <w:rFonts w:hint="eastAsia" w:ascii="Times New Roman" w:hAnsi="Times New Roman" w:eastAsia="宋体"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eastAsia="zh-CN"/>
              </w:rPr>
              <w:t>生产过程中开停车（工、炉）、设备检修、工艺设备运转异常等情况下的污染排放，以及污染物排放控制措施达不到应有效率等情况下的排放。当废气治理措施发生故障时，会导致废气非正常排放。</w:t>
            </w:r>
          </w:p>
          <w:p w14:paraId="213F15A2">
            <w:pPr>
              <w:spacing w:line="360" w:lineRule="auto"/>
              <w:ind w:firstLine="480" w:firstLineChars="200"/>
              <w:rPr>
                <w:rFonts w:hint="eastAsia"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eastAsia="zh-CN"/>
              </w:rPr>
              <w:t>本项目</w:t>
            </w:r>
            <w:r>
              <w:rPr>
                <w:rFonts w:hint="eastAsia" w:cs="Times New Roman"/>
                <w:color w:val="auto"/>
                <w:kern w:val="0"/>
                <w:sz w:val="24"/>
                <w:szCs w:val="24"/>
                <w:highlight w:val="none"/>
                <w:lang w:eastAsia="zh-CN"/>
              </w:rPr>
              <w:t>锡膏印刷</w:t>
            </w:r>
            <w:r>
              <w:rPr>
                <w:rFonts w:hint="eastAsia" w:ascii="Times New Roman" w:hAnsi="Times New Roman" w:eastAsia="宋体" w:cs="Times New Roman"/>
                <w:color w:val="auto"/>
                <w:kern w:val="0"/>
                <w:sz w:val="24"/>
                <w:szCs w:val="24"/>
                <w:highlight w:val="none"/>
                <w:lang w:eastAsia="zh-CN"/>
              </w:rPr>
              <w:t>废气</w:t>
            </w:r>
            <w:r>
              <w:rPr>
                <w:rFonts w:hint="eastAsia" w:cs="Times New Roman"/>
                <w:color w:val="auto"/>
                <w:kern w:val="0"/>
                <w:sz w:val="24"/>
                <w:szCs w:val="24"/>
                <w:highlight w:val="none"/>
                <w:lang w:eastAsia="zh-CN"/>
              </w:rPr>
              <w:t>、擦拭</w:t>
            </w:r>
            <w:r>
              <w:rPr>
                <w:rFonts w:hint="eastAsia" w:ascii="Times New Roman" w:hAnsi="Times New Roman" w:eastAsia="宋体"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回流焊</w:t>
            </w:r>
            <w:r>
              <w:rPr>
                <w:rFonts w:hint="eastAsia" w:cs="Times New Roman"/>
                <w:color w:val="auto"/>
                <w:kern w:val="0"/>
                <w:sz w:val="24"/>
                <w:szCs w:val="24"/>
                <w:highlight w:val="none"/>
                <w:lang w:eastAsia="zh-CN"/>
              </w:rPr>
              <w:t>焊接废气、</w:t>
            </w:r>
            <w:r>
              <w:rPr>
                <w:rFonts w:hint="eastAsia" w:cs="Times New Roman"/>
                <w:color w:val="auto"/>
                <w:kern w:val="0"/>
                <w:sz w:val="24"/>
                <w:szCs w:val="24"/>
                <w:highlight w:val="none"/>
                <w:lang w:val="en-US" w:eastAsia="zh-CN"/>
              </w:rPr>
              <w:t>挤出成型废气</w:t>
            </w:r>
            <w:r>
              <w:rPr>
                <w:rFonts w:hint="eastAsia" w:cs="Times New Roman"/>
                <w:color w:val="auto"/>
                <w:kern w:val="0"/>
                <w:sz w:val="24"/>
                <w:szCs w:val="24"/>
                <w:highlight w:val="none"/>
                <w:lang w:eastAsia="zh-CN"/>
              </w:rPr>
              <w:t>收集后引入</w:t>
            </w:r>
            <w:r>
              <w:rPr>
                <w:rFonts w:hint="eastAsia" w:cs="Times New Roman"/>
                <w:color w:val="auto"/>
                <w:kern w:val="2"/>
                <w:sz w:val="24"/>
                <w:szCs w:val="24"/>
                <w:highlight w:val="none"/>
                <w:lang w:val="en-US" w:eastAsia="zh-CN"/>
              </w:rPr>
              <w:t>干式过滤器+</w:t>
            </w:r>
            <w:r>
              <w:rPr>
                <w:rFonts w:hint="eastAsia" w:cs="Times New Roman"/>
                <w:color w:val="auto"/>
                <w:kern w:val="0"/>
                <w:sz w:val="24"/>
                <w:szCs w:val="24"/>
                <w:highlight w:val="none"/>
                <w:lang w:eastAsia="zh-CN"/>
              </w:rPr>
              <w:t>二级活性炭吸附装置处理，最后通过</w:t>
            </w:r>
            <w:r>
              <w:rPr>
                <w:rFonts w:hint="eastAsia" w:cs="Times New Roman"/>
                <w:color w:val="auto"/>
                <w:kern w:val="0"/>
                <w:sz w:val="24"/>
                <w:szCs w:val="24"/>
                <w:highlight w:val="none"/>
                <w:lang w:val="en-US" w:eastAsia="zh-CN"/>
              </w:rPr>
              <w:t>23m</w:t>
            </w:r>
            <w:r>
              <w:rPr>
                <w:rFonts w:hint="eastAsia" w:cs="Times New Roman"/>
                <w:color w:val="auto"/>
                <w:kern w:val="0"/>
                <w:sz w:val="24"/>
                <w:szCs w:val="24"/>
                <w:highlight w:val="none"/>
                <w:lang w:eastAsia="zh-CN"/>
              </w:rPr>
              <w:t>排气筒排放。非正常工况分析主要考虑</w:t>
            </w:r>
            <w:r>
              <w:rPr>
                <w:rFonts w:hint="eastAsia" w:cs="Times New Roman"/>
                <w:color w:val="auto"/>
                <w:kern w:val="0"/>
                <w:sz w:val="24"/>
                <w:szCs w:val="24"/>
                <w:highlight w:val="none"/>
                <w:lang w:val="en-US" w:eastAsia="zh-CN"/>
              </w:rPr>
              <w:t>废气处理</w:t>
            </w:r>
            <w:r>
              <w:rPr>
                <w:rFonts w:hint="eastAsia" w:cs="Times New Roman"/>
                <w:color w:val="auto"/>
                <w:sz w:val="24"/>
                <w:szCs w:val="24"/>
                <w:highlight w:val="none"/>
                <w:lang w:val="en-US" w:eastAsia="zh-CN"/>
              </w:rPr>
              <w:t>设备</w:t>
            </w:r>
            <w:r>
              <w:rPr>
                <w:rFonts w:hint="eastAsia" w:cs="Times New Roman"/>
                <w:color w:val="auto"/>
                <w:kern w:val="0"/>
                <w:sz w:val="24"/>
                <w:szCs w:val="24"/>
                <w:highlight w:val="none"/>
                <w:lang w:val="en-US" w:eastAsia="zh-CN"/>
              </w:rPr>
              <w:t>发生故障</w:t>
            </w:r>
            <w:r>
              <w:rPr>
                <w:rFonts w:hint="eastAsia" w:cs="Times New Roman"/>
                <w:color w:val="auto"/>
                <w:kern w:val="0"/>
                <w:sz w:val="24"/>
                <w:szCs w:val="24"/>
                <w:highlight w:val="none"/>
                <w:lang w:eastAsia="zh-CN"/>
              </w:rPr>
              <w:t>时，废气治理效率为</w:t>
            </w:r>
            <w:r>
              <w:rPr>
                <w:rFonts w:hint="eastAsia" w:cs="Times New Roman"/>
                <w:color w:val="auto"/>
                <w:kern w:val="0"/>
                <w:sz w:val="24"/>
                <w:szCs w:val="24"/>
                <w:highlight w:val="none"/>
                <w:lang w:val="en-US" w:eastAsia="zh-CN"/>
              </w:rPr>
              <w:t>30%</w:t>
            </w:r>
            <w:r>
              <w:rPr>
                <w:rFonts w:hint="eastAsia" w:cs="Times New Roman"/>
                <w:color w:val="auto"/>
                <w:kern w:val="0"/>
                <w:sz w:val="24"/>
                <w:szCs w:val="24"/>
                <w:highlight w:val="none"/>
                <w:lang w:eastAsia="zh-CN"/>
              </w:rPr>
              <w:t>的状态。经计算，在非正常工况下，各污染物有组织排放情况见下表。</w:t>
            </w:r>
          </w:p>
          <w:p w14:paraId="7C037EAB">
            <w:pPr>
              <w:pStyle w:val="4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default" w:ascii="Times New Roman" w:hAnsi="Times New Roman" w:eastAsia="宋体" w:cs="Times New Roman"/>
                <w:color w:val="000000"/>
                <w:highlight w:val="none"/>
                <w:lang w:val="en-US" w:eastAsia="zh-CN"/>
              </w:rPr>
            </w:pPr>
            <w:r>
              <w:rPr>
                <w:rFonts w:hint="eastAsia" w:ascii="Times New Roman" w:hAnsi="Times New Roman" w:cs="Times New Roman"/>
                <w:color w:val="000000"/>
                <w:highlight w:val="none"/>
                <w:lang w:val="en-US" w:eastAsia="zh-CN"/>
              </w:rPr>
              <w:t>表4-6</w:t>
            </w:r>
            <w:r>
              <w:rPr>
                <w:rFonts w:hint="eastAsia" w:ascii="Times New Roman" w:hAnsi="Times New Roman" w:eastAsia="宋体" w:cs="Times New Roman"/>
                <w:color w:val="000000"/>
                <w:highlight w:val="none"/>
                <w:lang w:val="en-US" w:eastAsia="zh-CN"/>
              </w:rPr>
              <w:t xml:space="preserve"> </w:t>
            </w:r>
            <w:r>
              <w:rPr>
                <w:rFonts w:hint="eastAsia" w:ascii="Times New Roman" w:hAnsi="Times New Roman" w:cs="Times New Roman"/>
                <w:color w:val="000000"/>
                <w:highlight w:val="none"/>
                <w:lang w:val="en-US" w:eastAsia="zh-CN"/>
              </w:rPr>
              <w:t xml:space="preserve"> </w:t>
            </w:r>
            <w:r>
              <w:rPr>
                <w:rFonts w:hint="default" w:ascii="Times New Roman" w:hAnsi="Times New Roman" w:eastAsia="宋体" w:cs="Times New Roman"/>
                <w:color w:val="000000"/>
                <w:highlight w:val="none"/>
                <w:lang w:val="en-US" w:eastAsia="zh-CN"/>
              </w:rPr>
              <w:t>本项目非正常工况废气有组织排放情况汇总表</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67"/>
              <w:gridCol w:w="877"/>
              <w:gridCol w:w="697"/>
              <w:gridCol w:w="853"/>
              <w:gridCol w:w="848"/>
              <w:gridCol w:w="802"/>
              <w:gridCol w:w="880"/>
              <w:gridCol w:w="2229"/>
            </w:tblGrid>
            <w:tr w14:paraId="21F2D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482" w:type="pct"/>
                  <w:noWrap w:val="0"/>
                  <w:vAlign w:val="center"/>
                </w:tcPr>
                <w:p w14:paraId="540E15AD">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sz w:val="21"/>
                      <w:szCs w:val="21"/>
                      <w:highlight w:val="none"/>
                      <w:vertAlign w:val="baseline"/>
                      <w:lang w:val="en-US" w:eastAsia="zh-CN"/>
                    </w:rPr>
                  </w:pPr>
                  <w:r>
                    <w:rPr>
                      <w:rFonts w:hint="default" w:ascii="Times New Roman" w:hAnsi="Times New Roman" w:eastAsia="宋体" w:cs="Times New Roman"/>
                      <w:b/>
                      <w:bCs/>
                      <w:color w:val="000000"/>
                      <w:sz w:val="21"/>
                      <w:szCs w:val="21"/>
                      <w:highlight w:val="none"/>
                      <w:vertAlign w:val="baseline"/>
                      <w:lang w:val="en-US" w:eastAsia="zh-CN"/>
                    </w:rPr>
                    <w:t>污染源</w:t>
                  </w:r>
                </w:p>
              </w:tc>
              <w:tc>
                <w:tcPr>
                  <w:tcW w:w="551" w:type="pct"/>
                  <w:noWrap w:val="0"/>
                  <w:vAlign w:val="center"/>
                </w:tcPr>
                <w:p w14:paraId="02C584A8">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sz w:val="21"/>
                      <w:szCs w:val="21"/>
                      <w:highlight w:val="none"/>
                      <w:vertAlign w:val="baseline"/>
                      <w:lang w:val="en-US" w:eastAsia="zh-CN"/>
                    </w:rPr>
                  </w:pPr>
                  <w:r>
                    <w:rPr>
                      <w:rFonts w:hint="default" w:ascii="Times New Roman" w:hAnsi="Times New Roman" w:eastAsia="宋体" w:cs="Times New Roman"/>
                      <w:b/>
                      <w:bCs/>
                      <w:color w:val="000000"/>
                      <w:sz w:val="21"/>
                      <w:szCs w:val="21"/>
                      <w:highlight w:val="none"/>
                      <w:vertAlign w:val="baseline"/>
                      <w:lang w:val="en-US" w:eastAsia="zh-CN"/>
                    </w:rPr>
                    <w:t>污染物</w:t>
                  </w:r>
                </w:p>
              </w:tc>
              <w:tc>
                <w:tcPr>
                  <w:tcW w:w="438" w:type="pct"/>
                  <w:noWrap w:val="0"/>
                  <w:vAlign w:val="center"/>
                </w:tcPr>
                <w:p w14:paraId="4BF3B153">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sz w:val="21"/>
                      <w:szCs w:val="21"/>
                      <w:highlight w:val="none"/>
                      <w:vertAlign w:val="baseline"/>
                      <w:lang w:val="en-US" w:eastAsia="zh-CN"/>
                    </w:rPr>
                  </w:pPr>
                  <w:r>
                    <w:rPr>
                      <w:rFonts w:hint="default" w:ascii="Times New Roman" w:hAnsi="Times New Roman" w:eastAsia="宋体" w:cs="Times New Roman"/>
                      <w:b/>
                      <w:bCs/>
                      <w:color w:val="000000"/>
                      <w:sz w:val="21"/>
                      <w:szCs w:val="21"/>
                      <w:highlight w:val="none"/>
                      <w:vertAlign w:val="baseline"/>
                      <w:lang w:val="en-US" w:eastAsia="zh-CN"/>
                    </w:rPr>
                    <w:t>年产生频次</w:t>
                  </w:r>
                </w:p>
              </w:tc>
              <w:tc>
                <w:tcPr>
                  <w:tcW w:w="536" w:type="pct"/>
                  <w:noWrap w:val="0"/>
                  <w:vAlign w:val="center"/>
                </w:tcPr>
                <w:p w14:paraId="05F71435">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sz w:val="21"/>
                      <w:szCs w:val="21"/>
                      <w:highlight w:val="none"/>
                      <w:vertAlign w:val="baseline"/>
                      <w:lang w:val="en-US" w:eastAsia="zh-CN"/>
                    </w:rPr>
                  </w:pPr>
                  <w:r>
                    <w:rPr>
                      <w:rFonts w:hint="default" w:ascii="Times New Roman" w:hAnsi="Times New Roman" w:eastAsia="宋体" w:cs="Times New Roman"/>
                      <w:b/>
                      <w:bCs/>
                      <w:color w:val="000000"/>
                      <w:sz w:val="21"/>
                      <w:szCs w:val="21"/>
                      <w:highlight w:val="none"/>
                      <w:vertAlign w:val="baseline"/>
                      <w:lang w:val="en-US" w:eastAsia="zh-CN"/>
                    </w:rPr>
                    <w:t>排放浓度mg/m</w:t>
                  </w:r>
                  <w:r>
                    <w:rPr>
                      <w:rFonts w:hint="default" w:ascii="Times New Roman" w:hAnsi="Times New Roman" w:eastAsia="宋体" w:cs="Times New Roman"/>
                      <w:b/>
                      <w:bCs/>
                      <w:color w:val="000000"/>
                      <w:sz w:val="21"/>
                      <w:szCs w:val="21"/>
                      <w:highlight w:val="none"/>
                      <w:vertAlign w:val="superscript"/>
                      <w:lang w:val="en-US" w:eastAsia="zh-CN"/>
                    </w:rPr>
                    <w:t>3</w:t>
                  </w:r>
                </w:p>
              </w:tc>
              <w:tc>
                <w:tcPr>
                  <w:tcW w:w="533" w:type="pct"/>
                  <w:noWrap w:val="0"/>
                  <w:vAlign w:val="center"/>
                </w:tcPr>
                <w:p w14:paraId="6AD86417">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sz w:val="21"/>
                      <w:szCs w:val="21"/>
                      <w:highlight w:val="none"/>
                      <w:vertAlign w:val="baseline"/>
                      <w:lang w:val="en-US" w:eastAsia="zh-CN"/>
                    </w:rPr>
                  </w:pPr>
                  <w:r>
                    <w:rPr>
                      <w:rFonts w:hint="default" w:ascii="Times New Roman" w:hAnsi="Times New Roman" w:eastAsia="宋体" w:cs="Times New Roman"/>
                      <w:b/>
                      <w:bCs/>
                      <w:color w:val="000000"/>
                      <w:sz w:val="21"/>
                      <w:szCs w:val="21"/>
                      <w:highlight w:val="none"/>
                      <w:vertAlign w:val="baseline"/>
                      <w:lang w:val="en-US" w:eastAsia="zh-CN"/>
                    </w:rPr>
                    <w:t>排放速率kg/h</w:t>
                  </w:r>
                </w:p>
              </w:tc>
              <w:tc>
                <w:tcPr>
                  <w:tcW w:w="504" w:type="pct"/>
                  <w:noWrap w:val="0"/>
                  <w:vAlign w:val="center"/>
                </w:tcPr>
                <w:p w14:paraId="09AA7EEB">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sz w:val="21"/>
                      <w:szCs w:val="21"/>
                      <w:highlight w:val="none"/>
                      <w:vertAlign w:val="baseline"/>
                      <w:lang w:val="en-US" w:eastAsia="zh-CN"/>
                    </w:rPr>
                  </w:pPr>
                  <w:r>
                    <w:rPr>
                      <w:rFonts w:hint="default" w:ascii="Times New Roman" w:hAnsi="Times New Roman" w:eastAsia="宋体" w:cs="Times New Roman"/>
                      <w:b/>
                      <w:bCs/>
                      <w:color w:val="000000"/>
                      <w:sz w:val="21"/>
                      <w:szCs w:val="21"/>
                      <w:highlight w:val="none"/>
                      <w:vertAlign w:val="baseline"/>
                      <w:lang w:val="en-US" w:eastAsia="zh-CN"/>
                    </w:rPr>
                    <w:t>单次持续时间</w:t>
                  </w:r>
                </w:p>
              </w:tc>
              <w:tc>
                <w:tcPr>
                  <w:tcW w:w="553" w:type="pct"/>
                  <w:noWrap w:val="0"/>
                  <w:vAlign w:val="center"/>
                </w:tcPr>
                <w:p w14:paraId="40B926F2">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sz w:val="21"/>
                      <w:szCs w:val="21"/>
                      <w:highlight w:val="none"/>
                      <w:vertAlign w:val="baseline"/>
                      <w:lang w:val="en-US" w:eastAsia="zh-CN"/>
                    </w:rPr>
                  </w:pPr>
                  <w:r>
                    <w:rPr>
                      <w:rFonts w:hint="default" w:ascii="Times New Roman" w:hAnsi="Times New Roman" w:eastAsia="宋体" w:cs="Times New Roman"/>
                      <w:b/>
                      <w:bCs/>
                      <w:color w:val="000000"/>
                      <w:sz w:val="21"/>
                      <w:szCs w:val="21"/>
                      <w:highlight w:val="none"/>
                      <w:vertAlign w:val="baseline"/>
                      <w:lang w:val="en-US" w:eastAsia="zh-CN"/>
                    </w:rPr>
                    <w:t>排放量kg/次</w:t>
                  </w:r>
                </w:p>
              </w:tc>
              <w:tc>
                <w:tcPr>
                  <w:tcW w:w="1401" w:type="pct"/>
                  <w:noWrap w:val="0"/>
                  <w:vAlign w:val="center"/>
                </w:tcPr>
                <w:p w14:paraId="63A3B18E">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sz w:val="21"/>
                      <w:szCs w:val="21"/>
                      <w:highlight w:val="none"/>
                      <w:vertAlign w:val="baseline"/>
                      <w:lang w:val="en-US" w:eastAsia="zh-CN"/>
                    </w:rPr>
                  </w:pPr>
                  <w:r>
                    <w:rPr>
                      <w:rFonts w:hint="default" w:ascii="Times New Roman" w:hAnsi="Times New Roman" w:eastAsia="宋体" w:cs="Times New Roman"/>
                      <w:b/>
                      <w:bCs/>
                      <w:color w:val="000000"/>
                      <w:sz w:val="21"/>
                      <w:szCs w:val="21"/>
                      <w:highlight w:val="none"/>
                      <w:vertAlign w:val="baseline"/>
                      <w:lang w:val="en-US" w:eastAsia="zh-CN"/>
                    </w:rPr>
                    <w:t>应对措施</w:t>
                  </w:r>
                </w:p>
              </w:tc>
            </w:tr>
            <w:tr w14:paraId="56ACD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482" w:type="pct"/>
                  <w:vMerge w:val="restart"/>
                  <w:noWrap w:val="0"/>
                  <w:vAlign w:val="center"/>
                </w:tcPr>
                <w:p w14:paraId="1D5672A8">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eastAsia" w:ascii="Times New Roman" w:hAnsi="Times New Roman" w:eastAsia="宋体" w:cs="Times New Roman"/>
                      <w:b w:val="0"/>
                      <w:bCs w:val="0"/>
                      <w:color w:val="000000"/>
                      <w:sz w:val="21"/>
                      <w:szCs w:val="21"/>
                      <w:highlight w:val="none"/>
                      <w:vertAlign w:val="baseline"/>
                      <w:lang w:val="en-US" w:eastAsia="zh-CN"/>
                    </w:rPr>
                    <w:t>DA001</w:t>
                  </w:r>
                </w:p>
              </w:tc>
              <w:tc>
                <w:tcPr>
                  <w:tcW w:w="551" w:type="pct"/>
                  <w:shd w:val="clear" w:color="auto" w:fill="auto"/>
                  <w:noWrap w:val="0"/>
                  <w:vAlign w:val="center"/>
                </w:tcPr>
                <w:p w14:paraId="796820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非甲烷总烃</w:t>
                  </w:r>
                </w:p>
              </w:tc>
              <w:tc>
                <w:tcPr>
                  <w:tcW w:w="438" w:type="pct"/>
                  <w:noWrap w:val="0"/>
                  <w:vAlign w:val="center"/>
                </w:tcPr>
                <w:p w14:paraId="33DE59D2">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default" w:ascii="Times New Roman" w:hAnsi="Times New Roman" w:eastAsia="宋体" w:cs="Times New Roman"/>
                      <w:b w:val="0"/>
                      <w:bCs w:val="0"/>
                      <w:color w:val="000000"/>
                      <w:sz w:val="21"/>
                      <w:szCs w:val="21"/>
                      <w:highlight w:val="none"/>
                      <w:vertAlign w:val="baseline"/>
                      <w:lang w:val="en-US" w:eastAsia="zh-CN"/>
                    </w:rPr>
                    <w:t>1</w:t>
                  </w:r>
                </w:p>
              </w:tc>
              <w:tc>
                <w:tcPr>
                  <w:tcW w:w="536" w:type="pct"/>
                  <w:shd w:val="clear" w:color="auto" w:fill="auto"/>
                  <w:noWrap w:val="0"/>
                  <w:vAlign w:val="center"/>
                </w:tcPr>
                <w:p w14:paraId="3B5C4CB9">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eastAsia="宋体" w:cs="Times New Roman"/>
                      <w:b w:val="0"/>
                      <w:bCs/>
                      <w:color w:val="000000"/>
                      <w:sz w:val="21"/>
                      <w:szCs w:val="21"/>
                      <w:highlight w:val="none"/>
                      <w:lang w:val="en-US" w:eastAsia="zh-CN"/>
                    </w:rPr>
                    <w:t xml:space="preserve">273.883 </w:t>
                  </w:r>
                </w:p>
              </w:tc>
              <w:tc>
                <w:tcPr>
                  <w:tcW w:w="533" w:type="pct"/>
                  <w:shd w:val="clear" w:color="auto" w:fill="auto"/>
                  <w:noWrap w:val="0"/>
                  <w:vAlign w:val="center"/>
                </w:tcPr>
                <w:p w14:paraId="109E6AA4">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eastAsia="宋体" w:cs="Times New Roman"/>
                      <w:b w:val="0"/>
                      <w:bCs/>
                      <w:color w:val="000000"/>
                      <w:sz w:val="21"/>
                      <w:szCs w:val="21"/>
                      <w:highlight w:val="none"/>
                      <w:lang w:val="en-US" w:eastAsia="zh-CN"/>
                    </w:rPr>
                    <w:t xml:space="preserve">4.929 </w:t>
                  </w:r>
                </w:p>
              </w:tc>
              <w:tc>
                <w:tcPr>
                  <w:tcW w:w="504" w:type="pct"/>
                  <w:noWrap w:val="0"/>
                  <w:vAlign w:val="center"/>
                </w:tcPr>
                <w:p w14:paraId="12697C3B">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default" w:ascii="Times New Roman" w:hAnsi="Times New Roman" w:eastAsia="宋体" w:cs="Times New Roman"/>
                      <w:b w:val="0"/>
                      <w:bCs w:val="0"/>
                      <w:color w:val="000000"/>
                      <w:sz w:val="21"/>
                      <w:szCs w:val="21"/>
                      <w:highlight w:val="none"/>
                      <w:vertAlign w:val="baseline"/>
                      <w:lang w:val="en-US" w:eastAsia="zh-CN"/>
                    </w:rPr>
                    <w:t>1h</w:t>
                  </w:r>
                </w:p>
              </w:tc>
              <w:tc>
                <w:tcPr>
                  <w:tcW w:w="553" w:type="pct"/>
                  <w:shd w:val="clear" w:color="auto" w:fill="auto"/>
                  <w:noWrap w:val="0"/>
                  <w:vAlign w:val="center"/>
                </w:tcPr>
                <w:p w14:paraId="2B6164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color w:val="000000"/>
                      <w:sz w:val="21"/>
                      <w:szCs w:val="21"/>
                      <w:highlight w:val="none"/>
                      <w:lang w:val="en-US" w:eastAsia="zh-CN"/>
                    </w:rPr>
                    <w:t xml:space="preserve">4.929 </w:t>
                  </w:r>
                </w:p>
              </w:tc>
              <w:tc>
                <w:tcPr>
                  <w:tcW w:w="1401" w:type="pct"/>
                  <w:vMerge w:val="restart"/>
                  <w:noWrap w:val="0"/>
                  <w:vAlign w:val="center"/>
                </w:tcPr>
                <w:p w14:paraId="1FB68050">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eastAsia" w:ascii="Times New Roman" w:hAnsi="Times New Roman" w:eastAsia="宋体" w:cs="Times New Roman"/>
                      <w:b w:val="0"/>
                      <w:bCs w:val="0"/>
                      <w:color w:val="000000"/>
                      <w:sz w:val="21"/>
                      <w:szCs w:val="21"/>
                      <w:highlight w:val="none"/>
                      <w:vertAlign w:val="baseline"/>
                      <w:lang w:val="en-US" w:eastAsia="zh-CN"/>
                    </w:rPr>
                    <w:t>制定环保管理制度，有专职环保人员每天定期巡查，做好废气处理设施台账记录。若发生非正常排放，应立即停止生产，待设备恢复正常后方可继续生产</w:t>
                  </w:r>
                </w:p>
              </w:tc>
            </w:tr>
            <w:tr w14:paraId="4F29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482" w:type="pct"/>
                  <w:vMerge w:val="continue"/>
                  <w:noWrap w:val="0"/>
                  <w:vAlign w:val="center"/>
                </w:tcPr>
                <w:p w14:paraId="6DFBCBF6">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p>
              </w:tc>
              <w:tc>
                <w:tcPr>
                  <w:tcW w:w="551" w:type="pct"/>
                  <w:shd w:val="clear" w:color="auto" w:fill="auto"/>
                  <w:noWrap w:val="0"/>
                  <w:vAlign w:val="center"/>
                </w:tcPr>
                <w:p w14:paraId="6CA3CE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颗粒物</w:t>
                  </w:r>
                </w:p>
              </w:tc>
              <w:tc>
                <w:tcPr>
                  <w:tcW w:w="438" w:type="pct"/>
                  <w:noWrap w:val="0"/>
                  <w:vAlign w:val="center"/>
                </w:tcPr>
                <w:p w14:paraId="3931ABFE">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kern w:val="0"/>
                      <w:sz w:val="21"/>
                      <w:szCs w:val="21"/>
                      <w:highlight w:val="none"/>
                      <w:vertAlign w:val="baseline"/>
                      <w:lang w:val="en-US" w:eastAsia="zh-CN" w:bidi="ar-SA"/>
                    </w:rPr>
                  </w:pPr>
                  <w:r>
                    <w:rPr>
                      <w:rFonts w:hint="default" w:ascii="Times New Roman" w:hAnsi="Times New Roman" w:eastAsia="宋体" w:cs="Times New Roman"/>
                      <w:b w:val="0"/>
                      <w:bCs w:val="0"/>
                      <w:color w:val="000000"/>
                      <w:sz w:val="21"/>
                      <w:szCs w:val="21"/>
                      <w:highlight w:val="none"/>
                      <w:vertAlign w:val="baseline"/>
                      <w:lang w:val="en-US" w:eastAsia="zh-CN"/>
                    </w:rPr>
                    <w:t>1</w:t>
                  </w:r>
                </w:p>
              </w:tc>
              <w:tc>
                <w:tcPr>
                  <w:tcW w:w="536" w:type="pct"/>
                  <w:shd w:val="clear" w:color="auto" w:fill="auto"/>
                  <w:noWrap w:val="0"/>
                  <w:vAlign w:val="center"/>
                </w:tcPr>
                <w:p w14:paraId="160D7E8D">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eastAsia="宋体" w:cs="Times New Roman"/>
                      <w:b w:val="0"/>
                      <w:bCs/>
                      <w:color w:val="000000"/>
                      <w:sz w:val="21"/>
                      <w:szCs w:val="21"/>
                      <w:highlight w:val="none"/>
                      <w:lang w:val="en-US" w:eastAsia="zh-CN"/>
                    </w:rPr>
                    <w:t>0.671</w:t>
                  </w:r>
                </w:p>
              </w:tc>
              <w:tc>
                <w:tcPr>
                  <w:tcW w:w="533" w:type="pct"/>
                  <w:shd w:val="clear" w:color="auto" w:fill="auto"/>
                  <w:noWrap w:val="0"/>
                  <w:vAlign w:val="center"/>
                </w:tcPr>
                <w:p w14:paraId="678A80DF">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eastAsia="宋体" w:cs="Times New Roman"/>
                      <w:b w:val="0"/>
                      <w:bCs/>
                      <w:color w:val="000000"/>
                      <w:sz w:val="21"/>
                      <w:szCs w:val="21"/>
                      <w:highlight w:val="none"/>
                      <w:lang w:val="en-US" w:eastAsia="zh-CN"/>
                    </w:rPr>
                    <w:t>0.012</w:t>
                  </w:r>
                </w:p>
              </w:tc>
              <w:tc>
                <w:tcPr>
                  <w:tcW w:w="504" w:type="pct"/>
                  <w:noWrap w:val="0"/>
                  <w:vAlign w:val="center"/>
                </w:tcPr>
                <w:p w14:paraId="5BD0B81F">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default" w:ascii="Times New Roman" w:hAnsi="Times New Roman" w:eastAsia="宋体" w:cs="Times New Roman"/>
                      <w:b w:val="0"/>
                      <w:bCs w:val="0"/>
                      <w:color w:val="000000"/>
                      <w:sz w:val="21"/>
                      <w:szCs w:val="21"/>
                      <w:highlight w:val="none"/>
                      <w:vertAlign w:val="baseline"/>
                      <w:lang w:val="en-US" w:eastAsia="zh-CN"/>
                    </w:rPr>
                    <w:t>1h</w:t>
                  </w:r>
                </w:p>
              </w:tc>
              <w:tc>
                <w:tcPr>
                  <w:tcW w:w="553" w:type="pct"/>
                  <w:shd w:val="clear" w:color="auto" w:fill="auto"/>
                  <w:noWrap w:val="0"/>
                  <w:vAlign w:val="center"/>
                </w:tcPr>
                <w:p w14:paraId="0DF0845E">
                  <w:pPr>
                    <w:jc w:val="center"/>
                    <w:rPr>
                      <w:rFonts w:hint="default" w:ascii="Times New Roman" w:hAnsi="Times New Roman" w:eastAsia="宋体" w:cs="Times New Roman"/>
                      <w:b w:val="0"/>
                      <w:bCs/>
                      <w:color w:val="000000"/>
                      <w:kern w:val="2"/>
                      <w:sz w:val="21"/>
                      <w:szCs w:val="21"/>
                      <w:highlight w:val="none"/>
                      <w:lang w:val="en-US" w:eastAsia="zh-CN" w:bidi="ar-SA"/>
                    </w:rPr>
                  </w:pPr>
                  <w:r>
                    <w:rPr>
                      <w:rFonts w:hint="eastAsia" w:ascii="Times New Roman" w:hAnsi="Times New Roman" w:eastAsia="宋体" w:cs="Times New Roman"/>
                      <w:b w:val="0"/>
                      <w:bCs/>
                      <w:color w:val="000000"/>
                      <w:sz w:val="21"/>
                      <w:szCs w:val="21"/>
                      <w:highlight w:val="none"/>
                      <w:lang w:val="en-US" w:eastAsia="zh-CN"/>
                    </w:rPr>
                    <w:t>0.012</w:t>
                  </w:r>
                </w:p>
              </w:tc>
              <w:tc>
                <w:tcPr>
                  <w:tcW w:w="1401" w:type="pct"/>
                  <w:vMerge w:val="continue"/>
                  <w:noWrap w:val="0"/>
                  <w:vAlign w:val="center"/>
                </w:tcPr>
                <w:p w14:paraId="0C5FE0F2">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p>
              </w:tc>
            </w:tr>
            <w:tr w14:paraId="32261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482" w:type="pct"/>
                  <w:vMerge w:val="continue"/>
                  <w:noWrap w:val="0"/>
                  <w:vAlign w:val="center"/>
                </w:tcPr>
                <w:p w14:paraId="1BDDF6AF">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p>
              </w:tc>
              <w:tc>
                <w:tcPr>
                  <w:tcW w:w="551" w:type="pct"/>
                  <w:shd w:val="clear" w:color="auto" w:fill="auto"/>
                  <w:noWrap w:val="0"/>
                  <w:vAlign w:val="center"/>
                </w:tcPr>
                <w:p w14:paraId="618D26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锡及其化合物</w:t>
                  </w:r>
                </w:p>
              </w:tc>
              <w:tc>
                <w:tcPr>
                  <w:tcW w:w="438" w:type="pct"/>
                  <w:noWrap w:val="0"/>
                  <w:vAlign w:val="center"/>
                </w:tcPr>
                <w:p w14:paraId="51513700">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default" w:ascii="Times New Roman" w:hAnsi="Times New Roman" w:eastAsia="宋体" w:cs="Times New Roman"/>
                      <w:b w:val="0"/>
                      <w:bCs w:val="0"/>
                      <w:color w:val="000000"/>
                      <w:sz w:val="21"/>
                      <w:szCs w:val="21"/>
                      <w:highlight w:val="none"/>
                      <w:vertAlign w:val="baseline"/>
                      <w:lang w:val="en-US" w:eastAsia="zh-CN"/>
                    </w:rPr>
                    <w:t>1</w:t>
                  </w:r>
                </w:p>
              </w:tc>
              <w:tc>
                <w:tcPr>
                  <w:tcW w:w="536" w:type="pct"/>
                  <w:shd w:val="clear" w:color="auto" w:fill="auto"/>
                  <w:noWrap w:val="0"/>
                  <w:vAlign w:val="center"/>
                </w:tcPr>
                <w:p w14:paraId="1BBC33E6">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eastAsia="宋体" w:cs="Times New Roman"/>
                      <w:b w:val="0"/>
                      <w:bCs/>
                      <w:color w:val="000000"/>
                      <w:sz w:val="21"/>
                      <w:szCs w:val="21"/>
                      <w:highlight w:val="none"/>
                      <w:lang w:val="en-US" w:eastAsia="zh-CN"/>
                    </w:rPr>
                    <w:t>0.602</w:t>
                  </w:r>
                </w:p>
              </w:tc>
              <w:tc>
                <w:tcPr>
                  <w:tcW w:w="533" w:type="pct"/>
                  <w:shd w:val="clear" w:color="auto" w:fill="auto"/>
                  <w:noWrap w:val="0"/>
                  <w:vAlign w:val="center"/>
                </w:tcPr>
                <w:p w14:paraId="4FA09348">
                  <w:pPr>
                    <w:jc w:val="center"/>
                    <w:rPr>
                      <w:rFonts w:hint="default" w:ascii="Times New Roman" w:hAnsi="Times New Roman" w:eastAsia="宋体" w:cs="Times New Roman"/>
                      <w:b w:val="0"/>
                      <w:bCs/>
                      <w:color w:val="000000"/>
                      <w:sz w:val="21"/>
                      <w:szCs w:val="21"/>
                      <w:highlight w:val="none"/>
                      <w:lang w:val="en-US" w:eastAsia="zh-CN"/>
                    </w:rPr>
                  </w:pPr>
                  <w:r>
                    <w:rPr>
                      <w:rFonts w:hint="eastAsia" w:ascii="Times New Roman" w:hAnsi="Times New Roman" w:eastAsia="宋体" w:cs="Times New Roman"/>
                      <w:b w:val="0"/>
                      <w:bCs/>
                      <w:color w:val="000000"/>
                      <w:sz w:val="21"/>
                      <w:szCs w:val="21"/>
                      <w:highlight w:val="none"/>
                      <w:lang w:val="en-US" w:eastAsia="zh-CN"/>
                    </w:rPr>
                    <w:t>0.011</w:t>
                  </w:r>
                </w:p>
              </w:tc>
              <w:tc>
                <w:tcPr>
                  <w:tcW w:w="504" w:type="pct"/>
                  <w:noWrap w:val="0"/>
                  <w:vAlign w:val="center"/>
                </w:tcPr>
                <w:p w14:paraId="0CAD1CE0">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default" w:ascii="Times New Roman" w:hAnsi="Times New Roman" w:eastAsia="宋体" w:cs="Times New Roman"/>
                      <w:b w:val="0"/>
                      <w:bCs w:val="0"/>
                      <w:color w:val="000000"/>
                      <w:sz w:val="21"/>
                      <w:szCs w:val="21"/>
                      <w:highlight w:val="none"/>
                      <w:vertAlign w:val="baseline"/>
                      <w:lang w:val="en-US" w:eastAsia="zh-CN"/>
                    </w:rPr>
                    <w:t>1h</w:t>
                  </w:r>
                </w:p>
              </w:tc>
              <w:tc>
                <w:tcPr>
                  <w:tcW w:w="553" w:type="pct"/>
                  <w:shd w:val="clear" w:color="auto" w:fill="auto"/>
                  <w:noWrap w:val="0"/>
                  <w:vAlign w:val="center"/>
                </w:tcPr>
                <w:p w14:paraId="27B0560A">
                  <w:pPr>
                    <w:jc w:val="center"/>
                    <w:rPr>
                      <w:rFonts w:hint="default" w:ascii="Times New Roman" w:hAnsi="Times New Roman" w:eastAsia="宋体" w:cs="Times New Roman"/>
                      <w:b w:val="0"/>
                      <w:bCs/>
                      <w:color w:val="000000"/>
                      <w:kern w:val="2"/>
                      <w:sz w:val="21"/>
                      <w:szCs w:val="21"/>
                      <w:highlight w:val="none"/>
                      <w:lang w:val="en-US" w:eastAsia="zh-CN" w:bidi="ar-SA"/>
                    </w:rPr>
                  </w:pPr>
                  <w:r>
                    <w:rPr>
                      <w:rFonts w:hint="eastAsia" w:ascii="Times New Roman" w:hAnsi="Times New Roman" w:eastAsia="宋体" w:cs="Times New Roman"/>
                      <w:b w:val="0"/>
                      <w:bCs/>
                      <w:color w:val="000000"/>
                      <w:sz w:val="21"/>
                      <w:szCs w:val="21"/>
                      <w:highlight w:val="none"/>
                      <w:lang w:val="en-US" w:eastAsia="zh-CN"/>
                    </w:rPr>
                    <w:t>0.011</w:t>
                  </w:r>
                </w:p>
              </w:tc>
              <w:tc>
                <w:tcPr>
                  <w:tcW w:w="1401" w:type="pct"/>
                  <w:vMerge w:val="continue"/>
                  <w:noWrap w:val="0"/>
                  <w:vAlign w:val="center"/>
                </w:tcPr>
                <w:p w14:paraId="72469D32">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p>
              </w:tc>
            </w:tr>
            <w:tr w14:paraId="094A5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482" w:type="pct"/>
                  <w:vMerge w:val="continue"/>
                  <w:noWrap w:val="0"/>
                  <w:vAlign w:val="center"/>
                </w:tcPr>
                <w:p w14:paraId="3D35A7BD">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p>
              </w:tc>
              <w:tc>
                <w:tcPr>
                  <w:tcW w:w="551" w:type="pct"/>
                  <w:noWrap w:val="0"/>
                  <w:vAlign w:val="center"/>
                </w:tcPr>
                <w:p w14:paraId="30528927">
                  <w:pPr>
                    <w:widowControl/>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kern w:val="0"/>
                      <w:sz w:val="21"/>
                      <w:szCs w:val="21"/>
                      <w:highlight w:val="none"/>
                      <w:lang w:val="en-US" w:eastAsia="zh-CN" w:bidi="ar"/>
                    </w:rPr>
                    <w:t>氮氧化物</w:t>
                  </w:r>
                </w:p>
              </w:tc>
              <w:tc>
                <w:tcPr>
                  <w:tcW w:w="438" w:type="pct"/>
                  <w:noWrap w:val="0"/>
                  <w:vAlign w:val="center"/>
                </w:tcPr>
                <w:p w14:paraId="33166C5F">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default" w:ascii="Times New Roman" w:hAnsi="Times New Roman" w:eastAsia="宋体" w:cs="Times New Roman"/>
                      <w:b w:val="0"/>
                      <w:bCs w:val="0"/>
                      <w:color w:val="000000"/>
                      <w:sz w:val="21"/>
                      <w:szCs w:val="21"/>
                      <w:highlight w:val="none"/>
                      <w:vertAlign w:val="baseline"/>
                      <w:lang w:val="en-US" w:eastAsia="zh-CN"/>
                    </w:rPr>
                    <w:t>1</w:t>
                  </w:r>
                </w:p>
              </w:tc>
              <w:tc>
                <w:tcPr>
                  <w:tcW w:w="536" w:type="pct"/>
                  <w:noWrap w:val="0"/>
                  <w:vAlign w:val="center"/>
                </w:tcPr>
                <w:p w14:paraId="1886630C">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2.896 </w:t>
                  </w:r>
                </w:p>
              </w:tc>
              <w:tc>
                <w:tcPr>
                  <w:tcW w:w="533" w:type="pct"/>
                  <w:noWrap w:val="0"/>
                  <w:vAlign w:val="center"/>
                </w:tcPr>
                <w:p w14:paraId="63A288F1">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0.429 </w:t>
                  </w:r>
                </w:p>
              </w:tc>
              <w:tc>
                <w:tcPr>
                  <w:tcW w:w="504" w:type="pct"/>
                  <w:noWrap w:val="0"/>
                  <w:vAlign w:val="center"/>
                </w:tcPr>
                <w:p w14:paraId="652406F3">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r>
                    <w:rPr>
                      <w:rFonts w:hint="default" w:ascii="Times New Roman" w:hAnsi="Times New Roman" w:eastAsia="宋体" w:cs="Times New Roman"/>
                      <w:b w:val="0"/>
                      <w:bCs w:val="0"/>
                      <w:color w:val="000000"/>
                      <w:sz w:val="21"/>
                      <w:szCs w:val="21"/>
                      <w:highlight w:val="none"/>
                      <w:vertAlign w:val="baseline"/>
                      <w:lang w:val="en-US" w:eastAsia="zh-CN"/>
                    </w:rPr>
                    <w:t>1h</w:t>
                  </w:r>
                </w:p>
              </w:tc>
              <w:tc>
                <w:tcPr>
                  <w:tcW w:w="553" w:type="pct"/>
                  <w:noWrap w:val="0"/>
                  <w:vAlign w:val="center"/>
                </w:tcPr>
                <w:p w14:paraId="4CA3906C">
                  <w:pPr>
                    <w:jc w:val="center"/>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0.429 </w:t>
                  </w:r>
                </w:p>
              </w:tc>
              <w:tc>
                <w:tcPr>
                  <w:tcW w:w="1401" w:type="pct"/>
                  <w:vMerge w:val="continue"/>
                  <w:noWrap w:val="0"/>
                  <w:vAlign w:val="center"/>
                </w:tcPr>
                <w:p w14:paraId="62502A81">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sz w:val="21"/>
                      <w:szCs w:val="21"/>
                      <w:highlight w:val="none"/>
                      <w:vertAlign w:val="baseline"/>
                      <w:lang w:val="en-US" w:eastAsia="zh-CN"/>
                    </w:rPr>
                  </w:pPr>
                </w:p>
              </w:tc>
            </w:tr>
          </w:tbl>
          <w:p w14:paraId="15E1C7C8">
            <w:pPr>
              <w:spacing w:line="360" w:lineRule="auto"/>
              <w:ind w:firstLine="482" w:firstLineChars="200"/>
              <w:rPr>
                <w:rFonts w:hint="eastAsia" w:ascii="Times New Roman" w:hAnsi="Times New Roman"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（4）废气处理设施可行性分析</w:t>
            </w:r>
          </w:p>
          <w:p w14:paraId="65C19405">
            <w:pPr>
              <w:spacing w:line="360" w:lineRule="auto"/>
              <w:ind w:firstLine="480" w:firstLineChars="200"/>
              <w:rPr>
                <w:rFonts w:hint="eastAsia" w:cs="Times New Roman"/>
                <w:color w:val="auto"/>
                <w:sz w:val="24"/>
                <w:szCs w:val="24"/>
                <w:highlight w:val="none"/>
                <w:lang w:val="en-US" w:eastAsia="zh-CN"/>
              </w:rPr>
            </w:pPr>
            <w:r>
              <w:rPr>
                <w:rFonts w:hint="default" w:ascii="Times New Roman" w:hAnsi="Times New Roman" w:cs="Times New Roman"/>
                <w:color w:val="auto"/>
                <w:kern w:val="0"/>
                <w:sz w:val="24"/>
                <w:szCs w:val="24"/>
                <w:highlight w:val="none"/>
              </w:rPr>
              <w:t>项目</w:t>
            </w:r>
            <w:r>
              <w:rPr>
                <w:rFonts w:hint="eastAsia" w:cs="Times New Roman"/>
                <w:color w:val="auto"/>
                <w:kern w:val="0"/>
                <w:sz w:val="24"/>
                <w:szCs w:val="24"/>
                <w:highlight w:val="none"/>
                <w:lang w:eastAsia="zh-CN"/>
              </w:rPr>
              <w:t>生产过程产生的</w:t>
            </w:r>
            <w:r>
              <w:rPr>
                <w:rFonts w:hint="default" w:ascii="Times New Roman" w:hAnsi="Times New Roman" w:cs="Times New Roman"/>
                <w:color w:val="auto"/>
                <w:kern w:val="0"/>
                <w:sz w:val="24"/>
                <w:szCs w:val="24"/>
                <w:highlight w:val="none"/>
              </w:rPr>
              <w:t>废气主要为</w:t>
            </w:r>
            <w:r>
              <w:rPr>
                <w:rFonts w:hint="eastAsia" w:cs="Times New Roman"/>
                <w:color w:val="auto"/>
                <w:kern w:val="0"/>
                <w:sz w:val="24"/>
                <w:szCs w:val="24"/>
                <w:highlight w:val="none"/>
                <w:lang w:eastAsia="zh-CN"/>
              </w:rPr>
              <w:t>锡膏印刷</w:t>
            </w:r>
            <w:r>
              <w:rPr>
                <w:rFonts w:hint="eastAsia" w:ascii="Times New Roman" w:hAnsi="Times New Roman" w:cs="Times New Roman"/>
                <w:color w:val="auto"/>
                <w:kern w:val="0"/>
                <w:sz w:val="24"/>
                <w:szCs w:val="24"/>
                <w:highlight w:val="none"/>
                <w:lang w:eastAsia="zh-CN"/>
              </w:rPr>
              <w:t>废气</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钢网擦拭废气</w:t>
            </w:r>
            <w:r>
              <w:rPr>
                <w:rFonts w:hint="default" w:ascii="Times New Roman" w:hAnsi="Times New Roman" w:cs="Times New Roman"/>
                <w:color w:val="auto"/>
                <w:kern w:val="0"/>
                <w:sz w:val="24"/>
                <w:szCs w:val="24"/>
                <w:highlight w:val="none"/>
              </w:rPr>
              <w:t>、</w:t>
            </w:r>
            <w:r>
              <w:rPr>
                <w:rFonts w:hint="eastAsia" w:cs="Times New Roman"/>
                <w:color w:val="auto"/>
                <w:kern w:val="0"/>
                <w:sz w:val="24"/>
                <w:szCs w:val="24"/>
                <w:highlight w:val="none"/>
                <w:lang w:eastAsia="zh-CN"/>
              </w:rPr>
              <w:t>回流焊焊接</w:t>
            </w:r>
            <w:r>
              <w:rPr>
                <w:rFonts w:hint="default" w:ascii="Times New Roman" w:hAnsi="Times New Roman" w:cs="Times New Roman"/>
                <w:color w:val="auto"/>
                <w:kern w:val="0"/>
                <w:sz w:val="24"/>
                <w:szCs w:val="24"/>
                <w:highlight w:val="none"/>
              </w:rPr>
              <w:t>废气</w:t>
            </w:r>
            <w:r>
              <w:rPr>
                <w:rFonts w:hint="eastAsia" w:ascii="Times New Roman" w:hAnsi="Times New Roman" w:cs="Times New Roman"/>
                <w:color w:val="auto"/>
                <w:kern w:val="0"/>
                <w:sz w:val="24"/>
                <w:szCs w:val="24"/>
                <w:highlight w:val="none"/>
                <w:lang w:eastAsia="zh-CN"/>
              </w:rPr>
              <w:t>、</w:t>
            </w:r>
            <w:r>
              <w:rPr>
                <w:rFonts w:hint="eastAsia" w:ascii="Times New Roman" w:hAnsi="Times New Roman" w:cs="Times New Roman"/>
                <w:color w:val="auto"/>
                <w:kern w:val="0"/>
                <w:sz w:val="24"/>
                <w:szCs w:val="24"/>
                <w:highlight w:val="none"/>
                <w:lang w:val="en-US" w:eastAsia="zh-CN"/>
              </w:rPr>
              <w:t>挤出成型废气</w:t>
            </w:r>
            <w:r>
              <w:rPr>
                <w:rFonts w:hint="eastAsia" w:cs="Times New Roman"/>
                <w:color w:val="auto"/>
                <w:kern w:val="0"/>
                <w:sz w:val="24"/>
                <w:szCs w:val="24"/>
                <w:highlight w:val="none"/>
                <w:lang w:eastAsia="zh-CN"/>
              </w:rPr>
              <w:t>，主要污染物为</w:t>
            </w:r>
            <w:r>
              <w:rPr>
                <w:rFonts w:hint="eastAsia" w:cs="Times New Roman"/>
                <w:color w:val="auto"/>
                <w:sz w:val="24"/>
                <w:szCs w:val="24"/>
                <w:highlight w:val="none"/>
                <w:lang w:val="en-US" w:eastAsia="zh-CN"/>
              </w:rPr>
              <w:t>非甲烷总烃、颗粒物、锡及其化合物，废气收集后共同引入1套“</w:t>
            </w:r>
            <w:r>
              <w:rPr>
                <w:rFonts w:hint="eastAsia" w:cs="Times New Roman"/>
                <w:color w:val="auto"/>
                <w:kern w:val="2"/>
                <w:sz w:val="24"/>
                <w:szCs w:val="24"/>
                <w:highlight w:val="none"/>
                <w:lang w:val="en-US" w:eastAsia="zh-CN"/>
              </w:rPr>
              <w:t>干式过滤器+</w:t>
            </w:r>
            <w:r>
              <w:rPr>
                <w:rFonts w:hint="eastAsia" w:cs="Times New Roman"/>
                <w:color w:val="auto"/>
                <w:sz w:val="24"/>
                <w:szCs w:val="24"/>
                <w:highlight w:val="none"/>
                <w:lang w:val="en-US" w:eastAsia="zh-CN"/>
              </w:rPr>
              <w:t>二级活性炭吸附”装置处理，最后经23m高</w:t>
            </w:r>
            <w:r>
              <w:rPr>
                <w:rFonts w:hint="eastAsia" w:cs="Times New Roman"/>
                <w:color w:val="auto"/>
                <w:kern w:val="0"/>
                <w:sz w:val="24"/>
                <w:szCs w:val="24"/>
                <w:highlight w:val="none"/>
                <w:lang w:eastAsia="zh-CN"/>
              </w:rPr>
              <w:t>排气筒</w:t>
            </w:r>
            <w:r>
              <w:rPr>
                <w:rFonts w:hint="eastAsia" w:cs="Times New Roman"/>
                <w:color w:val="auto"/>
                <w:sz w:val="24"/>
                <w:szCs w:val="24"/>
                <w:highlight w:val="none"/>
                <w:lang w:val="en-US" w:eastAsia="zh-CN"/>
              </w:rPr>
              <w:t>排放。根据前文分析可知，本项目颗粒物、锡及其化合物排放可以达到</w:t>
            </w:r>
            <w:r>
              <w:rPr>
                <w:rFonts w:hint="default" w:ascii="Times New Roman" w:hAnsi="Times New Roman" w:cs="Times New Roman"/>
                <w:b w:val="0"/>
                <w:bCs/>
                <w:color w:val="auto"/>
                <w:sz w:val="24"/>
                <w:szCs w:val="24"/>
                <w:highlight w:val="none"/>
              </w:rPr>
              <w:t>《大气污染物综合排放标准》（GB16297-1996）</w:t>
            </w:r>
            <w:r>
              <w:rPr>
                <w:rFonts w:hint="eastAsia" w:cs="Times New Roman"/>
                <w:b w:val="0"/>
                <w:bCs/>
                <w:color w:val="auto"/>
                <w:sz w:val="24"/>
                <w:szCs w:val="24"/>
                <w:highlight w:val="none"/>
                <w:lang w:eastAsia="zh-CN"/>
              </w:rPr>
              <w:t>，</w:t>
            </w:r>
            <w:r>
              <w:rPr>
                <w:rFonts w:hint="eastAsia" w:ascii="Times New Roman" w:hAnsi="Times New Roman" w:cs="Times New Roman"/>
                <w:b w:val="0"/>
                <w:bCs/>
                <w:color w:val="auto"/>
                <w:sz w:val="24"/>
                <w:szCs w:val="24"/>
                <w:highlight w:val="none"/>
                <w:lang w:val="en-US" w:eastAsia="zh-CN"/>
              </w:rPr>
              <w:t>非甲烷总烃、甲苯、苯乙烯排放可以达到</w:t>
            </w:r>
            <w:r>
              <w:rPr>
                <w:rFonts w:hint="eastAsia" w:ascii="Times New Roman" w:hAnsi="Times New Roman" w:cs="Times New Roman"/>
                <w:b w:val="0"/>
                <w:bCs/>
                <w:color w:val="auto"/>
                <w:sz w:val="24"/>
                <w:szCs w:val="24"/>
                <w:highlight w:val="none"/>
                <w:lang w:eastAsia="zh-CN"/>
              </w:rPr>
              <w:t>安徽省</w:t>
            </w:r>
            <w:r>
              <w:rPr>
                <w:rFonts w:hint="eastAsia" w:ascii="Times New Roman" w:hAnsi="Times New Roman" w:cs="Times New Roman"/>
                <w:b w:val="0"/>
                <w:bCs/>
                <w:color w:val="auto"/>
                <w:sz w:val="24"/>
                <w:szCs w:val="24"/>
                <w:highlight w:val="none"/>
                <w:lang w:val="en-US" w:eastAsia="zh-CN"/>
              </w:rPr>
              <w:t>地方标准</w:t>
            </w:r>
            <w:r>
              <w:rPr>
                <w:rFonts w:hint="default" w:ascii="Times New Roman" w:hAnsi="Times New Roman" w:cs="Times New Roman"/>
                <w:b w:val="0"/>
                <w:bCs/>
                <w:color w:val="auto"/>
                <w:sz w:val="24"/>
                <w:szCs w:val="24"/>
                <w:highlight w:val="none"/>
                <w:lang w:eastAsia="zh-CN"/>
              </w:rPr>
              <w:t>《固定源挥发性有机物综合排放标准第</w:t>
            </w:r>
            <w:r>
              <w:rPr>
                <w:rFonts w:hint="eastAsia" w:ascii="Times New Roman" w:hAnsi="Times New Roman" w:cs="Times New Roman"/>
                <w:b w:val="0"/>
                <w:bCs/>
                <w:color w:val="auto"/>
                <w:sz w:val="24"/>
                <w:szCs w:val="24"/>
                <w:highlight w:val="none"/>
                <w:lang w:val="en-US" w:eastAsia="zh-CN"/>
              </w:rPr>
              <w:t>6</w:t>
            </w:r>
            <w:r>
              <w:rPr>
                <w:rFonts w:hint="default" w:ascii="Times New Roman" w:hAnsi="Times New Roman" w:cs="Times New Roman"/>
                <w:b w:val="0"/>
                <w:bCs/>
                <w:color w:val="auto"/>
                <w:sz w:val="24"/>
                <w:szCs w:val="24"/>
                <w:highlight w:val="none"/>
                <w:lang w:eastAsia="zh-CN"/>
              </w:rPr>
              <w:t>部分：</w:t>
            </w:r>
            <w:r>
              <w:rPr>
                <w:rFonts w:hint="eastAsia" w:ascii="Times New Roman" w:hAnsi="Times New Roman" w:cs="Times New Roman"/>
                <w:b w:val="0"/>
                <w:bCs/>
                <w:color w:val="auto"/>
                <w:sz w:val="24"/>
                <w:szCs w:val="24"/>
                <w:highlight w:val="none"/>
                <w:lang w:val="en-US" w:eastAsia="zh-CN"/>
              </w:rPr>
              <w:t>其他行业</w:t>
            </w:r>
            <w:r>
              <w:rPr>
                <w:rFonts w:hint="default" w:ascii="Times New Roman" w:hAnsi="Times New Roman" w:cs="Times New Roman"/>
                <w:b w:val="0"/>
                <w:bCs/>
                <w:color w:val="auto"/>
                <w:sz w:val="24"/>
                <w:szCs w:val="24"/>
                <w:highlight w:val="none"/>
                <w:lang w:eastAsia="zh-CN"/>
              </w:rPr>
              <w:t>》（DB34/4812.</w:t>
            </w:r>
            <w:r>
              <w:rPr>
                <w:rFonts w:hint="eastAsia" w:ascii="Times New Roman" w:hAnsi="Times New Roman" w:cs="Times New Roman"/>
                <w:b w:val="0"/>
                <w:bCs/>
                <w:color w:val="auto"/>
                <w:sz w:val="24"/>
                <w:szCs w:val="24"/>
                <w:highlight w:val="none"/>
                <w:lang w:val="en-US" w:eastAsia="zh-CN"/>
              </w:rPr>
              <w:t>6</w:t>
            </w:r>
            <w:r>
              <w:rPr>
                <w:rFonts w:hint="default" w:ascii="Times New Roman" w:hAnsi="Times New Roman" w:cs="Times New Roman"/>
                <w:b w:val="0"/>
                <w:bCs/>
                <w:color w:val="auto"/>
                <w:sz w:val="24"/>
                <w:szCs w:val="24"/>
                <w:highlight w:val="none"/>
                <w:lang w:eastAsia="zh-CN"/>
              </w:rPr>
              <w:t>—2024）</w:t>
            </w:r>
            <w:r>
              <w:rPr>
                <w:rFonts w:hint="eastAsia" w:ascii="Times New Roman" w:hAnsi="Times New Roman" w:cs="Times New Roman"/>
                <w:b w:val="0"/>
                <w:bCs/>
                <w:color w:val="auto"/>
                <w:sz w:val="24"/>
                <w:szCs w:val="24"/>
                <w:highlight w:val="none"/>
                <w:lang w:val="en-US" w:eastAsia="zh-CN"/>
              </w:rPr>
              <w:t>中的标准限值</w:t>
            </w:r>
            <w:r>
              <w:rPr>
                <w:rFonts w:hint="eastAsia" w:cs="Times New Roman"/>
                <w:b w:val="0"/>
                <w:bCs/>
                <w:color w:val="auto"/>
                <w:sz w:val="24"/>
                <w:szCs w:val="24"/>
                <w:highlight w:val="none"/>
                <w:lang w:val="en-US" w:eastAsia="zh-CN"/>
              </w:rPr>
              <w:t>，</w:t>
            </w:r>
            <w:r>
              <w:rPr>
                <w:rFonts w:hint="eastAsia" w:ascii="Times New Roman" w:hAnsi="Times New Roman" w:cs="Times New Roman"/>
                <w:b w:val="0"/>
                <w:bCs/>
                <w:color w:val="auto"/>
                <w:sz w:val="24"/>
                <w:szCs w:val="24"/>
                <w:highlight w:val="none"/>
                <w:lang w:val="en-US" w:eastAsia="zh-CN"/>
              </w:rPr>
              <w:t>乙苯排放可以达到《合成树脂工业污染物排放标准》中的大气污染物特别排放限值</w:t>
            </w:r>
            <w:r>
              <w:rPr>
                <w:rFonts w:hint="eastAsia" w:cs="Times New Roman"/>
                <w:color w:val="auto"/>
                <w:sz w:val="24"/>
                <w:szCs w:val="24"/>
                <w:highlight w:val="none"/>
                <w:lang w:val="en-US" w:eastAsia="zh-CN"/>
              </w:rPr>
              <w:t>。</w:t>
            </w:r>
          </w:p>
          <w:p w14:paraId="269B77C9">
            <w:pPr>
              <w:spacing w:line="360" w:lineRule="auto"/>
              <w:ind w:firstLine="480" w:firstLineChars="200"/>
              <w:rPr>
                <w:rFonts w:hint="eastAsia" w:ascii="Times New Roman" w:hAnsi="Times New Roman" w:cs="Times New Roman"/>
                <w:b/>
                <w:bCs/>
                <w:color w:val="auto"/>
                <w:sz w:val="24"/>
                <w:szCs w:val="24"/>
                <w:highlight w:val="none"/>
                <w:lang w:val="en-US" w:eastAsia="zh-CN"/>
              </w:rPr>
            </w:pPr>
            <w:r>
              <w:rPr>
                <w:rFonts w:hint="eastAsia" w:cs="Times New Roman"/>
                <w:color w:val="auto"/>
                <w:sz w:val="24"/>
                <w:szCs w:val="24"/>
                <w:highlight w:val="none"/>
                <w:lang w:val="en-US" w:eastAsia="zh-CN"/>
              </w:rPr>
              <w:t>同时，根据《排污许可证申请与核发技术规范 电子工业》（HJ1031-2019）：有机废气处理系统推荐工艺包含活性炭吸附法、燃烧法、浓缩+燃烧法、其他；本项目采用二级活性炭吸附属于污染防治可行技术要求。</w:t>
            </w:r>
          </w:p>
          <w:p w14:paraId="6498F9CB">
            <w:pPr>
              <w:spacing w:line="360" w:lineRule="auto"/>
              <w:ind w:firstLine="482" w:firstLineChars="200"/>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5</w:t>
            </w:r>
            <w:r>
              <w:rPr>
                <w:rFonts w:hint="eastAsia" w:ascii="Times New Roman" w:hAnsi="Times New Roman" w:cs="Times New Roman"/>
                <w:b/>
                <w:bCs/>
                <w:color w:val="auto"/>
                <w:sz w:val="24"/>
                <w:szCs w:val="24"/>
                <w:highlight w:val="none"/>
                <w:lang w:val="en-US" w:eastAsia="zh-CN"/>
              </w:rPr>
              <w:t>）</w:t>
            </w:r>
            <w:r>
              <w:rPr>
                <w:rFonts w:hint="eastAsia"/>
                <w:b/>
                <w:bCs/>
                <w:color w:val="auto"/>
                <w:sz w:val="24"/>
                <w:szCs w:val="32"/>
                <w:highlight w:val="none"/>
              </w:rPr>
              <w:t>无组织</w:t>
            </w:r>
            <w:r>
              <w:rPr>
                <w:rFonts w:hint="eastAsia"/>
                <w:b/>
                <w:bCs/>
                <w:color w:val="auto"/>
                <w:sz w:val="24"/>
                <w:szCs w:val="32"/>
                <w:highlight w:val="none"/>
                <w:lang w:eastAsia="zh-CN"/>
              </w:rPr>
              <w:t>有机</w:t>
            </w:r>
            <w:r>
              <w:rPr>
                <w:rFonts w:hint="eastAsia"/>
                <w:b/>
                <w:bCs/>
                <w:color w:val="auto"/>
                <w:sz w:val="24"/>
                <w:szCs w:val="32"/>
                <w:highlight w:val="none"/>
              </w:rPr>
              <w:t>废气</w:t>
            </w:r>
            <w:r>
              <w:rPr>
                <w:rFonts w:hint="eastAsia"/>
                <w:b/>
                <w:bCs/>
                <w:color w:val="auto"/>
                <w:sz w:val="24"/>
                <w:szCs w:val="32"/>
                <w:highlight w:val="none"/>
                <w:lang w:eastAsia="zh-CN"/>
              </w:rPr>
              <w:t>排放控制措施</w:t>
            </w:r>
          </w:p>
          <w:p w14:paraId="400915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highlight w:val="none"/>
              </w:rPr>
            </w:pPr>
            <w:r>
              <w:rPr>
                <w:rFonts w:hint="eastAsia"/>
                <w:color w:val="auto"/>
                <w:sz w:val="24"/>
                <w:szCs w:val="32"/>
                <w:highlight w:val="none"/>
              </w:rPr>
              <w:t>项目无组织</w:t>
            </w:r>
            <w:r>
              <w:rPr>
                <w:rFonts w:hint="eastAsia"/>
                <w:color w:val="auto"/>
                <w:sz w:val="24"/>
                <w:szCs w:val="32"/>
                <w:highlight w:val="none"/>
                <w:lang w:eastAsia="zh-CN"/>
              </w:rPr>
              <w:t>有机</w:t>
            </w:r>
            <w:r>
              <w:rPr>
                <w:rFonts w:hint="eastAsia"/>
                <w:color w:val="auto"/>
                <w:sz w:val="24"/>
                <w:szCs w:val="32"/>
                <w:highlight w:val="none"/>
              </w:rPr>
              <w:t>废气主要来源于</w:t>
            </w:r>
            <w:r>
              <w:rPr>
                <w:rFonts w:hint="eastAsia"/>
                <w:color w:val="auto"/>
                <w:sz w:val="24"/>
                <w:szCs w:val="32"/>
                <w:highlight w:val="none"/>
                <w:lang w:eastAsia="zh-CN"/>
              </w:rPr>
              <w:t>锡膏印刷、</w:t>
            </w:r>
            <w:r>
              <w:rPr>
                <w:rFonts w:hint="eastAsia"/>
                <w:color w:val="auto"/>
                <w:sz w:val="24"/>
                <w:szCs w:val="32"/>
                <w:highlight w:val="none"/>
                <w:lang w:val="en-US" w:eastAsia="zh-CN"/>
              </w:rPr>
              <w:t>钢网</w:t>
            </w:r>
            <w:r>
              <w:rPr>
                <w:rFonts w:hint="eastAsia"/>
                <w:color w:val="auto"/>
                <w:sz w:val="24"/>
                <w:szCs w:val="32"/>
                <w:highlight w:val="none"/>
                <w:lang w:eastAsia="zh-CN"/>
              </w:rPr>
              <w:t>酒精</w:t>
            </w:r>
            <w:r>
              <w:rPr>
                <w:rFonts w:hint="eastAsia"/>
                <w:color w:val="auto"/>
                <w:sz w:val="24"/>
                <w:szCs w:val="32"/>
                <w:highlight w:val="none"/>
                <w:lang w:val="en-US" w:eastAsia="zh-CN"/>
              </w:rPr>
              <w:t>擦拭和挤出成型</w:t>
            </w:r>
            <w:r>
              <w:rPr>
                <w:rFonts w:hint="eastAsia"/>
                <w:color w:val="auto"/>
                <w:sz w:val="24"/>
                <w:szCs w:val="32"/>
                <w:highlight w:val="none"/>
                <w:lang w:eastAsia="zh-CN"/>
              </w:rPr>
              <w:t>过程</w:t>
            </w:r>
            <w:r>
              <w:rPr>
                <w:rFonts w:hint="eastAsia"/>
                <w:color w:val="auto"/>
                <w:sz w:val="24"/>
                <w:szCs w:val="32"/>
                <w:highlight w:val="none"/>
              </w:rPr>
              <w:t>，对照《挥发性有机物无组织排放控制标准》（GB37822</w:t>
            </w:r>
            <w:r>
              <w:rPr>
                <w:rFonts w:hint="eastAsia"/>
                <w:color w:val="auto"/>
                <w:sz w:val="24"/>
                <w:szCs w:val="32"/>
                <w:highlight w:val="none"/>
                <w:lang w:val="en-US" w:eastAsia="zh-CN"/>
              </w:rPr>
              <w:t>-</w:t>
            </w:r>
            <w:r>
              <w:rPr>
                <w:rFonts w:hint="eastAsia"/>
                <w:color w:val="auto"/>
                <w:sz w:val="24"/>
                <w:szCs w:val="32"/>
                <w:highlight w:val="none"/>
              </w:rPr>
              <w:t>2019）中的要求，本项目采取的具体的无组织废气控制措施如下：</w:t>
            </w:r>
          </w:p>
          <w:p w14:paraId="75127C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highlight w:val="none"/>
              </w:rPr>
            </w:pPr>
            <w:r>
              <w:rPr>
                <w:rFonts w:hint="eastAsia"/>
                <w:color w:val="auto"/>
                <w:sz w:val="24"/>
                <w:szCs w:val="32"/>
                <w:highlight w:val="none"/>
                <w:lang w:val="en-US" w:eastAsia="zh-CN"/>
              </w:rPr>
              <w:t>①</w:t>
            </w:r>
            <w:r>
              <w:rPr>
                <w:rFonts w:hint="eastAsia"/>
                <w:color w:val="auto"/>
                <w:sz w:val="24"/>
                <w:szCs w:val="32"/>
                <w:highlight w:val="none"/>
              </w:rPr>
              <w:t>VOCs物料储存无组织排放控制措施</w:t>
            </w:r>
          </w:p>
          <w:p w14:paraId="1FB2EA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highlight w:val="none"/>
                <w:lang w:eastAsia="zh-CN"/>
              </w:rPr>
            </w:pPr>
            <w:r>
              <w:rPr>
                <w:rFonts w:hint="eastAsia"/>
                <w:color w:val="auto"/>
                <w:sz w:val="24"/>
                <w:szCs w:val="32"/>
                <w:highlight w:val="none"/>
              </w:rPr>
              <w:t>1）</w:t>
            </w:r>
            <w:r>
              <w:rPr>
                <w:rFonts w:hint="eastAsia"/>
                <w:color w:val="auto"/>
                <w:sz w:val="24"/>
                <w:szCs w:val="32"/>
                <w:highlight w:val="none"/>
                <w:lang w:eastAsia="zh-CN"/>
              </w:rPr>
              <w:t>项目使用的含</w:t>
            </w:r>
            <w:r>
              <w:rPr>
                <w:rFonts w:hint="eastAsia"/>
                <w:color w:val="auto"/>
                <w:sz w:val="24"/>
                <w:szCs w:val="32"/>
                <w:highlight w:val="none"/>
              </w:rPr>
              <w:t>VOCs物料</w:t>
            </w:r>
            <w:r>
              <w:rPr>
                <w:rFonts w:hint="eastAsia"/>
                <w:color w:val="auto"/>
                <w:sz w:val="24"/>
                <w:szCs w:val="32"/>
                <w:highlight w:val="none"/>
                <w:lang w:eastAsia="zh-CN"/>
              </w:rPr>
              <w:t>均储存于密闭的容器中。</w:t>
            </w:r>
          </w:p>
          <w:p w14:paraId="0254B3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highlight w:val="none"/>
                <w:lang w:eastAsia="zh-CN"/>
              </w:rPr>
            </w:pPr>
            <w:r>
              <w:rPr>
                <w:rFonts w:hint="eastAsia"/>
                <w:color w:val="auto"/>
                <w:sz w:val="24"/>
                <w:szCs w:val="32"/>
                <w:highlight w:val="none"/>
                <w:lang w:val="en-US" w:eastAsia="zh-CN"/>
              </w:rPr>
              <w:t>2</w:t>
            </w:r>
            <w:r>
              <w:rPr>
                <w:rFonts w:hint="eastAsia"/>
                <w:color w:val="auto"/>
                <w:sz w:val="24"/>
                <w:szCs w:val="32"/>
                <w:highlight w:val="none"/>
                <w:lang w:eastAsia="zh-CN"/>
              </w:rPr>
              <w:t>）盛装VOCs物料的容器在非取用状态时加盖、封口，保持密闭。</w:t>
            </w:r>
          </w:p>
          <w:p w14:paraId="0AA859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32"/>
                <w:highlight w:val="none"/>
                <w:lang w:val="en-US" w:eastAsia="zh-CN"/>
              </w:rPr>
            </w:pPr>
            <w:r>
              <w:rPr>
                <w:rFonts w:hint="eastAsia"/>
                <w:color w:val="auto"/>
                <w:sz w:val="24"/>
                <w:szCs w:val="32"/>
                <w:highlight w:val="none"/>
                <w:lang w:val="en-US" w:eastAsia="zh-CN"/>
              </w:rPr>
              <w:t>3</w:t>
            </w:r>
            <w:r>
              <w:rPr>
                <w:rFonts w:hint="eastAsia"/>
                <w:color w:val="auto"/>
                <w:sz w:val="24"/>
                <w:szCs w:val="32"/>
                <w:highlight w:val="none"/>
                <w:lang w:eastAsia="zh-CN"/>
              </w:rPr>
              <w:t>）项目购置的无铅锡膏属于</w:t>
            </w:r>
            <w:r>
              <w:rPr>
                <w:rFonts w:hint="eastAsia"/>
                <w:color w:val="auto"/>
                <w:sz w:val="24"/>
                <w:szCs w:val="32"/>
                <w:highlight w:val="none"/>
                <w:lang w:val="en-US" w:eastAsia="zh-CN"/>
              </w:rPr>
              <w:t>500g/罐的小包装，每次生产均按需拿取（即每台印刷机一次添加一罐</w:t>
            </w:r>
            <w:r>
              <w:rPr>
                <w:rFonts w:hint="eastAsia"/>
                <w:color w:val="auto"/>
                <w:sz w:val="24"/>
                <w:szCs w:val="32"/>
                <w:highlight w:val="none"/>
                <w:lang w:eastAsia="zh-CN"/>
              </w:rPr>
              <w:t>，用完以后再次按罐添加</w:t>
            </w:r>
            <w:r>
              <w:rPr>
                <w:rFonts w:hint="eastAsia"/>
                <w:color w:val="auto"/>
                <w:sz w:val="24"/>
                <w:szCs w:val="32"/>
                <w:highlight w:val="none"/>
                <w:lang w:val="en-US" w:eastAsia="zh-CN"/>
              </w:rPr>
              <w:t>），无剩余。</w:t>
            </w:r>
          </w:p>
          <w:p w14:paraId="063147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highlight w:val="none"/>
              </w:rPr>
            </w:pPr>
            <w:r>
              <w:rPr>
                <w:rFonts w:hint="eastAsia"/>
                <w:color w:val="auto"/>
                <w:sz w:val="24"/>
                <w:szCs w:val="32"/>
                <w:highlight w:val="none"/>
                <w:lang w:val="en-US" w:eastAsia="zh-CN"/>
              </w:rPr>
              <w:t>②</w:t>
            </w:r>
            <w:r>
              <w:rPr>
                <w:rFonts w:hint="eastAsia"/>
                <w:color w:val="auto"/>
                <w:sz w:val="24"/>
                <w:szCs w:val="32"/>
                <w:highlight w:val="none"/>
              </w:rPr>
              <w:t>VOCs物料转移和输送无组织排放控制措施</w:t>
            </w:r>
          </w:p>
          <w:p w14:paraId="40176D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highlight w:val="none"/>
              </w:rPr>
            </w:pPr>
            <w:r>
              <w:rPr>
                <w:rFonts w:hint="eastAsia"/>
                <w:color w:val="auto"/>
                <w:sz w:val="24"/>
                <w:szCs w:val="32"/>
                <w:highlight w:val="none"/>
              </w:rPr>
              <w:t>本项目液态VOCs物料采用密闭桶</w:t>
            </w:r>
            <w:r>
              <w:rPr>
                <w:rFonts w:hint="eastAsia"/>
                <w:color w:val="auto"/>
                <w:sz w:val="24"/>
                <w:szCs w:val="32"/>
                <w:highlight w:val="none"/>
                <w:lang w:val="en-US" w:eastAsia="zh-CN"/>
              </w:rPr>
              <w:t>/罐</w:t>
            </w:r>
            <w:r>
              <w:rPr>
                <w:rFonts w:hint="eastAsia"/>
                <w:color w:val="auto"/>
                <w:sz w:val="24"/>
                <w:szCs w:val="32"/>
                <w:highlight w:val="none"/>
              </w:rPr>
              <w:t>装运输至</w:t>
            </w:r>
            <w:r>
              <w:rPr>
                <w:rFonts w:hint="eastAsia"/>
                <w:color w:val="auto"/>
                <w:sz w:val="24"/>
                <w:szCs w:val="32"/>
                <w:highlight w:val="none"/>
                <w:lang w:eastAsia="zh-CN"/>
              </w:rPr>
              <w:t>生产线</w:t>
            </w:r>
            <w:r>
              <w:rPr>
                <w:rFonts w:hint="eastAsia"/>
                <w:color w:val="auto"/>
                <w:sz w:val="24"/>
                <w:szCs w:val="32"/>
                <w:highlight w:val="none"/>
              </w:rPr>
              <w:t>。</w:t>
            </w:r>
          </w:p>
          <w:p w14:paraId="2771BA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highlight w:val="none"/>
              </w:rPr>
            </w:pPr>
            <w:r>
              <w:rPr>
                <w:rFonts w:hint="eastAsia"/>
                <w:color w:val="auto"/>
                <w:sz w:val="24"/>
                <w:szCs w:val="32"/>
                <w:highlight w:val="none"/>
                <w:lang w:val="en-US" w:eastAsia="zh-CN"/>
              </w:rPr>
              <w:t>③</w:t>
            </w:r>
            <w:r>
              <w:rPr>
                <w:rFonts w:hint="eastAsia"/>
                <w:color w:val="auto"/>
                <w:sz w:val="24"/>
                <w:szCs w:val="32"/>
                <w:highlight w:val="none"/>
              </w:rPr>
              <w:t>工艺过程控制措施</w:t>
            </w:r>
          </w:p>
          <w:p w14:paraId="27738F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highlight w:val="none"/>
              </w:rPr>
            </w:pPr>
            <w:r>
              <w:rPr>
                <w:rFonts w:hint="eastAsia"/>
                <w:color w:val="auto"/>
                <w:sz w:val="24"/>
                <w:szCs w:val="32"/>
                <w:highlight w:val="none"/>
                <w:lang w:val="en-US" w:eastAsia="zh-CN"/>
              </w:rPr>
              <w:t>1</w:t>
            </w:r>
            <w:r>
              <w:rPr>
                <w:rFonts w:hint="eastAsia"/>
                <w:color w:val="auto"/>
                <w:sz w:val="24"/>
                <w:szCs w:val="32"/>
                <w:highlight w:val="none"/>
              </w:rPr>
              <w:t>）</w:t>
            </w:r>
            <w:r>
              <w:rPr>
                <w:rFonts w:hint="eastAsia"/>
                <w:color w:val="auto"/>
                <w:sz w:val="24"/>
                <w:szCs w:val="32"/>
                <w:highlight w:val="none"/>
                <w:lang w:eastAsia="zh-CN"/>
              </w:rPr>
              <w:t>各产污节点设置集气罩或抽风管道对</w:t>
            </w:r>
            <w:r>
              <w:rPr>
                <w:rFonts w:hint="eastAsia"/>
                <w:color w:val="auto"/>
                <w:sz w:val="24"/>
                <w:szCs w:val="32"/>
                <w:highlight w:val="none"/>
              </w:rPr>
              <w:t>VOCs物料</w:t>
            </w:r>
            <w:r>
              <w:rPr>
                <w:rFonts w:hint="eastAsia"/>
                <w:color w:val="auto"/>
                <w:sz w:val="24"/>
                <w:szCs w:val="32"/>
                <w:highlight w:val="none"/>
                <w:lang w:eastAsia="zh-CN"/>
              </w:rPr>
              <w:t>使用过程中挥发的有机废气进行收集，引入“</w:t>
            </w:r>
            <w:r>
              <w:rPr>
                <w:rFonts w:hint="eastAsia"/>
                <w:color w:val="auto"/>
                <w:sz w:val="24"/>
                <w:szCs w:val="32"/>
                <w:highlight w:val="none"/>
              </w:rPr>
              <w:t>干式过滤器+二级活性炭吸附装置</w:t>
            </w:r>
            <w:r>
              <w:rPr>
                <w:rFonts w:hint="eastAsia"/>
                <w:color w:val="auto"/>
                <w:sz w:val="24"/>
                <w:szCs w:val="32"/>
                <w:highlight w:val="none"/>
                <w:lang w:eastAsia="zh-CN"/>
              </w:rPr>
              <w:t>”处理后通过楼顶的</w:t>
            </w:r>
            <w:r>
              <w:rPr>
                <w:rFonts w:hint="eastAsia"/>
                <w:color w:val="auto"/>
                <w:sz w:val="24"/>
                <w:szCs w:val="32"/>
                <w:highlight w:val="none"/>
              </w:rPr>
              <w:t>排气筒</w:t>
            </w:r>
            <w:r>
              <w:rPr>
                <w:rFonts w:hint="eastAsia"/>
                <w:color w:val="auto"/>
                <w:sz w:val="24"/>
                <w:szCs w:val="32"/>
                <w:highlight w:val="none"/>
                <w:lang w:eastAsia="zh-CN"/>
              </w:rPr>
              <w:t>排放</w:t>
            </w:r>
            <w:r>
              <w:rPr>
                <w:rFonts w:hint="eastAsia"/>
                <w:color w:val="auto"/>
                <w:sz w:val="24"/>
                <w:szCs w:val="32"/>
                <w:highlight w:val="none"/>
              </w:rPr>
              <w:t>。</w:t>
            </w:r>
          </w:p>
          <w:p w14:paraId="7B9A3D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highlight w:val="none"/>
              </w:rPr>
            </w:pPr>
            <w:r>
              <w:rPr>
                <w:rFonts w:hint="eastAsia"/>
                <w:color w:val="auto"/>
                <w:sz w:val="24"/>
                <w:szCs w:val="32"/>
                <w:highlight w:val="none"/>
                <w:lang w:val="en-US" w:eastAsia="zh-CN"/>
              </w:rPr>
              <w:t>2</w:t>
            </w:r>
            <w:r>
              <w:rPr>
                <w:rFonts w:hint="eastAsia"/>
                <w:color w:val="auto"/>
                <w:sz w:val="24"/>
                <w:szCs w:val="32"/>
                <w:highlight w:val="none"/>
              </w:rPr>
              <w:t>）工艺过程产生的含VOCs废料采用密闭桶装进行储存、转移和输送。盛装过VOCs物料的废包装桶均加盖密闭存放在危废间内。</w:t>
            </w:r>
          </w:p>
          <w:p w14:paraId="727A47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32"/>
                <w:highlight w:val="none"/>
                <w:lang w:val="en-US" w:eastAsia="zh-CN"/>
              </w:rPr>
              <w:t>3</w:t>
            </w:r>
            <w:r>
              <w:rPr>
                <w:rFonts w:hint="eastAsia"/>
                <w:color w:val="auto"/>
                <w:sz w:val="24"/>
                <w:szCs w:val="32"/>
                <w:highlight w:val="none"/>
              </w:rPr>
              <w:t>）企业建成投产后，按照HJ944要求建立台账，记录含VOCs原辅材料名称、使用量、回收量、废弃量、去向以及VOCs含量等信息。台账保存期限不</w:t>
            </w:r>
            <w:r>
              <w:rPr>
                <w:rFonts w:hint="eastAsia"/>
                <w:color w:val="auto"/>
                <w:sz w:val="24"/>
                <w:szCs w:val="24"/>
                <w:highlight w:val="none"/>
              </w:rPr>
              <w:t>少于3年。</w:t>
            </w:r>
          </w:p>
          <w:p w14:paraId="5C9A8D77">
            <w:pPr>
              <w:spacing w:line="360" w:lineRule="auto"/>
              <w:ind w:firstLine="482" w:firstLineChars="200"/>
              <w:rPr>
                <w:rFonts w:hint="default" w:eastAsia="宋体"/>
                <w:color w:val="auto"/>
                <w:sz w:val="24"/>
                <w:szCs w:val="24"/>
                <w:highlight w:val="none"/>
                <w:lang w:val="en-US" w:eastAsia="zh-CN"/>
              </w:rPr>
            </w:pPr>
            <w:r>
              <w:rPr>
                <w:rFonts w:hint="eastAsia"/>
                <w:b/>
                <w:bCs/>
                <w:color w:val="auto"/>
                <w:sz w:val="24"/>
                <w:szCs w:val="24"/>
                <w:highlight w:val="none"/>
                <w:lang w:eastAsia="zh-CN"/>
              </w:rPr>
              <w:t>（</w:t>
            </w:r>
            <w:r>
              <w:rPr>
                <w:rFonts w:hint="eastAsia"/>
                <w:b/>
                <w:bCs/>
                <w:color w:val="auto"/>
                <w:sz w:val="24"/>
                <w:szCs w:val="24"/>
                <w:highlight w:val="none"/>
                <w:lang w:val="en-US" w:eastAsia="zh-CN"/>
              </w:rPr>
              <w:t>6</w:t>
            </w:r>
            <w:r>
              <w:rPr>
                <w:rFonts w:hint="eastAsia"/>
                <w:b/>
                <w:bCs/>
                <w:color w:val="auto"/>
                <w:sz w:val="24"/>
                <w:szCs w:val="24"/>
                <w:highlight w:val="none"/>
                <w:lang w:eastAsia="zh-CN"/>
              </w:rPr>
              <w:t>）</w:t>
            </w:r>
            <w:r>
              <w:rPr>
                <w:rFonts w:hint="eastAsia"/>
                <w:b/>
                <w:bCs/>
                <w:color w:val="auto"/>
                <w:sz w:val="24"/>
                <w:szCs w:val="24"/>
                <w:highlight w:val="none"/>
                <w:lang w:val="en-US" w:eastAsia="zh-CN"/>
              </w:rPr>
              <w:t>项目大气污染物排放信息</w:t>
            </w:r>
          </w:p>
          <w:p w14:paraId="18AB3224">
            <w:pPr>
              <w:spacing w:line="360" w:lineRule="auto"/>
              <w:ind w:firstLine="480" w:firstLineChars="200"/>
              <w:rPr>
                <w:rFonts w:hint="default" w:eastAsia="宋体"/>
                <w:color w:val="auto"/>
                <w:sz w:val="24"/>
                <w:szCs w:val="24"/>
                <w:highlight w:val="none"/>
                <w:lang w:val="en-US" w:eastAsia="zh-CN"/>
              </w:rPr>
            </w:pPr>
            <w:r>
              <w:rPr>
                <w:rFonts w:hint="eastAsia"/>
                <w:color w:val="auto"/>
                <w:sz w:val="24"/>
                <w:szCs w:val="24"/>
                <w:highlight w:val="none"/>
                <w:lang w:val="en-US" w:eastAsia="zh-CN"/>
              </w:rPr>
              <w:t>①有组织排放量核算结果</w:t>
            </w:r>
          </w:p>
          <w:p w14:paraId="0A1EF24D">
            <w:pPr>
              <w:pStyle w:val="79"/>
              <w:adjustRightInd w:val="0"/>
              <w:spacing w:line="240" w:lineRule="auto"/>
              <w:ind w:left="0" w:leftChars="0" w:firstLine="2319" w:firstLineChars="1100"/>
              <w:jc w:val="both"/>
              <w:rPr>
                <w:rFonts w:hint="default" w:ascii="Times New Roman" w:hAnsi="Times New Roman" w:cs="Times New Roman"/>
                <w:b/>
                <w:bCs/>
                <w:color w:val="000000"/>
                <w:sz w:val="21"/>
                <w:szCs w:val="21"/>
                <w:highlight w:val="none"/>
              </w:rPr>
            </w:pPr>
          </w:p>
          <w:p w14:paraId="419802D3">
            <w:pPr>
              <w:pStyle w:val="79"/>
              <w:adjustRightInd w:val="0"/>
              <w:spacing w:line="240" w:lineRule="auto"/>
              <w:ind w:left="0" w:leftChars="0" w:firstLine="2319" w:firstLineChars="1100"/>
              <w:jc w:val="both"/>
              <w:rPr>
                <w:rFonts w:hint="default" w:ascii="Times New Roman" w:hAnsi="Times New Roman" w:cs="Times New Roman"/>
                <w:b/>
                <w:bCs/>
                <w:color w:val="000000"/>
                <w:sz w:val="21"/>
                <w:szCs w:val="21"/>
                <w:highlight w:val="none"/>
              </w:rPr>
            </w:pPr>
            <w:r>
              <w:rPr>
                <w:rFonts w:hint="default" w:ascii="Times New Roman" w:hAnsi="Times New Roman" w:cs="Times New Roman"/>
                <w:b/>
                <w:bCs/>
                <w:color w:val="000000"/>
                <w:sz w:val="21"/>
                <w:szCs w:val="21"/>
                <w:highlight w:val="none"/>
              </w:rPr>
              <w:t>表4-</w:t>
            </w:r>
            <w:r>
              <w:rPr>
                <w:rFonts w:hint="eastAsia" w:cs="Times New Roman"/>
                <w:b/>
                <w:bCs/>
                <w:color w:val="000000"/>
                <w:sz w:val="21"/>
                <w:szCs w:val="21"/>
                <w:highlight w:val="none"/>
                <w:lang w:val="en-US" w:eastAsia="zh-CN"/>
              </w:rPr>
              <w:t>7</w:t>
            </w:r>
            <w:r>
              <w:rPr>
                <w:rFonts w:hint="default" w:ascii="Times New Roman" w:hAnsi="Times New Roman" w:cs="Times New Roman"/>
                <w:b/>
                <w:bCs/>
                <w:color w:val="000000"/>
                <w:sz w:val="21"/>
                <w:szCs w:val="21"/>
                <w:highlight w:val="none"/>
              </w:rPr>
              <w:t xml:space="preserve">  大</w:t>
            </w:r>
            <w:r>
              <w:rPr>
                <w:rFonts w:hint="default" w:ascii="Times New Roman" w:hAnsi="Times New Roman" w:cs="Times New Roman"/>
                <w:b/>
                <w:color w:val="000000"/>
                <w:kern w:val="2"/>
                <w:sz w:val="21"/>
                <w:szCs w:val="24"/>
                <w:highlight w:val="none"/>
              </w:rPr>
              <w:t>气污染物有组织排放量核算表</w:t>
            </w:r>
          </w:p>
          <w:tbl>
            <w:tblPr>
              <w:tblStyle w:val="25"/>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81"/>
              <w:gridCol w:w="1535"/>
              <w:gridCol w:w="1559"/>
              <w:gridCol w:w="1681"/>
              <w:gridCol w:w="1387"/>
            </w:tblGrid>
            <w:tr w14:paraId="23A83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41" w:type="pct"/>
                  <w:noWrap w:val="0"/>
                  <w:vAlign w:val="center"/>
                </w:tcPr>
                <w:p w14:paraId="7CD23F4F">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序号</w:t>
                  </w:r>
                </w:p>
              </w:tc>
              <w:tc>
                <w:tcPr>
                  <w:tcW w:w="680" w:type="pct"/>
                  <w:noWrap w:val="0"/>
                  <w:vAlign w:val="center"/>
                </w:tcPr>
                <w:p w14:paraId="29BD54C3">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排放口编号</w:t>
                  </w:r>
                </w:p>
              </w:tc>
              <w:tc>
                <w:tcPr>
                  <w:tcW w:w="966" w:type="pct"/>
                  <w:noWrap w:val="0"/>
                  <w:vAlign w:val="center"/>
                </w:tcPr>
                <w:p w14:paraId="31595E84">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污染物</w:t>
                  </w:r>
                </w:p>
              </w:tc>
              <w:tc>
                <w:tcPr>
                  <w:tcW w:w="981" w:type="pct"/>
                  <w:noWrap w:val="0"/>
                  <w:vAlign w:val="center"/>
                </w:tcPr>
                <w:p w14:paraId="71EAA6E7">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核算排放浓度/（mg/m</w:t>
                  </w:r>
                  <w:r>
                    <w:rPr>
                      <w:rFonts w:hint="default" w:ascii="Times New Roman" w:hAnsi="Times New Roman" w:cs="Times New Roman"/>
                      <w:color w:val="000000"/>
                      <w:sz w:val="21"/>
                      <w:szCs w:val="21"/>
                      <w:highlight w:val="none"/>
                      <w:vertAlign w:val="superscript"/>
                    </w:rPr>
                    <w:t>3</w:t>
                  </w:r>
                  <w:r>
                    <w:rPr>
                      <w:rFonts w:hint="default" w:ascii="Times New Roman" w:hAnsi="Times New Roman" w:cs="Times New Roman"/>
                      <w:color w:val="000000"/>
                      <w:sz w:val="21"/>
                      <w:szCs w:val="21"/>
                      <w:highlight w:val="none"/>
                    </w:rPr>
                    <w:t>）</w:t>
                  </w:r>
                </w:p>
              </w:tc>
              <w:tc>
                <w:tcPr>
                  <w:tcW w:w="1057" w:type="pct"/>
                  <w:noWrap w:val="0"/>
                  <w:vAlign w:val="center"/>
                </w:tcPr>
                <w:p w14:paraId="5E2A3238">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核算排放速率/（kg/h）</w:t>
                  </w:r>
                </w:p>
              </w:tc>
              <w:tc>
                <w:tcPr>
                  <w:tcW w:w="872" w:type="pct"/>
                  <w:noWrap w:val="0"/>
                  <w:vAlign w:val="center"/>
                </w:tcPr>
                <w:p w14:paraId="20A497F4">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核算排放量/（t/a）</w:t>
                  </w:r>
                </w:p>
              </w:tc>
            </w:tr>
            <w:tr w14:paraId="4D8FF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000" w:type="pct"/>
                  <w:gridSpan w:val="6"/>
                  <w:noWrap w:val="0"/>
                  <w:vAlign w:val="center"/>
                </w:tcPr>
                <w:p w14:paraId="21994DD6">
                  <w:pPr>
                    <w:jc w:val="center"/>
                    <w:rPr>
                      <w:rFonts w:hint="default"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一般</w:t>
                  </w:r>
                  <w:r>
                    <w:rPr>
                      <w:rFonts w:hint="default" w:ascii="Times New Roman" w:hAnsi="Times New Roman" w:cs="Times New Roman"/>
                      <w:color w:val="000000"/>
                      <w:sz w:val="21"/>
                      <w:szCs w:val="21"/>
                      <w:highlight w:val="none"/>
                    </w:rPr>
                    <w:t>排放口</w:t>
                  </w:r>
                </w:p>
              </w:tc>
            </w:tr>
            <w:tr w14:paraId="7BF06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41" w:type="pct"/>
                  <w:noWrap w:val="0"/>
                  <w:vAlign w:val="center"/>
                </w:tcPr>
                <w:p w14:paraId="06E34560">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1</w:t>
                  </w:r>
                </w:p>
              </w:tc>
              <w:tc>
                <w:tcPr>
                  <w:tcW w:w="680" w:type="pct"/>
                  <w:vMerge w:val="restart"/>
                  <w:noWrap w:val="0"/>
                  <w:vAlign w:val="center"/>
                </w:tcPr>
                <w:p w14:paraId="1B9CBE1D">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DA001</w:t>
                  </w:r>
                </w:p>
              </w:tc>
              <w:tc>
                <w:tcPr>
                  <w:tcW w:w="966" w:type="pct"/>
                  <w:noWrap w:val="0"/>
                  <w:vAlign w:val="center"/>
                </w:tcPr>
                <w:p w14:paraId="0711C2F7">
                  <w:pPr>
                    <w:widowControl/>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非甲烷总烃</w:t>
                  </w:r>
                </w:p>
              </w:tc>
              <w:tc>
                <w:tcPr>
                  <w:tcW w:w="981" w:type="pct"/>
                  <w:noWrap w:val="0"/>
                  <w:vAlign w:val="center"/>
                </w:tcPr>
                <w:p w14:paraId="1E963D8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39.128</w:t>
                  </w:r>
                </w:p>
              </w:tc>
              <w:tc>
                <w:tcPr>
                  <w:tcW w:w="1057" w:type="pct"/>
                  <w:noWrap w:val="0"/>
                  <w:vAlign w:val="center"/>
                </w:tcPr>
                <w:p w14:paraId="0C15A5A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0.704</w:t>
                  </w:r>
                </w:p>
              </w:tc>
              <w:tc>
                <w:tcPr>
                  <w:tcW w:w="872" w:type="pct"/>
                  <w:noWrap w:val="0"/>
                  <w:vAlign w:val="center"/>
                </w:tcPr>
                <w:p w14:paraId="6F20053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2.324</w:t>
                  </w:r>
                </w:p>
              </w:tc>
            </w:tr>
            <w:tr w14:paraId="1DFF5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41" w:type="pct"/>
                  <w:noWrap w:val="0"/>
                  <w:vAlign w:val="center"/>
                </w:tcPr>
                <w:p w14:paraId="6F8B7EF4">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2</w:t>
                  </w:r>
                </w:p>
              </w:tc>
              <w:tc>
                <w:tcPr>
                  <w:tcW w:w="680" w:type="pct"/>
                  <w:vMerge w:val="continue"/>
                  <w:noWrap w:val="0"/>
                  <w:vAlign w:val="center"/>
                </w:tcPr>
                <w:p w14:paraId="4D243E57">
                  <w:pPr>
                    <w:jc w:val="center"/>
                    <w:rPr>
                      <w:rFonts w:hint="default" w:ascii="Times New Roman" w:hAnsi="Times New Roman" w:cs="Times New Roman"/>
                      <w:color w:val="000000"/>
                      <w:sz w:val="21"/>
                      <w:szCs w:val="21"/>
                      <w:highlight w:val="none"/>
                    </w:rPr>
                  </w:pPr>
                </w:p>
              </w:tc>
              <w:tc>
                <w:tcPr>
                  <w:tcW w:w="966" w:type="pct"/>
                  <w:noWrap w:val="0"/>
                  <w:vAlign w:val="center"/>
                </w:tcPr>
                <w:p w14:paraId="7F2D3B83">
                  <w:pPr>
                    <w:widowControl/>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颗粒物</w:t>
                  </w:r>
                </w:p>
              </w:tc>
              <w:tc>
                <w:tcPr>
                  <w:tcW w:w="981" w:type="pct"/>
                  <w:noWrap w:val="0"/>
                  <w:vAlign w:val="center"/>
                </w:tcPr>
                <w:p w14:paraId="3591E74F">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0.116</w:t>
                  </w:r>
                </w:p>
              </w:tc>
              <w:tc>
                <w:tcPr>
                  <w:tcW w:w="1057" w:type="pct"/>
                  <w:noWrap w:val="0"/>
                  <w:vAlign w:val="center"/>
                </w:tcPr>
                <w:p w14:paraId="27F117AC">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0.002</w:t>
                  </w:r>
                </w:p>
              </w:tc>
              <w:tc>
                <w:tcPr>
                  <w:tcW w:w="872" w:type="pct"/>
                  <w:noWrap w:val="0"/>
                  <w:vAlign w:val="center"/>
                </w:tcPr>
                <w:p w14:paraId="0E237186">
                  <w:pPr>
                    <w:widowControl/>
                    <w:spacing w:line="240" w:lineRule="auto"/>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2"/>
                      <w:sz w:val="21"/>
                      <w:szCs w:val="21"/>
                      <w:highlight w:val="none"/>
                      <w:lang w:val="en-US" w:eastAsia="zh-CN" w:bidi="ar-SA"/>
                    </w:rPr>
                    <w:t>0.006</w:t>
                  </w:r>
                </w:p>
              </w:tc>
            </w:tr>
            <w:tr w14:paraId="637B0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41" w:type="pct"/>
                  <w:noWrap w:val="0"/>
                  <w:vAlign w:val="center"/>
                </w:tcPr>
                <w:p w14:paraId="238FA323">
                  <w:pPr>
                    <w:jc w:val="center"/>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3</w:t>
                  </w:r>
                </w:p>
              </w:tc>
              <w:tc>
                <w:tcPr>
                  <w:tcW w:w="680" w:type="pct"/>
                  <w:vMerge w:val="continue"/>
                  <w:noWrap w:val="0"/>
                  <w:vAlign w:val="center"/>
                </w:tcPr>
                <w:p w14:paraId="3CF4ACC8">
                  <w:pPr>
                    <w:jc w:val="center"/>
                    <w:rPr>
                      <w:rFonts w:hint="default" w:ascii="Times New Roman" w:hAnsi="Times New Roman" w:cs="Times New Roman"/>
                      <w:color w:val="000000"/>
                      <w:sz w:val="21"/>
                      <w:szCs w:val="21"/>
                      <w:highlight w:val="none"/>
                    </w:rPr>
                  </w:pPr>
                </w:p>
              </w:tc>
              <w:tc>
                <w:tcPr>
                  <w:tcW w:w="966" w:type="pct"/>
                  <w:noWrap w:val="0"/>
                  <w:vAlign w:val="center"/>
                </w:tcPr>
                <w:p w14:paraId="0CAB6D0D">
                  <w:pPr>
                    <w:widowControl/>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锡及其化合物</w:t>
                  </w:r>
                </w:p>
              </w:tc>
              <w:tc>
                <w:tcPr>
                  <w:tcW w:w="981" w:type="pct"/>
                  <w:noWrap w:val="0"/>
                  <w:vAlign w:val="center"/>
                </w:tcPr>
                <w:p w14:paraId="53E6F5AF">
                  <w:pPr>
                    <w:keepNext w:val="0"/>
                    <w:keepLines w:val="0"/>
                    <w:widowControl/>
                    <w:suppressLineNumbers w:val="0"/>
                    <w:jc w:val="center"/>
                    <w:textAlignment w:val="center"/>
                    <w:rPr>
                      <w:rFonts w:hint="eastAsia"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0.104</w:t>
                  </w:r>
                </w:p>
              </w:tc>
              <w:tc>
                <w:tcPr>
                  <w:tcW w:w="1057" w:type="pct"/>
                  <w:noWrap w:val="0"/>
                  <w:vAlign w:val="center"/>
                </w:tcPr>
                <w:p w14:paraId="7E585FAF">
                  <w:pPr>
                    <w:keepNext w:val="0"/>
                    <w:keepLines w:val="0"/>
                    <w:widowControl/>
                    <w:suppressLineNumbers w:val="0"/>
                    <w:jc w:val="center"/>
                    <w:textAlignment w:val="center"/>
                    <w:rPr>
                      <w:rFonts w:hint="eastAsia"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0.002</w:t>
                  </w:r>
                </w:p>
              </w:tc>
              <w:tc>
                <w:tcPr>
                  <w:tcW w:w="872" w:type="pct"/>
                  <w:noWrap w:val="0"/>
                  <w:vAlign w:val="center"/>
                </w:tcPr>
                <w:p w14:paraId="239488F5">
                  <w:pPr>
                    <w:widowControl/>
                    <w:spacing w:line="240" w:lineRule="auto"/>
                    <w:jc w:val="center"/>
                    <w:textAlignment w:val="center"/>
                    <w:rPr>
                      <w:rFonts w:hint="eastAsia"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2"/>
                      <w:sz w:val="21"/>
                      <w:szCs w:val="21"/>
                      <w:highlight w:val="none"/>
                      <w:lang w:val="en-US" w:eastAsia="zh-CN" w:bidi="ar-SA"/>
                    </w:rPr>
                    <w:t>0.00</w:t>
                  </w:r>
                  <w:r>
                    <w:rPr>
                      <w:rFonts w:hint="eastAsia" w:cs="Times New Roman"/>
                      <w:color w:val="000000"/>
                      <w:kern w:val="2"/>
                      <w:sz w:val="21"/>
                      <w:szCs w:val="21"/>
                      <w:highlight w:val="none"/>
                      <w:lang w:val="en-US" w:eastAsia="zh-CN" w:bidi="ar-SA"/>
                    </w:rPr>
                    <w:t>5</w:t>
                  </w:r>
                </w:p>
              </w:tc>
            </w:tr>
            <w:tr w14:paraId="66F27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41" w:type="pct"/>
                  <w:noWrap w:val="0"/>
                  <w:vAlign w:val="center"/>
                </w:tcPr>
                <w:p w14:paraId="6D189CE5">
                  <w:pPr>
                    <w:jc w:val="center"/>
                    <w:rPr>
                      <w:rFonts w:hint="default" w:ascii="Times New Roman" w:hAnsi="Times New Roman" w:cs="Times New Roman"/>
                      <w:color w:val="000000"/>
                      <w:sz w:val="21"/>
                      <w:szCs w:val="21"/>
                      <w:highlight w:val="none"/>
                      <w:lang w:val="en-US" w:eastAsia="zh-CN"/>
                    </w:rPr>
                  </w:pPr>
                  <w:r>
                    <w:rPr>
                      <w:rFonts w:hint="eastAsia" w:cs="Times New Roman"/>
                      <w:color w:val="000000"/>
                      <w:sz w:val="21"/>
                      <w:szCs w:val="21"/>
                      <w:highlight w:val="none"/>
                      <w:lang w:val="en-US" w:eastAsia="zh-CN"/>
                    </w:rPr>
                    <w:t>4</w:t>
                  </w:r>
                </w:p>
              </w:tc>
              <w:tc>
                <w:tcPr>
                  <w:tcW w:w="680" w:type="pct"/>
                  <w:vMerge w:val="continue"/>
                  <w:noWrap w:val="0"/>
                  <w:vAlign w:val="center"/>
                </w:tcPr>
                <w:p w14:paraId="019603AD">
                  <w:pPr>
                    <w:jc w:val="center"/>
                    <w:rPr>
                      <w:rFonts w:hint="default" w:ascii="Times New Roman" w:hAnsi="Times New Roman" w:cs="Times New Roman"/>
                      <w:color w:val="000000"/>
                      <w:sz w:val="21"/>
                      <w:szCs w:val="21"/>
                      <w:highlight w:val="none"/>
                    </w:rPr>
                  </w:pPr>
                </w:p>
              </w:tc>
              <w:tc>
                <w:tcPr>
                  <w:tcW w:w="966" w:type="pct"/>
                  <w:shd w:val="clear" w:color="auto" w:fill="auto"/>
                  <w:noWrap w:val="0"/>
                  <w:vAlign w:val="center"/>
                </w:tcPr>
                <w:p w14:paraId="7CB6FD6C">
                  <w:pPr>
                    <w:snapToGrid w:val="0"/>
                    <w:spacing w:line="240" w:lineRule="auto"/>
                    <w:jc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甲苯</w:t>
                  </w:r>
                </w:p>
              </w:tc>
              <w:tc>
                <w:tcPr>
                  <w:tcW w:w="981" w:type="pct"/>
                  <w:shd w:val="clear" w:color="auto" w:fill="auto"/>
                  <w:noWrap w:val="0"/>
                  <w:vAlign w:val="center"/>
                </w:tcPr>
                <w:p w14:paraId="3E261FA9">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4.109×10</w:t>
                  </w:r>
                  <w:r>
                    <w:rPr>
                      <w:rFonts w:hint="eastAsia" w:cs="Times New Roman"/>
                      <w:b w:val="0"/>
                      <w:bCs w:val="0"/>
                      <w:color w:val="auto"/>
                      <w:kern w:val="0"/>
                      <w:sz w:val="21"/>
                      <w:szCs w:val="21"/>
                      <w:highlight w:val="none"/>
                      <w:vertAlign w:val="superscript"/>
                      <w:lang w:val="en-US" w:eastAsia="zh-CN"/>
                    </w:rPr>
                    <w:t>-7</w:t>
                  </w:r>
                </w:p>
              </w:tc>
              <w:tc>
                <w:tcPr>
                  <w:tcW w:w="1057" w:type="pct"/>
                  <w:shd w:val="clear" w:color="auto" w:fill="auto"/>
                  <w:noWrap w:val="0"/>
                  <w:vAlign w:val="center"/>
                </w:tcPr>
                <w:p w14:paraId="35FED8A7">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7.396×10</w:t>
                  </w:r>
                  <w:r>
                    <w:rPr>
                      <w:rFonts w:hint="eastAsia" w:cs="Times New Roman"/>
                      <w:b w:val="0"/>
                      <w:bCs w:val="0"/>
                      <w:color w:val="auto"/>
                      <w:kern w:val="0"/>
                      <w:sz w:val="21"/>
                      <w:szCs w:val="21"/>
                      <w:highlight w:val="none"/>
                      <w:vertAlign w:val="superscript"/>
                      <w:lang w:val="en-US" w:eastAsia="zh-CN"/>
                    </w:rPr>
                    <w:t>-9</w:t>
                  </w:r>
                </w:p>
              </w:tc>
              <w:tc>
                <w:tcPr>
                  <w:tcW w:w="872" w:type="pct"/>
                  <w:shd w:val="clear" w:color="auto" w:fill="auto"/>
                  <w:noWrap w:val="0"/>
                  <w:vAlign w:val="center"/>
                </w:tcPr>
                <w:p w14:paraId="4ED2DE41">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0.036×10</w:t>
                  </w:r>
                  <w:r>
                    <w:rPr>
                      <w:rFonts w:hint="eastAsia" w:cs="Times New Roman"/>
                      <w:b w:val="0"/>
                      <w:bCs w:val="0"/>
                      <w:color w:val="auto"/>
                      <w:kern w:val="0"/>
                      <w:sz w:val="21"/>
                      <w:szCs w:val="21"/>
                      <w:highlight w:val="none"/>
                      <w:vertAlign w:val="superscript"/>
                      <w:lang w:val="en-US" w:eastAsia="zh-CN"/>
                    </w:rPr>
                    <w:t>-6</w:t>
                  </w:r>
                </w:p>
              </w:tc>
            </w:tr>
            <w:tr w14:paraId="3536B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41" w:type="pct"/>
                  <w:noWrap w:val="0"/>
                  <w:vAlign w:val="center"/>
                </w:tcPr>
                <w:p w14:paraId="2681752D">
                  <w:pPr>
                    <w:jc w:val="center"/>
                    <w:rPr>
                      <w:rFonts w:hint="default" w:ascii="Times New Roman" w:hAnsi="Times New Roman" w:cs="Times New Roman"/>
                      <w:color w:val="000000"/>
                      <w:sz w:val="21"/>
                      <w:szCs w:val="21"/>
                      <w:highlight w:val="none"/>
                      <w:lang w:val="en-US" w:eastAsia="zh-CN"/>
                    </w:rPr>
                  </w:pPr>
                  <w:r>
                    <w:rPr>
                      <w:rFonts w:hint="eastAsia" w:cs="Times New Roman"/>
                      <w:color w:val="000000"/>
                      <w:sz w:val="21"/>
                      <w:szCs w:val="21"/>
                      <w:highlight w:val="none"/>
                      <w:lang w:val="en-US" w:eastAsia="zh-CN"/>
                    </w:rPr>
                    <w:t>5</w:t>
                  </w:r>
                </w:p>
              </w:tc>
              <w:tc>
                <w:tcPr>
                  <w:tcW w:w="680" w:type="pct"/>
                  <w:vMerge w:val="continue"/>
                  <w:noWrap w:val="0"/>
                  <w:vAlign w:val="center"/>
                </w:tcPr>
                <w:p w14:paraId="741BF0E5">
                  <w:pPr>
                    <w:jc w:val="center"/>
                    <w:rPr>
                      <w:rFonts w:hint="default" w:ascii="Times New Roman" w:hAnsi="Times New Roman" w:cs="Times New Roman"/>
                      <w:color w:val="000000"/>
                      <w:sz w:val="21"/>
                      <w:szCs w:val="21"/>
                      <w:highlight w:val="none"/>
                    </w:rPr>
                  </w:pPr>
                </w:p>
              </w:tc>
              <w:tc>
                <w:tcPr>
                  <w:tcW w:w="966" w:type="pct"/>
                  <w:shd w:val="clear" w:color="auto" w:fill="auto"/>
                  <w:noWrap w:val="0"/>
                  <w:vAlign w:val="center"/>
                </w:tcPr>
                <w:p w14:paraId="153E7937">
                  <w:pPr>
                    <w:snapToGrid w:val="0"/>
                    <w:spacing w:line="240" w:lineRule="auto"/>
                    <w:jc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乙苯</w:t>
                  </w:r>
                </w:p>
              </w:tc>
              <w:tc>
                <w:tcPr>
                  <w:tcW w:w="981" w:type="pct"/>
                  <w:shd w:val="clear" w:color="auto" w:fill="auto"/>
                  <w:noWrap w:val="0"/>
                  <w:vAlign w:val="center"/>
                </w:tcPr>
                <w:p w14:paraId="1BD2CE08">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2.141×10</w:t>
                  </w:r>
                  <w:r>
                    <w:rPr>
                      <w:rFonts w:hint="eastAsia" w:cs="Times New Roman"/>
                      <w:b w:val="0"/>
                      <w:bCs w:val="0"/>
                      <w:color w:val="auto"/>
                      <w:kern w:val="0"/>
                      <w:sz w:val="21"/>
                      <w:szCs w:val="21"/>
                      <w:highlight w:val="none"/>
                      <w:vertAlign w:val="superscript"/>
                      <w:lang w:val="en-US" w:eastAsia="zh-CN"/>
                    </w:rPr>
                    <w:t>-7</w:t>
                  </w:r>
                </w:p>
              </w:tc>
              <w:tc>
                <w:tcPr>
                  <w:tcW w:w="1057" w:type="pct"/>
                  <w:shd w:val="clear" w:color="auto" w:fill="auto"/>
                  <w:noWrap w:val="0"/>
                  <w:vAlign w:val="center"/>
                </w:tcPr>
                <w:p w14:paraId="292244C5">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3.854×10</w:t>
                  </w:r>
                  <w:r>
                    <w:rPr>
                      <w:rFonts w:hint="eastAsia" w:cs="Times New Roman"/>
                      <w:b w:val="0"/>
                      <w:bCs w:val="0"/>
                      <w:color w:val="auto"/>
                      <w:kern w:val="0"/>
                      <w:sz w:val="21"/>
                      <w:szCs w:val="21"/>
                      <w:highlight w:val="none"/>
                      <w:vertAlign w:val="superscript"/>
                      <w:lang w:val="en-US" w:eastAsia="zh-CN"/>
                    </w:rPr>
                    <w:t>-9</w:t>
                  </w:r>
                </w:p>
              </w:tc>
              <w:tc>
                <w:tcPr>
                  <w:tcW w:w="872" w:type="pct"/>
                  <w:shd w:val="clear" w:color="auto" w:fill="auto"/>
                  <w:noWrap w:val="0"/>
                  <w:vAlign w:val="center"/>
                </w:tcPr>
                <w:p w14:paraId="3EEB6ADA">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0.019×10</w:t>
                  </w:r>
                  <w:r>
                    <w:rPr>
                      <w:rFonts w:hint="eastAsia" w:cs="Times New Roman"/>
                      <w:b w:val="0"/>
                      <w:bCs w:val="0"/>
                      <w:color w:val="auto"/>
                      <w:kern w:val="0"/>
                      <w:sz w:val="21"/>
                      <w:szCs w:val="21"/>
                      <w:highlight w:val="none"/>
                      <w:vertAlign w:val="superscript"/>
                      <w:lang w:val="en-US" w:eastAsia="zh-CN"/>
                    </w:rPr>
                    <w:t>-6</w:t>
                  </w:r>
                </w:p>
              </w:tc>
            </w:tr>
            <w:tr w14:paraId="58F72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41" w:type="pct"/>
                  <w:noWrap w:val="0"/>
                  <w:vAlign w:val="center"/>
                </w:tcPr>
                <w:p w14:paraId="25577892">
                  <w:pPr>
                    <w:jc w:val="center"/>
                    <w:rPr>
                      <w:rFonts w:hint="default" w:ascii="Times New Roman" w:hAnsi="Times New Roman" w:cs="Times New Roman"/>
                      <w:color w:val="000000"/>
                      <w:sz w:val="21"/>
                      <w:szCs w:val="21"/>
                      <w:highlight w:val="none"/>
                      <w:lang w:val="en-US" w:eastAsia="zh-CN"/>
                    </w:rPr>
                  </w:pPr>
                  <w:r>
                    <w:rPr>
                      <w:rFonts w:hint="eastAsia" w:cs="Times New Roman"/>
                      <w:color w:val="000000"/>
                      <w:sz w:val="21"/>
                      <w:szCs w:val="21"/>
                      <w:highlight w:val="none"/>
                      <w:lang w:val="en-US" w:eastAsia="zh-CN"/>
                    </w:rPr>
                    <w:t>6</w:t>
                  </w:r>
                </w:p>
              </w:tc>
              <w:tc>
                <w:tcPr>
                  <w:tcW w:w="680" w:type="pct"/>
                  <w:vMerge w:val="continue"/>
                  <w:noWrap w:val="0"/>
                  <w:vAlign w:val="center"/>
                </w:tcPr>
                <w:p w14:paraId="41FB42CC">
                  <w:pPr>
                    <w:jc w:val="center"/>
                    <w:rPr>
                      <w:rFonts w:hint="default" w:ascii="Times New Roman" w:hAnsi="Times New Roman" w:cs="Times New Roman"/>
                      <w:color w:val="000000"/>
                      <w:sz w:val="21"/>
                      <w:szCs w:val="21"/>
                      <w:highlight w:val="none"/>
                    </w:rPr>
                  </w:pPr>
                </w:p>
              </w:tc>
              <w:tc>
                <w:tcPr>
                  <w:tcW w:w="966" w:type="pct"/>
                  <w:shd w:val="clear" w:color="auto" w:fill="auto"/>
                  <w:noWrap w:val="0"/>
                  <w:vAlign w:val="center"/>
                </w:tcPr>
                <w:p w14:paraId="48E5166D">
                  <w:pPr>
                    <w:snapToGrid w:val="0"/>
                    <w:spacing w:line="240" w:lineRule="auto"/>
                    <w:jc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苯乙烯</w:t>
                  </w:r>
                </w:p>
              </w:tc>
              <w:tc>
                <w:tcPr>
                  <w:tcW w:w="981" w:type="pct"/>
                  <w:shd w:val="clear" w:color="auto" w:fill="auto"/>
                  <w:noWrap w:val="0"/>
                  <w:vAlign w:val="center"/>
                </w:tcPr>
                <w:p w14:paraId="78F61FAF">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1.296×10</w:t>
                  </w:r>
                  <w:r>
                    <w:rPr>
                      <w:rFonts w:hint="eastAsia" w:cs="Times New Roman"/>
                      <w:b w:val="0"/>
                      <w:bCs w:val="0"/>
                      <w:color w:val="auto"/>
                      <w:kern w:val="0"/>
                      <w:sz w:val="21"/>
                      <w:szCs w:val="21"/>
                      <w:highlight w:val="none"/>
                      <w:vertAlign w:val="superscript"/>
                      <w:lang w:val="en-US" w:eastAsia="zh-CN"/>
                    </w:rPr>
                    <w:t>-7</w:t>
                  </w:r>
                </w:p>
              </w:tc>
              <w:tc>
                <w:tcPr>
                  <w:tcW w:w="1057" w:type="pct"/>
                  <w:shd w:val="clear" w:color="auto" w:fill="auto"/>
                  <w:noWrap w:val="0"/>
                  <w:vAlign w:val="center"/>
                </w:tcPr>
                <w:p w14:paraId="7213354E">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2.333×10</w:t>
                  </w:r>
                  <w:r>
                    <w:rPr>
                      <w:rFonts w:hint="eastAsia" w:cs="Times New Roman"/>
                      <w:b w:val="0"/>
                      <w:bCs w:val="0"/>
                      <w:color w:val="auto"/>
                      <w:kern w:val="0"/>
                      <w:sz w:val="21"/>
                      <w:szCs w:val="21"/>
                      <w:highlight w:val="none"/>
                      <w:vertAlign w:val="superscript"/>
                      <w:lang w:val="en-US" w:eastAsia="zh-CN"/>
                    </w:rPr>
                    <w:t>-9</w:t>
                  </w:r>
                </w:p>
              </w:tc>
              <w:tc>
                <w:tcPr>
                  <w:tcW w:w="872" w:type="pct"/>
                  <w:shd w:val="clear" w:color="auto" w:fill="auto"/>
                  <w:noWrap w:val="0"/>
                  <w:vAlign w:val="center"/>
                </w:tcPr>
                <w:p w14:paraId="63AFE294">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0.011×10</w:t>
                  </w:r>
                  <w:r>
                    <w:rPr>
                      <w:rFonts w:hint="eastAsia" w:cs="Times New Roman"/>
                      <w:b w:val="0"/>
                      <w:bCs w:val="0"/>
                      <w:color w:val="auto"/>
                      <w:kern w:val="0"/>
                      <w:sz w:val="21"/>
                      <w:szCs w:val="21"/>
                      <w:highlight w:val="none"/>
                      <w:vertAlign w:val="superscript"/>
                      <w:lang w:val="en-US" w:eastAsia="zh-CN"/>
                    </w:rPr>
                    <w:t>-6</w:t>
                  </w:r>
                </w:p>
              </w:tc>
            </w:tr>
            <w:tr w14:paraId="1CFB4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2" w:type="pct"/>
                  <w:gridSpan w:val="2"/>
                  <w:vMerge w:val="restart"/>
                  <w:noWrap w:val="0"/>
                  <w:vAlign w:val="center"/>
                </w:tcPr>
                <w:p w14:paraId="53093335">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一般排放口合计</w:t>
                  </w:r>
                </w:p>
              </w:tc>
              <w:tc>
                <w:tcPr>
                  <w:tcW w:w="3005" w:type="pct"/>
                  <w:gridSpan w:val="3"/>
                  <w:shd w:val="clear" w:color="auto" w:fill="auto"/>
                  <w:noWrap w:val="0"/>
                  <w:vAlign w:val="center"/>
                </w:tcPr>
                <w:p w14:paraId="425D4A4E">
                  <w:pPr>
                    <w:widowControl/>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非甲烷总烃</w:t>
                  </w:r>
                </w:p>
              </w:tc>
              <w:tc>
                <w:tcPr>
                  <w:tcW w:w="872" w:type="pct"/>
                  <w:shd w:val="clear" w:color="auto" w:fill="auto"/>
                  <w:noWrap w:val="0"/>
                  <w:vAlign w:val="center"/>
                </w:tcPr>
                <w:p w14:paraId="2D484937">
                  <w:pPr>
                    <w:jc w:val="center"/>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sz w:val="21"/>
                      <w:szCs w:val="21"/>
                      <w:highlight w:val="none"/>
                      <w:lang w:val="en-US" w:eastAsia="zh-CN"/>
                    </w:rPr>
                    <w:t>2.324</w:t>
                  </w:r>
                </w:p>
              </w:tc>
            </w:tr>
            <w:tr w14:paraId="28512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2" w:type="pct"/>
                  <w:gridSpan w:val="2"/>
                  <w:vMerge w:val="continue"/>
                  <w:noWrap w:val="0"/>
                  <w:vAlign w:val="center"/>
                </w:tcPr>
                <w:p w14:paraId="370BC742">
                  <w:pPr>
                    <w:jc w:val="center"/>
                    <w:rPr>
                      <w:rFonts w:hint="default" w:ascii="Times New Roman" w:hAnsi="Times New Roman" w:cs="Times New Roman"/>
                      <w:color w:val="000000"/>
                      <w:sz w:val="21"/>
                      <w:szCs w:val="21"/>
                      <w:highlight w:val="none"/>
                    </w:rPr>
                  </w:pPr>
                </w:p>
              </w:tc>
              <w:tc>
                <w:tcPr>
                  <w:tcW w:w="3005" w:type="pct"/>
                  <w:gridSpan w:val="3"/>
                  <w:shd w:val="clear" w:color="auto" w:fill="auto"/>
                  <w:noWrap w:val="0"/>
                  <w:vAlign w:val="center"/>
                </w:tcPr>
                <w:p w14:paraId="7CF0CB51">
                  <w:pPr>
                    <w:widowControl/>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颗粒物</w:t>
                  </w:r>
                </w:p>
              </w:tc>
              <w:tc>
                <w:tcPr>
                  <w:tcW w:w="872" w:type="pct"/>
                  <w:shd w:val="clear" w:color="auto" w:fill="auto"/>
                  <w:noWrap w:val="0"/>
                  <w:vAlign w:val="center"/>
                </w:tcPr>
                <w:p w14:paraId="3C56FA46">
                  <w:pPr>
                    <w:widowControl/>
                    <w:spacing w:line="240" w:lineRule="auto"/>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2"/>
                      <w:sz w:val="21"/>
                      <w:szCs w:val="21"/>
                      <w:highlight w:val="none"/>
                      <w:lang w:val="en-US" w:eastAsia="zh-CN" w:bidi="ar-SA"/>
                    </w:rPr>
                    <w:t>0.006</w:t>
                  </w:r>
                </w:p>
              </w:tc>
            </w:tr>
            <w:tr w14:paraId="4B3BE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2" w:type="pct"/>
                  <w:gridSpan w:val="2"/>
                  <w:vMerge w:val="continue"/>
                  <w:noWrap w:val="0"/>
                  <w:vAlign w:val="center"/>
                </w:tcPr>
                <w:p w14:paraId="723B2958">
                  <w:pPr>
                    <w:jc w:val="center"/>
                    <w:rPr>
                      <w:rFonts w:hint="default" w:ascii="Times New Roman" w:hAnsi="Times New Roman" w:cs="Times New Roman"/>
                      <w:color w:val="000000"/>
                      <w:sz w:val="21"/>
                      <w:szCs w:val="21"/>
                      <w:highlight w:val="none"/>
                    </w:rPr>
                  </w:pPr>
                </w:p>
              </w:tc>
              <w:tc>
                <w:tcPr>
                  <w:tcW w:w="3005" w:type="pct"/>
                  <w:gridSpan w:val="3"/>
                  <w:shd w:val="clear" w:color="auto" w:fill="auto"/>
                  <w:noWrap w:val="0"/>
                  <w:vAlign w:val="center"/>
                </w:tcPr>
                <w:p w14:paraId="5D102D1D">
                  <w:pPr>
                    <w:widowControl/>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锡及其化合物</w:t>
                  </w:r>
                </w:p>
              </w:tc>
              <w:tc>
                <w:tcPr>
                  <w:tcW w:w="872" w:type="pct"/>
                  <w:shd w:val="clear" w:color="auto" w:fill="auto"/>
                  <w:noWrap w:val="0"/>
                  <w:vAlign w:val="center"/>
                </w:tcPr>
                <w:p w14:paraId="4495A165">
                  <w:pPr>
                    <w:widowControl/>
                    <w:spacing w:line="240" w:lineRule="auto"/>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2"/>
                      <w:sz w:val="21"/>
                      <w:szCs w:val="21"/>
                      <w:highlight w:val="none"/>
                      <w:lang w:val="en-US" w:eastAsia="zh-CN" w:bidi="ar-SA"/>
                    </w:rPr>
                    <w:t>0.00</w:t>
                  </w:r>
                  <w:r>
                    <w:rPr>
                      <w:rFonts w:hint="eastAsia" w:cs="Times New Roman"/>
                      <w:color w:val="000000"/>
                      <w:kern w:val="2"/>
                      <w:sz w:val="21"/>
                      <w:szCs w:val="21"/>
                      <w:highlight w:val="none"/>
                      <w:lang w:val="en-US" w:eastAsia="zh-CN" w:bidi="ar-SA"/>
                    </w:rPr>
                    <w:t>5</w:t>
                  </w:r>
                </w:p>
              </w:tc>
            </w:tr>
            <w:tr w14:paraId="7474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2" w:type="pct"/>
                  <w:gridSpan w:val="2"/>
                  <w:vMerge w:val="continue"/>
                  <w:noWrap w:val="0"/>
                  <w:vAlign w:val="center"/>
                </w:tcPr>
                <w:p w14:paraId="72583500">
                  <w:pPr>
                    <w:jc w:val="center"/>
                    <w:rPr>
                      <w:rFonts w:hint="default" w:ascii="Times New Roman" w:hAnsi="Times New Roman" w:cs="Times New Roman"/>
                      <w:color w:val="000000"/>
                      <w:sz w:val="21"/>
                      <w:szCs w:val="21"/>
                      <w:highlight w:val="none"/>
                    </w:rPr>
                  </w:pPr>
                </w:p>
              </w:tc>
              <w:tc>
                <w:tcPr>
                  <w:tcW w:w="3005" w:type="pct"/>
                  <w:gridSpan w:val="3"/>
                  <w:shd w:val="clear" w:color="auto" w:fill="auto"/>
                  <w:noWrap w:val="0"/>
                  <w:vAlign w:val="center"/>
                </w:tcPr>
                <w:p w14:paraId="5DCFD95C">
                  <w:pPr>
                    <w:widowControl/>
                    <w:jc w:val="center"/>
                    <w:textAlignment w:val="center"/>
                    <w:rPr>
                      <w:rFonts w:hint="default"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甲苯</w:t>
                  </w:r>
                </w:p>
              </w:tc>
              <w:tc>
                <w:tcPr>
                  <w:tcW w:w="872" w:type="pct"/>
                  <w:shd w:val="clear" w:color="auto" w:fill="auto"/>
                  <w:noWrap w:val="0"/>
                  <w:vAlign w:val="center"/>
                </w:tcPr>
                <w:p w14:paraId="5057E274">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0.036×10</w:t>
                  </w:r>
                  <w:r>
                    <w:rPr>
                      <w:rFonts w:hint="eastAsia" w:cs="Times New Roman"/>
                      <w:b w:val="0"/>
                      <w:bCs w:val="0"/>
                      <w:color w:val="auto"/>
                      <w:kern w:val="0"/>
                      <w:sz w:val="21"/>
                      <w:szCs w:val="21"/>
                      <w:highlight w:val="none"/>
                      <w:vertAlign w:val="superscript"/>
                      <w:lang w:val="en-US" w:eastAsia="zh-CN"/>
                    </w:rPr>
                    <w:t>-6</w:t>
                  </w:r>
                </w:p>
              </w:tc>
            </w:tr>
            <w:tr w14:paraId="34F81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2" w:type="pct"/>
                  <w:gridSpan w:val="2"/>
                  <w:vMerge w:val="continue"/>
                  <w:noWrap w:val="0"/>
                  <w:vAlign w:val="center"/>
                </w:tcPr>
                <w:p w14:paraId="16BB4C98">
                  <w:pPr>
                    <w:jc w:val="center"/>
                    <w:rPr>
                      <w:rFonts w:hint="default" w:ascii="Times New Roman" w:hAnsi="Times New Roman" w:cs="Times New Roman"/>
                      <w:color w:val="000000"/>
                      <w:sz w:val="21"/>
                      <w:szCs w:val="21"/>
                      <w:highlight w:val="none"/>
                    </w:rPr>
                  </w:pPr>
                </w:p>
              </w:tc>
              <w:tc>
                <w:tcPr>
                  <w:tcW w:w="3005" w:type="pct"/>
                  <w:gridSpan w:val="3"/>
                  <w:shd w:val="clear" w:color="auto" w:fill="auto"/>
                  <w:noWrap w:val="0"/>
                  <w:vAlign w:val="center"/>
                </w:tcPr>
                <w:p w14:paraId="3D9DC298">
                  <w:pPr>
                    <w:widowControl/>
                    <w:jc w:val="center"/>
                    <w:textAlignment w:val="center"/>
                    <w:rPr>
                      <w:rFonts w:hint="default"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乙苯</w:t>
                  </w:r>
                </w:p>
              </w:tc>
              <w:tc>
                <w:tcPr>
                  <w:tcW w:w="872" w:type="pct"/>
                  <w:shd w:val="clear" w:color="auto" w:fill="auto"/>
                  <w:noWrap w:val="0"/>
                  <w:vAlign w:val="center"/>
                </w:tcPr>
                <w:p w14:paraId="6BA3BE2A">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0.019×10</w:t>
                  </w:r>
                  <w:r>
                    <w:rPr>
                      <w:rFonts w:hint="eastAsia" w:cs="Times New Roman"/>
                      <w:b w:val="0"/>
                      <w:bCs w:val="0"/>
                      <w:color w:val="auto"/>
                      <w:kern w:val="0"/>
                      <w:sz w:val="21"/>
                      <w:szCs w:val="21"/>
                      <w:highlight w:val="none"/>
                      <w:vertAlign w:val="superscript"/>
                      <w:lang w:val="en-US" w:eastAsia="zh-CN"/>
                    </w:rPr>
                    <w:t>-6</w:t>
                  </w:r>
                </w:p>
              </w:tc>
            </w:tr>
            <w:tr w14:paraId="159F6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2" w:type="pct"/>
                  <w:gridSpan w:val="2"/>
                  <w:vMerge w:val="continue"/>
                  <w:noWrap w:val="0"/>
                  <w:vAlign w:val="center"/>
                </w:tcPr>
                <w:p w14:paraId="292E7619">
                  <w:pPr>
                    <w:jc w:val="center"/>
                    <w:rPr>
                      <w:rFonts w:hint="default" w:ascii="Times New Roman" w:hAnsi="Times New Roman" w:cs="Times New Roman"/>
                      <w:color w:val="000000"/>
                      <w:sz w:val="21"/>
                      <w:szCs w:val="21"/>
                      <w:highlight w:val="none"/>
                    </w:rPr>
                  </w:pPr>
                </w:p>
              </w:tc>
              <w:tc>
                <w:tcPr>
                  <w:tcW w:w="3005" w:type="pct"/>
                  <w:gridSpan w:val="3"/>
                  <w:shd w:val="clear" w:color="auto" w:fill="auto"/>
                  <w:noWrap w:val="0"/>
                  <w:vAlign w:val="center"/>
                </w:tcPr>
                <w:p w14:paraId="5A790F4A">
                  <w:pPr>
                    <w:widowControl/>
                    <w:jc w:val="center"/>
                    <w:textAlignment w:val="center"/>
                    <w:rPr>
                      <w:rFonts w:hint="default"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苯乙烯</w:t>
                  </w:r>
                </w:p>
              </w:tc>
              <w:tc>
                <w:tcPr>
                  <w:tcW w:w="872" w:type="pct"/>
                  <w:shd w:val="clear" w:color="auto" w:fill="auto"/>
                  <w:noWrap w:val="0"/>
                  <w:vAlign w:val="center"/>
                </w:tcPr>
                <w:p w14:paraId="2FCD61DE">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0.011×10</w:t>
                  </w:r>
                  <w:r>
                    <w:rPr>
                      <w:rFonts w:hint="eastAsia" w:cs="Times New Roman"/>
                      <w:b w:val="0"/>
                      <w:bCs w:val="0"/>
                      <w:color w:val="auto"/>
                      <w:kern w:val="0"/>
                      <w:sz w:val="21"/>
                      <w:szCs w:val="21"/>
                      <w:highlight w:val="none"/>
                      <w:vertAlign w:val="superscript"/>
                      <w:lang w:val="en-US" w:eastAsia="zh-CN"/>
                    </w:rPr>
                    <w:t>-6</w:t>
                  </w:r>
                </w:p>
              </w:tc>
            </w:tr>
            <w:tr w14:paraId="7EFC5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000" w:type="pct"/>
                  <w:gridSpan w:val="6"/>
                  <w:noWrap w:val="0"/>
                  <w:vAlign w:val="center"/>
                </w:tcPr>
                <w:p w14:paraId="6381FCA6">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有组织排放总计</w:t>
                  </w:r>
                </w:p>
              </w:tc>
            </w:tr>
            <w:tr w14:paraId="15C42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2" w:type="pct"/>
                  <w:gridSpan w:val="2"/>
                  <w:vMerge w:val="restart"/>
                  <w:noWrap w:val="0"/>
                  <w:vAlign w:val="center"/>
                </w:tcPr>
                <w:p w14:paraId="54619713">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有组织排放总计</w:t>
                  </w:r>
                </w:p>
              </w:tc>
              <w:tc>
                <w:tcPr>
                  <w:tcW w:w="3005" w:type="pct"/>
                  <w:gridSpan w:val="3"/>
                  <w:shd w:val="clear" w:color="auto" w:fill="auto"/>
                  <w:noWrap w:val="0"/>
                  <w:vAlign w:val="center"/>
                </w:tcPr>
                <w:p w14:paraId="12F3064C">
                  <w:pPr>
                    <w:widowControl/>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非甲烷总烃</w:t>
                  </w:r>
                </w:p>
              </w:tc>
              <w:tc>
                <w:tcPr>
                  <w:tcW w:w="872" w:type="pct"/>
                  <w:shd w:val="clear" w:color="auto" w:fill="auto"/>
                  <w:noWrap w:val="0"/>
                  <w:vAlign w:val="center"/>
                </w:tcPr>
                <w:p w14:paraId="195D97D5">
                  <w:pPr>
                    <w:jc w:val="center"/>
                    <w:rPr>
                      <w:rFonts w:hint="default" w:ascii="Times New Roman" w:hAnsi="Times New Roman" w:eastAsia="宋体" w:cs="Times New Roman"/>
                      <w:color w:val="000000"/>
                      <w:kern w:val="2"/>
                      <w:sz w:val="21"/>
                      <w:szCs w:val="21"/>
                      <w:highlight w:val="none"/>
                      <w:lang w:val="en-US" w:eastAsia="zh-CN" w:bidi="ar-SA"/>
                    </w:rPr>
                  </w:pPr>
                  <w:r>
                    <w:rPr>
                      <w:rFonts w:hint="eastAsia" w:cs="Times New Roman"/>
                      <w:color w:val="000000"/>
                      <w:sz w:val="21"/>
                      <w:szCs w:val="21"/>
                      <w:highlight w:val="none"/>
                      <w:lang w:val="en-US" w:eastAsia="zh-CN"/>
                    </w:rPr>
                    <w:t>2.324</w:t>
                  </w:r>
                </w:p>
              </w:tc>
            </w:tr>
            <w:tr w14:paraId="377C1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2" w:type="pct"/>
                  <w:gridSpan w:val="2"/>
                  <w:vMerge w:val="continue"/>
                  <w:noWrap w:val="0"/>
                  <w:vAlign w:val="center"/>
                </w:tcPr>
                <w:p w14:paraId="10CCFDD9">
                  <w:pPr>
                    <w:jc w:val="center"/>
                    <w:rPr>
                      <w:rFonts w:hint="default" w:ascii="Times New Roman" w:hAnsi="Times New Roman" w:cs="Times New Roman"/>
                      <w:color w:val="000000"/>
                      <w:sz w:val="21"/>
                      <w:szCs w:val="21"/>
                      <w:highlight w:val="none"/>
                    </w:rPr>
                  </w:pPr>
                </w:p>
              </w:tc>
              <w:tc>
                <w:tcPr>
                  <w:tcW w:w="3005" w:type="pct"/>
                  <w:gridSpan w:val="3"/>
                  <w:shd w:val="clear" w:color="auto" w:fill="auto"/>
                  <w:noWrap w:val="0"/>
                  <w:vAlign w:val="center"/>
                </w:tcPr>
                <w:p w14:paraId="3F2503C0">
                  <w:pPr>
                    <w:widowControl/>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颗粒物</w:t>
                  </w:r>
                </w:p>
              </w:tc>
              <w:tc>
                <w:tcPr>
                  <w:tcW w:w="872" w:type="pct"/>
                  <w:shd w:val="clear" w:color="auto" w:fill="auto"/>
                  <w:noWrap w:val="0"/>
                  <w:vAlign w:val="center"/>
                </w:tcPr>
                <w:p w14:paraId="47D5D8A1">
                  <w:pPr>
                    <w:widowControl/>
                    <w:spacing w:line="240" w:lineRule="auto"/>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cs="Times New Roman"/>
                      <w:color w:val="000000"/>
                      <w:kern w:val="2"/>
                      <w:sz w:val="21"/>
                      <w:szCs w:val="21"/>
                      <w:highlight w:val="none"/>
                      <w:lang w:val="en-US" w:eastAsia="zh-CN" w:bidi="ar-SA"/>
                    </w:rPr>
                    <w:t>0.006</w:t>
                  </w:r>
                </w:p>
              </w:tc>
            </w:tr>
            <w:tr w14:paraId="389F2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2" w:type="pct"/>
                  <w:gridSpan w:val="2"/>
                  <w:vMerge w:val="continue"/>
                  <w:noWrap w:val="0"/>
                  <w:vAlign w:val="center"/>
                </w:tcPr>
                <w:p w14:paraId="5B83748C">
                  <w:pPr>
                    <w:jc w:val="center"/>
                    <w:rPr>
                      <w:rFonts w:hint="default" w:ascii="Times New Roman" w:hAnsi="Times New Roman" w:cs="Times New Roman"/>
                      <w:color w:val="000000"/>
                      <w:sz w:val="21"/>
                      <w:szCs w:val="21"/>
                      <w:highlight w:val="none"/>
                    </w:rPr>
                  </w:pPr>
                </w:p>
              </w:tc>
              <w:tc>
                <w:tcPr>
                  <w:tcW w:w="3005" w:type="pct"/>
                  <w:gridSpan w:val="3"/>
                  <w:shd w:val="clear" w:color="auto" w:fill="auto"/>
                  <w:noWrap w:val="0"/>
                  <w:vAlign w:val="center"/>
                </w:tcPr>
                <w:p w14:paraId="177E1387">
                  <w:pPr>
                    <w:widowControl/>
                    <w:jc w:val="center"/>
                    <w:textAlignment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锡及其化合物</w:t>
                  </w:r>
                </w:p>
              </w:tc>
              <w:tc>
                <w:tcPr>
                  <w:tcW w:w="872" w:type="pct"/>
                  <w:shd w:val="clear" w:color="auto" w:fill="auto"/>
                  <w:noWrap w:val="0"/>
                  <w:vAlign w:val="center"/>
                </w:tcPr>
                <w:p w14:paraId="2C1B861A">
                  <w:pPr>
                    <w:widowControl/>
                    <w:spacing w:line="240" w:lineRule="auto"/>
                    <w:jc w:val="center"/>
                    <w:textAlignment w:val="center"/>
                    <w:rPr>
                      <w:rFonts w:hint="eastAsia" w:ascii="Times New Roman" w:hAnsi="Times New Roman" w:eastAsia="宋体" w:cs="Times New Roman"/>
                      <w:color w:val="000000"/>
                      <w:kern w:val="0"/>
                      <w:sz w:val="21"/>
                      <w:szCs w:val="21"/>
                      <w:highlight w:val="none"/>
                      <w:lang w:val="en-US" w:eastAsia="zh-CN" w:bidi="ar"/>
                    </w:rPr>
                  </w:pPr>
                  <w:r>
                    <w:rPr>
                      <w:rFonts w:hint="default" w:ascii="Times New Roman" w:hAnsi="Times New Roman" w:eastAsia="宋体" w:cs="Times New Roman"/>
                      <w:color w:val="000000"/>
                      <w:kern w:val="2"/>
                      <w:sz w:val="21"/>
                      <w:szCs w:val="21"/>
                      <w:highlight w:val="none"/>
                      <w:lang w:val="en-US" w:eastAsia="zh-CN" w:bidi="ar-SA"/>
                    </w:rPr>
                    <w:t>0.00</w:t>
                  </w:r>
                  <w:r>
                    <w:rPr>
                      <w:rFonts w:hint="eastAsia" w:cs="Times New Roman"/>
                      <w:color w:val="000000"/>
                      <w:kern w:val="2"/>
                      <w:sz w:val="21"/>
                      <w:szCs w:val="21"/>
                      <w:highlight w:val="none"/>
                      <w:lang w:val="en-US" w:eastAsia="zh-CN" w:bidi="ar-SA"/>
                    </w:rPr>
                    <w:t>5</w:t>
                  </w:r>
                </w:p>
              </w:tc>
            </w:tr>
            <w:tr w14:paraId="512D6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2" w:type="pct"/>
                  <w:gridSpan w:val="2"/>
                  <w:vMerge w:val="continue"/>
                  <w:noWrap w:val="0"/>
                  <w:vAlign w:val="center"/>
                </w:tcPr>
                <w:p w14:paraId="605C12E0">
                  <w:pPr>
                    <w:jc w:val="center"/>
                    <w:rPr>
                      <w:rFonts w:hint="default" w:ascii="Times New Roman" w:hAnsi="Times New Roman" w:cs="Times New Roman"/>
                      <w:color w:val="000000"/>
                      <w:sz w:val="21"/>
                      <w:szCs w:val="21"/>
                      <w:highlight w:val="none"/>
                    </w:rPr>
                  </w:pPr>
                </w:p>
              </w:tc>
              <w:tc>
                <w:tcPr>
                  <w:tcW w:w="3005" w:type="pct"/>
                  <w:gridSpan w:val="3"/>
                  <w:shd w:val="clear" w:color="auto" w:fill="auto"/>
                  <w:noWrap w:val="0"/>
                  <w:vAlign w:val="center"/>
                </w:tcPr>
                <w:p w14:paraId="27C843CF">
                  <w:pPr>
                    <w:widowControl/>
                    <w:jc w:val="center"/>
                    <w:textAlignment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甲苯</w:t>
                  </w:r>
                </w:p>
              </w:tc>
              <w:tc>
                <w:tcPr>
                  <w:tcW w:w="872" w:type="pct"/>
                  <w:shd w:val="clear" w:color="auto" w:fill="auto"/>
                  <w:noWrap w:val="0"/>
                  <w:vAlign w:val="center"/>
                </w:tcPr>
                <w:p w14:paraId="6375B15F">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0.036×10</w:t>
                  </w:r>
                  <w:r>
                    <w:rPr>
                      <w:rFonts w:hint="eastAsia" w:cs="Times New Roman"/>
                      <w:b w:val="0"/>
                      <w:bCs w:val="0"/>
                      <w:color w:val="auto"/>
                      <w:kern w:val="0"/>
                      <w:sz w:val="21"/>
                      <w:szCs w:val="21"/>
                      <w:highlight w:val="none"/>
                      <w:vertAlign w:val="superscript"/>
                      <w:lang w:val="en-US" w:eastAsia="zh-CN"/>
                    </w:rPr>
                    <w:t>-6</w:t>
                  </w:r>
                </w:p>
              </w:tc>
            </w:tr>
            <w:tr w14:paraId="3360F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2" w:type="pct"/>
                  <w:gridSpan w:val="2"/>
                  <w:vMerge w:val="continue"/>
                  <w:noWrap w:val="0"/>
                  <w:vAlign w:val="center"/>
                </w:tcPr>
                <w:p w14:paraId="1B9B0FE5">
                  <w:pPr>
                    <w:jc w:val="center"/>
                    <w:rPr>
                      <w:rFonts w:hint="default" w:ascii="Times New Roman" w:hAnsi="Times New Roman" w:cs="Times New Roman"/>
                      <w:color w:val="000000"/>
                      <w:sz w:val="21"/>
                      <w:szCs w:val="21"/>
                      <w:highlight w:val="none"/>
                    </w:rPr>
                  </w:pPr>
                </w:p>
              </w:tc>
              <w:tc>
                <w:tcPr>
                  <w:tcW w:w="3005" w:type="pct"/>
                  <w:gridSpan w:val="3"/>
                  <w:shd w:val="clear" w:color="auto" w:fill="auto"/>
                  <w:noWrap w:val="0"/>
                  <w:vAlign w:val="center"/>
                </w:tcPr>
                <w:p w14:paraId="59FB4A51">
                  <w:pPr>
                    <w:widowControl/>
                    <w:jc w:val="center"/>
                    <w:textAlignment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乙苯</w:t>
                  </w:r>
                </w:p>
              </w:tc>
              <w:tc>
                <w:tcPr>
                  <w:tcW w:w="872" w:type="pct"/>
                  <w:shd w:val="clear" w:color="auto" w:fill="auto"/>
                  <w:noWrap w:val="0"/>
                  <w:vAlign w:val="center"/>
                </w:tcPr>
                <w:p w14:paraId="52EE5DF4">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0.019×10</w:t>
                  </w:r>
                  <w:r>
                    <w:rPr>
                      <w:rFonts w:hint="eastAsia" w:cs="Times New Roman"/>
                      <w:b w:val="0"/>
                      <w:bCs w:val="0"/>
                      <w:color w:val="auto"/>
                      <w:kern w:val="0"/>
                      <w:sz w:val="21"/>
                      <w:szCs w:val="21"/>
                      <w:highlight w:val="none"/>
                      <w:vertAlign w:val="superscript"/>
                      <w:lang w:val="en-US" w:eastAsia="zh-CN"/>
                    </w:rPr>
                    <w:t>-6</w:t>
                  </w:r>
                </w:p>
              </w:tc>
            </w:tr>
            <w:tr w14:paraId="54F07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2" w:type="pct"/>
                  <w:gridSpan w:val="2"/>
                  <w:vMerge w:val="continue"/>
                  <w:noWrap w:val="0"/>
                  <w:vAlign w:val="center"/>
                </w:tcPr>
                <w:p w14:paraId="5701E442">
                  <w:pPr>
                    <w:jc w:val="center"/>
                    <w:rPr>
                      <w:rFonts w:hint="default" w:ascii="Times New Roman" w:hAnsi="Times New Roman" w:cs="Times New Roman"/>
                      <w:color w:val="000000"/>
                      <w:sz w:val="21"/>
                      <w:szCs w:val="21"/>
                      <w:highlight w:val="none"/>
                    </w:rPr>
                  </w:pPr>
                </w:p>
              </w:tc>
              <w:tc>
                <w:tcPr>
                  <w:tcW w:w="3005" w:type="pct"/>
                  <w:gridSpan w:val="3"/>
                  <w:shd w:val="clear" w:color="auto" w:fill="auto"/>
                  <w:noWrap w:val="0"/>
                  <w:vAlign w:val="center"/>
                </w:tcPr>
                <w:p w14:paraId="4C76C53C">
                  <w:pPr>
                    <w:widowControl/>
                    <w:jc w:val="center"/>
                    <w:textAlignment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苯乙烯</w:t>
                  </w:r>
                </w:p>
              </w:tc>
              <w:tc>
                <w:tcPr>
                  <w:tcW w:w="872" w:type="pct"/>
                  <w:shd w:val="clear" w:color="auto" w:fill="auto"/>
                  <w:noWrap w:val="0"/>
                  <w:vAlign w:val="center"/>
                </w:tcPr>
                <w:p w14:paraId="55033797">
                  <w:pPr>
                    <w:widowControl/>
                    <w:spacing w:line="240" w:lineRule="auto"/>
                    <w:jc w:val="center"/>
                    <w:textAlignment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cs="Times New Roman"/>
                      <w:b w:val="0"/>
                      <w:bCs w:val="0"/>
                      <w:color w:val="auto"/>
                      <w:kern w:val="0"/>
                      <w:sz w:val="21"/>
                      <w:szCs w:val="21"/>
                      <w:highlight w:val="none"/>
                      <w:lang w:val="en-US" w:eastAsia="zh-CN"/>
                    </w:rPr>
                    <w:t>0.011×10</w:t>
                  </w:r>
                  <w:r>
                    <w:rPr>
                      <w:rFonts w:hint="eastAsia" w:cs="Times New Roman"/>
                      <w:b w:val="0"/>
                      <w:bCs w:val="0"/>
                      <w:color w:val="auto"/>
                      <w:kern w:val="0"/>
                      <w:sz w:val="21"/>
                      <w:szCs w:val="21"/>
                      <w:highlight w:val="none"/>
                      <w:vertAlign w:val="superscript"/>
                      <w:lang w:val="en-US" w:eastAsia="zh-CN"/>
                    </w:rPr>
                    <w:t>-6</w:t>
                  </w:r>
                </w:p>
              </w:tc>
            </w:tr>
          </w:tbl>
          <w:p w14:paraId="0A0A5D90">
            <w:pPr>
              <w:spacing w:line="360" w:lineRule="auto"/>
              <w:ind w:firstLine="480" w:firstLineChars="200"/>
              <w:rPr>
                <w:rFonts w:hint="default" w:eastAsia="宋体"/>
                <w:color w:val="auto"/>
                <w:sz w:val="24"/>
                <w:szCs w:val="24"/>
                <w:highlight w:val="none"/>
                <w:lang w:val="en-US" w:eastAsia="zh-CN"/>
              </w:rPr>
            </w:pPr>
            <w:r>
              <w:rPr>
                <w:rFonts w:hint="eastAsia"/>
                <w:color w:val="auto"/>
                <w:sz w:val="24"/>
                <w:szCs w:val="24"/>
                <w:highlight w:val="none"/>
                <w:lang w:val="en-US" w:eastAsia="zh-CN"/>
              </w:rPr>
              <w:t>②无组织排放量核算结果</w:t>
            </w:r>
          </w:p>
          <w:p w14:paraId="77AA643F">
            <w:pPr>
              <w:pStyle w:val="79"/>
              <w:adjustRightInd w:val="0"/>
              <w:spacing w:line="240" w:lineRule="auto"/>
              <w:ind w:left="0" w:leftChars="0" w:firstLine="2108" w:firstLineChars="1000"/>
              <w:jc w:val="both"/>
              <w:rPr>
                <w:rFonts w:hint="default" w:ascii="Times New Roman" w:hAnsi="Times New Roman" w:cs="Times New Roman"/>
                <w:b/>
                <w:bCs/>
                <w:color w:val="000000"/>
                <w:sz w:val="21"/>
                <w:szCs w:val="21"/>
                <w:highlight w:val="none"/>
              </w:rPr>
            </w:pPr>
            <w:r>
              <w:rPr>
                <w:rFonts w:hint="default" w:ascii="Times New Roman" w:hAnsi="Times New Roman" w:cs="Times New Roman"/>
                <w:b/>
                <w:bCs/>
                <w:color w:val="000000"/>
                <w:sz w:val="21"/>
                <w:szCs w:val="21"/>
                <w:highlight w:val="none"/>
              </w:rPr>
              <w:t>表4-</w:t>
            </w:r>
            <w:r>
              <w:rPr>
                <w:rFonts w:hint="eastAsia" w:cs="Times New Roman"/>
                <w:b/>
                <w:bCs/>
                <w:color w:val="000000"/>
                <w:sz w:val="21"/>
                <w:szCs w:val="21"/>
                <w:highlight w:val="none"/>
                <w:lang w:val="en-US" w:eastAsia="zh-CN"/>
              </w:rPr>
              <w:t>8</w:t>
            </w:r>
            <w:r>
              <w:rPr>
                <w:rFonts w:hint="default" w:ascii="Times New Roman" w:hAnsi="Times New Roman" w:cs="Times New Roman"/>
                <w:b/>
                <w:bCs/>
                <w:color w:val="000000"/>
                <w:sz w:val="21"/>
                <w:szCs w:val="21"/>
                <w:highlight w:val="none"/>
              </w:rPr>
              <w:t xml:space="preserve">  大气污染物无组织排放量核算表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3"/>
              <w:gridCol w:w="976"/>
              <w:gridCol w:w="1132"/>
              <w:gridCol w:w="1364"/>
              <w:gridCol w:w="1650"/>
              <w:gridCol w:w="1050"/>
              <w:gridCol w:w="1418"/>
            </w:tblGrid>
            <w:tr w14:paraId="74C7E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vMerge w:val="restart"/>
                  <w:noWrap w:val="0"/>
                  <w:vAlign w:val="center"/>
                </w:tcPr>
                <w:p w14:paraId="28BCC00E">
                  <w:pPr>
                    <w:jc w:val="center"/>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序号</w:t>
                  </w:r>
                </w:p>
              </w:tc>
              <w:tc>
                <w:tcPr>
                  <w:tcW w:w="613" w:type="pct"/>
                  <w:vMerge w:val="restart"/>
                  <w:noWrap w:val="0"/>
                  <w:vAlign w:val="center"/>
                </w:tcPr>
                <w:p w14:paraId="50A1904A">
                  <w:pPr>
                    <w:jc w:val="center"/>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产污</w:t>
                  </w:r>
                </w:p>
                <w:p w14:paraId="50163D7B">
                  <w:pPr>
                    <w:jc w:val="center"/>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环节</w:t>
                  </w:r>
                </w:p>
              </w:tc>
              <w:tc>
                <w:tcPr>
                  <w:tcW w:w="711" w:type="pct"/>
                  <w:vMerge w:val="restart"/>
                  <w:noWrap w:val="0"/>
                  <w:vAlign w:val="center"/>
                </w:tcPr>
                <w:p w14:paraId="351C6482">
                  <w:pPr>
                    <w:jc w:val="center"/>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污染物</w:t>
                  </w:r>
                </w:p>
              </w:tc>
              <w:tc>
                <w:tcPr>
                  <w:tcW w:w="857" w:type="pct"/>
                  <w:vMerge w:val="restart"/>
                  <w:noWrap w:val="0"/>
                  <w:vAlign w:val="center"/>
                </w:tcPr>
                <w:p w14:paraId="16E54A1C">
                  <w:pPr>
                    <w:jc w:val="center"/>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主要污染物防治措施</w:t>
                  </w:r>
                </w:p>
              </w:tc>
              <w:tc>
                <w:tcPr>
                  <w:tcW w:w="1697" w:type="pct"/>
                  <w:gridSpan w:val="2"/>
                  <w:noWrap w:val="0"/>
                  <w:vAlign w:val="center"/>
                </w:tcPr>
                <w:p w14:paraId="02DB5C52">
                  <w:pPr>
                    <w:jc w:val="center"/>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国家或地方污染排放标准</w:t>
                  </w:r>
                </w:p>
              </w:tc>
              <w:tc>
                <w:tcPr>
                  <w:tcW w:w="891" w:type="pct"/>
                  <w:vMerge w:val="restart"/>
                  <w:noWrap w:val="0"/>
                  <w:vAlign w:val="center"/>
                </w:tcPr>
                <w:p w14:paraId="74294CF8">
                  <w:pPr>
                    <w:jc w:val="center"/>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年排放量/（t/a）</w:t>
                  </w:r>
                </w:p>
              </w:tc>
            </w:tr>
            <w:tr w14:paraId="4BF5D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vMerge w:val="continue"/>
                  <w:noWrap w:val="0"/>
                  <w:vAlign w:val="center"/>
                </w:tcPr>
                <w:p w14:paraId="54974235">
                  <w:pPr>
                    <w:jc w:val="center"/>
                    <w:rPr>
                      <w:rFonts w:hint="default" w:ascii="Times New Roman" w:hAnsi="Times New Roman" w:cs="Times New Roman"/>
                      <w:color w:val="000000"/>
                      <w:sz w:val="18"/>
                      <w:szCs w:val="18"/>
                      <w:highlight w:val="none"/>
                    </w:rPr>
                  </w:pPr>
                </w:p>
              </w:tc>
              <w:tc>
                <w:tcPr>
                  <w:tcW w:w="613" w:type="pct"/>
                  <w:vMerge w:val="continue"/>
                  <w:noWrap w:val="0"/>
                  <w:vAlign w:val="center"/>
                </w:tcPr>
                <w:p w14:paraId="59EB287E">
                  <w:pPr>
                    <w:jc w:val="center"/>
                    <w:rPr>
                      <w:rFonts w:hint="default" w:ascii="Times New Roman" w:hAnsi="Times New Roman" w:cs="Times New Roman"/>
                      <w:color w:val="000000"/>
                      <w:sz w:val="18"/>
                      <w:szCs w:val="18"/>
                      <w:highlight w:val="none"/>
                    </w:rPr>
                  </w:pPr>
                </w:p>
              </w:tc>
              <w:tc>
                <w:tcPr>
                  <w:tcW w:w="711" w:type="pct"/>
                  <w:vMerge w:val="continue"/>
                  <w:noWrap w:val="0"/>
                  <w:vAlign w:val="center"/>
                </w:tcPr>
                <w:p w14:paraId="7DA60D0C">
                  <w:pPr>
                    <w:jc w:val="center"/>
                    <w:rPr>
                      <w:rFonts w:hint="default" w:ascii="Times New Roman" w:hAnsi="Times New Roman" w:cs="Times New Roman"/>
                      <w:color w:val="000000"/>
                      <w:sz w:val="18"/>
                      <w:szCs w:val="18"/>
                      <w:highlight w:val="none"/>
                    </w:rPr>
                  </w:pPr>
                </w:p>
              </w:tc>
              <w:tc>
                <w:tcPr>
                  <w:tcW w:w="857" w:type="pct"/>
                  <w:vMerge w:val="continue"/>
                  <w:noWrap w:val="0"/>
                  <w:vAlign w:val="center"/>
                </w:tcPr>
                <w:p w14:paraId="29A197B6">
                  <w:pPr>
                    <w:jc w:val="center"/>
                    <w:rPr>
                      <w:rFonts w:hint="default" w:ascii="Times New Roman" w:hAnsi="Times New Roman" w:cs="Times New Roman"/>
                      <w:color w:val="000000"/>
                      <w:sz w:val="18"/>
                      <w:szCs w:val="18"/>
                      <w:highlight w:val="none"/>
                    </w:rPr>
                  </w:pPr>
                </w:p>
              </w:tc>
              <w:tc>
                <w:tcPr>
                  <w:tcW w:w="1037" w:type="pct"/>
                  <w:noWrap w:val="0"/>
                  <w:vAlign w:val="center"/>
                </w:tcPr>
                <w:p w14:paraId="0C323631">
                  <w:pPr>
                    <w:jc w:val="center"/>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标准名称</w:t>
                  </w:r>
                </w:p>
              </w:tc>
              <w:tc>
                <w:tcPr>
                  <w:tcW w:w="660" w:type="pct"/>
                  <w:noWrap w:val="0"/>
                  <w:vAlign w:val="center"/>
                </w:tcPr>
                <w:p w14:paraId="7481ACD0">
                  <w:pPr>
                    <w:jc w:val="center"/>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浓度限值/（mg/m</w:t>
                  </w:r>
                  <w:r>
                    <w:rPr>
                      <w:rFonts w:hint="default" w:ascii="Times New Roman" w:hAnsi="Times New Roman" w:cs="Times New Roman"/>
                      <w:color w:val="000000"/>
                      <w:sz w:val="18"/>
                      <w:szCs w:val="18"/>
                      <w:highlight w:val="none"/>
                      <w:vertAlign w:val="superscript"/>
                    </w:rPr>
                    <w:t>3</w:t>
                  </w:r>
                  <w:r>
                    <w:rPr>
                      <w:rFonts w:hint="default" w:ascii="Times New Roman" w:hAnsi="Times New Roman" w:cs="Times New Roman"/>
                      <w:color w:val="000000"/>
                      <w:sz w:val="18"/>
                      <w:szCs w:val="18"/>
                      <w:highlight w:val="none"/>
                    </w:rPr>
                    <w:t>）</w:t>
                  </w:r>
                </w:p>
              </w:tc>
              <w:tc>
                <w:tcPr>
                  <w:tcW w:w="891" w:type="pct"/>
                  <w:vMerge w:val="continue"/>
                  <w:noWrap w:val="0"/>
                  <w:vAlign w:val="center"/>
                </w:tcPr>
                <w:p w14:paraId="21AF9FD5">
                  <w:pPr>
                    <w:jc w:val="center"/>
                    <w:rPr>
                      <w:rFonts w:hint="default" w:ascii="Times New Roman" w:hAnsi="Times New Roman" w:cs="Times New Roman"/>
                      <w:color w:val="000000"/>
                      <w:sz w:val="18"/>
                      <w:szCs w:val="18"/>
                      <w:highlight w:val="none"/>
                    </w:rPr>
                  </w:pPr>
                </w:p>
              </w:tc>
            </w:tr>
            <w:tr w14:paraId="768FD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noWrap w:val="0"/>
                  <w:vAlign w:val="center"/>
                </w:tcPr>
                <w:p w14:paraId="6E8EB5A7">
                  <w:pPr>
                    <w:jc w:val="center"/>
                    <w:rPr>
                      <w:rFonts w:hint="eastAsia" w:ascii="Times New Roman" w:hAnsi="Times New Roman" w:eastAsia="宋体" w:cs="Times New Roman"/>
                      <w:color w:val="000000"/>
                      <w:sz w:val="18"/>
                      <w:szCs w:val="18"/>
                      <w:highlight w:val="none"/>
                      <w:lang w:val="en-US" w:eastAsia="zh-CN"/>
                    </w:rPr>
                  </w:pPr>
                  <w:r>
                    <w:rPr>
                      <w:rFonts w:hint="eastAsia" w:cs="Times New Roman"/>
                      <w:color w:val="000000"/>
                      <w:sz w:val="18"/>
                      <w:szCs w:val="18"/>
                      <w:highlight w:val="none"/>
                      <w:lang w:val="en-US" w:eastAsia="zh-CN"/>
                    </w:rPr>
                    <w:t>1</w:t>
                  </w:r>
                </w:p>
              </w:tc>
              <w:tc>
                <w:tcPr>
                  <w:tcW w:w="613" w:type="pct"/>
                  <w:shd w:val="clear" w:color="auto" w:fill="auto"/>
                  <w:noWrap w:val="0"/>
                  <w:vAlign w:val="center"/>
                </w:tcPr>
                <w:p w14:paraId="32D7EE6D">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eastAsia" w:ascii="Times New Roman" w:hAnsi="Times New Roman" w:cs="Times New Roman"/>
                      <w:b w:val="0"/>
                      <w:bCs/>
                      <w:color w:val="000000"/>
                      <w:sz w:val="18"/>
                      <w:szCs w:val="18"/>
                      <w:highlight w:val="none"/>
                      <w:lang w:val="en-US" w:eastAsia="zh-CN"/>
                    </w:rPr>
                    <w:t>锡膏印刷废气</w:t>
                  </w:r>
                </w:p>
              </w:tc>
              <w:tc>
                <w:tcPr>
                  <w:tcW w:w="711" w:type="pct"/>
                  <w:shd w:val="clear" w:color="auto" w:fill="auto"/>
                  <w:noWrap w:val="0"/>
                  <w:vAlign w:val="center"/>
                </w:tcPr>
                <w:p w14:paraId="305E8652">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eastAsia" w:ascii="Times New Roman" w:hAnsi="Times New Roman" w:cs="Times New Roman"/>
                      <w:b w:val="0"/>
                      <w:bCs/>
                      <w:color w:val="000000"/>
                      <w:sz w:val="18"/>
                      <w:szCs w:val="18"/>
                      <w:highlight w:val="none"/>
                      <w:lang w:val="en-US" w:eastAsia="zh-CN"/>
                    </w:rPr>
                    <w:t>非甲烷总烃</w:t>
                  </w:r>
                </w:p>
              </w:tc>
              <w:tc>
                <w:tcPr>
                  <w:tcW w:w="857" w:type="pct"/>
                  <w:vMerge w:val="restart"/>
                  <w:noWrap w:val="0"/>
                  <w:vAlign w:val="center"/>
                </w:tcPr>
                <w:p w14:paraId="399E11A2">
                  <w:pPr>
                    <w:jc w:val="center"/>
                    <w:rPr>
                      <w:rFonts w:hint="default" w:ascii="Times New Roman" w:hAnsi="Times New Roman" w:cs="Times New Roman"/>
                      <w:color w:val="000000"/>
                      <w:sz w:val="18"/>
                      <w:szCs w:val="18"/>
                      <w:highlight w:val="none"/>
                    </w:rPr>
                  </w:pPr>
                  <w:r>
                    <w:rPr>
                      <w:rFonts w:hint="default" w:ascii="Times New Roman" w:hAnsi="Times New Roman" w:cs="Times New Roman"/>
                      <w:color w:val="000000"/>
                      <w:sz w:val="18"/>
                      <w:szCs w:val="18"/>
                      <w:highlight w:val="none"/>
                    </w:rPr>
                    <w:t>加强车间通风</w:t>
                  </w:r>
                </w:p>
              </w:tc>
              <w:tc>
                <w:tcPr>
                  <w:tcW w:w="1037" w:type="pct"/>
                  <w:vMerge w:val="restart"/>
                  <w:noWrap w:val="0"/>
                  <w:vAlign w:val="center"/>
                </w:tcPr>
                <w:p w14:paraId="4CECA803">
                  <w:pPr>
                    <w:jc w:val="center"/>
                    <w:rPr>
                      <w:rFonts w:hint="default" w:ascii="Times New Roman" w:hAnsi="Times New Roman" w:cs="Times New Roman"/>
                      <w:color w:val="000000"/>
                      <w:sz w:val="18"/>
                      <w:szCs w:val="18"/>
                      <w:highlight w:val="none"/>
                    </w:rPr>
                  </w:pPr>
                  <w:r>
                    <w:rPr>
                      <w:rFonts w:hint="default" w:ascii="Times New Roman" w:hAnsi="Times New Roman" w:cs="Times New Roman"/>
                      <w:b w:val="0"/>
                      <w:bCs/>
                      <w:color w:val="auto"/>
                      <w:sz w:val="18"/>
                      <w:szCs w:val="18"/>
                      <w:highlight w:val="none"/>
                    </w:rPr>
                    <w:t>大气污染物综合排放标准》（GB16297-1996）</w:t>
                  </w:r>
                </w:p>
              </w:tc>
              <w:tc>
                <w:tcPr>
                  <w:tcW w:w="660" w:type="pct"/>
                  <w:noWrap w:val="0"/>
                  <w:vAlign w:val="center"/>
                </w:tcPr>
                <w:p w14:paraId="75BEB4CD">
                  <w:pPr>
                    <w:jc w:val="center"/>
                    <w:rPr>
                      <w:rFonts w:hint="default" w:ascii="Times New Roman" w:hAnsi="Times New Roman" w:cs="Times New Roman"/>
                      <w:color w:val="000000"/>
                      <w:sz w:val="18"/>
                      <w:szCs w:val="18"/>
                      <w:highlight w:val="none"/>
                    </w:rPr>
                  </w:pPr>
                  <w:r>
                    <w:rPr>
                      <w:rFonts w:hint="eastAsia" w:ascii="Times New Roman" w:hAnsi="Times New Roman" w:cs="Times New Roman"/>
                      <w:b w:val="0"/>
                      <w:bCs w:val="0"/>
                      <w:color w:val="auto"/>
                      <w:sz w:val="18"/>
                      <w:szCs w:val="18"/>
                      <w:highlight w:val="none"/>
                      <w:vertAlign w:val="baseline"/>
                      <w:lang w:val="en-US" w:eastAsia="zh-CN"/>
                    </w:rPr>
                    <w:t>4.0</w:t>
                  </w:r>
                </w:p>
              </w:tc>
              <w:tc>
                <w:tcPr>
                  <w:tcW w:w="891" w:type="pct"/>
                  <w:shd w:val="clear" w:color="auto" w:fill="auto"/>
                  <w:noWrap w:val="0"/>
                  <w:vAlign w:val="center"/>
                </w:tcPr>
                <w:p w14:paraId="466E27CF">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default" w:ascii="Times New Roman" w:hAnsi="Times New Roman" w:cs="Times New Roman"/>
                      <w:b w:val="0"/>
                      <w:bCs/>
                      <w:color w:val="000000"/>
                      <w:sz w:val="18"/>
                      <w:szCs w:val="18"/>
                      <w:highlight w:val="none"/>
                    </w:rPr>
                    <w:t>0.022</w:t>
                  </w:r>
                </w:p>
              </w:tc>
            </w:tr>
            <w:tr w14:paraId="5AD14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noWrap w:val="0"/>
                  <w:vAlign w:val="center"/>
                </w:tcPr>
                <w:p w14:paraId="169A7F2D">
                  <w:pPr>
                    <w:jc w:val="center"/>
                    <w:rPr>
                      <w:rFonts w:hint="eastAsia" w:ascii="Times New Roman" w:hAnsi="Times New Roman" w:eastAsia="宋体" w:cs="Times New Roman"/>
                      <w:color w:val="000000"/>
                      <w:sz w:val="18"/>
                      <w:szCs w:val="18"/>
                      <w:highlight w:val="none"/>
                      <w:lang w:val="en-US" w:eastAsia="zh-CN"/>
                    </w:rPr>
                  </w:pPr>
                  <w:r>
                    <w:rPr>
                      <w:rFonts w:hint="eastAsia" w:cs="Times New Roman"/>
                      <w:color w:val="000000"/>
                      <w:sz w:val="18"/>
                      <w:szCs w:val="18"/>
                      <w:highlight w:val="none"/>
                      <w:lang w:val="en-US" w:eastAsia="zh-CN"/>
                    </w:rPr>
                    <w:t>2</w:t>
                  </w:r>
                </w:p>
              </w:tc>
              <w:tc>
                <w:tcPr>
                  <w:tcW w:w="613" w:type="pct"/>
                  <w:shd w:val="clear" w:color="auto" w:fill="auto"/>
                  <w:noWrap w:val="0"/>
                  <w:vAlign w:val="center"/>
                </w:tcPr>
                <w:p w14:paraId="53ADC9FE">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eastAsia" w:ascii="Times New Roman" w:hAnsi="Times New Roman" w:cs="Times New Roman"/>
                      <w:b w:val="0"/>
                      <w:bCs/>
                      <w:color w:val="000000"/>
                      <w:sz w:val="18"/>
                      <w:szCs w:val="18"/>
                      <w:highlight w:val="none"/>
                      <w:lang w:val="en-US" w:eastAsia="zh-CN"/>
                    </w:rPr>
                    <w:t>钢网擦拭废气</w:t>
                  </w:r>
                </w:p>
              </w:tc>
              <w:tc>
                <w:tcPr>
                  <w:tcW w:w="711" w:type="pct"/>
                  <w:shd w:val="clear" w:color="auto" w:fill="auto"/>
                  <w:noWrap w:val="0"/>
                  <w:vAlign w:val="center"/>
                </w:tcPr>
                <w:p w14:paraId="6F8B9369">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eastAsia" w:ascii="Times New Roman" w:hAnsi="Times New Roman" w:cs="Times New Roman"/>
                      <w:b w:val="0"/>
                      <w:bCs/>
                      <w:color w:val="000000"/>
                      <w:sz w:val="18"/>
                      <w:szCs w:val="18"/>
                      <w:highlight w:val="none"/>
                      <w:lang w:val="en-US" w:eastAsia="zh-CN"/>
                    </w:rPr>
                    <w:t>非甲烷总烃</w:t>
                  </w:r>
                </w:p>
              </w:tc>
              <w:tc>
                <w:tcPr>
                  <w:tcW w:w="857" w:type="pct"/>
                  <w:vMerge w:val="continue"/>
                  <w:noWrap w:val="0"/>
                  <w:vAlign w:val="center"/>
                </w:tcPr>
                <w:p w14:paraId="3A4F83B9">
                  <w:pPr>
                    <w:jc w:val="center"/>
                    <w:rPr>
                      <w:rFonts w:hint="default" w:ascii="Times New Roman" w:hAnsi="Times New Roman" w:cs="Times New Roman"/>
                      <w:color w:val="000000"/>
                      <w:sz w:val="18"/>
                      <w:szCs w:val="18"/>
                      <w:highlight w:val="none"/>
                    </w:rPr>
                  </w:pPr>
                </w:p>
              </w:tc>
              <w:tc>
                <w:tcPr>
                  <w:tcW w:w="1037" w:type="pct"/>
                  <w:vMerge w:val="continue"/>
                  <w:noWrap w:val="0"/>
                  <w:vAlign w:val="center"/>
                </w:tcPr>
                <w:p w14:paraId="078613EB">
                  <w:pPr>
                    <w:jc w:val="center"/>
                    <w:rPr>
                      <w:rFonts w:hint="default" w:ascii="Times New Roman" w:hAnsi="Times New Roman" w:cs="Times New Roman"/>
                      <w:color w:val="000000"/>
                      <w:sz w:val="18"/>
                      <w:szCs w:val="18"/>
                      <w:highlight w:val="none"/>
                    </w:rPr>
                  </w:pPr>
                </w:p>
              </w:tc>
              <w:tc>
                <w:tcPr>
                  <w:tcW w:w="660" w:type="pct"/>
                  <w:noWrap w:val="0"/>
                  <w:vAlign w:val="center"/>
                </w:tcPr>
                <w:p w14:paraId="6F92ED88">
                  <w:pPr>
                    <w:jc w:val="center"/>
                    <w:rPr>
                      <w:rFonts w:hint="default" w:ascii="Times New Roman" w:hAnsi="Times New Roman" w:cs="Times New Roman"/>
                      <w:color w:val="000000"/>
                      <w:sz w:val="18"/>
                      <w:szCs w:val="18"/>
                      <w:highlight w:val="none"/>
                    </w:rPr>
                  </w:pPr>
                  <w:r>
                    <w:rPr>
                      <w:rFonts w:hint="eastAsia" w:ascii="Times New Roman" w:hAnsi="Times New Roman" w:cs="Times New Roman"/>
                      <w:b w:val="0"/>
                      <w:bCs w:val="0"/>
                      <w:color w:val="auto"/>
                      <w:sz w:val="18"/>
                      <w:szCs w:val="18"/>
                      <w:highlight w:val="none"/>
                      <w:vertAlign w:val="baseline"/>
                      <w:lang w:val="en-US" w:eastAsia="zh-CN"/>
                    </w:rPr>
                    <w:t>4.0</w:t>
                  </w:r>
                </w:p>
              </w:tc>
              <w:tc>
                <w:tcPr>
                  <w:tcW w:w="891" w:type="pct"/>
                  <w:shd w:val="clear" w:color="auto" w:fill="auto"/>
                  <w:noWrap w:val="0"/>
                  <w:vAlign w:val="center"/>
                </w:tcPr>
                <w:p w14:paraId="08BB6509">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default" w:ascii="Times New Roman" w:hAnsi="Times New Roman" w:cs="Times New Roman"/>
                      <w:b w:val="0"/>
                      <w:bCs/>
                      <w:color w:val="000000"/>
                      <w:sz w:val="18"/>
                      <w:szCs w:val="18"/>
                      <w:highlight w:val="none"/>
                    </w:rPr>
                    <w:t>0.078</w:t>
                  </w:r>
                </w:p>
              </w:tc>
            </w:tr>
            <w:tr w14:paraId="0F2F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vMerge w:val="restart"/>
                  <w:noWrap w:val="0"/>
                  <w:vAlign w:val="center"/>
                </w:tcPr>
                <w:p w14:paraId="097C8061">
                  <w:pPr>
                    <w:jc w:val="center"/>
                    <w:rPr>
                      <w:rFonts w:hint="eastAsia" w:ascii="Times New Roman" w:hAnsi="Times New Roman" w:eastAsia="宋体" w:cs="Times New Roman"/>
                      <w:color w:val="000000"/>
                      <w:sz w:val="18"/>
                      <w:szCs w:val="18"/>
                      <w:highlight w:val="none"/>
                      <w:lang w:val="en-US" w:eastAsia="zh-CN"/>
                    </w:rPr>
                  </w:pPr>
                  <w:r>
                    <w:rPr>
                      <w:rFonts w:hint="eastAsia" w:cs="Times New Roman"/>
                      <w:color w:val="000000"/>
                      <w:sz w:val="18"/>
                      <w:szCs w:val="18"/>
                      <w:highlight w:val="none"/>
                      <w:lang w:val="en-US" w:eastAsia="zh-CN"/>
                    </w:rPr>
                    <w:t>3</w:t>
                  </w:r>
                </w:p>
              </w:tc>
              <w:tc>
                <w:tcPr>
                  <w:tcW w:w="613" w:type="pct"/>
                  <w:vMerge w:val="restart"/>
                  <w:noWrap w:val="0"/>
                  <w:vAlign w:val="center"/>
                </w:tcPr>
                <w:p w14:paraId="1234E6D5">
                  <w:pPr>
                    <w:jc w:val="center"/>
                    <w:rPr>
                      <w:rFonts w:hint="default" w:ascii="Times New Roman" w:hAnsi="Times New Roman" w:cs="Times New Roman"/>
                      <w:color w:val="000000"/>
                      <w:sz w:val="18"/>
                      <w:szCs w:val="18"/>
                      <w:highlight w:val="none"/>
                    </w:rPr>
                  </w:pPr>
                  <w:r>
                    <w:rPr>
                      <w:rFonts w:hint="eastAsia" w:ascii="Times New Roman" w:hAnsi="Times New Roman" w:cs="Times New Roman"/>
                      <w:b w:val="0"/>
                      <w:bCs/>
                      <w:color w:val="000000"/>
                      <w:sz w:val="18"/>
                      <w:szCs w:val="18"/>
                      <w:highlight w:val="none"/>
                      <w:lang w:val="en-US" w:eastAsia="zh-CN"/>
                    </w:rPr>
                    <w:t>手工焊接废气</w:t>
                  </w:r>
                </w:p>
              </w:tc>
              <w:tc>
                <w:tcPr>
                  <w:tcW w:w="711" w:type="pct"/>
                  <w:shd w:val="clear" w:color="auto" w:fill="auto"/>
                  <w:noWrap w:val="0"/>
                  <w:vAlign w:val="center"/>
                </w:tcPr>
                <w:p w14:paraId="4CD8676A">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eastAsia" w:ascii="Times New Roman" w:hAnsi="Times New Roman" w:cs="Times New Roman"/>
                      <w:b w:val="0"/>
                      <w:bCs/>
                      <w:color w:val="000000"/>
                      <w:sz w:val="18"/>
                      <w:szCs w:val="18"/>
                      <w:highlight w:val="none"/>
                      <w:lang w:val="en-US" w:eastAsia="zh-CN"/>
                    </w:rPr>
                    <w:t>颗粒物</w:t>
                  </w:r>
                </w:p>
              </w:tc>
              <w:tc>
                <w:tcPr>
                  <w:tcW w:w="857" w:type="pct"/>
                  <w:vMerge w:val="continue"/>
                  <w:noWrap w:val="0"/>
                  <w:vAlign w:val="center"/>
                </w:tcPr>
                <w:p w14:paraId="4132750D">
                  <w:pPr>
                    <w:jc w:val="center"/>
                    <w:rPr>
                      <w:rFonts w:hint="default" w:ascii="Times New Roman" w:hAnsi="Times New Roman" w:cs="Times New Roman"/>
                      <w:color w:val="000000"/>
                      <w:sz w:val="18"/>
                      <w:szCs w:val="18"/>
                      <w:highlight w:val="none"/>
                    </w:rPr>
                  </w:pPr>
                </w:p>
              </w:tc>
              <w:tc>
                <w:tcPr>
                  <w:tcW w:w="1037" w:type="pct"/>
                  <w:vMerge w:val="continue"/>
                  <w:noWrap w:val="0"/>
                  <w:vAlign w:val="center"/>
                </w:tcPr>
                <w:p w14:paraId="13979239">
                  <w:pPr>
                    <w:jc w:val="center"/>
                    <w:rPr>
                      <w:rFonts w:hint="default" w:ascii="Times New Roman" w:hAnsi="Times New Roman" w:cs="Times New Roman"/>
                      <w:color w:val="000000"/>
                      <w:sz w:val="18"/>
                      <w:szCs w:val="18"/>
                      <w:highlight w:val="none"/>
                    </w:rPr>
                  </w:pPr>
                </w:p>
              </w:tc>
              <w:tc>
                <w:tcPr>
                  <w:tcW w:w="660" w:type="pct"/>
                  <w:noWrap w:val="0"/>
                  <w:vAlign w:val="center"/>
                </w:tcPr>
                <w:p w14:paraId="7C78D995">
                  <w:pPr>
                    <w:jc w:val="center"/>
                    <w:rPr>
                      <w:rFonts w:hint="default" w:ascii="Times New Roman" w:hAnsi="Times New Roman" w:cs="Times New Roman"/>
                      <w:color w:val="000000"/>
                      <w:sz w:val="18"/>
                      <w:szCs w:val="18"/>
                      <w:highlight w:val="none"/>
                    </w:rPr>
                  </w:pPr>
                  <w:r>
                    <w:rPr>
                      <w:rFonts w:hint="eastAsia" w:ascii="Times New Roman" w:hAnsi="Times New Roman" w:eastAsia="宋体" w:cs="Times New Roman"/>
                      <w:b w:val="0"/>
                      <w:bCs w:val="0"/>
                      <w:color w:val="auto"/>
                      <w:sz w:val="18"/>
                      <w:szCs w:val="18"/>
                      <w:highlight w:val="none"/>
                      <w:vertAlign w:val="baseline"/>
                      <w:lang w:val="en-US" w:eastAsia="zh-CN"/>
                    </w:rPr>
                    <w:t>1.0</w:t>
                  </w:r>
                </w:p>
              </w:tc>
              <w:tc>
                <w:tcPr>
                  <w:tcW w:w="891" w:type="pct"/>
                  <w:shd w:val="clear" w:color="auto" w:fill="auto"/>
                  <w:noWrap w:val="0"/>
                  <w:vAlign w:val="center"/>
                </w:tcPr>
                <w:p w14:paraId="04BEA346">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eastAsia" w:ascii="Times New Roman" w:hAnsi="Times New Roman" w:cs="Times New Roman"/>
                      <w:b w:val="0"/>
                      <w:bCs/>
                      <w:color w:val="000000"/>
                      <w:sz w:val="18"/>
                      <w:szCs w:val="18"/>
                      <w:highlight w:val="none"/>
                      <w:lang w:val="en-US" w:eastAsia="zh-CN"/>
                    </w:rPr>
                    <w:t>0.00006</w:t>
                  </w:r>
                </w:p>
              </w:tc>
            </w:tr>
            <w:tr w14:paraId="41DA3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vMerge w:val="continue"/>
                  <w:noWrap w:val="0"/>
                  <w:vAlign w:val="center"/>
                </w:tcPr>
                <w:p w14:paraId="07FD22F9">
                  <w:pPr>
                    <w:jc w:val="center"/>
                    <w:rPr>
                      <w:rFonts w:hint="default" w:ascii="Times New Roman" w:hAnsi="Times New Roman" w:cs="Times New Roman"/>
                      <w:color w:val="000000"/>
                      <w:sz w:val="18"/>
                      <w:szCs w:val="18"/>
                      <w:highlight w:val="none"/>
                    </w:rPr>
                  </w:pPr>
                </w:p>
              </w:tc>
              <w:tc>
                <w:tcPr>
                  <w:tcW w:w="613" w:type="pct"/>
                  <w:vMerge w:val="continue"/>
                  <w:noWrap w:val="0"/>
                  <w:vAlign w:val="center"/>
                </w:tcPr>
                <w:p w14:paraId="74A79EAC">
                  <w:pPr>
                    <w:jc w:val="center"/>
                    <w:rPr>
                      <w:rFonts w:hint="default" w:ascii="Times New Roman" w:hAnsi="Times New Roman" w:cs="Times New Roman"/>
                      <w:color w:val="000000"/>
                      <w:sz w:val="18"/>
                      <w:szCs w:val="18"/>
                      <w:highlight w:val="none"/>
                    </w:rPr>
                  </w:pPr>
                </w:p>
              </w:tc>
              <w:tc>
                <w:tcPr>
                  <w:tcW w:w="711" w:type="pct"/>
                  <w:shd w:val="clear" w:color="auto" w:fill="auto"/>
                  <w:noWrap w:val="0"/>
                  <w:vAlign w:val="center"/>
                </w:tcPr>
                <w:p w14:paraId="24F38E8E">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eastAsia" w:ascii="Times New Roman" w:hAnsi="Times New Roman" w:cs="Times New Roman"/>
                      <w:b w:val="0"/>
                      <w:bCs/>
                      <w:color w:val="000000"/>
                      <w:sz w:val="18"/>
                      <w:szCs w:val="18"/>
                      <w:highlight w:val="none"/>
                      <w:lang w:val="en-US" w:eastAsia="zh-CN"/>
                    </w:rPr>
                    <w:t>锡及其化合物</w:t>
                  </w:r>
                </w:p>
              </w:tc>
              <w:tc>
                <w:tcPr>
                  <w:tcW w:w="857" w:type="pct"/>
                  <w:vMerge w:val="continue"/>
                  <w:noWrap w:val="0"/>
                  <w:vAlign w:val="center"/>
                </w:tcPr>
                <w:p w14:paraId="1576B85D">
                  <w:pPr>
                    <w:jc w:val="center"/>
                    <w:rPr>
                      <w:rFonts w:hint="default" w:ascii="Times New Roman" w:hAnsi="Times New Roman" w:cs="Times New Roman"/>
                      <w:color w:val="000000"/>
                      <w:sz w:val="18"/>
                      <w:szCs w:val="18"/>
                      <w:highlight w:val="none"/>
                    </w:rPr>
                  </w:pPr>
                </w:p>
              </w:tc>
              <w:tc>
                <w:tcPr>
                  <w:tcW w:w="1037" w:type="pct"/>
                  <w:vMerge w:val="continue"/>
                  <w:noWrap w:val="0"/>
                  <w:vAlign w:val="center"/>
                </w:tcPr>
                <w:p w14:paraId="75CEDB62">
                  <w:pPr>
                    <w:jc w:val="center"/>
                    <w:rPr>
                      <w:rFonts w:hint="default" w:ascii="Times New Roman" w:hAnsi="Times New Roman" w:cs="Times New Roman"/>
                      <w:color w:val="000000"/>
                      <w:sz w:val="18"/>
                      <w:szCs w:val="18"/>
                      <w:highlight w:val="none"/>
                    </w:rPr>
                  </w:pPr>
                </w:p>
              </w:tc>
              <w:tc>
                <w:tcPr>
                  <w:tcW w:w="660" w:type="pct"/>
                  <w:noWrap w:val="0"/>
                  <w:vAlign w:val="center"/>
                </w:tcPr>
                <w:p w14:paraId="34B9A86E">
                  <w:pPr>
                    <w:jc w:val="center"/>
                    <w:rPr>
                      <w:rFonts w:hint="default" w:ascii="Times New Roman" w:hAnsi="Times New Roman" w:cs="Times New Roman"/>
                      <w:color w:val="000000"/>
                      <w:sz w:val="18"/>
                      <w:szCs w:val="18"/>
                      <w:highlight w:val="none"/>
                    </w:rPr>
                  </w:pPr>
                  <w:r>
                    <w:rPr>
                      <w:rFonts w:hint="eastAsia" w:ascii="Times New Roman" w:hAnsi="Times New Roman" w:eastAsia="宋体" w:cs="Times New Roman"/>
                      <w:b w:val="0"/>
                      <w:bCs w:val="0"/>
                      <w:color w:val="auto"/>
                      <w:sz w:val="18"/>
                      <w:szCs w:val="18"/>
                      <w:highlight w:val="none"/>
                      <w:vertAlign w:val="baseline"/>
                      <w:lang w:val="en-US" w:eastAsia="zh-CN"/>
                    </w:rPr>
                    <w:t>0.24</w:t>
                  </w:r>
                </w:p>
              </w:tc>
              <w:tc>
                <w:tcPr>
                  <w:tcW w:w="891" w:type="pct"/>
                  <w:shd w:val="clear" w:color="auto" w:fill="auto"/>
                  <w:noWrap w:val="0"/>
                  <w:vAlign w:val="center"/>
                </w:tcPr>
                <w:p w14:paraId="65979206">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default" w:ascii="Times New Roman" w:hAnsi="Times New Roman" w:cs="Times New Roman"/>
                      <w:b w:val="0"/>
                      <w:bCs/>
                      <w:color w:val="000000"/>
                      <w:sz w:val="18"/>
                      <w:szCs w:val="18"/>
                      <w:highlight w:val="none"/>
                    </w:rPr>
                    <w:t>0.00</w:t>
                  </w:r>
                  <w:r>
                    <w:rPr>
                      <w:rFonts w:hint="eastAsia" w:cs="Times New Roman"/>
                      <w:b w:val="0"/>
                      <w:bCs/>
                      <w:color w:val="000000"/>
                      <w:sz w:val="18"/>
                      <w:szCs w:val="18"/>
                      <w:highlight w:val="none"/>
                      <w:lang w:val="en-US" w:eastAsia="zh-CN"/>
                    </w:rPr>
                    <w:t>000</w:t>
                  </w:r>
                  <w:r>
                    <w:rPr>
                      <w:rFonts w:hint="default" w:ascii="Times New Roman" w:hAnsi="Times New Roman" w:cs="Times New Roman"/>
                      <w:b w:val="0"/>
                      <w:bCs/>
                      <w:color w:val="000000"/>
                      <w:sz w:val="18"/>
                      <w:szCs w:val="18"/>
                      <w:highlight w:val="none"/>
                    </w:rPr>
                    <w:t>5</w:t>
                  </w:r>
                </w:p>
              </w:tc>
            </w:tr>
            <w:tr w14:paraId="689FB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vMerge w:val="restart"/>
                  <w:vAlign w:val="center"/>
                </w:tcPr>
                <w:p w14:paraId="1A6F1918">
                  <w:pPr>
                    <w:jc w:val="center"/>
                    <w:rPr>
                      <w:rFonts w:hint="eastAsia" w:ascii="Times New Roman" w:hAnsi="Times New Roman" w:eastAsia="宋体" w:cs="Times New Roman"/>
                      <w:color w:val="000000"/>
                      <w:sz w:val="18"/>
                      <w:szCs w:val="18"/>
                      <w:highlight w:val="none"/>
                      <w:lang w:val="en-US" w:eastAsia="zh-CN"/>
                    </w:rPr>
                  </w:pPr>
                  <w:r>
                    <w:rPr>
                      <w:rFonts w:hint="eastAsia" w:cs="Times New Roman"/>
                      <w:color w:val="000000"/>
                      <w:sz w:val="18"/>
                      <w:szCs w:val="18"/>
                      <w:highlight w:val="none"/>
                      <w:lang w:val="en-US" w:eastAsia="zh-CN"/>
                    </w:rPr>
                    <w:t>4</w:t>
                  </w:r>
                </w:p>
              </w:tc>
              <w:tc>
                <w:tcPr>
                  <w:tcW w:w="613" w:type="pct"/>
                  <w:vMerge w:val="restart"/>
                  <w:vAlign w:val="center"/>
                </w:tcPr>
                <w:p w14:paraId="56F41FE2">
                  <w:pPr>
                    <w:jc w:val="center"/>
                    <w:rPr>
                      <w:rFonts w:hint="default" w:ascii="Times New Roman" w:hAnsi="Times New Roman" w:cs="Times New Roman"/>
                      <w:color w:val="000000"/>
                      <w:sz w:val="18"/>
                      <w:szCs w:val="18"/>
                      <w:highlight w:val="none"/>
                    </w:rPr>
                  </w:pPr>
                  <w:r>
                    <w:rPr>
                      <w:rFonts w:hint="eastAsia" w:ascii="Times New Roman" w:hAnsi="Times New Roman" w:cs="Times New Roman"/>
                      <w:b w:val="0"/>
                      <w:bCs/>
                      <w:color w:val="000000"/>
                      <w:sz w:val="18"/>
                      <w:szCs w:val="18"/>
                      <w:highlight w:val="none"/>
                      <w:lang w:val="en-US" w:eastAsia="zh-CN"/>
                    </w:rPr>
                    <w:t>挤出成型废气</w:t>
                  </w:r>
                </w:p>
              </w:tc>
              <w:tc>
                <w:tcPr>
                  <w:tcW w:w="711" w:type="pct"/>
                  <w:shd w:val="clear" w:color="auto" w:fill="auto"/>
                  <w:vAlign w:val="center"/>
                </w:tcPr>
                <w:p w14:paraId="2AEF44EB">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eastAsia" w:ascii="Times New Roman" w:hAnsi="Times New Roman" w:cs="Times New Roman"/>
                      <w:b w:val="0"/>
                      <w:bCs/>
                      <w:color w:val="000000"/>
                      <w:sz w:val="18"/>
                      <w:szCs w:val="18"/>
                      <w:highlight w:val="none"/>
                      <w:lang w:val="en-US" w:eastAsia="zh-CN"/>
                    </w:rPr>
                    <w:t>非甲烷总烃</w:t>
                  </w:r>
                </w:p>
              </w:tc>
              <w:tc>
                <w:tcPr>
                  <w:tcW w:w="857" w:type="pct"/>
                  <w:vMerge w:val="continue"/>
                  <w:vAlign w:val="center"/>
                </w:tcPr>
                <w:p w14:paraId="35E0F9E6">
                  <w:pPr>
                    <w:jc w:val="center"/>
                    <w:rPr>
                      <w:rFonts w:hint="default" w:ascii="Times New Roman" w:hAnsi="Times New Roman" w:cs="Times New Roman"/>
                      <w:color w:val="000000"/>
                      <w:sz w:val="18"/>
                      <w:szCs w:val="18"/>
                      <w:highlight w:val="none"/>
                    </w:rPr>
                  </w:pPr>
                </w:p>
              </w:tc>
              <w:tc>
                <w:tcPr>
                  <w:tcW w:w="1037" w:type="pct"/>
                  <w:vMerge w:val="continue"/>
                  <w:vAlign w:val="center"/>
                </w:tcPr>
                <w:p w14:paraId="2C250C5D">
                  <w:pPr>
                    <w:jc w:val="center"/>
                    <w:rPr>
                      <w:rFonts w:hint="default" w:ascii="Times New Roman" w:hAnsi="Times New Roman" w:cs="Times New Roman"/>
                      <w:color w:val="000000"/>
                      <w:sz w:val="18"/>
                      <w:szCs w:val="18"/>
                      <w:highlight w:val="none"/>
                    </w:rPr>
                  </w:pPr>
                </w:p>
              </w:tc>
              <w:tc>
                <w:tcPr>
                  <w:tcW w:w="660" w:type="pct"/>
                  <w:vAlign w:val="center"/>
                </w:tcPr>
                <w:p w14:paraId="658D7F31">
                  <w:pPr>
                    <w:jc w:val="center"/>
                    <w:rPr>
                      <w:rFonts w:hint="default" w:ascii="Times New Roman" w:hAnsi="Times New Roman" w:cs="Times New Roman"/>
                      <w:color w:val="000000"/>
                      <w:sz w:val="18"/>
                      <w:szCs w:val="18"/>
                      <w:highlight w:val="none"/>
                    </w:rPr>
                  </w:pPr>
                  <w:r>
                    <w:rPr>
                      <w:rFonts w:hint="eastAsia" w:ascii="Times New Roman" w:hAnsi="Times New Roman" w:cs="Times New Roman"/>
                      <w:b w:val="0"/>
                      <w:bCs w:val="0"/>
                      <w:color w:val="auto"/>
                      <w:sz w:val="18"/>
                      <w:szCs w:val="18"/>
                      <w:highlight w:val="none"/>
                      <w:vertAlign w:val="baseline"/>
                      <w:lang w:val="en-US" w:eastAsia="zh-CN"/>
                    </w:rPr>
                    <w:t>4.0</w:t>
                  </w:r>
                </w:p>
              </w:tc>
              <w:tc>
                <w:tcPr>
                  <w:tcW w:w="891" w:type="pct"/>
                  <w:shd w:val="clear" w:color="auto" w:fill="auto"/>
                  <w:vAlign w:val="center"/>
                </w:tcPr>
                <w:p w14:paraId="538268A5">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default" w:ascii="Times New Roman" w:hAnsi="Times New Roman" w:cs="Times New Roman"/>
                      <w:b w:val="0"/>
                      <w:bCs/>
                      <w:color w:val="000000"/>
                      <w:sz w:val="18"/>
                      <w:szCs w:val="18"/>
                      <w:highlight w:val="none"/>
                    </w:rPr>
                    <w:t>0.015</w:t>
                  </w:r>
                </w:p>
              </w:tc>
            </w:tr>
            <w:tr w14:paraId="19935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vMerge w:val="continue"/>
                  <w:vAlign w:val="center"/>
                </w:tcPr>
                <w:p w14:paraId="03D7A092">
                  <w:pPr>
                    <w:jc w:val="center"/>
                    <w:rPr>
                      <w:rFonts w:hint="eastAsia" w:cs="Times New Roman"/>
                      <w:color w:val="000000"/>
                      <w:sz w:val="18"/>
                      <w:szCs w:val="18"/>
                      <w:highlight w:val="none"/>
                      <w:lang w:val="en-US" w:eastAsia="zh-CN"/>
                    </w:rPr>
                  </w:pPr>
                </w:p>
              </w:tc>
              <w:tc>
                <w:tcPr>
                  <w:tcW w:w="613" w:type="pct"/>
                  <w:vMerge w:val="continue"/>
                </w:tcPr>
                <w:p w14:paraId="71B917A9">
                  <w:pPr>
                    <w:jc w:val="center"/>
                    <w:rPr>
                      <w:rFonts w:hint="eastAsia" w:ascii="Times New Roman" w:hAnsi="Times New Roman" w:cs="Times New Roman"/>
                      <w:b w:val="0"/>
                      <w:bCs/>
                      <w:color w:val="000000"/>
                      <w:sz w:val="18"/>
                      <w:szCs w:val="18"/>
                      <w:highlight w:val="none"/>
                      <w:lang w:val="en-US" w:eastAsia="zh-CN"/>
                    </w:rPr>
                  </w:pPr>
                </w:p>
              </w:tc>
              <w:tc>
                <w:tcPr>
                  <w:tcW w:w="711" w:type="pct"/>
                  <w:shd w:val="clear" w:color="auto" w:fill="auto"/>
                  <w:vAlign w:val="center"/>
                </w:tcPr>
                <w:p w14:paraId="7B526D85">
                  <w:pPr>
                    <w:snapToGrid w:val="0"/>
                    <w:spacing w:line="240" w:lineRule="auto"/>
                    <w:jc w:val="center"/>
                    <w:rPr>
                      <w:rFonts w:hint="eastAsia" w:ascii="Times New Roman" w:hAnsi="Times New Roman" w:eastAsia="宋体" w:cs="Times New Roman"/>
                      <w:color w:val="000000"/>
                      <w:kern w:val="0"/>
                      <w:sz w:val="18"/>
                      <w:szCs w:val="18"/>
                      <w:highlight w:val="none"/>
                      <w:lang w:val="en-US" w:eastAsia="zh-CN" w:bidi="ar"/>
                    </w:rPr>
                  </w:pPr>
                  <w:r>
                    <w:rPr>
                      <w:rFonts w:hint="eastAsia" w:cs="Times New Roman"/>
                      <w:color w:val="000000"/>
                      <w:kern w:val="0"/>
                      <w:sz w:val="18"/>
                      <w:szCs w:val="18"/>
                      <w:highlight w:val="none"/>
                      <w:lang w:val="en-US" w:eastAsia="zh-CN" w:bidi="ar"/>
                    </w:rPr>
                    <w:t>甲苯</w:t>
                  </w:r>
                </w:p>
              </w:tc>
              <w:tc>
                <w:tcPr>
                  <w:tcW w:w="857" w:type="pct"/>
                  <w:vMerge w:val="continue"/>
                  <w:vAlign w:val="center"/>
                </w:tcPr>
                <w:p w14:paraId="6B6AF2DB">
                  <w:pPr>
                    <w:jc w:val="center"/>
                    <w:rPr>
                      <w:rFonts w:hint="default" w:ascii="Times New Roman" w:hAnsi="Times New Roman" w:cs="Times New Roman"/>
                      <w:color w:val="000000"/>
                      <w:sz w:val="18"/>
                      <w:szCs w:val="18"/>
                      <w:highlight w:val="none"/>
                    </w:rPr>
                  </w:pPr>
                </w:p>
              </w:tc>
              <w:tc>
                <w:tcPr>
                  <w:tcW w:w="1037" w:type="pct"/>
                  <w:vMerge w:val="continue"/>
                  <w:vAlign w:val="center"/>
                </w:tcPr>
                <w:p w14:paraId="27C5EDBD">
                  <w:pPr>
                    <w:jc w:val="center"/>
                    <w:rPr>
                      <w:rFonts w:hint="default" w:ascii="Times New Roman" w:hAnsi="Times New Roman" w:cs="Times New Roman"/>
                      <w:color w:val="000000"/>
                      <w:sz w:val="18"/>
                      <w:szCs w:val="18"/>
                      <w:highlight w:val="none"/>
                    </w:rPr>
                  </w:pPr>
                </w:p>
              </w:tc>
              <w:tc>
                <w:tcPr>
                  <w:tcW w:w="660" w:type="pct"/>
                  <w:vAlign w:val="center"/>
                </w:tcPr>
                <w:p w14:paraId="1BE08F52">
                  <w:pPr>
                    <w:jc w:val="center"/>
                    <w:rPr>
                      <w:rFonts w:hint="eastAsia" w:ascii="Times New Roman" w:hAnsi="Times New Roman" w:cs="Times New Roman"/>
                      <w:b w:val="0"/>
                      <w:bCs w:val="0"/>
                      <w:color w:val="auto"/>
                      <w:sz w:val="18"/>
                      <w:szCs w:val="18"/>
                      <w:highlight w:val="none"/>
                      <w:vertAlign w:val="baseline"/>
                      <w:lang w:val="en-US" w:eastAsia="zh-CN"/>
                    </w:rPr>
                  </w:pPr>
                  <w:r>
                    <w:rPr>
                      <w:rFonts w:hint="eastAsia" w:ascii="Times New Roman" w:hAnsi="Times New Roman" w:cs="Times New Roman"/>
                      <w:b w:val="0"/>
                      <w:bCs w:val="0"/>
                      <w:color w:val="auto"/>
                      <w:sz w:val="18"/>
                      <w:szCs w:val="18"/>
                      <w:highlight w:val="none"/>
                      <w:vertAlign w:val="baseline"/>
                      <w:lang w:val="en-US" w:eastAsia="zh-CN"/>
                    </w:rPr>
                    <w:t>2.4</w:t>
                  </w:r>
                </w:p>
              </w:tc>
              <w:tc>
                <w:tcPr>
                  <w:tcW w:w="891" w:type="pct"/>
                  <w:shd w:val="clear" w:color="auto" w:fill="auto"/>
                  <w:vAlign w:val="center"/>
                </w:tcPr>
                <w:p w14:paraId="3EF9A514">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default" w:ascii="Times New Roman" w:hAnsi="Times New Roman" w:cs="Times New Roman"/>
                      <w:b w:val="0"/>
                      <w:bCs/>
                      <w:color w:val="000000"/>
                      <w:sz w:val="18"/>
                      <w:szCs w:val="18"/>
                      <w:highlight w:val="none"/>
                    </w:rPr>
                    <w:t>0.039</w:t>
                  </w:r>
                  <w:r>
                    <w:rPr>
                      <w:rFonts w:hint="eastAsia" w:cs="Times New Roman"/>
                      <w:b w:val="0"/>
                      <w:bCs/>
                      <w:color w:val="000000"/>
                      <w:sz w:val="18"/>
                      <w:szCs w:val="18"/>
                      <w:highlight w:val="none"/>
                      <w:lang w:val="en-US" w:eastAsia="zh-CN"/>
                    </w:rPr>
                    <w:t>×10</w:t>
                  </w:r>
                  <w:r>
                    <w:rPr>
                      <w:rFonts w:hint="eastAsia" w:cs="Times New Roman"/>
                      <w:b w:val="0"/>
                      <w:bCs/>
                      <w:color w:val="000000"/>
                      <w:sz w:val="18"/>
                      <w:szCs w:val="18"/>
                      <w:highlight w:val="none"/>
                      <w:vertAlign w:val="superscript"/>
                      <w:lang w:val="en-US" w:eastAsia="zh-CN"/>
                    </w:rPr>
                    <w:t>-6</w:t>
                  </w:r>
                </w:p>
              </w:tc>
            </w:tr>
            <w:tr w14:paraId="62876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vMerge w:val="continue"/>
                  <w:vAlign w:val="center"/>
                </w:tcPr>
                <w:p w14:paraId="0613C22F">
                  <w:pPr>
                    <w:jc w:val="center"/>
                    <w:rPr>
                      <w:rFonts w:hint="eastAsia" w:cs="Times New Roman"/>
                      <w:color w:val="000000"/>
                      <w:sz w:val="18"/>
                      <w:szCs w:val="18"/>
                      <w:highlight w:val="none"/>
                      <w:lang w:val="en-US" w:eastAsia="zh-CN"/>
                    </w:rPr>
                  </w:pPr>
                </w:p>
              </w:tc>
              <w:tc>
                <w:tcPr>
                  <w:tcW w:w="613" w:type="pct"/>
                  <w:vMerge w:val="continue"/>
                </w:tcPr>
                <w:p w14:paraId="386DC473">
                  <w:pPr>
                    <w:jc w:val="center"/>
                    <w:rPr>
                      <w:rFonts w:hint="eastAsia" w:ascii="Times New Roman" w:hAnsi="Times New Roman" w:cs="Times New Roman"/>
                      <w:b w:val="0"/>
                      <w:bCs/>
                      <w:color w:val="000000"/>
                      <w:sz w:val="18"/>
                      <w:szCs w:val="18"/>
                      <w:highlight w:val="none"/>
                      <w:lang w:val="en-US" w:eastAsia="zh-CN"/>
                    </w:rPr>
                  </w:pPr>
                </w:p>
              </w:tc>
              <w:tc>
                <w:tcPr>
                  <w:tcW w:w="711" w:type="pct"/>
                  <w:shd w:val="clear" w:color="auto" w:fill="auto"/>
                  <w:vAlign w:val="center"/>
                </w:tcPr>
                <w:p w14:paraId="441A868A">
                  <w:pPr>
                    <w:snapToGrid w:val="0"/>
                    <w:spacing w:line="240" w:lineRule="auto"/>
                    <w:jc w:val="center"/>
                    <w:rPr>
                      <w:rFonts w:hint="eastAsia" w:ascii="Times New Roman" w:hAnsi="Times New Roman" w:eastAsia="宋体" w:cs="Times New Roman"/>
                      <w:color w:val="000000"/>
                      <w:kern w:val="0"/>
                      <w:sz w:val="18"/>
                      <w:szCs w:val="18"/>
                      <w:highlight w:val="none"/>
                      <w:lang w:val="en-US" w:eastAsia="zh-CN" w:bidi="ar"/>
                    </w:rPr>
                  </w:pPr>
                  <w:r>
                    <w:rPr>
                      <w:rFonts w:hint="eastAsia" w:cs="Times New Roman"/>
                      <w:color w:val="000000"/>
                      <w:kern w:val="0"/>
                      <w:sz w:val="18"/>
                      <w:szCs w:val="18"/>
                      <w:highlight w:val="none"/>
                      <w:lang w:val="en-US" w:eastAsia="zh-CN" w:bidi="ar"/>
                    </w:rPr>
                    <w:t>乙苯</w:t>
                  </w:r>
                </w:p>
              </w:tc>
              <w:tc>
                <w:tcPr>
                  <w:tcW w:w="857" w:type="pct"/>
                  <w:vMerge w:val="continue"/>
                  <w:vAlign w:val="center"/>
                </w:tcPr>
                <w:p w14:paraId="6E6E0474">
                  <w:pPr>
                    <w:jc w:val="center"/>
                    <w:rPr>
                      <w:rFonts w:hint="default" w:ascii="Times New Roman" w:hAnsi="Times New Roman" w:cs="Times New Roman"/>
                      <w:color w:val="000000"/>
                      <w:sz w:val="18"/>
                      <w:szCs w:val="18"/>
                      <w:highlight w:val="none"/>
                    </w:rPr>
                  </w:pPr>
                </w:p>
              </w:tc>
              <w:tc>
                <w:tcPr>
                  <w:tcW w:w="1037" w:type="pct"/>
                  <w:vMerge w:val="continue"/>
                  <w:vAlign w:val="center"/>
                </w:tcPr>
                <w:p w14:paraId="5865D473">
                  <w:pPr>
                    <w:jc w:val="center"/>
                    <w:rPr>
                      <w:rFonts w:hint="default" w:ascii="Times New Roman" w:hAnsi="Times New Roman" w:cs="Times New Roman"/>
                      <w:color w:val="000000"/>
                      <w:sz w:val="18"/>
                      <w:szCs w:val="18"/>
                      <w:highlight w:val="none"/>
                    </w:rPr>
                  </w:pPr>
                </w:p>
              </w:tc>
              <w:tc>
                <w:tcPr>
                  <w:tcW w:w="660" w:type="pct"/>
                  <w:vAlign w:val="center"/>
                </w:tcPr>
                <w:p w14:paraId="4129180B">
                  <w:pPr>
                    <w:jc w:val="center"/>
                    <w:rPr>
                      <w:rFonts w:hint="eastAsia" w:ascii="Times New Roman" w:hAnsi="Times New Roman" w:cs="Times New Roman"/>
                      <w:b w:val="0"/>
                      <w:bCs w:val="0"/>
                      <w:color w:val="auto"/>
                      <w:sz w:val="18"/>
                      <w:szCs w:val="18"/>
                      <w:highlight w:val="none"/>
                      <w:vertAlign w:val="baseline"/>
                      <w:lang w:val="en-US" w:eastAsia="zh-CN"/>
                    </w:rPr>
                  </w:pPr>
                </w:p>
              </w:tc>
              <w:tc>
                <w:tcPr>
                  <w:tcW w:w="891" w:type="pct"/>
                  <w:shd w:val="clear" w:color="auto" w:fill="auto"/>
                  <w:vAlign w:val="center"/>
                </w:tcPr>
                <w:p w14:paraId="32F0DD3C">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eastAsia" w:cs="Times New Roman"/>
                      <w:b w:val="0"/>
                      <w:bCs/>
                      <w:color w:val="000000"/>
                      <w:sz w:val="18"/>
                      <w:szCs w:val="18"/>
                      <w:highlight w:val="none"/>
                      <w:lang w:val="en-US" w:eastAsia="zh-CN"/>
                    </w:rPr>
                    <w:t>0.020×10</w:t>
                  </w:r>
                  <w:r>
                    <w:rPr>
                      <w:rFonts w:hint="eastAsia" w:cs="Times New Roman"/>
                      <w:b w:val="0"/>
                      <w:bCs/>
                      <w:color w:val="000000"/>
                      <w:sz w:val="18"/>
                      <w:szCs w:val="18"/>
                      <w:highlight w:val="none"/>
                      <w:vertAlign w:val="superscript"/>
                      <w:lang w:val="en-US" w:eastAsia="zh-CN"/>
                    </w:rPr>
                    <w:t>-6</w:t>
                  </w:r>
                </w:p>
              </w:tc>
            </w:tr>
            <w:tr w14:paraId="133A0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vMerge w:val="continue"/>
                  <w:vAlign w:val="center"/>
                </w:tcPr>
                <w:p w14:paraId="53063327">
                  <w:pPr>
                    <w:jc w:val="center"/>
                    <w:rPr>
                      <w:rFonts w:hint="eastAsia" w:cs="Times New Roman"/>
                      <w:color w:val="000000"/>
                      <w:sz w:val="18"/>
                      <w:szCs w:val="18"/>
                      <w:highlight w:val="none"/>
                      <w:lang w:val="en-US" w:eastAsia="zh-CN"/>
                    </w:rPr>
                  </w:pPr>
                </w:p>
              </w:tc>
              <w:tc>
                <w:tcPr>
                  <w:tcW w:w="613" w:type="pct"/>
                  <w:vMerge w:val="continue"/>
                </w:tcPr>
                <w:p w14:paraId="16E78970">
                  <w:pPr>
                    <w:jc w:val="center"/>
                    <w:rPr>
                      <w:rFonts w:hint="eastAsia" w:ascii="Times New Roman" w:hAnsi="Times New Roman" w:cs="Times New Roman"/>
                      <w:b w:val="0"/>
                      <w:bCs/>
                      <w:color w:val="000000"/>
                      <w:sz w:val="18"/>
                      <w:szCs w:val="18"/>
                      <w:highlight w:val="none"/>
                      <w:lang w:val="en-US" w:eastAsia="zh-CN"/>
                    </w:rPr>
                  </w:pPr>
                </w:p>
              </w:tc>
              <w:tc>
                <w:tcPr>
                  <w:tcW w:w="711" w:type="pct"/>
                  <w:shd w:val="clear" w:color="auto" w:fill="auto"/>
                  <w:vAlign w:val="center"/>
                </w:tcPr>
                <w:p w14:paraId="21D63912">
                  <w:pPr>
                    <w:snapToGrid w:val="0"/>
                    <w:spacing w:line="240" w:lineRule="auto"/>
                    <w:jc w:val="center"/>
                    <w:rPr>
                      <w:rFonts w:hint="eastAsia" w:ascii="Times New Roman" w:hAnsi="Times New Roman" w:eastAsia="宋体" w:cs="Times New Roman"/>
                      <w:color w:val="000000"/>
                      <w:kern w:val="0"/>
                      <w:sz w:val="18"/>
                      <w:szCs w:val="18"/>
                      <w:highlight w:val="none"/>
                      <w:lang w:val="en-US" w:eastAsia="zh-CN" w:bidi="ar"/>
                    </w:rPr>
                  </w:pPr>
                  <w:r>
                    <w:rPr>
                      <w:rFonts w:hint="eastAsia" w:cs="Times New Roman"/>
                      <w:color w:val="000000"/>
                      <w:kern w:val="0"/>
                      <w:sz w:val="18"/>
                      <w:szCs w:val="18"/>
                      <w:highlight w:val="none"/>
                      <w:lang w:val="en-US" w:eastAsia="zh-CN" w:bidi="ar"/>
                    </w:rPr>
                    <w:t>苯乙烯</w:t>
                  </w:r>
                </w:p>
              </w:tc>
              <w:tc>
                <w:tcPr>
                  <w:tcW w:w="857" w:type="pct"/>
                  <w:vMerge w:val="continue"/>
                  <w:vAlign w:val="center"/>
                </w:tcPr>
                <w:p w14:paraId="3A65B9F0">
                  <w:pPr>
                    <w:jc w:val="center"/>
                    <w:rPr>
                      <w:rFonts w:hint="default" w:ascii="Times New Roman" w:hAnsi="Times New Roman" w:cs="Times New Roman"/>
                      <w:color w:val="000000"/>
                      <w:sz w:val="18"/>
                      <w:szCs w:val="18"/>
                      <w:highlight w:val="none"/>
                    </w:rPr>
                  </w:pPr>
                </w:p>
              </w:tc>
              <w:tc>
                <w:tcPr>
                  <w:tcW w:w="1037" w:type="pct"/>
                  <w:vMerge w:val="continue"/>
                  <w:vAlign w:val="center"/>
                </w:tcPr>
                <w:p w14:paraId="39E9D6E8">
                  <w:pPr>
                    <w:jc w:val="center"/>
                    <w:rPr>
                      <w:rFonts w:hint="default" w:ascii="Times New Roman" w:hAnsi="Times New Roman" w:cs="Times New Roman"/>
                      <w:color w:val="000000"/>
                      <w:sz w:val="18"/>
                      <w:szCs w:val="18"/>
                      <w:highlight w:val="none"/>
                    </w:rPr>
                  </w:pPr>
                </w:p>
              </w:tc>
              <w:tc>
                <w:tcPr>
                  <w:tcW w:w="660" w:type="pct"/>
                  <w:vAlign w:val="center"/>
                </w:tcPr>
                <w:p w14:paraId="71726A15">
                  <w:pPr>
                    <w:jc w:val="center"/>
                    <w:rPr>
                      <w:rFonts w:hint="eastAsia" w:ascii="Times New Roman" w:hAnsi="Times New Roman" w:cs="Times New Roman"/>
                      <w:b w:val="0"/>
                      <w:bCs w:val="0"/>
                      <w:color w:val="auto"/>
                      <w:sz w:val="18"/>
                      <w:szCs w:val="18"/>
                      <w:highlight w:val="none"/>
                      <w:vertAlign w:val="baseline"/>
                      <w:lang w:val="en-US" w:eastAsia="zh-CN"/>
                    </w:rPr>
                  </w:pPr>
                </w:p>
              </w:tc>
              <w:tc>
                <w:tcPr>
                  <w:tcW w:w="891" w:type="pct"/>
                  <w:shd w:val="clear" w:color="auto" w:fill="auto"/>
                  <w:vAlign w:val="center"/>
                </w:tcPr>
                <w:p w14:paraId="1B51991C">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eastAsia" w:cs="Times New Roman"/>
                      <w:b w:val="0"/>
                      <w:bCs/>
                      <w:color w:val="000000"/>
                      <w:sz w:val="18"/>
                      <w:szCs w:val="18"/>
                      <w:highlight w:val="none"/>
                      <w:lang w:val="en-US" w:eastAsia="zh-CN"/>
                    </w:rPr>
                    <w:t>0.012×10</w:t>
                  </w:r>
                  <w:r>
                    <w:rPr>
                      <w:rFonts w:hint="eastAsia" w:cs="Times New Roman"/>
                      <w:b w:val="0"/>
                      <w:bCs/>
                      <w:color w:val="000000"/>
                      <w:sz w:val="18"/>
                      <w:szCs w:val="18"/>
                      <w:highlight w:val="none"/>
                      <w:vertAlign w:val="superscript"/>
                      <w:lang w:val="en-US" w:eastAsia="zh-CN"/>
                    </w:rPr>
                    <w:t>-6</w:t>
                  </w:r>
                </w:p>
              </w:tc>
            </w:tr>
            <w:tr w14:paraId="413CC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vAlign w:val="center"/>
                </w:tcPr>
                <w:p w14:paraId="36F10847">
                  <w:pPr>
                    <w:jc w:val="center"/>
                    <w:rPr>
                      <w:rFonts w:hint="default" w:cs="Times New Roman"/>
                      <w:color w:val="000000"/>
                      <w:sz w:val="18"/>
                      <w:szCs w:val="18"/>
                      <w:highlight w:val="none"/>
                      <w:lang w:val="en-US" w:eastAsia="zh-CN"/>
                    </w:rPr>
                  </w:pPr>
                  <w:r>
                    <w:rPr>
                      <w:rFonts w:hint="eastAsia" w:cs="Times New Roman"/>
                      <w:color w:val="000000"/>
                      <w:sz w:val="18"/>
                      <w:szCs w:val="18"/>
                      <w:highlight w:val="none"/>
                      <w:lang w:val="en-US" w:eastAsia="zh-CN"/>
                    </w:rPr>
                    <w:t>5</w:t>
                  </w:r>
                </w:p>
              </w:tc>
              <w:tc>
                <w:tcPr>
                  <w:tcW w:w="613" w:type="pct"/>
                </w:tcPr>
                <w:p w14:paraId="2B08C85C">
                  <w:pPr>
                    <w:jc w:val="center"/>
                    <w:rPr>
                      <w:rFonts w:hint="default" w:ascii="Times New Roman" w:hAnsi="Times New Roman" w:cs="Times New Roman"/>
                      <w:b w:val="0"/>
                      <w:bCs/>
                      <w:color w:val="000000"/>
                      <w:sz w:val="18"/>
                      <w:szCs w:val="18"/>
                      <w:highlight w:val="none"/>
                      <w:lang w:val="en-US" w:eastAsia="zh-CN"/>
                    </w:rPr>
                  </w:pPr>
                  <w:r>
                    <w:rPr>
                      <w:rFonts w:hint="eastAsia" w:cs="Times New Roman"/>
                      <w:b w:val="0"/>
                      <w:bCs/>
                      <w:color w:val="000000"/>
                      <w:sz w:val="18"/>
                      <w:szCs w:val="18"/>
                      <w:highlight w:val="none"/>
                      <w:lang w:val="en-US" w:eastAsia="zh-CN"/>
                    </w:rPr>
                    <w:t>打孔粉尘</w:t>
                  </w:r>
                </w:p>
              </w:tc>
              <w:tc>
                <w:tcPr>
                  <w:tcW w:w="711" w:type="pct"/>
                  <w:shd w:val="clear" w:color="auto" w:fill="auto"/>
                  <w:vAlign w:val="center"/>
                </w:tcPr>
                <w:p w14:paraId="5D51808E">
                  <w:pPr>
                    <w:jc w:val="center"/>
                    <w:rPr>
                      <w:rFonts w:hint="default" w:ascii="Times New Roman" w:hAnsi="Times New Roman" w:cs="Times New Roman"/>
                      <w:b w:val="0"/>
                      <w:bCs/>
                      <w:color w:val="000000"/>
                      <w:sz w:val="18"/>
                      <w:szCs w:val="18"/>
                      <w:highlight w:val="none"/>
                      <w:lang w:val="en-US" w:eastAsia="zh-CN"/>
                    </w:rPr>
                  </w:pPr>
                  <w:r>
                    <w:rPr>
                      <w:rFonts w:hint="eastAsia" w:cs="Times New Roman"/>
                      <w:b w:val="0"/>
                      <w:bCs/>
                      <w:color w:val="000000"/>
                      <w:sz w:val="18"/>
                      <w:szCs w:val="18"/>
                      <w:highlight w:val="none"/>
                      <w:lang w:val="en-US" w:eastAsia="zh-CN"/>
                    </w:rPr>
                    <w:t>颗粒物</w:t>
                  </w:r>
                </w:p>
              </w:tc>
              <w:tc>
                <w:tcPr>
                  <w:tcW w:w="857" w:type="pct"/>
                  <w:vMerge w:val="continue"/>
                  <w:vAlign w:val="center"/>
                </w:tcPr>
                <w:p w14:paraId="159B9D8E">
                  <w:pPr>
                    <w:jc w:val="center"/>
                    <w:rPr>
                      <w:rFonts w:hint="default" w:ascii="Times New Roman" w:hAnsi="Times New Roman" w:cs="Times New Roman"/>
                      <w:color w:val="000000"/>
                      <w:sz w:val="18"/>
                      <w:szCs w:val="18"/>
                      <w:highlight w:val="none"/>
                    </w:rPr>
                  </w:pPr>
                </w:p>
              </w:tc>
              <w:tc>
                <w:tcPr>
                  <w:tcW w:w="1037" w:type="pct"/>
                  <w:vMerge w:val="continue"/>
                  <w:vAlign w:val="center"/>
                </w:tcPr>
                <w:p w14:paraId="344221BD">
                  <w:pPr>
                    <w:jc w:val="center"/>
                    <w:rPr>
                      <w:rFonts w:hint="default" w:ascii="Times New Roman" w:hAnsi="Times New Roman" w:cs="Times New Roman"/>
                      <w:color w:val="000000"/>
                      <w:sz w:val="18"/>
                      <w:szCs w:val="18"/>
                      <w:highlight w:val="none"/>
                    </w:rPr>
                  </w:pPr>
                </w:p>
              </w:tc>
              <w:tc>
                <w:tcPr>
                  <w:tcW w:w="660" w:type="pct"/>
                  <w:vAlign w:val="center"/>
                </w:tcPr>
                <w:p w14:paraId="1DCECBB4">
                  <w:pPr>
                    <w:jc w:val="center"/>
                    <w:rPr>
                      <w:rFonts w:hint="eastAsia" w:ascii="Times New Roman" w:hAnsi="Times New Roman" w:cs="Times New Roman"/>
                      <w:b w:val="0"/>
                      <w:bCs w:val="0"/>
                      <w:color w:val="auto"/>
                      <w:sz w:val="18"/>
                      <w:szCs w:val="18"/>
                      <w:highlight w:val="none"/>
                      <w:vertAlign w:val="baseline"/>
                      <w:lang w:val="en-US" w:eastAsia="zh-CN"/>
                    </w:rPr>
                  </w:pPr>
                  <w:r>
                    <w:rPr>
                      <w:rFonts w:hint="eastAsia" w:ascii="Times New Roman" w:hAnsi="Times New Roman" w:eastAsia="宋体" w:cs="Times New Roman"/>
                      <w:b w:val="0"/>
                      <w:bCs w:val="0"/>
                      <w:color w:val="auto"/>
                      <w:sz w:val="18"/>
                      <w:szCs w:val="18"/>
                      <w:highlight w:val="none"/>
                      <w:vertAlign w:val="baseline"/>
                      <w:lang w:val="en-US" w:eastAsia="zh-CN"/>
                    </w:rPr>
                    <w:t>1.0</w:t>
                  </w:r>
                </w:p>
              </w:tc>
              <w:tc>
                <w:tcPr>
                  <w:tcW w:w="891" w:type="pct"/>
                  <w:shd w:val="clear" w:color="auto" w:fill="auto"/>
                  <w:vAlign w:val="center"/>
                </w:tcPr>
                <w:p w14:paraId="483E2C75">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eastAsia" w:cs="Times New Roman"/>
                      <w:color w:val="auto"/>
                      <w:sz w:val="18"/>
                      <w:szCs w:val="18"/>
                      <w:highlight w:val="none"/>
                      <w:lang w:val="en-US" w:eastAsia="zh-CN"/>
                    </w:rPr>
                    <w:t>0.023</w:t>
                  </w:r>
                </w:p>
              </w:tc>
            </w:tr>
            <w:tr w14:paraId="28191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41" w:type="pct"/>
                  <w:gridSpan w:val="2"/>
                  <w:vMerge w:val="restart"/>
                  <w:vAlign w:val="center"/>
                </w:tcPr>
                <w:p w14:paraId="0E86B68C">
                  <w:pPr>
                    <w:jc w:val="center"/>
                    <w:rPr>
                      <w:rFonts w:hint="default" w:ascii="Times New Roman" w:hAnsi="Times New Roman" w:cs="Times New Roman"/>
                      <w:b w:val="0"/>
                      <w:bCs/>
                      <w:color w:val="000000"/>
                      <w:sz w:val="18"/>
                      <w:szCs w:val="18"/>
                      <w:highlight w:val="none"/>
                      <w:lang w:val="en-US" w:eastAsia="zh-CN"/>
                    </w:rPr>
                  </w:pPr>
                  <w:r>
                    <w:rPr>
                      <w:rFonts w:hint="eastAsia" w:cs="Times New Roman"/>
                      <w:b w:val="0"/>
                      <w:bCs/>
                      <w:color w:val="000000"/>
                      <w:sz w:val="18"/>
                      <w:szCs w:val="18"/>
                      <w:highlight w:val="none"/>
                      <w:lang w:val="en-US" w:eastAsia="zh-CN"/>
                    </w:rPr>
                    <w:t>合计</w:t>
                  </w:r>
                </w:p>
              </w:tc>
              <w:tc>
                <w:tcPr>
                  <w:tcW w:w="3266" w:type="pct"/>
                  <w:gridSpan w:val="4"/>
                  <w:shd w:val="clear" w:color="auto" w:fill="auto"/>
                  <w:vAlign w:val="center"/>
                </w:tcPr>
                <w:p w14:paraId="18CA9FD1">
                  <w:pPr>
                    <w:jc w:val="center"/>
                    <w:rPr>
                      <w:rFonts w:hint="eastAsia" w:ascii="Times New Roman" w:hAnsi="Times New Roman" w:cs="Times New Roman"/>
                      <w:b w:val="0"/>
                      <w:bCs w:val="0"/>
                      <w:color w:val="auto"/>
                      <w:sz w:val="18"/>
                      <w:szCs w:val="18"/>
                      <w:highlight w:val="none"/>
                      <w:vertAlign w:val="baseline"/>
                      <w:lang w:val="en-US" w:eastAsia="zh-CN"/>
                    </w:rPr>
                  </w:pPr>
                  <w:r>
                    <w:rPr>
                      <w:rFonts w:hint="eastAsia" w:ascii="Times New Roman" w:hAnsi="Times New Roman" w:cs="Times New Roman"/>
                      <w:b w:val="0"/>
                      <w:bCs/>
                      <w:color w:val="000000"/>
                      <w:sz w:val="18"/>
                      <w:szCs w:val="18"/>
                      <w:highlight w:val="none"/>
                      <w:lang w:val="en-US" w:eastAsia="zh-CN"/>
                    </w:rPr>
                    <w:t>非甲烷总烃</w:t>
                  </w:r>
                </w:p>
              </w:tc>
              <w:tc>
                <w:tcPr>
                  <w:tcW w:w="891" w:type="pct"/>
                  <w:shd w:val="clear" w:color="auto" w:fill="auto"/>
                  <w:vAlign w:val="center"/>
                </w:tcPr>
                <w:p w14:paraId="15DB4E57">
                  <w:pPr>
                    <w:jc w:val="center"/>
                    <w:rPr>
                      <w:rFonts w:hint="default" w:ascii="Times New Roman" w:hAnsi="Times New Roman" w:cs="Times New Roman"/>
                      <w:b w:val="0"/>
                      <w:bCs/>
                      <w:color w:val="000000"/>
                      <w:sz w:val="18"/>
                      <w:szCs w:val="18"/>
                      <w:highlight w:val="none"/>
                      <w:lang w:val="en-US" w:eastAsia="zh-CN"/>
                    </w:rPr>
                  </w:pPr>
                  <w:r>
                    <w:rPr>
                      <w:rFonts w:hint="eastAsia" w:cs="Times New Roman"/>
                      <w:b w:val="0"/>
                      <w:bCs/>
                      <w:color w:val="000000"/>
                      <w:sz w:val="18"/>
                      <w:szCs w:val="18"/>
                      <w:highlight w:val="none"/>
                      <w:lang w:val="en-US" w:eastAsia="zh-CN"/>
                    </w:rPr>
                    <w:t>0.115</w:t>
                  </w:r>
                </w:p>
              </w:tc>
            </w:tr>
            <w:tr w14:paraId="5C25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41" w:type="pct"/>
                  <w:gridSpan w:val="2"/>
                  <w:vMerge w:val="continue"/>
                  <w:vAlign w:val="center"/>
                </w:tcPr>
                <w:p w14:paraId="7513E45B">
                  <w:pPr>
                    <w:jc w:val="center"/>
                    <w:rPr>
                      <w:rFonts w:hint="eastAsia" w:ascii="Times New Roman" w:hAnsi="Times New Roman" w:cs="Times New Roman"/>
                      <w:b w:val="0"/>
                      <w:bCs/>
                      <w:color w:val="000000"/>
                      <w:sz w:val="18"/>
                      <w:szCs w:val="18"/>
                      <w:highlight w:val="none"/>
                      <w:lang w:val="en-US" w:eastAsia="zh-CN"/>
                    </w:rPr>
                  </w:pPr>
                </w:p>
              </w:tc>
              <w:tc>
                <w:tcPr>
                  <w:tcW w:w="3266" w:type="pct"/>
                  <w:gridSpan w:val="4"/>
                  <w:shd w:val="clear" w:color="auto" w:fill="auto"/>
                  <w:vAlign w:val="center"/>
                </w:tcPr>
                <w:p w14:paraId="51BAA38E">
                  <w:pPr>
                    <w:jc w:val="center"/>
                    <w:rPr>
                      <w:rFonts w:hint="eastAsia" w:ascii="Times New Roman" w:hAnsi="Times New Roman" w:cs="Times New Roman"/>
                      <w:b w:val="0"/>
                      <w:bCs w:val="0"/>
                      <w:color w:val="auto"/>
                      <w:sz w:val="18"/>
                      <w:szCs w:val="18"/>
                      <w:highlight w:val="none"/>
                      <w:vertAlign w:val="baseline"/>
                      <w:lang w:val="en-US" w:eastAsia="zh-CN"/>
                    </w:rPr>
                  </w:pPr>
                  <w:r>
                    <w:rPr>
                      <w:rFonts w:hint="eastAsia" w:ascii="Times New Roman" w:hAnsi="Times New Roman" w:cs="Times New Roman"/>
                      <w:b w:val="0"/>
                      <w:bCs/>
                      <w:color w:val="000000"/>
                      <w:sz w:val="18"/>
                      <w:szCs w:val="18"/>
                      <w:highlight w:val="none"/>
                      <w:lang w:val="en-US" w:eastAsia="zh-CN"/>
                    </w:rPr>
                    <w:t>颗粒物</w:t>
                  </w:r>
                </w:p>
              </w:tc>
              <w:tc>
                <w:tcPr>
                  <w:tcW w:w="891" w:type="pct"/>
                  <w:shd w:val="clear" w:color="auto" w:fill="auto"/>
                  <w:vAlign w:val="center"/>
                </w:tcPr>
                <w:p w14:paraId="4620819F">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eastAsia" w:ascii="Times New Roman" w:hAnsi="Times New Roman" w:cs="Times New Roman"/>
                      <w:b w:val="0"/>
                      <w:bCs/>
                      <w:color w:val="000000"/>
                      <w:sz w:val="18"/>
                      <w:szCs w:val="18"/>
                      <w:highlight w:val="none"/>
                      <w:lang w:val="en-US" w:eastAsia="zh-CN"/>
                    </w:rPr>
                    <w:t>0.0</w:t>
                  </w:r>
                  <w:r>
                    <w:rPr>
                      <w:rFonts w:hint="eastAsia" w:cs="Times New Roman"/>
                      <w:b w:val="0"/>
                      <w:bCs/>
                      <w:color w:val="000000"/>
                      <w:sz w:val="18"/>
                      <w:szCs w:val="18"/>
                      <w:highlight w:val="none"/>
                      <w:lang w:val="en-US" w:eastAsia="zh-CN"/>
                    </w:rPr>
                    <w:t>23</w:t>
                  </w:r>
                  <w:r>
                    <w:rPr>
                      <w:rFonts w:hint="eastAsia" w:ascii="Times New Roman" w:hAnsi="Times New Roman" w:cs="Times New Roman"/>
                      <w:b w:val="0"/>
                      <w:bCs/>
                      <w:color w:val="000000"/>
                      <w:sz w:val="18"/>
                      <w:szCs w:val="18"/>
                      <w:highlight w:val="none"/>
                      <w:lang w:val="en-US" w:eastAsia="zh-CN"/>
                    </w:rPr>
                    <w:t>06</w:t>
                  </w:r>
                </w:p>
              </w:tc>
            </w:tr>
            <w:tr w14:paraId="5C7BB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41" w:type="pct"/>
                  <w:gridSpan w:val="2"/>
                  <w:vMerge w:val="continue"/>
                  <w:vAlign w:val="center"/>
                </w:tcPr>
                <w:p w14:paraId="41CAA9FD">
                  <w:pPr>
                    <w:jc w:val="center"/>
                    <w:rPr>
                      <w:rFonts w:hint="eastAsia" w:ascii="Times New Roman" w:hAnsi="Times New Roman" w:cs="Times New Roman"/>
                      <w:b w:val="0"/>
                      <w:bCs/>
                      <w:color w:val="000000"/>
                      <w:sz w:val="18"/>
                      <w:szCs w:val="18"/>
                      <w:highlight w:val="none"/>
                      <w:lang w:val="en-US" w:eastAsia="zh-CN"/>
                    </w:rPr>
                  </w:pPr>
                </w:p>
              </w:tc>
              <w:tc>
                <w:tcPr>
                  <w:tcW w:w="3266" w:type="pct"/>
                  <w:gridSpan w:val="4"/>
                  <w:shd w:val="clear" w:color="auto" w:fill="auto"/>
                  <w:vAlign w:val="center"/>
                </w:tcPr>
                <w:p w14:paraId="18E80A64">
                  <w:pPr>
                    <w:jc w:val="center"/>
                    <w:rPr>
                      <w:rFonts w:hint="eastAsia" w:ascii="Times New Roman" w:hAnsi="Times New Roman" w:cs="Times New Roman"/>
                      <w:b w:val="0"/>
                      <w:bCs w:val="0"/>
                      <w:color w:val="auto"/>
                      <w:sz w:val="18"/>
                      <w:szCs w:val="18"/>
                      <w:highlight w:val="none"/>
                      <w:vertAlign w:val="baseline"/>
                      <w:lang w:val="en-US" w:eastAsia="zh-CN"/>
                    </w:rPr>
                  </w:pPr>
                  <w:r>
                    <w:rPr>
                      <w:rFonts w:hint="eastAsia" w:ascii="Times New Roman" w:hAnsi="Times New Roman" w:cs="Times New Roman"/>
                      <w:b w:val="0"/>
                      <w:bCs/>
                      <w:color w:val="000000"/>
                      <w:sz w:val="18"/>
                      <w:szCs w:val="18"/>
                      <w:highlight w:val="none"/>
                      <w:lang w:val="en-US" w:eastAsia="zh-CN"/>
                    </w:rPr>
                    <w:t>锡及其化合物</w:t>
                  </w:r>
                </w:p>
              </w:tc>
              <w:tc>
                <w:tcPr>
                  <w:tcW w:w="891" w:type="pct"/>
                  <w:shd w:val="clear" w:color="auto" w:fill="auto"/>
                  <w:vAlign w:val="center"/>
                </w:tcPr>
                <w:p w14:paraId="241D1F02">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default" w:ascii="Times New Roman" w:hAnsi="Times New Roman" w:cs="Times New Roman"/>
                      <w:b w:val="0"/>
                      <w:bCs/>
                      <w:color w:val="000000"/>
                      <w:sz w:val="18"/>
                      <w:szCs w:val="18"/>
                      <w:highlight w:val="none"/>
                    </w:rPr>
                    <w:t>0.00</w:t>
                  </w:r>
                  <w:r>
                    <w:rPr>
                      <w:rFonts w:hint="eastAsia" w:cs="Times New Roman"/>
                      <w:b w:val="0"/>
                      <w:bCs/>
                      <w:color w:val="000000"/>
                      <w:sz w:val="18"/>
                      <w:szCs w:val="18"/>
                      <w:highlight w:val="none"/>
                      <w:lang w:val="en-US" w:eastAsia="zh-CN"/>
                    </w:rPr>
                    <w:t>000</w:t>
                  </w:r>
                  <w:r>
                    <w:rPr>
                      <w:rFonts w:hint="default" w:ascii="Times New Roman" w:hAnsi="Times New Roman" w:cs="Times New Roman"/>
                      <w:b w:val="0"/>
                      <w:bCs/>
                      <w:color w:val="000000"/>
                      <w:sz w:val="18"/>
                      <w:szCs w:val="18"/>
                      <w:highlight w:val="none"/>
                    </w:rPr>
                    <w:t>5</w:t>
                  </w:r>
                </w:p>
              </w:tc>
            </w:tr>
            <w:tr w14:paraId="14931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41" w:type="pct"/>
                  <w:gridSpan w:val="2"/>
                  <w:vMerge w:val="continue"/>
                  <w:vAlign w:val="center"/>
                </w:tcPr>
                <w:p w14:paraId="1A8168BB">
                  <w:pPr>
                    <w:jc w:val="center"/>
                    <w:rPr>
                      <w:rFonts w:hint="eastAsia" w:ascii="Times New Roman" w:hAnsi="Times New Roman" w:cs="Times New Roman"/>
                      <w:b w:val="0"/>
                      <w:bCs/>
                      <w:color w:val="000000"/>
                      <w:sz w:val="18"/>
                      <w:szCs w:val="18"/>
                      <w:highlight w:val="none"/>
                      <w:lang w:val="en-US" w:eastAsia="zh-CN"/>
                    </w:rPr>
                  </w:pPr>
                </w:p>
              </w:tc>
              <w:tc>
                <w:tcPr>
                  <w:tcW w:w="3266" w:type="pct"/>
                  <w:gridSpan w:val="4"/>
                  <w:shd w:val="clear" w:color="auto" w:fill="auto"/>
                  <w:vAlign w:val="center"/>
                </w:tcPr>
                <w:p w14:paraId="6C9E5383">
                  <w:pPr>
                    <w:snapToGrid w:val="0"/>
                    <w:spacing w:line="240" w:lineRule="auto"/>
                    <w:jc w:val="center"/>
                    <w:rPr>
                      <w:rFonts w:hint="eastAsia" w:ascii="Times New Roman" w:hAnsi="Times New Roman" w:eastAsia="宋体" w:cs="Times New Roman"/>
                      <w:color w:val="000000"/>
                      <w:kern w:val="0"/>
                      <w:sz w:val="18"/>
                      <w:szCs w:val="18"/>
                      <w:highlight w:val="none"/>
                      <w:lang w:val="en-US" w:eastAsia="zh-CN" w:bidi="ar"/>
                    </w:rPr>
                  </w:pPr>
                  <w:r>
                    <w:rPr>
                      <w:rFonts w:hint="eastAsia" w:cs="Times New Roman"/>
                      <w:color w:val="000000"/>
                      <w:kern w:val="0"/>
                      <w:sz w:val="18"/>
                      <w:szCs w:val="18"/>
                      <w:highlight w:val="none"/>
                      <w:lang w:val="en-US" w:eastAsia="zh-CN" w:bidi="ar"/>
                    </w:rPr>
                    <w:t>甲苯</w:t>
                  </w:r>
                </w:p>
              </w:tc>
              <w:tc>
                <w:tcPr>
                  <w:tcW w:w="891" w:type="pct"/>
                  <w:shd w:val="clear" w:color="auto" w:fill="auto"/>
                  <w:vAlign w:val="center"/>
                </w:tcPr>
                <w:p w14:paraId="42B62B79">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default" w:ascii="Times New Roman" w:hAnsi="Times New Roman" w:cs="Times New Roman"/>
                      <w:b w:val="0"/>
                      <w:bCs/>
                      <w:color w:val="000000"/>
                      <w:sz w:val="18"/>
                      <w:szCs w:val="18"/>
                      <w:highlight w:val="none"/>
                    </w:rPr>
                    <w:t>0.039</w:t>
                  </w:r>
                  <w:r>
                    <w:rPr>
                      <w:rFonts w:hint="eastAsia" w:cs="Times New Roman"/>
                      <w:b w:val="0"/>
                      <w:bCs/>
                      <w:color w:val="000000"/>
                      <w:sz w:val="18"/>
                      <w:szCs w:val="18"/>
                      <w:highlight w:val="none"/>
                      <w:lang w:val="en-US" w:eastAsia="zh-CN"/>
                    </w:rPr>
                    <w:t>×10</w:t>
                  </w:r>
                  <w:r>
                    <w:rPr>
                      <w:rFonts w:hint="eastAsia" w:cs="Times New Roman"/>
                      <w:b w:val="0"/>
                      <w:bCs/>
                      <w:color w:val="000000"/>
                      <w:sz w:val="18"/>
                      <w:szCs w:val="18"/>
                      <w:highlight w:val="none"/>
                      <w:vertAlign w:val="superscript"/>
                      <w:lang w:val="en-US" w:eastAsia="zh-CN"/>
                    </w:rPr>
                    <w:t>-6</w:t>
                  </w:r>
                </w:p>
              </w:tc>
            </w:tr>
            <w:tr w14:paraId="02191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41" w:type="pct"/>
                  <w:gridSpan w:val="2"/>
                  <w:vMerge w:val="continue"/>
                  <w:vAlign w:val="center"/>
                </w:tcPr>
                <w:p w14:paraId="5721E5C8">
                  <w:pPr>
                    <w:jc w:val="center"/>
                    <w:rPr>
                      <w:rFonts w:hint="eastAsia" w:ascii="Times New Roman" w:hAnsi="Times New Roman" w:cs="Times New Roman"/>
                      <w:b w:val="0"/>
                      <w:bCs/>
                      <w:color w:val="000000"/>
                      <w:sz w:val="18"/>
                      <w:szCs w:val="18"/>
                      <w:highlight w:val="none"/>
                      <w:lang w:val="en-US" w:eastAsia="zh-CN"/>
                    </w:rPr>
                  </w:pPr>
                </w:p>
              </w:tc>
              <w:tc>
                <w:tcPr>
                  <w:tcW w:w="3266" w:type="pct"/>
                  <w:gridSpan w:val="4"/>
                  <w:shd w:val="clear" w:color="auto" w:fill="auto"/>
                  <w:vAlign w:val="center"/>
                </w:tcPr>
                <w:p w14:paraId="36B98523">
                  <w:pPr>
                    <w:snapToGrid w:val="0"/>
                    <w:spacing w:line="240" w:lineRule="auto"/>
                    <w:jc w:val="center"/>
                    <w:rPr>
                      <w:rFonts w:hint="eastAsia" w:ascii="Times New Roman" w:hAnsi="Times New Roman" w:eastAsia="宋体" w:cs="Times New Roman"/>
                      <w:color w:val="000000"/>
                      <w:kern w:val="0"/>
                      <w:sz w:val="18"/>
                      <w:szCs w:val="18"/>
                      <w:highlight w:val="none"/>
                      <w:lang w:val="en-US" w:eastAsia="zh-CN" w:bidi="ar"/>
                    </w:rPr>
                  </w:pPr>
                  <w:r>
                    <w:rPr>
                      <w:rFonts w:hint="eastAsia" w:cs="Times New Roman"/>
                      <w:color w:val="000000"/>
                      <w:kern w:val="0"/>
                      <w:sz w:val="18"/>
                      <w:szCs w:val="18"/>
                      <w:highlight w:val="none"/>
                      <w:lang w:val="en-US" w:eastAsia="zh-CN" w:bidi="ar"/>
                    </w:rPr>
                    <w:t>乙苯</w:t>
                  </w:r>
                </w:p>
              </w:tc>
              <w:tc>
                <w:tcPr>
                  <w:tcW w:w="891" w:type="pct"/>
                  <w:shd w:val="clear" w:color="auto" w:fill="auto"/>
                  <w:vAlign w:val="center"/>
                </w:tcPr>
                <w:p w14:paraId="64D42E9D">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eastAsia" w:cs="Times New Roman"/>
                      <w:b w:val="0"/>
                      <w:bCs/>
                      <w:color w:val="000000"/>
                      <w:sz w:val="18"/>
                      <w:szCs w:val="18"/>
                      <w:highlight w:val="none"/>
                      <w:lang w:val="en-US" w:eastAsia="zh-CN"/>
                    </w:rPr>
                    <w:t>0.020×10</w:t>
                  </w:r>
                  <w:r>
                    <w:rPr>
                      <w:rFonts w:hint="eastAsia" w:cs="Times New Roman"/>
                      <w:b w:val="0"/>
                      <w:bCs/>
                      <w:color w:val="000000"/>
                      <w:sz w:val="18"/>
                      <w:szCs w:val="18"/>
                      <w:highlight w:val="none"/>
                      <w:vertAlign w:val="superscript"/>
                      <w:lang w:val="en-US" w:eastAsia="zh-CN"/>
                    </w:rPr>
                    <w:t>-6</w:t>
                  </w:r>
                </w:p>
              </w:tc>
            </w:tr>
            <w:tr w14:paraId="5AB3F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41" w:type="pct"/>
                  <w:gridSpan w:val="2"/>
                  <w:vMerge w:val="continue"/>
                  <w:vAlign w:val="center"/>
                </w:tcPr>
                <w:p w14:paraId="1A8F6088">
                  <w:pPr>
                    <w:jc w:val="center"/>
                    <w:rPr>
                      <w:rFonts w:hint="eastAsia" w:ascii="Times New Roman" w:hAnsi="Times New Roman" w:cs="Times New Roman"/>
                      <w:b w:val="0"/>
                      <w:bCs/>
                      <w:color w:val="000000"/>
                      <w:sz w:val="18"/>
                      <w:szCs w:val="18"/>
                      <w:highlight w:val="none"/>
                      <w:lang w:val="en-US" w:eastAsia="zh-CN"/>
                    </w:rPr>
                  </w:pPr>
                </w:p>
              </w:tc>
              <w:tc>
                <w:tcPr>
                  <w:tcW w:w="3266" w:type="pct"/>
                  <w:gridSpan w:val="4"/>
                  <w:shd w:val="clear" w:color="auto" w:fill="auto"/>
                  <w:vAlign w:val="center"/>
                </w:tcPr>
                <w:p w14:paraId="76B39AFE">
                  <w:pPr>
                    <w:snapToGrid w:val="0"/>
                    <w:spacing w:line="240" w:lineRule="auto"/>
                    <w:jc w:val="center"/>
                    <w:rPr>
                      <w:rFonts w:hint="eastAsia" w:ascii="Times New Roman" w:hAnsi="Times New Roman" w:eastAsia="宋体" w:cs="Times New Roman"/>
                      <w:color w:val="000000"/>
                      <w:kern w:val="0"/>
                      <w:sz w:val="18"/>
                      <w:szCs w:val="18"/>
                      <w:highlight w:val="none"/>
                      <w:lang w:val="en-US" w:eastAsia="zh-CN" w:bidi="ar"/>
                    </w:rPr>
                  </w:pPr>
                  <w:r>
                    <w:rPr>
                      <w:rFonts w:hint="eastAsia" w:cs="Times New Roman"/>
                      <w:color w:val="000000"/>
                      <w:kern w:val="0"/>
                      <w:sz w:val="18"/>
                      <w:szCs w:val="18"/>
                      <w:highlight w:val="none"/>
                      <w:lang w:val="en-US" w:eastAsia="zh-CN" w:bidi="ar"/>
                    </w:rPr>
                    <w:t>苯乙烯</w:t>
                  </w:r>
                </w:p>
              </w:tc>
              <w:tc>
                <w:tcPr>
                  <w:tcW w:w="891" w:type="pct"/>
                  <w:shd w:val="clear" w:color="auto" w:fill="auto"/>
                  <w:vAlign w:val="center"/>
                </w:tcPr>
                <w:p w14:paraId="71DB1EF5">
                  <w:pPr>
                    <w:jc w:val="center"/>
                    <w:rPr>
                      <w:rFonts w:hint="default" w:ascii="Times New Roman" w:hAnsi="Times New Roman" w:eastAsia="宋体" w:cs="Times New Roman"/>
                      <w:b w:val="0"/>
                      <w:bCs/>
                      <w:color w:val="000000"/>
                      <w:kern w:val="2"/>
                      <w:sz w:val="18"/>
                      <w:szCs w:val="18"/>
                      <w:highlight w:val="none"/>
                      <w:lang w:val="en-US" w:eastAsia="zh-CN" w:bidi="ar-SA"/>
                    </w:rPr>
                  </w:pPr>
                  <w:r>
                    <w:rPr>
                      <w:rFonts w:hint="eastAsia" w:cs="Times New Roman"/>
                      <w:b w:val="0"/>
                      <w:bCs/>
                      <w:color w:val="000000"/>
                      <w:sz w:val="18"/>
                      <w:szCs w:val="18"/>
                      <w:highlight w:val="none"/>
                      <w:lang w:val="en-US" w:eastAsia="zh-CN"/>
                    </w:rPr>
                    <w:t>0.012×10</w:t>
                  </w:r>
                  <w:r>
                    <w:rPr>
                      <w:rFonts w:hint="eastAsia" w:cs="Times New Roman"/>
                      <w:b w:val="0"/>
                      <w:bCs/>
                      <w:color w:val="000000"/>
                      <w:sz w:val="18"/>
                      <w:szCs w:val="18"/>
                      <w:highlight w:val="none"/>
                      <w:vertAlign w:val="superscript"/>
                      <w:lang w:val="en-US" w:eastAsia="zh-CN"/>
                    </w:rPr>
                    <w:t>-6</w:t>
                  </w:r>
                </w:p>
              </w:tc>
            </w:tr>
          </w:tbl>
          <w:p w14:paraId="5EF986C1">
            <w:pPr>
              <w:spacing w:line="360" w:lineRule="auto"/>
              <w:ind w:firstLine="480" w:firstLineChars="200"/>
              <w:rPr>
                <w:rFonts w:hint="eastAsia" w:eastAsia="宋体"/>
                <w:color w:val="auto"/>
                <w:sz w:val="24"/>
                <w:szCs w:val="24"/>
                <w:highlight w:val="none"/>
                <w:lang w:val="en-US" w:eastAsia="zh-CN"/>
              </w:rPr>
            </w:pPr>
            <w:r>
              <w:rPr>
                <w:rFonts w:hint="eastAsia"/>
                <w:color w:val="auto"/>
                <w:sz w:val="24"/>
                <w:szCs w:val="24"/>
                <w:highlight w:val="none"/>
                <w:lang w:val="en-US" w:eastAsia="zh-CN"/>
              </w:rPr>
              <w:t>③</w:t>
            </w:r>
            <w:r>
              <w:rPr>
                <w:rFonts w:hint="eastAsia" w:ascii="Times New Roman" w:hAnsi="Times New Roman" w:eastAsia="宋体" w:cs="Times New Roman"/>
                <w:b w:val="0"/>
                <w:bCs/>
                <w:color w:val="000000"/>
                <w:sz w:val="24"/>
                <w:szCs w:val="24"/>
                <w:highlight w:val="none"/>
                <w:lang w:val="en-US" w:eastAsia="zh-CN"/>
              </w:rPr>
              <w:t>大气污染物年排放量核算</w:t>
            </w:r>
          </w:p>
          <w:p w14:paraId="73C45BD1">
            <w:pPr>
              <w:adjustRightInd w:val="0"/>
              <w:snapToGrid w:val="0"/>
              <w:spacing w:line="360" w:lineRule="auto"/>
              <w:jc w:val="center"/>
              <w:rPr>
                <w:rFonts w:hint="default" w:ascii="Times New Roman" w:hAnsi="Times New Roman" w:cs="Times New Roman"/>
                <w:b/>
                <w:bCs/>
                <w:color w:val="000000"/>
                <w:szCs w:val="21"/>
                <w:highlight w:val="none"/>
              </w:rPr>
            </w:pPr>
          </w:p>
          <w:p w14:paraId="0F26951E">
            <w:pPr>
              <w:adjustRightInd w:val="0"/>
              <w:snapToGrid w:val="0"/>
              <w:spacing w:line="360" w:lineRule="auto"/>
              <w:jc w:val="center"/>
              <w:rPr>
                <w:rFonts w:hint="default" w:ascii="Times New Roman" w:hAnsi="Times New Roman" w:cs="Times New Roman"/>
                <w:b/>
                <w:bCs/>
                <w:color w:val="000000"/>
                <w:szCs w:val="21"/>
                <w:highlight w:val="none"/>
              </w:rPr>
            </w:pPr>
            <w:r>
              <w:rPr>
                <w:rFonts w:hint="default" w:ascii="Times New Roman" w:hAnsi="Times New Roman" w:cs="Times New Roman"/>
                <w:b/>
                <w:bCs/>
                <w:color w:val="000000"/>
                <w:szCs w:val="21"/>
                <w:highlight w:val="none"/>
              </w:rPr>
              <w:t>表4-</w:t>
            </w:r>
            <w:r>
              <w:rPr>
                <w:rFonts w:hint="eastAsia" w:cs="Times New Roman"/>
                <w:b/>
                <w:bCs/>
                <w:color w:val="000000"/>
                <w:szCs w:val="21"/>
                <w:highlight w:val="none"/>
                <w:lang w:val="en-US" w:eastAsia="zh-CN"/>
              </w:rPr>
              <w:t xml:space="preserve">9 </w:t>
            </w:r>
            <w:r>
              <w:rPr>
                <w:rFonts w:hint="default" w:ascii="Times New Roman" w:hAnsi="Times New Roman" w:cs="Times New Roman"/>
                <w:b/>
                <w:bCs/>
                <w:color w:val="000000"/>
                <w:szCs w:val="21"/>
                <w:highlight w:val="none"/>
              </w:rPr>
              <w:t xml:space="preserve"> 全厂大气污染物年排放量核算</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0"/>
              <w:gridCol w:w="2651"/>
              <w:gridCol w:w="2652"/>
            </w:tblGrid>
            <w:tr w14:paraId="4FF1D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1666" w:type="pct"/>
                  <w:noWrap w:val="0"/>
                  <w:vAlign w:val="center"/>
                </w:tcPr>
                <w:p w14:paraId="14F679E2">
                  <w:pPr>
                    <w:adjustRightInd w:val="0"/>
                    <w:snapToGrid w:val="0"/>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序号</w:t>
                  </w:r>
                </w:p>
              </w:tc>
              <w:tc>
                <w:tcPr>
                  <w:tcW w:w="1666" w:type="pct"/>
                  <w:noWrap w:val="0"/>
                  <w:vAlign w:val="center"/>
                </w:tcPr>
                <w:p w14:paraId="7390309C">
                  <w:pPr>
                    <w:adjustRightInd w:val="0"/>
                    <w:snapToGrid w:val="0"/>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污染物</w:t>
                  </w:r>
                </w:p>
              </w:tc>
              <w:tc>
                <w:tcPr>
                  <w:tcW w:w="1667" w:type="pct"/>
                  <w:noWrap w:val="0"/>
                  <w:vAlign w:val="center"/>
                </w:tcPr>
                <w:p w14:paraId="391680B3">
                  <w:pPr>
                    <w:adjustRightInd w:val="0"/>
                    <w:snapToGrid w:val="0"/>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年排放量（t/a）</w:t>
                  </w:r>
                </w:p>
              </w:tc>
            </w:tr>
            <w:tr w14:paraId="2A52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6" w:type="pct"/>
                  <w:noWrap w:val="0"/>
                  <w:vAlign w:val="center"/>
                </w:tcPr>
                <w:p w14:paraId="4F26014C">
                  <w:pPr>
                    <w:adjustRightInd w:val="0"/>
                    <w:snapToGrid w:val="0"/>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1</w:t>
                  </w:r>
                </w:p>
              </w:tc>
              <w:tc>
                <w:tcPr>
                  <w:tcW w:w="1666" w:type="pct"/>
                  <w:shd w:val="clear" w:color="auto" w:fill="auto"/>
                  <w:noWrap w:val="0"/>
                  <w:vAlign w:val="center"/>
                </w:tcPr>
                <w:p w14:paraId="40BC814C">
                  <w:pPr>
                    <w:jc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cs="Times New Roman"/>
                      <w:b w:val="0"/>
                      <w:bCs/>
                      <w:color w:val="000000"/>
                      <w:sz w:val="21"/>
                      <w:szCs w:val="21"/>
                      <w:highlight w:val="none"/>
                      <w:lang w:val="en-US" w:eastAsia="zh-CN"/>
                    </w:rPr>
                    <w:t>非甲烷总烃</w:t>
                  </w:r>
                </w:p>
              </w:tc>
              <w:tc>
                <w:tcPr>
                  <w:tcW w:w="1667" w:type="pct"/>
                  <w:noWrap w:val="0"/>
                  <w:vAlign w:val="center"/>
                </w:tcPr>
                <w:p w14:paraId="0B973A3C">
                  <w:pPr>
                    <w:jc w:val="center"/>
                    <w:rPr>
                      <w:rFonts w:hint="default" w:ascii="Times New Roman" w:hAnsi="Times New Roman" w:cs="Times New Roman"/>
                      <w:b w:val="0"/>
                      <w:bCs/>
                      <w:color w:val="000000"/>
                      <w:sz w:val="21"/>
                      <w:szCs w:val="21"/>
                      <w:highlight w:val="none"/>
                      <w:lang w:val="en-US" w:eastAsia="zh-CN"/>
                    </w:rPr>
                  </w:pPr>
                  <w:r>
                    <w:rPr>
                      <w:rFonts w:hint="eastAsia" w:ascii="Times New Roman" w:hAnsi="Times New Roman" w:cs="Times New Roman"/>
                      <w:b w:val="0"/>
                      <w:bCs/>
                      <w:color w:val="000000"/>
                      <w:sz w:val="21"/>
                      <w:szCs w:val="21"/>
                      <w:highlight w:val="none"/>
                      <w:lang w:val="en-US" w:eastAsia="zh-CN"/>
                    </w:rPr>
                    <w:t>2.439</w:t>
                  </w:r>
                </w:p>
              </w:tc>
            </w:tr>
            <w:tr w14:paraId="6DB66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66" w:type="pct"/>
                  <w:noWrap w:val="0"/>
                  <w:vAlign w:val="center"/>
                </w:tcPr>
                <w:p w14:paraId="4DDEDDEE">
                  <w:pPr>
                    <w:adjustRightInd w:val="0"/>
                    <w:snapToGrid w:val="0"/>
                    <w:jc w:val="cente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2</w:t>
                  </w:r>
                </w:p>
              </w:tc>
              <w:tc>
                <w:tcPr>
                  <w:tcW w:w="1666" w:type="pct"/>
                  <w:shd w:val="clear" w:color="auto" w:fill="auto"/>
                  <w:noWrap w:val="0"/>
                  <w:vAlign w:val="center"/>
                </w:tcPr>
                <w:p w14:paraId="72249491">
                  <w:pPr>
                    <w:jc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cs="Times New Roman"/>
                      <w:b w:val="0"/>
                      <w:bCs/>
                      <w:color w:val="000000"/>
                      <w:sz w:val="21"/>
                      <w:szCs w:val="21"/>
                      <w:highlight w:val="none"/>
                      <w:lang w:val="en-US" w:eastAsia="zh-CN"/>
                    </w:rPr>
                    <w:t>颗粒物</w:t>
                  </w:r>
                </w:p>
              </w:tc>
              <w:tc>
                <w:tcPr>
                  <w:tcW w:w="1667" w:type="pct"/>
                  <w:noWrap w:val="0"/>
                  <w:vAlign w:val="center"/>
                </w:tcPr>
                <w:p w14:paraId="0A8D1C65">
                  <w:pPr>
                    <w:jc w:val="center"/>
                    <w:rPr>
                      <w:rFonts w:hint="default" w:ascii="Times New Roman" w:hAnsi="Times New Roman" w:cs="Times New Roman"/>
                      <w:b w:val="0"/>
                      <w:bCs/>
                      <w:color w:val="000000"/>
                      <w:sz w:val="21"/>
                      <w:szCs w:val="21"/>
                      <w:highlight w:val="none"/>
                      <w:lang w:val="en-US" w:eastAsia="zh-CN"/>
                    </w:rPr>
                  </w:pPr>
                  <w:r>
                    <w:rPr>
                      <w:rFonts w:hint="eastAsia" w:ascii="Times New Roman" w:hAnsi="Times New Roman" w:cs="Times New Roman"/>
                      <w:b w:val="0"/>
                      <w:bCs/>
                      <w:color w:val="000000"/>
                      <w:sz w:val="21"/>
                      <w:szCs w:val="21"/>
                      <w:highlight w:val="none"/>
                      <w:lang w:val="en-US" w:eastAsia="zh-CN"/>
                    </w:rPr>
                    <w:t>0.029</w:t>
                  </w:r>
                </w:p>
              </w:tc>
            </w:tr>
            <w:tr w14:paraId="4C0B7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6" w:type="pct"/>
                  <w:noWrap w:val="0"/>
                  <w:vAlign w:val="top"/>
                </w:tcPr>
                <w:p w14:paraId="275A9958">
                  <w:pPr>
                    <w:adjustRightInd w:val="0"/>
                    <w:snapToGrid w:val="0"/>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3</w:t>
                  </w:r>
                </w:p>
              </w:tc>
              <w:tc>
                <w:tcPr>
                  <w:tcW w:w="1666" w:type="pct"/>
                  <w:shd w:val="clear" w:color="auto" w:fill="auto"/>
                  <w:noWrap w:val="0"/>
                  <w:vAlign w:val="center"/>
                </w:tcPr>
                <w:p w14:paraId="314FAF26">
                  <w:pPr>
                    <w:jc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cs="Times New Roman"/>
                      <w:b w:val="0"/>
                      <w:bCs/>
                      <w:color w:val="000000"/>
                      <w:sz w:val="21"/>
                      <w:szCs w:val="21"/>
                      <w:highlight w:val="none"/>
                      <w:lang w:val="en-US" w:eastAsia="zh-CN"/>
                    </w:rPr>
                    <w:t>锡及其化合物</w:t>
                  </w:r>
                </w:p>
              </w:tc>
              <w:tc>
                <w:tcPr>
                  <w:tcW w:w="1667" w:type="pct"/>
                  <w:noWrap w:val="0"/>
                  <w:vAlign w:val="center"/>
                </w:tcPr>
                <w:p w14:paraId="15AE311A">
                  <w:pPr>
                    <w:jc w:val="center"/>
                    <w:rPr>
                      <w:rFonts w:hint="default" w:ascii="Times New Roman" w:hAnsi="Times New Roman" w:cs="Times New Roman"/>
                      <w:b w:val="0"/>
                      <w:bCs/>
                      <w:color w:val="000000"/>
                      <w:sz w:val="21"/>
                      <w:szCs w:val="21"/>
                      <w:highlight w:val="none"/>
                      <w:lang w:val="en-US" w:eastAsia="zh-CN"/>
                    </w:rPr>
                  </w:pPr>
                  <w:r>
                    <w:rPr>
                      <w:rFonts w:hint="eastAsia" w:ascii="Times New Roman" w:hAnsi="Times New Roman" w:cs="Times New Roman"/>
                      <w:b w:val="0"/>
                      <w:bCs/>
                      <w:color w:val="000000"/>
                      <w:sz w:val="21"/>
                      <w:szCs w:val="21"/>
                      <w:highlight w:val="none"/>
                      <w:lang w:val="en-US" w:eastAsia="zh-CN"/>
                    </w:rPr>
                    <w:t>0.005</w:t>
                  </w:r>
                </w:p>
              </w:tc>
            </w:tr>
            <w:tr w14:paraId="7EDAF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6" w:type="pct"/>
                  <w:noWrap w:val="0"/>
                  <w:vAlign w:val="top"/>
                </w:tcPr>
                <w:p w14:paraId="60939F09">
                  <w:pPr>
                    <w:adjustRightInd w:val="0"/>
                    <w:snapToGrid w:val="0"/>
                    <w:jc w:val="center"/>
                    <w:rPr>
                      <w:rFonts w:hint="default" w:ascii="Times New Roman" w:hAnsi="Times New Roman" w:cs="Times New Roman"/>
                      <w:color w:val="000000"/>
                      <w:szCs w:val="21"/>
                      <w:highlight w:val="none"/>
                      <w:lang w:val="en-US" w:eastAsia="zh-CN"/>
                    </w:rPr>
                  </w:pPr>
                  <w:r>
                    <w:rPr>
                      <w:rFonts w:hint="eastAsia" w:cs="Times New Roman"/>
                      <w:color w:val="000000"/>
                      <w:szCs w:val="21"/>
                      <w:highlight w:val="none"/>
                      <w:lang w:val="en-US" w:eastAsia="zh-CN"/>
                    </w:rPr>
                    <w:t>4</w:t>
                  </w:r>
                </w:p>
              </w:tc>
              <w:tc>
                <w:tcPr>
                  <w:tcW w:w="1666" w:type="pct"/>
                  <w:shd w:val="clear" w:color="auto" w:fill="auto"/>
                  <w:noWrap w:val="0"/>
                  <w:vAlign w:val="center"/>
                </w:tcPr>
                <w:p w14:paraId="70159862">
                  <w:pPr>
                    <w:snapToGrid w:val="0"/>
                    <w:spacing w:line="240" w:lineRule="auto"/>
                    <w:jc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甲苯</w:t>
                  </w:r>
                </w:p>
              </w:tc>
              <w:tc>
                <w:tcPr>
                  <w:tcW w:w="1667" w:type="pct"/>
                  <w:shd w:val="clear" w:color="auto" w:fill="auto"/>
                  <w:noWrap w:val="0"/>
                  <w:vAlign w:val="center"/>
                </w:tcPr>
                <w:p w14:paraId="5D9233AF">
                  <w:pPr>
                    <w:jc w:val="center"/>
                    <w:rPr>
                      <w:rFonts w:hint="eastAsia" w:ascii="Times New Roman" w:hAnsi="Times New Roman" w:eastAsia="宋体" w:cs="Times New Roman"/>
                      <w:b w:val="0"/>
                      <w:bCs/>
                      <w:color w:val="000000"/>
                      <w:kern w:val="2"/>
                      <w:sz w:val="21"/>
                      <w:szCs w:val="21"/>
                      <w:highlight w:val="none"/>
                      <w:lang w:val="en-US" w:eastAsia="zh-CN" w:bidi="ar-SA"/>
                    </w:rPr>
                  </w:pPr>
                  <w:r>
                    <w:rPr>
                      <w:rFonts w:hint="default" w:ascii="Times New Roman" w:hAnsi="Times New Roman" w:cs="Times New Roman"/>
                      <w:b w:val="0"/>
                      <w:bCs/>
                      <w:color w:val="000000"/>
                      <w:sz w:val="21"/>
                      <w:szCs w:val="21"/>
                      <w:highlight w:val="none"/>
                    </w:rPr>
                    <w:t>0.0</w:t>
                  </w:r>
                  <w:r>
                    <w:rPr>
                      <w:rFonts w:hint="eastAsia" w:ascii="Times New Roman" w:hAnsi="Times New Roman" w:cs="Times New Roman"/>
                      <w:b w:val="0"/>
                      <w:bCs/>
                      <w:color w:val="000000"/>
                      <w:sz w:val="21"/>
                      <w:szCs w:val="21"/>
                      <w:highlight w:val="none"/>
                      <w:lang w:val="en-US" w:eastAsia="zh-CN"/>
                    </w:rPr>
                    <w:t>75</w:t>
                  </w:r>
                  <w:r>
                    <w:rPr>
                      <w:rFonts w:hint="eastAsia" w:cs="Times New Roman"/>
                      <w:b w:val="0"/>
                      <w:bCs/>
                      <w:color w:val="000000"/>
                      <w:sz w:val="21"/>
                      <w:szCs w:val="21"/>
                      <w:highlight w:val="none"/>
                      <w:lang w:val="en-US" w:eastAsia="zh-CN"/>
                    </w:rPr>
                    <w:t>×10</w:t>
                  </w:r>
                  <w:r>
                    <w:rPr>
                      <w:rFonts w:hint="eastAsia" w:cs="Times New Roman"/>
                      <w:b w:val="0"/>
                      <w:bCs/>
                      <w:color w:val="000000"/>
                      <w:sz w:val="21"/>
                      <w:szCs w:val="21"/>
                      <w:highlight w:val="none"/>
                      <w:vertAlign w:val="superscript"/>
                      <w:lang w:val="en-US" w:eastAsia="zh-CN"/>
                    </w:rPr>
                    <w:t>-6</w:t>
                  </w:r>
                </w:p>
              </w:tc>
            </w:tr>
            <w:tr w14:paraId="6DFBF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6" w:type="pct"/>
                  <w:noWrap w:val="0"/>
                  <w:vAlign w:val="top"/>
                </w:tcPr>
                <w:p w14:paraId="46DA187A">
                  <w:pPr>
                    <w:adjustRightInd w:val="0"/>
                    <w:snapToGrid w:val="0"/>
                    <w:jc w:val="center"/>
                    <w:rPr>
                      <w:rFonts w:hint="default" w:ascii="Times New Roman" w:hAnsi="Times New Roman" w:cs="Times New Roman"/>
                      <w:color w:val="000000"/>
                      <w:szCs w:val="21"/>
                      <w:highlight w:val="none"/>
                      <w:lang w:val="en-US" w:eastAsia="zh-CN"/>
                    </w:rPr>
                  </w:pPr>
                  <w:r>
                    <w:rPr>
                      <w:rFonts w:hint="eastAsia" w:cs="Times New Roman"/>
                      <w:color w:val="000000"/>
                      <w:szCs w:val="21"/>
                      <w:highlight w:val="none"/>
                      <w:lang w:val="en-US" w:eastAsia="zh-CN"/>
                    </w:rPr>
                    <w:t>5</w:t>
                  </w:r>
                </w:p>
              </w:tc>
              <w:tc>
                <w:tcPr>
                  <w:tcW w:w="1666" w:type="pct"/>
                  <w:shd w:val="clear" w:color="auto" w:fill="auto"/>
                  <w:noWrap w:val="0"/>
                  <w:vAlign w:val="center"/>
                </w:tcPr>
                <w:p w14:paraId="17680E95">
                  <w:pPr>
                    <w:snapToGrid w:val="0"/>
                    <w:spacing w:line="240" w:lineRule="auto"/>
                    <w:jc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乙苯</w:t>
                  </w:r>
                </w:p>
              </w:tc>
              <w:tc>
                <w:tcPr>
                  <w:tcW w:w="1667" w:type="pct"/>
                  <w:shd w:val="clear" w:color="auto" w:fill="auto"/>
                  <w:noWrap w:val="0"/>
                  <w:vAlign w:val="center"/>
                </w:tcPr>
                <w:p w14:paraId="1BEAD9A8">
                  <w:pPr>
                    <w:jc w:val="center"/>
                    <w:rPr>
                      <w:rFonts w:hint="eastAsia" w:ascii="Times New Roman" w:hAnsi="Times New Roman" w:eastAsia="宋体" w:cs="Times New Roman"/>
                      <w:b w:val="0"/>
                      <w:bCs/>
                      <w:color w:val="000000"/>
                      <w:kern w:val="2"/>
                      <w:sz w:val="21"/>
                      <w:szCs w:val="21"/>
                      <w:highlight w:val="none"/>
                      <w:lang w:val="en-US" w:eastAsia="zh-CN" w:bidi="ar-SA"/>
                    </w:rPr>
                  </w:pPr>
                  <w:r>
                    <w:rPr>
                      <w:rFonts w:hint="eastAsia" w:cs="Times New Roman"/>
                      <w:b w:val="0"/>
                      <w:bCs/>
                      <w:color w:val="000000"/>
                      <w:sz w:val="21"/>
                      <w:szCs w:val="21"/>
                      <w:highlight w:val="none"/>
                      <w:lang w:val="en-US" w:eastAsia="zh-CN"/>
                    </w:rPr>
                    <w:t>0.039×10</w:t>
                  </w:r>
                  <w:r>
                    <w:rPr>
                      <w:rFonts w:hint="eastAsia" w:cs="Times New Roman"/>
                      <w:b w:val="0"/>
                      <w:bCs/>
                      <w:color w:val="000000"/>
                      <w:sz w:val="21"/>
                      <w:szCs w:val="21"/>
                      <w:highlight w:val="none"/>
                      <w:vertAlign w:val="superscript"/>
                      <w:lang w:val="en-US" w:eastAsia="zh-CN"/>
                    </w:rPr>
                    <w:t>-6</w:t>
                  </w:r>
                </w:p>
              </w:tc>
            </w:tr>
            <w:tr w14:paraId="60E47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6" w:type="pct"/>
                  <w:noWrap w:val="0"/>
                  <w:vAlign w:val="top"/>
                </w:tcPr>
                <w:p w14:paraId="0E6EA55E">
                  <w:pPr>
                    <w:adjustRightInd w:val="0"/>
                    <w:snapToGrid w:val="0"/>
                    <w:jc w:val="center"/>
                    <w:rPr>
                      <w:rFonts w:hint="default" w:ascii="Times New Roman" w:hAnsi="Times New Roman" w:cs="Times New Roman"/>
                      <w:color w:val="000000"/>
                      <w:szCs w:val="21"/>
                      <w:highlight w:val="none"/>
                      <w:lang w:val="en-US" w:eastAsia="zh-CN"/>
                    </w:rPr>
                  </w:pPr>
                  <w:r>
                    <w:rPr>
                      <w:rFonts w:hint="eastAsia" w:cs="Times New Roman"/>
                      <w:color w:val="000000"/>
                      <w:szCs w:val="21"/>
                      <w:highlight w:val="none"/>
                      <w:lang w:val="en-US" w:eastAsia="zh-CN"/>
                    </w:rPr>
                    <w:t>6</w:t>
                  </w:r>
                </w:p>
              </w:tc>
              <w:tc>
                <w:tcPr>
                  <w:tcW w:w="1666" w:type="pct"/>
                  <w:shd w:val="clear" w:color="auto" w:fill="auto"/>
                  <w:noWrap w:val="0"/>
                  <w:vAlign w:val="center"/>
                </w:tcPr>
                <w:p w14:paraId="616362A9">
                  <w:pPr>
                    <w:snapToGrid w:val="0"/>
                    <w:spacing w:line="240" w:lineRule="auto"/>
                    <w:jc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苯乙烯</w:t>
                  </w:r>
                </w:p>
              </w:tc>
              <w:tc>
                <w:tcPr>
                  <w:tcW w:w="1667" w:type="pct"/>
                  <w:shd w:val="clear" w:color="auto" w:fill="auto"/>
                  <w:noWrap w:val="0"/>
                  <w:vAlign w:val="center"/>
                </w:tcPr>
                <w:p w14:paraId="139B5003">
                  <w:pPr>
                    <w:jc w:val="center"/>
                    <w:rPr>
                      <w:rFonts w:hint="eastAsia" w:ascii="Times New Roman" w:hAnsi="Times New Roman" w:eastAsia="宋体" w:cs="Times New Roman"/>
                      <w:b w:val="0"/>
                      <w:bCs/>
                      <w:color w:val="000000"/>
                      <w:kern w:val="2"/>
                      <w:sz w:val="21"/>
                      <w:szCs w:val="21"/>
                      <w:highlight w:val="none"/>
                      <w:lang w:val="en-US" w:eastAsia="zh-CN" w:bidi="ar-SA"/>
                    </w:rPr>
                  </w:pPr>
                  <w:r>
                    <w:rPr>
                      <w:rFonts w:hint="eastAsia" w:cs="Times New Roman"/>
                      <w:b w:val="0"/>
                      <w:bCs/>
                      <w:color w:val="000000"/>
                      <w:sz w:val="21"/>
                      <w:szCs w:val="21"/>
                      <w:highlight w:val="none"/>
                      <w:lang w:val="en-US" w:eastAsia="zh-CN"/>
                    </w:rPr>
                    <w:t>0.023×10</w:t>
                  </w:r>
                  <w:r>
                    <w:rPr>
                      <w:rFonts w:hint="eastAsia" w:cs="Times New Roman"/>
                      <w:b w:val="0"/>
                      <w:bCs/>
                      <w:color w:val="000000"/>
                      <w:sz w:val="21"/>
                      <w:szCs w:val="21"/>
                      <w:highlight w:val="none"/>
                      <w:vertAlign w:val="superscript"/>
                      <w:lang w:val="en-US" w:eastAsia="zh-CN"/>
                    </w:rPr>
                    <w:t>-6</w:t>
                  </w:r>
                </w:p>
              </w:tc>
            </w:tr>
          </w:tbl>
          <w:p w14:paraId="68834AA1">
            <w:pPr>
              <w:spacing w:line="360" w:lineRule="auto"/>
              <w:rPr>
                <w:rFonts w:hint="default" w:cs="Times New Roman"/>
                <w:b/>
                <w:bCs/>
                <w:color w:val="auto"/>
                <w:sz w:val="24"/>
                <w:szCs w:val="24"/>
                <w:highlight w:val="none"/>
                <w:lang w:val="en-US" w:eastAsia="zh-CN"/>
              </w:rPr>
            </w:pPr>
            <w:r>
              <w:rPr>
                <w:rFonts w:hint="eastAsia" w:cs="Times New Roman"/>
                <w:b/>
                <w:bCs/>
                <w:color w:val="auto"/>
                <w:sz w:val="21"/>
                <w:szCs w:val="21"/>
                <w:highlight w:val="none"/>
                <w:lang w:val="en-US" w:eastAsia="zh-CN"/>
              </w:rPr>
              <w:t>注：保留三位有效数字。</w:t>
            </w:r>
          </w:p>
          <w:p w14:paraId="0A2A1C9B">
            <w:pPr>
              <w:spacing w:line="360" w:lineRule="auto"/>
              <w:ind w:firstLine="480" w:firstLineChars="200"/>
              <w:rPr>
                <w:rFonts w:hint="default" w:cs="Times New Roman"/>
                <w:b/>
                <w:bCs/>
                <w:color w:val="auto"/>
                <w:sz w:val="24"/>
                <w:szCs w:val="24"/>
                <w:highlight w:val="none"/>
                <w:lang w:val="en-US" w:eastAsia="zh-CN"/>
              </w:rPr>
            </w:pPr>
            <w:r>
              <w:rPr>
                <w:rFonts w:hint="eastAsia" w:cs="Times New Roman"/>
                <w:b w:val="0"/>
                <w:bCs w:val="0"/>
                <w:color w:val="auto"/>
                <w:sz w:val="24"/>
                <w:szCs w:val="24"/>
                <w:highlight w:val="none"/>
                <w:lang w:val="en-US" w:eastAsia="zh-CN"/>
              </w:rPr>
              <w:t>根据工程分析，项目显示屏模组器件有组织非甲烷总烃排放量为0.015t/a，项目显示屏模组器件总产能为2000万个（约54t），故项目单位产品非甲烷总烃排放量为0.27kg/t产品&lt;0.3kg/t产品，满足</w:t>
            </w:r>
            <w:r>
              <w:rPr>
                <w:rFonts w:hint="eastAsia" w:ascii="Times New Roman" w:hAnsi="Times New Roman" w:cs="Times New Roman"/>
                <w:b w:val="0"/>
                <w:bCs/>
                <w:color w:val="auto"/>
                <w:sz w:val="24"/>
                <w:szCs w:val="24"/>
                <w:highlight w:val="none"/>
                <w:lang w:val="en-US" w:eastAsia="zh-CN"/>
              </w:rPr>
              <w:t>《合成树脂工业污染物排放标准》表5中的</w:t>
            </w:r>
            <w:r>
              <w:rPr>
                <w:rFonts w:hint="eastAsia" w:cs="Times New Roman"/>
                <w:b w:val="0"/>
                <w:bCs w:val="0"/>
                <w:color w:val="auto"/>
                <w:sz w:val="24"/>
                <w:szCs w:val="24"/>
                <w:highlight w:val="none"/>
                <w:lang w:val="en-US" w:eastAsia="zh-CN"/>
              </w:rPr>
              <w:t>单位产品非甲烷总烃排放量要求。</w:t>
            </w:r>
          </w:p>
          <w:p w14:paraId="4CF90E9E">
            <w:pPr>
              <w:spacing w:line="360" w:lineRule="auto"/>
              <w:ind w:firstLine="482" w:firstLineChars="200"/>
              <w:rPr>
                <w:rFonts w:hint="default" w:ascii="Times New Roman" w:hAnsi="Times New Roman" w:cs="Times New Roman"/>
                <w:b/>
                <w:bCs/>
                <w:color w:val="auto"/>
                <w:sz w:val="24"/>
                <w:szCs w:val="24"/>
                <w:highlight w:val="none"/>
              </w:rPr>
            </w:pPr>
            <w:r>
              <w:rPr>
                <w:rFonts w:hint="eastAsia" w:cs="Times New Roman"/>
                <w:b/>
                <w:bCs/>
                <w:color w:val="auto"/>
                <w:sz w:val="24"/>
                <w:szCs w:val="24"/>
                <w:highlight w:val="none"/>
                <w:lang w:val="en-US" w:eastAsia="zh-CN"/>
              </w:rPr>
              <w:t>（7）</w:t>
            </w:r>
            <w:r>
              <w:rPr>
                <w:rFonts w:hint="default" w:ascii="Times New Roman" w:hAnsi="Times New Roman" w:cs="Times New Roman"/>
                <w:b/>
                <w:bCs/>
                <w:color w:val="auto"/>
                <w:sz w:val="24"/>
                <w:szCs w:val="24"/>
                <w:highlight w:val="none"/>
              </w:rPr>
              <w:t>环境监测计划</w:t>
            </w:r>
          </w:p>
          <w:p w14:paraId="1086AF9B">
            <w:pPr>
              <w:adjustRightInd w:val="0"/>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结合《</w:t>
            </w:r>
            <w:r>
              <w:rPr>
                <w:rFonts w:hint="eastAsia" w:eastAsia="宋体" w:cs="Times New Roman"/>
                <w:color w:val="auto"/>
                <w:sz w:val="24"/>
                <w:szCs w:val="24"/>
                <w:highlight w:val="none"/>
                <w:lang w:val="en-US" w:eastAsia="zh-CN"/>
              </w:rPr>
              <w:t>排污许可证申请与核发技术规范 电子工业</w:t>
            </w:r>
            <w:r>
              <w:rPr>
                <w:rFonts w:hint="default" w:eastAsia="宋体" w:cs="Times New Roman"/>
                <w:color w:val="auto"/>
                <w:sz w:val="24"/>
                <w:szCs w:val="24"/>
                <w:highlight w:val="none"/>
                <w:lang w:val="en-US" w:eastAsia="zh-CN"/>
              </w:rPr>
              <w:t>》（HJ1031</w:t>
            </w:r>
            <w:r>
              <w:rPr>
                <w:rFonts w:hint="eastAsia" w:cs="Times New Roman"/>
                <w:color w:val="auto"/>
                <w:sz w:val="24"/>
                <w:szCs w:val="24"/>
                <w:highlight w:val="none"/>
                <w:lang w:val="en-US" w:eastAsia="zh-CN"/>
              </w:rPr>
              <w:t>-</w:t>
            </w:r>
            <w:r>
              <w:rPr>
                <w:rFonts w:hint="default" w:eastAsia="宋体" w:cs="Times New Roman"/>
                <w:color w:val="auto"/>
                <w:sz w:val="24"/>
                <w:szCs w:val="24"/>
                <w:highlight w:val="none"/>
                <w:lang w:val="en-US" w:eastAsia="zh-CN"/>
              </w:rPr>
              <w:t>2019）</w:t>
            </w:r>
            <w:r>
              <w:rPr>
                <w:rFonts w:hint="default" w:ascii="Times New Roman" w:hAnsi="Times New Roman" w:cs="Times New Roman"/>
                <w:color w:val="auto"/>
                <w:sz w:val="24"/>
                <w:szCs w:val="24"/>
                <w:highlight w:val="none"/>
              </w:rPr>
              <w:t>、《排污单位自行监测技术指南</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电子工业》（HJ1253-2022）</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w:t>
            </w:r>
            <w:r>
              <w:rPr>
                <w:rFonts w:hint="eastAsia" w:eastAsia="宋体" w:cs="Times New Roman"/>
                <w:color w:val="auto"/>
                <w:sz w:val="24"/>
                <w:szCs w:val="24"/>
                <w:highlight w:val="none"/>
                <w:lang w:val="en-US" w:eastAsia="zh-CN"/>
              </w:rPr>
              <w:t xml:space="preserve">排污许可证申请与核发技术规范 </w:t>
            </w:r>
            <w:r>
              <w:rPr>
                <w:rFonts w:hint="eastAsia" w:cs="Times New Roman"/>
                <w:color w:val="auto"/>
                <w:sz w:val="24"/>
                <w:szCs w:val="24"/>
                <w:highlight w:val="none"/>
                <w:lang w:val="en-US" w:eastAsia="zh-CN"/>
              </w:rPr>
              <w:t>橡胶和塑料制品</w:t>
            </w:r>
            <w:r>
              <w:rPr>
                <w:rFonts w:hint="eastAsia" w:eastAsia="宋体" w:cs="Times New Roman"/>
                <w:color w:val="auto"/>
                <w:sz w:val="24"/>
                <w:szCs w:val="24"/>
                <w:highlight w:val="none"/>
                <w:lang w:val="en-US" w:eastAsia="zh-CN"/>
              </w:rPr>
              <w:t>工业</w:t>
            </w:r>
            <w:r>
              <w:rPr>
                <w:rFonts w:hint="default" w:eastAsia="宋体" w:cs="Times New Roman"/>
                <w:color w:val="auto"/>
                <w:sz w:val="24"/>
                <w:szCs w:val="24"/>
                <w:highlight w:val="none"/>
                <w:lang w:val="en-US" w:eastAsia="zh-CN"/>
              </w:rPr>
              <w:t>》（HJ</w:t>
            </w:r>
            <w:r>
              <w:rPr>
                <w:rFonts w:hint="eastAsia" w:cs="Times New Roman"/>
                <w:color w:val="auto"/>
                <w:sz w:val="24"/>
                <w:szCs w:val="24"/>
                <w:highlight w:val="none"/>
                <w:lang w:val="en-US" w:eastAsia="zh-CN"/>
              </w:rPr>
              <w:t>1122-</w:t>
            </w:r>
            <w:r>
              <w:rPr>
                <w:rFonts w:hint="default" w:eastAsia="宋体" w:cs="Times New Roman"/>
                <w:color w:val="auto"/>
                <w:sz w:val="24"/>
                <w:szCs w:val="24"/>
                <w:highlight w:val="none"/>
                <w:lang w:val="en-US" w:eastAsia="zh-CN"/>
              </w:rPr>
              <w:t>20</w:t>
            </w:r>
            <w:r>
              <w:rPr>
                <w:rFonts w:hint="eastAsia" w:cs="Times New Roman"/>
                <w:color w:val="auto"/>
                <w:sz w:val="24"/>
                <w:szCs w:val="24"/>
                <w:highlight w:val="none"/>
                <w:lang w:val="en-US" w:eastAsia="zh-CN"/>
              </w:rPr>
              <w:t>20</w:t>
            </w:r>
            <w:r>
              <w:rPr>
                <w:rFonts w:hint="default"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、《排污单位自行监测技术指南 橡胶和塑料制品》</w:t>
            </w:r>
            <w:r>
              <w:rPr>
                <w:rFonts w:hint="default" w:eastAsia="宋体" w:cs="Times New Roman"/>
                <w:color w:val="auto"/>
                <w:sz w:val="24"/>
                <w:szCs w:val="24"/>
                <w:highlight w:val="none"/>
                <w:lang w:val="en-US" w:eastAsia="zh-CN"/>
              </w:rPr>
              <w:t>（HJ</w:t>
            </w:r>
            <w:r>
              <w:rPr>
                <w:rFonts w:hint="eastAsia" w:cs="Times New Roman"/>
                <w:color w:val="auto"/>
                <w:sz w:val="24"/>
                <w:szCs w:val="24"/>
                <w:highlight w:val="none"/>
                <w:lang w:val="en-US" w:eastAsia="zh-CN"/>
              </w:rPr>
              <w:t>1207-</w:t>
            </w:r>
            <w:r>
              <w:rPr>
                <w:rFonts w:hint="default" w:eastAsia="宋体" w:cs="Times New Roman"/>
                <w:color w:val="auto"/>
                <w:sz w:val="24"/>
                <w:szCs w:val="24"/>
                <w:highlight w:val="none"/>
                <w:lang w:val="en-US" w:eastAsia="zh-CN"/>
              </w:rPr>
              <w:t>20</w:t>
            </w:r>
            <w:r>
              <w:rPr>
                <w:rFonts w:hint="eastAsia" w:cs="Times New Roman"/>
                <w:color w:val="auto"/>
                <w:sz w:val="24"/>
                <w:szCs w:val="24"/>
                <w:highlight w:val="none"/>
                <w:lang w:val="en-US" w:eastAsia="zh-CN"/>
              </w:rPr>
              <w:t>21</w:t>
            </w:r>
            <w:r>
              <w:rPr>
                <w:rFonts w:hint="default" w:eastAsia="宋体"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制定</w:t>
            </w:r>
            <w:r>
              <w:rPr>
                <w:rFonts w:hint="eastAsia" w:cs="Times New Roman"/>
                <w:color w:val="auto"/>
                <w:sz w:val="24"/>
                <w:szCs w:val="24"/>
                <w:highlight w:val="none"/>
                <w:lang w:eastAsia="zh-CN"/>
              </w:rPr>
              <w:t>大气</w:t>
            </w:r>
            <w:r>
              <w:rPr>
                <w:rFonts w:hint="default" w:ascii="Times New Roman" w:hAnsi="Times New Roman" w:cs="Times New Roman"/>
                <w:color w:val="auto"/>
                <w:sz w:val="24"/>
                <w:szCs w:val="24"/>
                <w:highlight w:val="none"/>
              </w:rPr>
              <w:t>监测计划</w:t>
            </w:r>
            <w:r>
              <w:rPr>
                <w:rFonts w:hint="eastAsia" w:cs="Times New Roman"/>
                <w:color w:val="auto"/>
                <w:sz w:val="24"/>
                <w:szCs w:val="24"/>
                <w:highlight w:val="none"/>
                <w:lang w:eastAsia="zh-CN"/>
              </w:rPr>
              <w:t>，具体如下：</w:t>
            </w:r>
          </w:p>
          <w:p w14:paraId="678F96C4">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cs="Times New Roman"/>
                <w:b/>
                <w:bCs/>
                <w:color w:val="auto"/>
                <w:szCs w:val="21"/>
                <w:highlight w:val="none"/>
              </w:rPr>
            </w:pPr>
            <w:r>
              <w:rPr>
                <w:rFonts w:hint="default" w:ascii="Times New Roman" w:hAnsi="Times New Roman" w:eastAsia="宋体" w:cs="Times New Roman"/>
                <w:b/>
                <w:bCs/>
                <w:i w:val="0"/>
                <w:color w:val="auto"/>
                <w:kern w:val="2"/>
                <w:sz w:val="21"/>
                <w:szCs w:val="21"/>
                <w:highlight w:val="none"/>
                <w:lang w:val="en-US" w:eastAsia="zh-CN" w:bidi="ar-SA"/>
              </w:rPr>
              <w:t>表4-</w:t>
            </w:r>
            <w:r>
              <w:rPr>
                <w:rFonts w:hint="eastAsia" w:ascii="Times New Roman" w:hAnsi="Times New Roman" w:cs="Times New Roman"/>
                <w:b/>
                <w:bCs/>
                <w:i w:val="0"/>
                <w:color w:val="auto"/>
                <w:kern w:val="2"/>
                <w:sz w:val="21"/>
                <w:szCs w:val="21"/>
                <w:highlight w:val="none"/>
                <w:lang w:val="en-US" w:eastAsia="zh-CN" w:bidi="ar-SA"/>
              </w:rPr>
              <w:t xml:space="preserve">10  </w:t>
            </w:r>
            <w:r>
              <w:rPr>
                <w:rFonts w:hint="default" w:ascii="Times New Roman" w:hAnsi="Times New Roman" w:cs="Times New Roman"/>
                <w:b/>
                <w:bCs/>
                <w:color w:val="auto"/>
                <w:szCs w:val="21"/>
                <w:highlight w:val="none"/>
              </w:rPr>
              <w:t>项目大气监测工作计划一览表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89"/>
              <w:gridCol w:w="1017"/>
              <w:gridCol w:w="2388"/>
              <w:gridCol w:w="2224"/>
              <w:gridCol w:w="1335"/>
            </w:tblGrid>
            <w:tr w14:paraId="401F7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22" w:type="pct"/>
                  <w:noWrap w:val="0"/>
                  <w:tcMar>
                    <w:left w:w="0" w:type="dxa"/>
                    <w:right w:w="0" w:type="dxa"/>
                  </w:tcMar>
                  <w:vAlign w:val="center"/>
                </w:tcPr>
                <w:p w14:paraId="47D9DD3A">
                  <w:pPr>
                    <w:adjustRightInd w:val="0"/>
                    <w:snapToGrid w:val="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类别</w:t>
                  </w:r>
                </w:p>
              </w:tc>
              <w:tc>
                <w:tcPr>
                  <w:tcW w:w="2140" w:type="pct"/>
                  <w:gridSpan w:val="2"/>
                  <w:noWrap w:val="0"/>
                  <w:tcMar>
                    <w:left w:w="0" w:type="dxa"/>
                    <w:right w:w="0" w:type="dxa"/>
                  </w:tcMar>
                  <w:vAlign w:val="center"/>
                </w:tcPr>
                <w:p w14:paraId="064D5E61">
                  <w:pPr>
                    <w:adjustRightInd w:val="0"/>
                    <w:snapToGrid w:val="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监测点位</w:t>
                  </w:r>
                </w:p>
              </w:tc>
              <w:tc>
                <w:tcPr>
                  <w:tcW w:w="1398" w:type="pct"/>
                  <w:noWrap w:val="0"/>
                  <w:tcMar>
                    <w:left w:w="0" w:type="dxa"/>
                    <w:right w:w="0" w:type="dxa"/>
                  </w:tcMar>
                  <w:vAlign w:val="center"/>
                </w:tcPr>
                <w:p w14:paraId="0733E219">
                  <w:pPr>
                    <w:adjustRightInd w:val="0"/>
                    <w:snapToGrid w:val="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监测项目</w:t>
                  </w:r>
                </w:p>
              </w:tc>
              <w:tc>
                <w:tcPr>
                  <w:tcW w:w="839" w:type="pct"/>
                  <w:noWrap w:val="0"/>
                  <w:vAlign w:val="center"/>
                </w:tcPr>
                <w:p w14:paraId="7F5587BD">
                  <w:pPr>
                    <w:adjustRightInd w:val="0"/>
                    <w:snapToGrid w:val="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监测频率</w:t>
                  </w:r>
                </w:p>
              </w:tc>
            </w:tr>
            <w:tr w14:paraId="68511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22" w:type="pct"/>
                  <w:vMerge w:val="restart"/>
                  <w:noWrap w:val="0"/>
                  <w:tcMar>
                    <w:left w:w="0" w:type="dxa"/>
                    <w:right w:w="0" w:type="dxa"/>
                  </w:tcMar>
                  <w:vAlign w:val="center"/>
                </w:tcPr>
                <w:p w14:paraId="7C520E44">
                  <w:pPr>
                    <w:adjustRightInd w:val="0"/>
                    <w:snapToGrid w:val="0"/>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废气</w:t>
                  </w:r>
                </w:p>
              </w:tc>
              <w:tc>
                <w:tcPr>
                  <w:tcW w:w="639" w:type="pct"/>
                  <w:noWrap w:val="0"/>
                  <w:tcMar>
                    <w:left w:w="0" w:type="dxa"/>
                    <w:right w:w="0" w:type="dxa"/>
                  </w:tcMar>
                  <w:vAlign w:val="center"/>
                </w:tcPr>
                <w:p w14:paraId="1440463B">
                  <w:pPr>
                    <w:adjustRightInd w:val="0"/>
                    <w:snapToGrid w:val="0"/>
                    <w:jc w:val="center"/>
                    <w:rPr>
                      <w:rFonts w:hint="eastAsia" w:ascii="Times New Roman" w:hAnsi="Times New Roman" w:eastAsia="宋体" w:cs="Times New Roman"/>
                      <w:color w:val="auto"/>
                      <w:szCs w:val="21"/>
                      <w:highlight w:val="none"/>
                      <w:lang w:eastAsia="zh-CN"/>
                    </w:rPr>
                  </w:pPr>
                  <w:r>
                    <w:rPr>
                      <w:rFonts w:hint="eastAsia" w:cs="Times New Roman"/>
                      <w:color w:val="auto"/>
                      <w:szCs w:val="21"/>
                      <w:highlight w:val="none"/>
                      <w:lang w:eastAsia="zh-CN"/>
                    </w:rPr>
                    <w:t>有组织</w:t>
                  </w:r>
                </w:p>
              </w:tc>
              <w:tc>
                <w:tcPr>
                  <w:tcW w:w="1500" w:type="pct"/>
                  <w:noWrap w:val="0"/>
                  <w:vAlign w:val="center"/>
                </w:tcPr>
                <w:p w14:paraId="53EC6B69">
                  <w:pPr>
                    <w:adjustRightInd w:val="0"/>
                    <w:snapToGrid w:val="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DA001</w:t>
                  </w:r>
                </w:p>
              </w:tc>
              <w:tc>
                <w:tcPr>
                  <w:tcW w:w="1398" w:type="pct"/>
                  <w:noWrap w:val="0"/>
                  <w:vAlign w:val="center"/>
                </w:tcPr>
                <w:p w14:paraId="06B8D9A9">
                  <w:pPr>
                    <w:adjustRightInd w:val="0"/>
                    <w:snapToGrid w:val="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eastAsia="zh-CN"/>
                    </w:rPr>
                    <w:t>非甲烷总烃、</w:t>
                  </w:r>
                  <w:r>
                    <w:rPr>
                      <w:rFonts w:hint="eastAsia" w:cs="Times New Roman"/>
                      <w:color w:val="auto"/>
                      <w:szCs w:val="21"/>
                      <w:highlight w:val="none"/>
                      <w:lang w:eastAsia="zh-CN"/>
                    </w:rPr>
                    <w:t>颗粒物、锡及其化合物、</w:t>
                  </w:r>
                  <w:r>
                    <w:rPr>
                      <w:rFonts w:hint="eastAsia" w:cs="Times New Roman"/>
                      <w:color w:val="auto"/>
                      <w:szCs w:val="21"/>
                      <w:highlight w:val="none"/>
                      <w:lang w:val="en-US" w:eastAsia="zh-CN"/>
                    </w:rPr>
                    <w:t>甲苯、乙苯、苯乙烯</w:t>
                  </w:r>
                </w:p>
              </w:tc>
              <w:tc>
                <w:tcPr>
                  <w:tcW w:w="839" w:type="pct"/>
                  <w:noWrap w:val="0"/>
                  <w:vAlign w:val="center"/>
                </w:tcPr>
                <w:p w14:paraId="4765019E">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1</w:t>
                  </w:r>
                  <w:r>
                    <w:rPr>
                      <w:rFonts w:hint="default" w:ascii="Times New Roman" w:hAnsi="Times New Roman" w:cs="Times New Roman"/>
                      <w:color w:val="auto"/>
                      <w:szCs w:val="21"/>
                      <w:highlight w:val="none"/>
                    </w:rPr>
                    <w:t>次/年</w:t>
                  </w:r>
                </w:p>
              </w:tc>
            </w:tr>
            <w:tr w14:paraId="65E02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22" w:type="pct"/>
                  <w:vMerge w:val="continue"/>
                  <w:noWrap w:val="0"/>
                  <w:tcMar>
                    <w:left w:w="0" w:type="dxa"/>
                    <w:right w:w="0" w:type="dxa"/>
                  </w:tcMar>
                  <w:vAlign w:val="center"/>
                </w:tcPr>
                <w:p w14:paraId="230356D8">
                  <w:pPr>
                    <w:adjustRightInd w:val="0"/>
                    <w:snapToGrid w:val="0"/>
                    <w:jc w:val="center"/>
                    <w:rPr>
                      <w:rFonts w:hint="eastAsia" w:ascii="Times New Roman" w:hAnsi="Times New Roman" w:cs="Times New Roman"/>
                      <w:color w:val="auto"/>
                      <w:szCs w:val="21"/>
                      <w:highlight w:val="none"/>
                      <w:lang w:eastAsia="zh-CN"/>
                    </w:rPr>
                  </w:pPr>
                </w:p>
              </w:tc>
              <w:tc>
                <w:tcPr>
                  <w:tcW w:w="639" w:type="pct"/>
                  <w:noWrap w:val="0"/>
                  <w:tcMar>
                    <w:left w:w="0" w:type="dxa"/>
                    <w:right w:w="0" w:type="dxa"/>
                  </w:tcMar>
                  <w:vAlign w:val="center"/>
                </w:tcPr>
                <w:p w14:paraId="4AB49733">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无组织</w:t>
                  </w:r>
                </w:p>
              </w:tc>
              <w:tc>
                <w:tcPr>
                  <w:tcW w:w="1500" w:type="pct"/>
                  <w:noWrap w:val="0"/>
                  <w:vAlign w:val="center"/>
                </w:tcPr>
                <w:p w14:paraId="3D933A82">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厂界（上风向设置1个点，下风向设置3个点）</w:t>
                  </w:r>
                </w:p>
              </w:tc>
              <w:tc>
                <w:tcPr>
                  <w:tcW w:w="1398" w:type="pct"/>
                  <w:noWrap w:val="0"/>
                  <w:vAlign w:val="center"/>
                </w:tcPr>
                <w:p w14:paraId="602C1FC4">
                  <w:pPr>
                    <w:adjustRightInd w:val="0"/>
                    <w:snapToGrid w:val="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Cs w:val="21"/>
                      <w:highlight w:val="none"/>
                      <w:lang w:eastAsia="zh-CN"/>
                    </w:rPr>
                    <w:t>非甲烷总烃、</w:t>
                  </w:r>
                  <w:r>
                    <w:rPr>
                      <w:rFonts w:hint="eastAsia" w:cs="Times New Roman"/>
                      <w:color w:val="auto"/>
                      <w:szCs w:val="21"/>
                      <w:highlight w:val="none"/>
                      <w:lang w:eastAsia="zh-CN"/>
                    </w:rPr>
                    <w:t>颗粒物、锡及其化合物、</w:t>
                  </w:r>
                  <w:r>
                    <w:rPr>
                      <w:rFonts w:hint="eastAsia" w:cs="Times New Roman"/>
                      <w:color w:val="auto"/>
                      <w:szCs w:val="21"/>
                      <w:highlight w:val="none"/>
                      <w:lang w:val="en-US" w:eastAsia="zh-CN"/>
                    </w:rPr>
                    <w:t>甲苯、乙苯、苯乙烯</w:t>
                  </w:r>
                </w:p>
              </w:tc>
              <w:tc>
                <w:tcPr>
                  <w:tcW w:w="839" w:type="pct"/>
                  <w:noWrap w:val="0"/>
                  <w:vAlign w:val="center"/>
                </w:tcPr>
                <w:p w14:paraId="45B728E8">
                  <w:pPr>
                    <w:adjustRightInd w:val="0"/>
                    <w:snapToGrid w:val="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default" w:ascii="Times New Roman" w:hAnsi="Times New Roman" w:cs="Times New Roman"/>
                      <w:color w:val="auto"/>
                      <w:szCs w:val="21"/>
                      <w:highlight w:val="none"/>
                    </w:rPr>
                    <w:t>次/年</w:t>
                  </w:r>
                </w:p>
              </w:tc>
            </w:tr>
          </w:tbl>
          <w:p w14:paraId="5E280827">
            <w:pPr>
              <w:spacing w:line="360" w:lineRule="auto"/>
              <w:ind w:firstLine="482" w:firstLineChars="200"/>
              <w:rPr>
                <w:rFonts w:hint="default"/>
                <w:color w:val="auto"/>
                <w:sz w:val="24"/>
                <w:szCs w:val="24"/>
                <w:highlight w:val="none"/>
              </w:rPr>
            </w:pPr>
            <w:r>
              <w:rPr>
                <w:rFonts w:hint="eastAsia"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、废水</w:t>
            </w:r>
          </w:p>
          <w:p w14:paraId="1E1A827C">
            <w:pPr>
              <w:spacing w:line="360" w:lineRule="auto"/>
              <w:ind w:firstLine="480" w:firstLineChars="200"/>
              <w:rPr>
                <w:rFonts w:hint="default" w:eastAsia="宋体"/>
                <w:color w:val="auto"/>
                <w:sz w:val="24"/>
                <w:szCs w:val="24"/>
                <w:highlight w:val="none"/>
                <w:lang w:val="en-US" w:eastAsia="zh-CN"/>
              </w:rPr>
            </w:pPr>
            <w:r>
              <w:rPr>
                <w:rFonts w:hint="eastAsia"/>
                <w:color w:val="auto"/>
                <w:sz w:val="24"/>
                <w:szCs w:val="24"/>
                <w:highlight w:val="none"/>
                <w:lang w:eastAsia="zh-CN"/>
              </w:rPr>
              <w:t>（</w:t>
            </w:r>
            <w:r>
              <w:rPr>
                <w:rFonts w:hint="eastAsia"/>
                <w:color w:val="auto"/>
                <w:sz w:val="24"/>
                <w:szCs w:val="24"/>
                <w:highlight w:val="none"/>
                <w:lang w:val="en-US" w:eastAsia="zh-CN"/>
              </w:rPr>
              <w:t>1</w:t>
            </w:r>
            <w:r>
              <w:rPr>
                <w:rFonts w:hint="eastAsia"/>
                <w:color w:val="auto"/>
                <w:sz w:val="24"/>
                <w:szCs w:val="24"/>
                <w:highlight w:val="none"/>
                <w:lang w:eastAsia="zh-CN"/>
              </w:rPr>
              <w:t>）</w:t>
            </w:r>
            <w:r>
              <w:rPr>
                <w:rFonts w:hint="eastAsia"/>
                <w:color w:val="auto"/>
                <w:sz w:val="24"/>
                <w:szCs w:val="24"/>
                <w:highlight w:val="none"/>
                <w:lang w:val="en-US" w:eastAsia="zh-CN"/>
              </w:rPr>
              <w:t>废水污染物产排情况</w:t>
            </w:r>
          </w:p>
          <w:p w14:paraId="3950EE2B">
            <w:pPr>
              <w:spacing w:line="360" w:lineRule="auto"/>
              <w:ind w:firstLine="480" w:firstLineChars="200"/>
              <w:rPr>
                <w:rFonts w:hint="default" w:eastAsia="宋体"/>
                <w:color w:val="auto"/>
                <w:sz w:val="24"/>
                <w:szCs w:val="24"/>
                <w:highlight w:val="none"/>
                <w:lang w:val="en-US" w:eastAsia="zh-CN"/>
              </w:rPr>
            </w:pPr>
            <w:r>
              <w:rPr>
                <w:rFonts w:hint="eastAsia"/>
                <w:color w:val="auto"/>
                <w:sz w:val="24"/>
                <w:szCs w:val="24"/>
                <w:highlight w:val="none"/>
                <w:lang w:val="en-US" w:eastAsia="zh-CN"/>
              </w:rPr>
              <w:t>本项目产生的废水主要为生活污水及冷却循环外排水。</w:t>
            </w:r>
            <w:r>
              <w:rPr>
                <w:rFonts w:hint="default" w:ascii="Times New Roman" w:hAnsi="Times New Roman" w:cs="Times New Roman"/>
                <w:color w:val="000000"/>
                <w:sz w:val="24"/>
                <w:szCs w:val="24"/>
                <w:highlight w:val="none"/>
              </w:rPr>
              <w:t>废水污染源产生及排放情况</w:t>
            </w:r>
            <w:r>
              <w:rPr>
                <w:rFonts w:hint="eastAsia" w:cs="Times New Roman"/>
                <w:color w:val="000000"/>
                <w:sz w:val="24"/>
                <w:szCs w:val="24"/>
                <w:highlight w:val="none"/>
                <w:lang w:val="en-US" w:eastAsia="zh-CN"/>
              </w:rPr>
              <w:t>详见下表。</w:t>
            </w:r>
          </w:p>
          <w:p w14:paraId="1EEBC551">
            <w:pPr>
              <w:spacing w:line="360" w:lineRule="auto"/>
              <w:jc w:val="center"/>
              <w:rPr>
                <w:rFonts w:hint="default" w:ascii="Times New Roman" w:hAnsi="Times New Roman" w:cs="Times New Roman"/>
                <w:b/>
                <w:bCs/>
                <w:color w:val="000000"/>
                <w:szCs w:val="21"/>
                <w:highlight w:val="none"/>
              </w:rPr>
            </w:pPr>
          </w:p>
          <w:p w14:paraId="3EC4CF3B">
            <w:pPr>
              <w:spacing w:line="360" w:lineRule="auto"/>
              <w:jc w:val="center"/>
              <w:rPr>
                <w:rFonts w:hint="default" w:ascii="Times New Roman" w:hAnsi="Times New Roman" w:cs="Times New Roman"/>
                <w:b/>
                <w:bCs/>
                <w:color w:val="000000"/>
                <w:szCs w:val="21"/>
                <w:highlight w:val="none"/>
              </w:rPr>
            </w:pPr>
          </w:p>
          <w:p w14:paraId="51985DDE">
            <w:pPr>
              <w:spacing w:line="360" w:lineRule="auto"/>
              <w:jc w:val="center"/>
              <w:rPr>
                <w:rFonts w:hint="default" w:ascii="Times New Roman" w:hAnsi="Times New Roman" w:cs="Times New Roman"/>
                <w:b/>
                <w:bCs/>
                <w:color w:val="000000"/>
                <w:szCs w:val="21"/>
                <w:highlight w:val="none"/>
              </w:rPr>
            </w:pPr>
          </w:p>
          <w:p w14:paraId="759123DC">
            <w:pPr>
              <w:spacing w:line="360" w:lineRule="auto"/>
              <w:jc w:val="center"/>
              <w:rPr>
                <w:rFonts w:hint="default" w:ascii="Times New Roman" w:hAnsi="Times New Roman" w:cs="Times New Roman"/>
                <w:b/>
                <w:bCs/>
                <w:color w:val="000000"/>
                <w:szCs w:val="21"/>
                <w:highlight w:val="none"/>
              </w:rPr>
            </w:pPr>
          </w:p>
          <w:p w14:paraId="0F99DA06">
            <w:pPr>
              <w:spacing w:line="360" w:lineRule="auto"/>
              <w:jc w:val="center"/>
              <w:rPr>
                <w:rFonts w:hint="default" w:ascii="Times New Roman" w:hAnsi="Times New Roman" w:cs="Times New Roman"/>
                <w:b/>
                <w:bCs/>
                <w:color w:val="000000"/>
                <w:szCs w:val="21"/>
                <w:highlight w:val="none"/>
              </w:rPr>
            </w:pPr>
            <w:r>
              <w:rPr>
                <w:rFonts w:hint="default" w:ascii="Times New Roman" w:hAnsi="Times New Roman" w:cs="Times New Roman"/>
                <w:b/>
                <w:bCs/>
                <w:color w:val="000000"/>
                <w:szCs w:val="21"/>
                <w:highlight w:val="none"/>
              </w:rPr>
              <w:t>4-</w:t>
            </w:r>
            <w:r>
              <w:rPr>
                <w:rFonts w:hint="eastAsia" w:cs="Times New Roman"/>
                <w:b/>
                <w:bCs/>
                <w:color w:val="000000"/>
                <w:szCs w:val="21"/>
                <w:highlight w:val="none"/>
                <w:lang w:val="en-US" w:eastAsia="zh-CN"/>
              </w:rPr>
              <w:t>11</w:t>
            </w:r>
            <w:r>
              <w:rPr>
                <w:rFonts w:hint="eastAsia" w:ascii="Times New Roman" w:hAnsi="Times New Roman" w:cs="Times New Roman"/>
                <w:b/>
                <w:bCs/>
                <w:color w:val="000000"/>
                <w:szCs w:val="21"/>
                <w:highlight w:val="none"/>
                <w:lang w:val="en-US" w:eastAsia="zh-CN"/>
              </w:rPr>
              <w:t xml:space="preserve"> </w:t>
            </w:r>
            <w:r>
              <w:rPr>
                <w:rFonts w:hint="default" w:ascii="Times New Roman" w:hAnsi="Times New Roman" w:cs="Times New Roman"/>
                <w:b/>
                <w:bCs/>
                <w:color w:val="000000"/>
                <w:szCs w:val="21"/>
                <w:highlight w:val="none"/>
              </w:rPr>
              <w:t xml:space="preserve"> 项目废水产生及排放情况</w:t>
            </w:r>
          </w:p>
          <w:tbl>
            <w:tblPr>
              <w:tblStyle w:val="25"/>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0"/>
              <w:gridCol w:w="1758"/>
              <w:gridCol w:w="870"/>
              <w:gridCol w:w="567"/>
              <w:gridCol w:w="914"/>
              <w:gridCol w:w="914"/>
              <w:gridCol w:w="914"/>
              <w:gridCol w:w="918"/>
            </w:tblGrid>
            <w:tr w14:paraId="2F2F2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792" w:type="pct"/>
                  <w:gridSpan w:val="2"/>
                  <w:tcBorders>
                    <w:tl2br w:val="single" w:color="auto" w:sz="4" w:space="0"/>
                  </w:tcBorders>
                  <w:noWrap w:val="0"/>
                  <w:vAlign w:val="center"/>
                </w:tcPr>
                <w:p w14:paraId="11BF2B71">
                  <w:pPr>
                    <w:pStyle w:val="51"/>
                    <w:spacing w:before="24" w:after="24" w:line="240" w:lineRule="auto"/>
                    <w:jc w:val="right"/>
                    <w:rPr>
                      <w:rFonts w:hint="default" w:ascii="Times New Roman" w:hAnsi="Times New Roman" w:cs="Times New Roman"/>
                      <w:b/>
                      <w:bCs/>
                      <w:color w:val="000000"/>
                      <w:sz w:val="21"/>
                      <w:szCs w:val="21"/>
                      <w:highlight w:val="none"/>
                    </w:rPr>
                  </w:pPr>
                  <w:r>
                    <w:rPr>
                      <w:rFonts w:hint="default" w:ascii="Times New Roman" w:hAnsi="Times New Roman" w:cs="Times New Roman"/>
                      <w:b/>
                      <w:bCs/>
                      <w:color w:val="000000"/>
                      <w:sz w:val="21"/>
                      <w:szCs w:val="21"/>
                      <w:highlight w:val="none"/>
                    </w:rPr>
                    <w:t>污染物</w:t>
                  </w:r>
                </w:p>
                <w:p w14:paraId="7E003E4A">
                  <w:pPr>
                    <w:pStyle w:val="51"/>
                    <w:spacing w:before="24" w:after="24" w:line="240" w:lineRule="auto"/>
                    <w:jc w:val="left"/>
                    <w:rPr>
                      <w:rFonts w:hint="default" w:ascii="Times New Roman" w:hAnsi="Times New Roman" w:cs="Times New Roman"/>
                      <w:b/>
                      <w:bCs/>
                      <w:color w:val="000000"/>
                      <w:sz w:val="21"/>
                      <w:szCs w:val="21"/>
                      <w:highlight w:val="none"/>
                    </w:rPr>
                  </w:pPr>
                  <w:r>
                    <w:rPr>
                      <w:rFonts w:hint="default" w:ascii="Times New Roman" w:hAnsi="Times New Roman" w:cs="Times New Roman"/>
                      <w:b/>
                      <w:bCs/>
                      <w:color w:val="000000"/>
                      <w:sz w:val="21"/>
                      <w:szCs w:val="21"/>
                      <w:highlight w:val="none"/>
                    </w:rPr>
                    <w:t>项目</w:t>
                  </w:r>
                </w:p>
              </w:tc>
              <w:tc>
                <w:tcPr>
                  <w:tcW w:w="547" w:type="pct"/>
                  <w:noWrap w:val="0"/>
                  <w:vAlign w:val="center"/>
                </w:tcPr>
                <w:p w14:paraId="7A2C19D9">
                  <w:pPr>
                    <w:pStyle w:val="51"/>
                    <w:spacing w:before="24" w:after="24" w:line="240" w:lineRule="auto"/>
                    <w:rPr>
                      <w:rFonts w:hint="default" w:ascii="Times New Roman" w:hAnsi="Times New Roman" w:cs="Times New Roman"/>
                      <w:b/>
                      <w:bCs/>
                      <w:color w:val="000000"/>
                      <w:sz w:val="21"/>
                      <w:szCs w:val="21"/>
                      <w:highlight w:val="none"/>
                    </w:rPr>
                  </w:pPr>
                  <w:r>
                    <w:rPr>
                      <w:rFonts w:hint="default" w:ascii="Times New Roman" w:hAnsi="Times New Roman" w:cs="Times New Roman"/>
                      <w:b/>
                      <w:bCs/>
                      <w:color w:val="000000"/>
                      <w:sz w:val="21"/>
                      <w:szCs w:val="21"/>
                      <w:highlight w:val="none"/>
                    </w:rPr>
                    <w:t>废水量t/a</w:t>
                  </w:r>
                </w:p>
              </w:tc>
              <w:tc>
                <w:tcPr>
                  <w:tcW w:w="357" w:type="pct"/>
                  <w:noWrap w:val="0"/>
                  <w:vAlign w:val="center"/>
                </w:tcPr>
                <w:p w14:paraId="2974419E">
                  <w:pPr>
                    <w:pStyle w:val="51"/>
                    <w:spacing w:before="24" w:after="24" w:line="240" w:lineRule="auto"/>
                    <w:rPr>
                      <w:rFonts w:hint="default" w:ascii="Times New Roman" w:hAnsi="Times New Roman" w:cs="Times New Roman"/>
                      <w:b/>
                      <w:bCs/>
                      <w:color w:val="000000"/>
                      <w:sz w:val="21"/>
                      <w:szCs w:val="21"/>
                      <w:highlight w:val="none"/>
                    </w:rPr>
                  </w:pPr>
                  <w:r>
                    <w:rPr>
                      <w:rFonts w:hint="default" w:ascii="Times New Roman" w:hAnsi="Times New Roman" w:cs="Times New Roman"/>
                      <w:b/>
                      <w:bCs/>
                      <w:color w:val="000000"/>
                      <w:sz w:val="21"/>
                      <w:szCs w:val="21"/>
                      <w:highlight w:val="none"/>
                    </w:rPr>
                    <w:t>pH</w:t>
                  </w:r>
                </w:p>
              </w:tc>
              <w:tc>
                <w:tcPr>
                  <w:tcW w:w="575" w:type="pct"/>
                  <w:noWrap w:val="0"/>
                  <w:vAlign w:val="center"/>
                </w:tcPr>
                <w:p w14:paraId="5B08E721">
                  <w:pPr>
                    <w:pStyle w:val="51"/>
                    <w:spacing w:before="24" w:after="24" w:line="240" w:lineRule="auto"/>
                    <w:rPr>
                      <w:rFonts w:hint="default" w:ascii="Times New Roman" w:hAnsi="Times New Roman" w:cs="Times New Roman"/>
                      <w:color w:val="000000"/>
                      <w:sz w:val="21"/>
                      <w:szCs w:val="21"/>
                      <w:highlight w:val="none"/>
                    </w:rPr>
                  </w:pPr>
                  <w:r>
                    <w:rPr>
                      <w:rFonts w:hint="default" w:ascii="Times New Roman" w:hAnsi="Times New Roman" w:cs="Times New Roman"/>
                      <w:b/>
                      <w:bCs/>
                      <w:color w:val="000000"/>
                      <w:sz w:val="21"/>
                      <w:szCs w:val="21"/>
                      <w:highlight w:val="none"/>
                    </w:rPr>
                    <w:t>COD</w:t>
                  </w:r>
                </w:p>
              </w:tc>
              <w:tc>
                <w:tcPr>
                  <w:tcW w:w="575" w:type="pct"/>
                  <w:noWrap w:val="0"/>
                  <w:vAlign w:val="center"/>
                </w:tcPr>
                <w:p w14:paraId="72B50D66">
                  <w:pPr>
                    <w:pStyle w:val="51"/>
                    <w:spacing w:before="24" w:after="24" w:line="240" w:lineRule="auto"/>
                    <w:rPr>
                      <w:rFonts w:hint="default" w:ascii="Times New Roman" w:hAnsi="Times New Roman" w:cs="Times New Roman"/>
                      <w:b/>
                      <w:bCs/>
                      <w:color w:val="000000"/>
                      <w:sz w:val="21"/>
                      <w:szCs w:val="21"/>
                      <w:highlight w:val="none"/>
                    </w:rPr>
                  </w:pPr>
                  <w:r>
                    <w:rPr>
                      <w:rFonts w:hint="default" w:ascii="Times New Roman" w:hAnsi="Times New Roman" w:cs="Times New Roman"/>
                      <w:b/>
                      <w:bCs/>
                      <w:color w:val="000000"/>
                      <w:sz w:val="21"/>
                      <w:szCs w:val="21"/>
                      <w:highlight w:val="none"/>
                    </w:rPr>
                    <w:t>BOD</w:t>
                  </w:r>
                  <w:r>
                    <w:rPr>
                      <w:rFonts w:hint="default" w:ascii="Times New Roman" w:hAnsi="Times New Roman" w:cs="Times New Roman"/>
                      <w:b/>
                      <w:bCs/>
                      <w:color w:val="000000"/>
                      <w:sz w:val="21"/>
                      <w:szCs w:val="21"/>
                      <w:highlight w:val="none"/>
                      <w:vertAlign w:val="subscript"/>
                    </w:rPr>
                    <w:t>5</w:t>
                  </w:r>
                </w:p>
              </w:tc>
              <w:tc>
                <w:tcPr>
                  <w:tcW w:w="575" w:type="pct"/>
                  <w:noWrap w:val="0"/>
                  <w:vAlign w:val="center"/>
                </w:tcPr>
                <w:p w14:paraId="17867129">
                  <w:pPr>
                    <w:pStyle w:val="51"/>
                    <w:spacing w:before="24" w:after="24" w:line="240" w:lineRule="auto"/>
                    <w:rPr>
                      <w:rFonts w:hint="default" w:ascii="Times New Roman" w:hAnsi="Times New Roman" w:cs="Times New Roman"/>
                      <w:b/>
                      <w:bCs/>
                      <w:color w:val="000000"/>
                      <w:sz w:val="21"/>
                      <w:szCs w:val="21"/>
                      <w:highlight w:val="none"/>
                    </w:rPr>
                  </w:pPr>
                  <w:r>
                    <w:rPr>
                      <w:rFonts w:hint="default" w:ascii="Times New Roman" w:hAnsi="Times New Roman" w:cs="Times New Roman"/>
                      <w:b/>
                      <w:bCs/>
                      <w:color w:val="000000"/>
                      <w:sz w:val="21"/>
                      <w:szCs w:val="21"/>
                      <w:highlight w:val="none"/>
                    </w:rPr>
                    <w:t>SS</w:t>
                  </w:r>
                </w:p>
              </w:tc>
              <w:tc>
                <w:tcPr>
                  <w:tcW w:w="577" w:type="pct"/>
                  <w:noWrap w:val="0"/>
                  <w:vAlign w:val="center"/>
                </w:tcPr>
                <w:p w14:paraId="20EDE010">
                  <w:pPr>
                    <w:pStyle w:val="51"/>
                    <w:spacing w:before="24" w:after="24" w:line="240" w:lineRule="auto"/>
                    <w:rPr>
                      <w:rFonts w:hint="default" w:ascii="Times New Roman" w:hAnsi="Times New Roman" w:cs="Times New Roman"/>
                      <w:b/>
                      <w:bCs/>
                      <w:color w:val="000000"/>
                      <w:sz w:val="21"/>
                      <w:szCs w:val="21"/>
                      <w:highlight w:val="none"/>
                    </w:rPr>
                  </w:pPr>
                  <w:r>
                    <w:rPr>
                      <w:rFonts w:hint="default" w:ascii="Times New Roman" w:hAnsi="Times New Roman" w:cs="Times New Roman"/>
                      <w:b/>
                      <w:bCs/>
                      <w:color w:val="000000"/>
                      <w:sz w:val="21"/>
                      <w:szCs w:val="21"/>
                      <w:highlight w:val="none"/>
                    </w:rPr>
                    <w:t>NH</w:t>
                  </w:r>
                  <w:r>
                    <w:rPr>
                      <w:rFonts w:hint="default" w:ascii="Times New Roman" w:hAnsi="Times New Roman" w:cs="Times New Roman"/>
                      <w:b/>
                      <w:bCs/>
                      <w:color w:val="000000"/>
                      <w:sz w:val="21"/>
                      <w:szCs w:val="21"/>
                      <w:highlight w:val="none"/>
                      <w:vertAlign w:val="subscript"/>
                    </w:rPr>
                    <w:t>3-</w:t>
                  </w:r>
                  <w:r>
                    <w:rPr>
                      <w:rFonts w:hint="default" w:ascii="Times New Roman" w:hAnsi="Times New Roman" w:cs="Times New Roman"/>
                      <w:b/>
                      <w:bCs/>
                      <w:color w:val="000000"/>
                      <w:sz w:val="21"/>
                      <w:szCs w:val="21"/>
                      <w:highlight w:val="none"/>
                    </w:rPr>
                    <w:t>N</w:t>
                  </w:r>
                </w:p>
              </w:tc>
            </w:tr>
            <w:tr w14:paraId="62C6A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86" w:type="pct"/>
                  <w:vMerge w:val="restart"/>
                  <w:noWrap w:val="0"/>
                  <w:vAlign w:val="center"/>
                </w:tcPr>
                <w:p w14:paraId="0B487055">
                  <w:pPr>
                    <w:adjustRightInd w:val="0"/>
                    <w:snapToGrid w:val="0"/>
                    <w:jc w:val="center"/>
                    <w:rPr>
                      <w:rFonts w:hint="default" w:ascii="Times New Roman" w:hAnsi="Times New Roman" w:cs="Times New Roman"/>
                      <w:color w:val="000000"/>
                      <w:sz w:val="21"/>
                      <w:szCs w:val="21"/>
                      <w:highlight w:val="none"/>
                    </w:rPr>
                  </w:pPr>
                  <w:r>
                    <w:rPr>
                      <w:rFonts w:hint="default" w:ascii="Times New Roman" w:hAnsi="Times New Roman" w:cs="Times New Roman"/>
                      <w:bCs/>
                      <w:color w:val="000000"/>
                      <w:sz w:val="21"/>
                      <w:szCs w:val="21"/>
                      <w:highlight w:val="none"/>
                    </w:rPr>
                    <w:t>生活污水</w:t>
                  </w:r>
                </w:p>
              </w:tc>
              <w:tc>
                <w:tcPr>
                  <w:tcW w:w="1105" w:type="pct"/>
                  <w:noWrap w:val="0"/>
                  <w:vAlign w:val="center"/>
                </w:tcPr>
                <w:p w14:paraId="310697C1">
                  <w:pPr>
                    <w:adjustRightInd w:val="0"/>
                    <w:snapToGrid w:val="0"/>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产生浓度（mg/L）</w:t>
                  </w:r>
                </w:p>
              </w:tc>
              <w:tc>
                <w:tcPr>
                  <w:tcW w:w="547" w:type="pct"/>
                  <w:vMerge w:val="restart"/>
                  <w:noWrap w:val="0"/>
                  <w:vAlign w:val="center"/>
                </w:tcPr>
                <w:p w14:paraId="386B46B8">
                  <w:pPr>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2295</w:t>
                  </w:r>
                </w:p>
              </w:tc>
              <w:tc>
                <w:tcPr>
                  <w:tcW w:w="357" w:type="pct"/>
                  <w:noWrap w:val="0"/>
                  <w:vAlign w:val="center"/>
                </w:tcPr>
                <w:p w14:paraId="1652B12A">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6-9</w:t>
                  </w:r>
                </w:p>
              </w:tc>
              <w:tc>
                <w:tcPr>
                  <w:tcW w:w="575" w:type="pct"/>
                  <w:noWrap w:val="0"/>
                  <w:vAlign w:val="center"/>
                </w:tcPr>
                <w:p w14:paraId="569342ED">
                  <w:pPr>
                    <w:pStyle w:val="51"/>
                    <w:spacing w:before="24" w:after="24" w:line="24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300</w:t>
                  </w:r>
                </w:p>
              </w:tc>
              <w:tc>
                <w:tcPr>
                  <w:tcW w:w="575" w:type="pct"/>
                  <w:noWrap w:val="0"/>
                  <w:vAlign w:val="center"/>
                </w:tcPr>
                <w:p w14:paraId="4F30DF01">
                  <w:pPr>
                    <w:pStyle w:val="51"/>
                    <w:spacing w:before="24" w:after="24" w:line="24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150</w:t>
                  </w:r>
                </w:p>
              </w:tc>
              <w:tc>
                <w:tcPr>
                  <w:tcW w:w="575" w:type="pct"/>
                  <w:noWrap w:val="0"/>
                  <w:vAlign w:val="center"/>
                </w:tcPr>
                <w:p w14:paraId="4E1954A6">
                  <w:pPr>
                    <w:pStyle w:val="51"/>
                    <w:spacing w:before="24" w:after="24" w:line="24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200</w:t>
                  </w:r>
                </w:p>
              </w:tc>
              <w:tc>
                <w:tcPr>
                  <w:tcW w:w="577" w:type="pct"/>
                  <w:noWrap w:val="0"/>
                  <w:vAlign w:val="center"/>
                </w:tcPr>
                <w:p w14:paraId="158003D3">
                  <w:pPr>
                    <w:pStyle w:val="51"/>
                    <w:spacing w:before="24" w:after="24" w:line="24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20</w:t>
                  </w:r>
                </w:p>
              </w:tc>
            </w:tr>
            <w:tr w14:paraId="1026F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86" w:type="pct"/>
                  <w:vMerge w:val="continue"/>
                  <w:noWrap w:val="0"/>
                  <w:vAlign w:val="center"/>
                </w:tcPr>
                <w:p w14:paraId="21185C5A">
                  <w:pPr>
                    <w:pStyle w:val="51"/>
                    <w:spacing w:before="24" w:after="24" w:line="240" w:lineRule="auto"/>
                    <w:rPr>
                      <w:rFonts w:hint="default" w:ascii="Times New Roman" w:hAnsi="Times New Roman" w:cs="Times New Roman"/>
                      <w:color w:val="000000"/>
                      <w:sz w:val="21"/>
                      <w:szCs w:val="21"/>
                      <w:highlight w:val="none"/>
                    </w:rPr>
                  </w:pPr>
                </w:p>
              </w:tc>
              <w:tc>
                <w:tcPr>
                  <w:tcW w:w="1105" w:type="pct"/>
                  <w:noWrap w:val="0"/>
                  <w:vAlign w:val="center"/>
                </w:tcPr>
                <w:p w14:paraId="3BF0FF6C">
                  <w:pPr>
                    <w:pStyle w:val="51"/>
                    <w:spacing w:before="24" w:after="24" w:line="24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pacing w:val="-8"/>
                      <w:sz w:val="21"/>
                      <w:szCs w:val="21"/>
                      <w:highlight w:val="none"/>
                    </w:rPr>
                    <w:t>化粪池处理后排放浓度</w:t>
                  </w:r>
                  <w:r>
                    <w:rPr>
                      <w:rFonts w:hint="default" w:ascii="Times New Roman" w:hAnsi="Times New Roman" w:cs="Times New Roman"/>
                      <w:color w:val="000000"/>
                      <w:sz w:val="21"/>
                      <w:szCs w:val="21"/>
                      <w:highlight w:val="none"/>
                    </w:rPr>
                    <w:t>（mg/L）</w:t>
                  </w:r>
                </w:p>
              </w:tc>
              <w:tc>
                <w:tcPr>
                  <w:tcW w:w="547" w:type="pct"/>
                  <w:vMerge w:val="continue"/>
                  <w:noWrap w:val="0"/>
                  <w:vAlign w:val="center"/>
                </w:tcPr>
                <w:p w14:paraId="0A2FD1E7">
                  <w:pPr>
                    <w:pStyle w:val="51"/>
                    <w:spacing w:before="24" w:after="24" w:line="240" w:lineRule="auto"/>
                    <w:rPr>
                      <w:rFonts w:hint="default" w:ascii="Times New Roman" w:hAnsi="Times New Roman" w:cs="Times New Roman"/>
                      <w:color w:val="000000"/>
                      <w:sz w:val="21"/>
                      <w:szCs w:val="21"/>
                      <w:highlight w:val="none"/>
                    </w:rPr>
                  </w:pPr>
                </w:p>
              </w:tc>
              <w:tc>
                <w:tcPr>
                  <w:tcW w:w="357" w:type="pct"/>
                  <w:noWrap w:val="0"/>
                  <w:vAlign w:val="center"/>
                </w:tcPr>
                <w:p w14:paraId="7A80C5B2">
                  <w:pPr>
                    <w:pStyle w:val="51"/>
                    <w:spacing w:before="24" w:after="24" w:line="24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6-9</w:t>
                  </w:r>
                </w:p>
              </w:tc>
              <w:tc>
                <w:tcPr>
                  <w:tcW w:w="575" w:type="pct"/>
                  <w:noWrap w:val="0"/>
                  <w:vAlign w:val="center"/>
                </w:tcPr>
                <w:p w14:paraId="47F67C6B">
                  <w:pPr>
                    <w:pStyle w:val="51"/>
                    <w:spacing w:before="24" w:after="24" w:line="24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255</w:t>
                  </w:r>
                </w:p>
              </w:tc>
              <w:tc>
                <w:tcPr>
                  <w:tcW w:w="575" w:type="pct"/>
                  <w:noWrap w:val="0"/>
                  <w:vAlign w:val="center"/>
                </w:tcPr>
                <w:p w14:paraId="3049F67E">
                  <w:pPr>
                    <w:pStyle w:val="51"/>
                    <w:spacing w:before="24" w:after="24" w:line="24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135</w:t>
                  </w:r>
                </w:p>
              </w:tc>
              <w:tc>
                <w:tcPr>
                  <w:tcW w:w="575" w:type="pct"/>
                  <w:noWrap w:val="0"/>
                  <w:vAlign w:val="center"/>
                </w:tcPr>
                <w:p w14:paraId="29B10BAC">
                  <w:pPr>
                    <w:pStyle w:val="51"/>
                    <w:spacing w:before="24" w:after="24" w:line="24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140</w:t>
                  </w:r>
                </w:p>
              </w:tc>
              <w:tc>
                <w:tcPr>
                  <w:tcW w:w="577" w:type="pct"/>
                  <w:noWrap w:val="0"/>
                  <w:vAlign w:val="center"/>
                </w:tcPr>
                <w:p w14:paraId="519DD5D2">
                  <w:pPr>
                    <w:pStyle w:val="51"/>
                    <w:spacing w:before="24" w:after="24" w:line="24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20</w:t>
                  </w:r>
                </w:p>
              </w:tc>
            </w:tr>
            <w:tr w14:paraId="7599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86" w:type="pct"/>
                  <w:noWrap w:val="0"/>
                  <w:vAlign w:val="center"/>
                </w:tcPr>
                <w:p w14:paraId="27EECAB5">
                  <w:pPr>
                    <w:pStyle w:val="51"/>
                    <w:spacing w:before="24" w:after="24" w:line="240" w:lineRule="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冷却循环外排水</w:t>
                  </w:r>
                </w:p>
              </w:tc>
              <w:tc>
                <w:tcPr>
                  <w:tcW w:w="1105" w:type="pct"/>
                  <w:noWrap w:val="0"/>
                  <w:vAlign w:val="center"/>
                </w:tcPr>
                <w:p w14:paraId="6376126E">
                  <w:pPr>
                    <w:pStyle w:val="51"/>
                    <w:spacing w:before="24" w:after="24" w:line="240" w:lineRule="auto"/>
                    <w:rPr>
                      <w:rFonts w:hint="eastAsia" w:ascii="Times New Roman" w:hAnsi="Times New Roman" w:cs="Times New Roman"/>
                      <w:color w:val="000000"/>
                      <w:spacing w:val="-8"/>
                      <w:sz w:val="21"/>
                      <w:szCs w:val="21"/>
                      <w:highlight w:val="none"/>
                      <w:lang w:val="en-US" w:eastAsia="zh-CN"/>
                    </w:rPr>
                  </w:pPr>
                  <w:r>
                    <w:rPr>
                      <w:rFonts w:hint="default" w:ascii="Times New Roman" w:hAnsi="Times New Roman" w:cs="Times New Roman"/>
                      <w:color w:val="000000"/>
                      <w:sz w:val="21"/>
                      <w:szCs w:val="21"/>
                      <w:highlight w:val="none"/>
                    </w:rPr>
                    <w:t>产生浓度（mg/L）</w:t>
                  </w:r>
                </w:p>
              </w:tc>
              <w:tc>
                <w:tcPr>
                  <w:tcW w:w="547" w:type="pct"/>
                  <w:noWrap w:val="0"/>
                  <w:vAlign w:val="center"/>
                </w:tcPr>
                <w:p w14:paraId="15D9EA39">
                  <w:pPr>
                    <w:pStyle w:val="51"/>
                    <w:spacing w:before="24" w:after="24" w:line="240" w:lineRule="auto"/>
                    <w:rPr>
                      <w:rFonts w:hint="default" w:ascii="Times New Roman" w:hAnsi="Times New Roman" w:cs="Times New Roman"/>
                      <w:color w:val="000000"/>
                      <w:kern w:val="0"/>
                      <w:sz w:val="21"/>
                      <w:szCs w:val="21"/>
                      <w:highlight w:val="none"/>
                      <w:lang w:val="en-US" w:eastAsia="zh-CN" w:bidi="ar-SA"/>
                    </w:rPr>
                  </w:pPr>
                  <w:r>
                    <w:rPr>
                      <w:rFonts w:hint="eastAsia" w:ascii="Times New Roman" w:hAnsi="Times New Roman" w:cs="Times New Roman"/>
                      <w:color w:val="000000"/>
                      <w:kern w:val="0"/>
                      <w:sz w:val="21"/>
                      <w:szCs w:val="21"/>
                      <w:highlight w:val="none"/>
                      <w:lang w:val="en-US" w:eastAsia="zh-CN" w:bidi="ar-SA"/>
                    </w:rPr>
                    <w:t>187.5</w:t>
                  </w:r>
                </w:p>
              </w:tc>
              <w:tc>
                <w:tcPr>
                  <w:tcW w:w="357" w:type="pct"/>
                  <w:noWrap w:val="0"/>
                  <w:vAlign w:val="center"/>
                </w:tcPr>
                <w:p w14:paraId="189086D8">
                  <w:pPr>
                    <w:spacing w:before="24" w:after="24" w:line="240" w:lineRule="auto"/>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w:t>
                  </w:r>
                </w:p>
              </w:tc>
              <w:tc>
                <w:tcPr>
                  <w:tcW w:w="575" w:type="pct"/>
                  <w:noWrap w:val="0"/>
                  <w:vAlign w:val="center"/>
                </w:tcPr>
                <w:p w14:paraId="40D653AA">
                  <w:pPr>
                    <w:pStyle w:val="51"/>
                    <w:spacing w:before="24" w:after="24" w:line="240" w:lineRule="auto"/>
                    <w:rPr>
                      <w:rFonts w:hint="default"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50</w:t>
                  </w:r>
                </w:p>
              </w:tc>
              <w:tc>
                <w:tcPr>
                  <w:tcW w:w="575" w:type="pct"/>
                  <w:noWrap w:val="0"/>
                  <w:vAlign w:val="center"/>
                </w:tcPr>
                <w:p w14:paraId="55A335DD">
                  <w:pPr>
                    <w:pStyle w:val="51"/>
                    <w:spacing w:before="24" w:after="24" w:line="240" w:lineRule="auto"/>
                    <w:rPr>
                      <w:rFonts w:hint="eastAsia" w:ascii="Times New Roman" w:hAnsi="Times New Roman" w:cs="Times New Roman"/>
                      <w:color w:val="000000"/>
                      <w:sz w:val="21"/>
                      <w:szCs w:val="21"/>
                      <w:highlight w:val="none"/>
                      <w:lang w:val="en-US" w:eastAsia="zh-CN"/>
                    </w:rPr>
                  </w:pPr>
                  <w:r>
                    <w:rPr>
                      <w:rFonts w:hint="default" w:ascii="Times New Roman" w:hAnsi="Times New Roman" w:cs="Times New Roman"/>
                      <w:color w:val="000000"/>
                      <w:sz w:val="21"/>
                      <w:szCs w:val="21"/>
                      <w:highlight w:val="none"/>
                    </w:rPr>
                    <w:t>－</w:t>
                  </w:r>
                </w:p>
              </w:tc>
              <w:tc>
                <w:tcPr>
                  <w:tcW w:w="575" w:type="pct"/>
                  <w:noWrap w:val="0"/>
                  <w:vAlign w:val="center"/>
                </w:tcPr>
                <w:p w14:paraId="3CF4A073">
                  <w:pPr>
                    <w:pStyle w:val="51"/>
                    <w:spacing w:before="24" w:after="24" w:line="240" w:lineRule="auto"/>
                    <w:rPr>
                      <w:rFonts w:hint="default"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50</w:t>
                  </w:r>
                </w:p>
              </w:tc>
              <w:tc>
                <w:tcPr>
                  <w:tcW w:w="577" w:type="pct"/>
                  <w:noWrap w:val="0"/>
                  <w:vAlign w:val="center"/>
                </w:tcPr>
                <w:p w14:paraId="7F91997B">
                  <w:pPr>
                    <w:pStyle w:val="51"/>
                    <w:spacing w:before="24" w:after="24" w:line="240" w:lineRule="auto"/>
                    <w:rPr>
                      <w:rFonts w:hint="eastAsia" w:ascii="Times New Roman" w:hAnsi="Times New Roman" w:cs="Times New Roman"/>
                      <w:color w:val="000000"/>
                      <w:sz w:val="21"/>
                      <w:szCs w:val="21"/>
                      <w:highlight w:val="none"/>
                      <w:lang w:val="en-US" w:eastAsia="zh-CN"/>
                    </w:rPr>
                  </w:pPr>
                  <w:r>
                    <w:rPr>
                      <w:rFonts w:hint="default" w:ascii="Times New Roman" w:hAnsi="Times New Roman" w:cs="Times New Roman"/>
                      <w:color w:val="000000"/>
                      <w:sz w:val="21"/>
                      <w:szCs w:val="21"/>
                      <w:highlight w:val="none"/>
                    </w:rPr>
                    <w:t>－</w:t>
                  </w:r>
                </w:p>
              </w:tc>
            </w:tr>
            <w:tr w14:paraId="1BC3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86" w:type="pct"/>
                  <w:vMerge w:val="restart"/>
                  <w:noWrap w:val="0"/>
                  <w:vAlign w:val="center"/>
                </w:tcPr>
                <w:p w14:paraId="4C11CAEA">
                  <w:pPr>
                    <w:pStyle w:val="51"/>
                    <w:spacing w:before="24" w:after="24" w:line="240" w:lineRule="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混合废水</w:t>
                  </w:r>
                </w:p>
              </w:tc>
              <w:tc>
                <w:tcPr>
                  <w:tcW w:w="1105" w:type="pct"/>
                  <w:noWrap w:val="0"/>
                  <w:vAlign w:val="center"/>
                </w:tcPr>
                <w:p w14:paraId="1F82AEC7">
                  <w:pPr>
                    <w:pStyle w:val="51"/>
                    <w:spacing w:before="24" w:after="24" w:line="240" w:lineRule="auto"/>
                    <w:rPr>
                      <w:rFonts w:hint="eastAsia" w:ascii="Times New Roman" w:hAnsi="Times New Roman" w:cs="Times New Roman"/>
                      <w:color w:val="000000"/>
                      <w:spacing w:val="-8"/>
                      <w:sz w:val="21"/>
                      <w:szCs w:val="21"/>
                      <w:highlight w:val="none"/>
                      <w:lang w:val="en-US" w:eastAsia="zh-CN"/>
                    </w:rPr>
                  </w:pPr>
                  <w:r>
                    <w:rPr>
                      <w:rFonts w:hint="default" w:ascii="Times New Roman" w:hAnsi="Times New Roman" w:cs="Times New Roman"/>
                      <w:color w:val="000000"/>
                      <w:sz w:val="21"/>
                      <w:szCs w:val="21"/>
                      <w:highlight w:val="none"/>
                    </w:rPr>
                    <w:t>产生浓度（mg/L）</w:t>
                  </w:r>
                </w:p>
              </w:tc>
              <w:tc>
                <w:tcPr>
                  <w:tcW w:w="547" w:type="pct"/>
                  <w:vMerge w:val="restart"/>
                  <w:noWrap w:val="0"/>
                  <w:vAlign w:val="center"/>
                </w:tcPr>
                <w:p w14:paraId="3CFC1AB1">
                  <w:pPr>
                    <w:pStyle w:val="51"/>
                    <w:spacing w:before="24" w:after="24" w:line="240" w:lineRule="auto"/>
                    <w:rPr>
                      <w:rFonts w:hint="default" w:ascii="Times New Roman" w:hAnsi="Times New Roman" w:cs="Times New Roman"/>
                      <w:color w:val="000000"/>
                      <w:kern w:val="0"/>
                      <w:sz w:val="21"/>
                      <w:szCs w:val="21"/>
                      <w:highlight w:val="none"/>
                      <w:lang w:val="en-US" w:eastAsia="zh-CN" w:bidi="ar-SA"/>
                    </w:rPr>
                  </w:pPr>
                  <w:r>
                    <w:rPr>
                      <w:rFonts w:hint="eastAsia" w:ascii="Times New Roman" w:hAnsi="Times New Roman" w:cs="Times New Roman"/>
                      <w:color w:val="000000"/>
                      <w:kern w:val="0"/>
                      <w:sz w:val="21"/>
                      <w:szCs w:val="21"/>
                      <w:highlight w:val="none"/>
                      <w:lang w:val="en-US" w:eastAsia="zh-CN" w:bidi="ar-SA"/>
                    </w:rPr>
                    <w:t>2482.5</w:t>
                  </w:r>
                </w:p>
              </w:tc>
              <w:tc>
                <w:tcPr>
                  <w:tcW w:w="357" w:type="pct"/>
                  <w:noWrap w:val="0"/>
                  <w:vAlign w:val="center"/>
                </w:tcPr>
                <w:p w14:paraId="24A006CB">
                  <w:pPr>
                    <w:spacing w:before="24" w:after="24" w:line="240" w:lineRule="auto"/>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w:t>
                  </w:r>
                </w:p>
              </w:tc>
              <w:tc>
                <w:tcPr>
                  <w:tcW w:w="934" w:type="dxa"/>
                  <w:noWrap w:val="0"/>
                  <w:vAlign w:val="center"/>
                </w:tcPr>
                <w:p w14:paraId="235C337C">
                  <w:pPr>
                    <w:keepNext w:val="0"/>
                    <w:keepLines w:val="0"/>
                    <w:widowControl/>
                    <w:suppressLineNumbers w:val="0"/>
                    <w:jc w:val="center"/>
                    <w:textAlignment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240</w:t>
                  </w:r>
                </w:p>
              </w:tc>
              <w:tc>
                <w:tcPr>
                  <w:tcW w:w="934" w:type="dxa"/>
                  <w:noWrap w:val="0"/>
                  <w:vAlign w:val="center"/>
                </w:tcPr>
                <w:p w14:paraId="5D01E49F">
                  <w:pPr>
                    <w:keepNext w:val="0"/>
                    <w:keepLines w:val="0"/>
                    <w:widowControl/>
                    <w:suppressLineNumbers w:val="0"/>
                    <w:jc w:val="center"/>
                    <w:textAlignment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125</w:t>
                  </w:r>
                </w:p>
              </w:tc>
              <w:tc>
                <w:tcPr>
                  <w:tcW w:w="934" w:type="dxa"/>
                  <w:noWrap w:val="0"/>
                  <w:vAlign w:val="center"/>
                </w:tcPr>
                <w:p w14:paraId="3A37BE6C">
                  <w:pPr>
                    <w:keepNext w:val="0"/>
                    <w:keepLines w:val="0"/>
                    <w:widowControl/>
                    <w:suppressLineNumbers w:val="0"/>
                    <w:jc w:val="center"/>
                    <w:textAlignment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133</w:t>
                  </w:r>
                </w:p>
              </w:tc>
              <w:tc>
                <w:tcPr>
                  <w:tcW w:w="937" w:type="dxa"/>
                  <w:noWrap w:val="0"/>
                  <w:vAlign w:val="center"/>
                </w:tcPr>
                <w:p w14:paraId="44B0C986">
                  <w:pPr>
                    <w:keepNext w:val="0"/>
                    <w:keepLines w:val="0"/>
                    <w:widowControl/>
                    <w:suppressLineNumbers w:val="0"/>
                    <w:jc w:val="center"/>
                    <w:textAlignment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18</w:t>
                  </w:r>
                </w:p>
              </w:tc>
            </w:tr>
            <w:tr w14:paraId="2F90B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86" w:type="pct"/>
                  <w:vMerge w:val="continue"/>
                  <w:noWrap w:val="0"/>
                  <w:vAlign w:val="center"/>
                </w:tcPr>
                <w:p w14:paraId="56789CE2">
                  <w:pPr>
                    <w:pStyle w:val="51"/>
                    <w:spacing w:before="24" w:after="24" w:line="240" w:lineRule="auto"/>
                    <w:rPr>
                      <w:rFonts w:hint="eastAsia" w:ascii="Times New Roman" w:hAnsi="Times New Roman" w:cs="Times New Roman"/>
                      <w:color w:val="000000"/>
                      <w:sz w:val="21"/>
                      <w:szCs w:val="21"/>
                      <w:highlight w:val="none"/>
                      <w:lang w:val="en-US" w:eastAsia="zh-CN"/>
                    </w:rPr>
                  </w:pPr>
                </w:p>
              </w:tc>
              <w:tc>
                <w:tcPr>
                  <w:tcW w:w="1105" w:type="pct"/>
                  <w:noWrap w:val="0"/>
                  <w:vAlign w:val="center"/>
                </w:tcPr>
                <w:p w14:paraId="77B50B20">
                  <w:pPr>
                    <w:pStyle w:val="51"/>
                    <w:spacing w:before="24" w:after="24" w:line="240" w:lineRule="auto"/>
                    <w:rPr>
                      <w:rFonts w:hint="default"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产生量</w:t>
                  </w:r>
                  <w:r>
                    <w:rPr>
                      <w:rFonts w:hint="default" w:ascii="Times New Roman" w:hAnsi="Times New Roman" w:cs="Times New Roman"/>
                      <w:color w:val="000000"/>
                      <w:sz w:val="21"/>
                      <w:szCs w:val="21"/>
                      <w:highlight w:val="none"/>
                    </w:rPr>
                    <w:t>（t/a）</w:t>
                  </w:r>
                </w:p>
              </w:tc>
              <w:tc>
                <w:tcPr>
                  <w:tcW w:w="547" w:type="pct"/>
                  <w:vMerge w:val="continue"/>
                  <w:noWrap w:val="0"/>
                  <w:vAlign w:val="center"/>
                </w:tcPr>
                <w:p w14:paraId="620B9DCE">
                  <w:pPr>
                    <w:pStyle w:val="51"/>
                    <w:spacing w:before="24" w:after="24" w:line="240" w:lineRule="auto"/>
                    <w:rPr>
                      <w:rFonts w:hint="eastAsia" w:ascii="Times New Roman" w:hAnsi="Times New Roman" w:cs="Times New Roman"/>
                      <w:color w:val="000000"/>
                      <w:sz w:val="21"/>
                      <w:szCs w:val="21"/>
                      <w:highlight w:val="none"/>
                      <w:lang w:val="en-US" w:eastAsia="zh-CN"/>
                    </w:rPr>
                  </w:pPr>
                </w:p>
              </w:tc>
              <w:tc>
                <w:tcPr>
                  <w:tcW w:w="357" w:type="pct"/>
                  <w:noWrap w:val="0"/>
                  <w:vAlign w:val="center"/>
                </w:tcPr>
                <w:p w14:paraId="123E34CB">
                  <w:pPr>
                    <w:spacing w:before="24" w:after="24" w:line="240" w:lineRule="auto"/>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w:t>
                  </w:r>
                </w:p>
              </w:tc>
              <w:tc>
                <w:tcPr>
                  <w:tcW w:w="934" w:type="dxa"/>
                  <w:noWrap w:val="0"/>
                  <w:vAlign w:val="center"/>
                </w:tcPr>
                <w:p w14:paraId="0F011954">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0.596</w:t>
                  </w:r>
                </w:p>
              </w:tc>
              <w:tc>
                <w:tcPr>
                  <w:tcW w:w="934" w:type="dxa"/>
                  <w:noWrap w:val="0"/>
                  <w:vAlign w:val="center"/>
                </w:tcPr>
                <w:p w14:paraId="321BA758">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0.310</w:t>
                  </w:r>
                </w:p>
              </w:tc>
              <w:tc>
                <w:tcPr>
                  <w:tcW w:w="934" w:type="dxa"/>
                  <w:noWrap w:val="0"/>
                  <w:vAlign w:val="center"/>
                </w:tcPr>
                <w:p w14:paraId="62F4B028">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0.330</w:t>
                  </w:r>
                </w:p>
              </w:tc>
              <w:tc>
                <w:tcPr>
                  <w:tcW w:w="937" w:type="dxa"/>
                  <w:noWrap w:val="0"/>
                  <w:vAlign w:val="center"/>
                </w:tcPr>
                <w:p w14:paraId="7FC8650F">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0.045</w:t>
                  </w:r>
                </w:p>
              </w:tc>
            </w:tr>
            <w:tr w14:paraId="646BB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86" w:type="pct"/>
                  <w:vMerge w:val="restart"/>
                  <w:noWrap w:val="0"/>
                  <w:vAlign w:val="center"/>
                </w:tcPr>
                <w:p w14:paraId="48410FAB">
                  <w:pPr>
                    <w:pStyle w:val="51"/>
                    <w:spacing w:before="24" w:after="24" w:line="240" w:lineRule="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皖江江南新兴产业集中区第一污水处理厂</w:t>
                  </w:r>
                </w:p>
              </w:tc>
              <w:tc>
                <w:tcPr>
                  <w:tcW w:w="1105" w:type="pct"/>
                  <w:noWrap w:val="0"/>
                  <w:vAlign w:val="center"/>
                </w:tcPr>
                <w:p w14:paraId="63866005">
                  <w:pPr>
                    <w:pStyle w:val="51"/>
                    <w:spacing w:before="24" w:after="24" w:line="240" w:lineRule="auto"/>
                    <w:rPr>
                      <w:rFonts w:hint="default"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val="en-US" w:eastAsia="zh-CN"/>
                    </w:rPr>
                    <w:t>接管</w:t>
                  </w:r>
                  <w:r>
                    <w:rPr>
                      <w:rFonts w:hint="default" w:ascii="Times New Roman" w:hAnsi="Times New Roman" w:cs="Times New Roman"/>
                      <w:color w:val="000000"/>
                      <w:sz w:val="21"/>
                      <w:szCs w:val="21"/>
                      <w:highlight w:val="none"/>
                    </w:rPr>
                    <w:t>标准（mg/L）</w:t>
                  </w:r>
                </w:p>
              </w:tc>
              <w:tc>
                <w:tcPr>
                  <w:tcW w:w="547" w:type="pct"/>
                  <w:noWrap w:val="0"/>
                  <w:vAlign w:val="center"/>
                </w:tcPr>
                <w:p w14:paraId="319B40B1">
                  <w:pPr>
                    <w:pStyle w:val="51"/>
                    <w:spacing w:before="24" w:after="24" w:line="24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w:t>
                  </w:r>
                </w:p>
              </w:tc>
              <w:tc>
                <w:tcPr>
                  <w:tcW w:w="357" w:type="pct"/>
                  <w:noWrap w:val="0"/>
                  <w:vAlign w:val="center"/>
                </w:tcPr>
                <w:p w14:paraId="3746B616">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6-9</w:t>
                  </w:r>
                </w:p>
              </w:tc>
              <w:tc>
                <w:tcPr>
                  <w:tcW w:w="575" w:type="pct"/>
                  <w:noWrap w:val="0"/>
                  <w:vAlign w:val="center"/>
                </w:tcPr>
                <w:p w14:paraId="7E5424D7">
                  <w:pPr>
                    <w:pStyle w:val="51"/>
                    <w:spacing w:before="24" w:after="24" w:line="240" w:lineRule="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500</w:t>
                  </w:r>
                </w:p>
              </w:tc>
              <w:tc>
                <w:tcPr>
                  <w:tcW w:w="575" w:type="pct"/>
                  <w:noWrap w:val="0"/>
                  <w:vAlign w:val="center"/>
                </w:tcPr>
                <w:p w14:paraId="2D106004">
                  <w:pPr>
                    <w:pStyle w:val="51"/>
                    <w:spacing w:before="24" w:after="24" w:line="240" w:lineRule="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150</w:t>
                  </w:r>
                </w:p>
              </w:tc>
              <w:tc>
                <w:tcPr>
                  <w:tcW w:w="575" w:type="pct"/>
                  <w:noWrap w:val="0"/>
                  <w:vAlign w:val="center"/>
                </w:tcPr>
                <w:p w14:paraId="06CE3D8E">
                  <w:pPr>
                    <w:pStyle w:val="51"/>
                    <w:spacing w:before="24" w:after="24" w:line="240" w:lineRule="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240</w:t>
                  </w:r>
                </w:p>
              </w:tc>
              <w:tc>
                <w:tcPr>
                  <w:tcW w:w="577" w:type="pct"/>
                  <w:noWrap w:val="0"/>
                  <w:vAlign w:val="center"/>
                </w:tcPr>
                <w:p w14:paraId="32D6C76A">
                  <w:pPr>
                    <w:pStyle w:val="51"/>
                    <w:spacing w:before="24" w:after="24" w:line="240" w:lineRule="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25</w:t>
                  </w:r>
                </w:p>
              </w:tc>
            </w:tr>
            <w:tr w14:paraId="58361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86" w:type="pct"/>
                  <w:vMerge w:val="continue"/>
                  <w:noWrap w:val="0"/>
                  <w:vAlign w:val="center"/>
                </w:tcPr>
                <w:p w14:paraId="1D7B5EB3">
                  <w:pPr>
                    <w:pStyle w:val="51"/>
                    <w:spacing w:before="24" w:after="24" w:line="240" w:lineRule="auto"/>
                    <w:rPr>
                      <w:rFonts w:hint="default" w:ascii="Times New Roman" w:hAnsi="Times New Roman" w:cs="Times New Roman"/>
                      <w:color w:val="000000"/>
                      <w:sz w:val="21"/>
                      <w:szCs w:val="21"/>
                      <w:highlight w:val="none"/>
                    </w:rPr>
                  </w:pPr>
                </w:p>
              </w:tc>
              <w:tc>
                <w:tcPr>
                  <w:tcW w:w="1105" w:type="pct"/>
                  <w:noWrap w:val="0"/>
                  <w:vAlign w:val="center"/>
                </w:tcPr>
                <w:p w14:paraId="62BCE0DE">
                  <w:pPr>
                    <w:pStyle w:val="51"/>
                    <w:spacing w:before="24" w:after="24" w:line="24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尾水排放标准（mg/L）</w:t>
                  </w:r>
                </w:p>
              </w:tc>
              <w:tc>
                <w:tcPr>
                  <w:tcW w:w="547" w:type="pct"/>
                  <w:noWrap w:val="0"/>
                  <w:vAlign w:val="center"/>
                </w:tcPr>
                <w:p w14:paraId="0E59CD86">
                  <w:pPr>
                    <w:pStyle w:val="51"/>
                    <w:spacing w:before="24" w:after="24" w:line="24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w:t>
                  </w:r>
                </w:p>
              </w:tc>
              <w:tc>
                <w:tcPr>
                  <w:tcW w:w="357" w:type="pct"/>
                  <w:noWrap w:val="0"/>
                  <w:vAlign w:val="center"/>
                </w:tcPr>
                <w:p w14:paraId="7DABF1DB">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6-9</w:t>
                  </w:r>
                </w:p>
              </w:tc>
              <w:tc>
                <w:tcPr>
                  <w:tcW w:w="575" w:type="pct"/>
                  <w:noWrap w:val="0"/>
                  <w:vAlign w:val="center"/>
                </w:tcPr>
                <w:p w14:paraId="04426944">
                  <w:pPr>
                    <w:pStyle w:val="51"/>
                    <w:spacing w:before="24" w:after="24" w:line="240" w:lineRule="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50</w:t>
                  </w:r>
                </w:p>
              </w:tc>
              <w:tc>
                <w:tcPr>
                  <w:tcW w:w="575" w:type="pct"/>
                  <w:noWrap w:val="0"/>
                  <w:vAlign w:val="center"/>
                </w:tcPr>
                <w:p w14:paraId="791B7F4D">
                  <w:pPr>
                    <w:pStyle w:val="51"/>
                    <w:spacing w:before="24" w:after="24" w:line="240" w:lineRule="auto"/>
                    <w:rPr>
                      <w:rFonts w:hint="eastAsia"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10</w:t>
                  </w:r>
                </w:p>
              </w:tc>
              <w:tc>
                <w:tcPr>
                  <w:tcW w:w="575" w:type="pct"/>
                  <w:noWrap w:val="0"/>
                  <w:vAlign w:val="center"/>
                </w:tcPr>
                <w:p w14:paraId="00777D23">
                  <w:pPr>
                    <w:pStyle w:val="51"/>
                    <w:spacing w:before="24" w:after="24" w:line="240" w:lineRule="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10</w:t>
                  </w:r>
                </w:p>
              </w:tc>
              <w:tc>
                <w:tcPr>
                  <w:tcW w:w="577" w:type="pct"/>
                  <w:noWrap w:val="0"/>
                  <w:vAlign w:val="center"/>
                </w:tcPr>
                <w:p w14:paraId="2A968AF8">
                  <w:pPr>
                    <w:pStyle w:val="51"/>
                    <w:spacing w:before="24" w:after="24" w:line="240" w:lineRule="auto"/>
                    <w:rPr>
                      <w:rFonts w:hint="eastAsia"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5</w:t>
                  </w:r>
                </w:p>
              </w:tc>
            </w:tr>
            <w:tr w14:paraId="55212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86" w:type="pct"/>
                  <w:vMerge w:val="continue"/>
                  <w:noWrap w:val="0"/>
                  <w:vAlign w:val="center"/>
                </w:tcPr>
                <w:p w14:paraId="21656097">
                  <w:pPr>
                    <w:pStyle w:val="51"/>
                    <w:spacing w:before="24" w:after="24" w:line="240" w:lineRule="auto"/>
                    <w:rPr>
                      <w:rFonts w:hint="default" w:ascii="Times New Roman" w:hAnsi="Times New Roman" w:cs="Times New Roman"/>
                      <w:color w:val="000000"/>
                      <w:sz w:val="21"/>
                      <w:szCs w:val="21"/>
                      <w:highlight w:val="none"/>
                    </w:rPr>
                  </w:pPr>
                </w:p>
              </w:tc>
              <w:tc>
                <w:tcPr>
                  <w:tcW w:w="1105" w:type="pct"/>
                  <w:noWrap w:val="0"/>
                  <w:vAlign w:val="center"/>
                </w:tcPr>
                <w:p w14:paraId="603DDDCF">
                  <w:pPr>
                    <w:pStyle w:val="51"/>
                    <w:spacing w:before="24" w:after="24" w:line="240" w:lineRule="auto"/>
                    <w:rPr>
                      <w:rFonts w:hint="default" w:ascii="Times New Roman" w:hAnsi="Times New Roman" w:cs="Times New Roman"/>
                      <w:snapToGrid w:val="0"/>
                      <w:color w:val="000000"/>
                      <w:sz w:val="21"/>
                      <w:szCs w:val="21"/>
                      <w:highlight w:val="none"/>
                    </w:rPr>
                  </w:pPr>
                  <w:r>
                    <w:rPr>
                      <w:rFonts w:hint="default" w:ascii="Times New Roman" w:hAnsi="Times New Roman" w:cs="Times New Roman"/>
                      <w:color w:val="000000"/>
                      <w:sz w:val="21"/>
                      <w:szCs w:val="21"/>
                      <w:highlight w:val="none"/>
                    </w:rPr>
                    <w:t>削减量（t/a）</w:t>
                  </w:r>
                </w:p>
              </w:tc>
              <w:tc>
                <w:tcPr>
                  <w:tcW w:w="547" w:type="pct"/>
                  <w:noWrap w:val="0"/>
                  <w:vAlign w:val="center"/>
                </w:tcPr>
                <w:p w14:paraId="6BD78AB9">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kern w:val="0"/>
                      <w:sz w:val="21"/>
                      <w:szCs w:val="21"/>
                      <w:highlight w:val="none"/>
                      <w:lang w:val="en-US" w:eastAsia="zh-CN" w:bidi="ar-SA"/>
                    </w:rPr>
                    <w:t>2482.5</w:t>
                  </w:r>
                </w:p>
              </w:tc>
              <w:tc>
                <w:tcPr>
                  <w:tcW w:w="357" w:type="pct"/>
                  <w:noWrap w:val="0"/>
                  <w:vAlign w:val="center"/>
                </w:tcPr>
                <w:p w14:paraId="1B98BAA7">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w:t>
                  </w:r>
                </w:p>
              </w:tc>
              <w:tc>
                <w:tcPr>
                  <w:tcW w:w="575" w:type="pct"/>
                  <w:noWrap w:val="0"/>
                  <w:vAlign w:val="center"/>
                </w:tcPr>
                <w:p w14:paraId="581CF888">
                  <w:pPr>
                    <w:pStyle w:val="51"/>
                    <w:spacing w:before="24" w:after="24" w:line="240" w:lineRule="auto"/>
                    <w:rPr>
                      <w:rFonts w:hint="default" w:ascii="Times New Roman" w:hAnsi="Times New Roman" w:eastAsia="宋体" w:cs="Times New Roman"/>
                      <w:snapToGrid w:val="0"/>
                      <w:color w:val="000000"/>
                      <w:sz w:val="21"/>
                      <w:szCs w:val="21"/>
                      <w:highlight w:val="none"/>
                      <w:lang w:val="en-US" w:eastAsia="zh-CN"/>
                    </w:rPr>
                  </w:pPr>
                  <w:r>
                    <w:rPr>
                      <w:rFonts w:hint="eastAsia" w:ascii="Times New Roman" w:hAnsi="Times New Roman" w:cs="Times New Roman"/>
                      <w:snapToGrid w:val="0"/>
                      <w:color w:val="000000"/>
                      <w:sz w:val="21"/>
                      <w:szCs w:val="21"/>
                      <w:highlight w:val="none"/>
                      <w:lang w:val="en-US" w:eastAsia="zh-CN"/>
                    </w:rPr>
                    <w:t>0.472</w:t>
                  </w:r>
                </w:p>
              </w:tc>
              <w:tc>
                <w:tcPr>
                  <w:tcW w:w="575" w:type="pct"/>
                  <w:noWrap w:val="0"/>
                  <w:vAlign w:val="center"/>
                </w:tcPr>
                <w:p w14:paraId="1CB2CC30">
                  <w:pPr>
                    <w:pStyle w:val="51"/>
                    <w:spacing w:before="24" w:after="24" w:line="240" w:lineRule="auto"/>
                    <w:rPr>
                      <w:rFonts w:hint="default" w:ascii="Times New Roman" w:hAnsi="Times New Roman" w:eastAsia="宋体" w:cs="Times New Roman"/>
                      <w:snapToGrid w:val="0"/>
                      <w:color w:val="000000"/>
                      <w:sz w:val="21"/>
                      <w:szCs w:val="21"/>
                      <w:highlight w:val="none"/>
                      <w:lang w:val="en-US" w:eastAsia="zh-CN"/>
                    </w:rPr>
                  </w:pPr>
                  <w:r>
                    <w:rPr>
                      <w:rFonts w:hint="eastAsia" w:ascii="Times New Roman" w:hAnsi="Times New Roman" w:cs="Times New Roman"/>
                      <w:snapToGrid w:val="0"/>
                      <w:color w:val="000000"/>
                      <w:sz w:val="21"/>
                      <w:szCs w:val="21"/>
                      <w:highlight w:val="none"/>
                      <w:lang w:val="en-US" w:eastAsia="zh-CN"/>
                    </w:rPr>
                    <w:t>0.285</w:t>
                  </w:r>
                </w:p>
              </w:tc>
              <w:tc>
                <w:tcPr>
                  <w:tcW w:w="575" w:type="pct"/>
                  <w:noWrap w:val="0"/>
                  <w:vAlign w:val="center"/>
                </w:tcPr>
                <w:p w14:paraId="7E3212FB">
                  <w:pPr>
                    <w:pStyle w:val="51"/>
                    <w:spacing w:before="24" w:after="24" w:line="240" w:lineRule="auto"/>
                    <w:rPr>
                      <w:rFonts w:hint="default" w:ascii="Times New Roman" w:hAnsi="Times New Roman" w:eastAsia="宋体" w:cs="Times New Roman"/>
                      <w:snapToGrid w:val="0"/>
                      <w:color w:val="000000"/>
                      <w:sz w:val="21"/>
                      <w:szCs w:val="21"/>
                      <w:highlight w:val="none"/>
                      <w:lang w:val="en-US" w:eastAsia="zh-CN"/>
                    </w:rPr>
                  </w:pPr>
                  <w:r>
                    <w:rPr>
                      <w:rFonts w:hint="eastAsia" w:ascii="Times New Roman" w:hAnsi="Times New Roman" w:cs="Times New Roman"/>
                      <w:snapToGrid w:val="0"/>
                      <w:color w:val="000000"/>
                      <w:sz w:val="21"/>
                      <w:szCs w:val="21"/>
                      <w:highlight w:val="none"/>
                      <w:lang w:val="en-US" w:eastAsia="zh-CN"/>
                    </w:rPr>
                    <w:t>0.305</w:t>
                  </w:r>
                </w:p>
              </w:tc>
              <w:tc>
                <w:tcPr>
                  <w:tcW w:w="577" w:type="pct"/>
                  <w:noWrap w:val="0"/>
                  <w:vAlign w:val="center"/>
                </w:tcPr>
                <w:p w14:paraId="422D20D1">
                  <w:pPr>
                    <w:pStyle w:val="51"/>
                    <w:spacing w:before="24" w:after="24" w:line="240" w:lineRule="auto"/>
                    <w:rPr>
                      <w:rFonts w:hint="default" w:ascii="Times New Roman" w:hAnsi="Times New Roman" w:eastAsia="宋体" w:cs="Times New Roman"/>
                      <w:snapToGrid w:val="0"/>
                      <w:color w:val="000000"/>
                      <w:sz w:val="21"/>
                      <w:szCs w:val="21"/>
                      <w:highlight w:val="none"/>
                      <w:lang w:val="en-US" w:eastAsia="zh-CN"/>
                    </w:rPr>
                  </w:pPr>
                  <w:r>
                    <w:rPr>
                      <w:rFonts w:hint="eastAsia" w:ascii="Times New Roman" w:hAnsi="Times New Roman" w:cs="Times New Roman"/>
                      <w:snapToGrid w:val="0"/>
                      <w:color w:val="000000"/>
                      <w:sz w:val="21"/>
                      <w:szCs w:val="21"/>
                      <w:highlight w:val="none"/>
                      <w:lang w:val="en-US" w:eastAsia="zh-CN"/>
                    </w:rPr>
                    <w:t>0.033</w:t>
                  </w:r>
                </w:p>
              </w:tc>
            </w:tr>
            <w:tr w14:paraId="2D353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86" w:type="pct"/>
                  <w:vMerge w:val="continue"/>
                  <w:noWrap w:val="0"/>
                  <w:vAlign w:val="center"/>
                </w:tcPr>
                <w:p w14:paraId="54FA3958">
                  <w:pPr>
                    <w:pStyle w:val="51"/>
                    <w:spacing w:before="24" w:after="24" w:line="240" w:lineRule="auto"/>
                    <w:rPr>
                      <w:rFonts w:hint="default" w:ascii="Times New Roman" w:hAnsi="Times New Roman" w:cs="Times New Roman"/>
                      <w:color w:val="000000"/>
                      <w:sz w:val="21"/>
                      <w:szCs w:val="21"/>
                      <w:highlight w:val="none"/>
                    </w:rPr>
                  </w:pPr>
                </w:p>
              </w:tc>
              <w:tc>
                <w:tcPr>
                  <w:tcW w:w="1105" w:type="pct"/>
                  <w:noWrap w:val="0"/>
                  <w:vAlign w:val="center"/>
                </w:tcPr>
                <w:p w14:paraId="54F1D483">
                  <w:pPr>
                    <w:pStyle w:val="51"/>
                    <w:spacing w:before="24" w:after="24" w:line="240" w:lineRule="auto"/>
                    <w:rPr>
                      <w:rFonts w:hint="default" w:ascii="Times New Roman" w:hAnsi="Times New Roman" w:cs="Times New Roman"/>
                      <w:snapToGrid w:val="0"/>
                      <w:color w:val="000000"/>
                      <w:sz w:val="21"/>
                      <w:szCs w:val="21"/>
                      <w:highlight w:val="none"/>
                    </w:rPr>
                  </w:pPr>
                  <w:r>
                    <w:rPr>
                      <w:rFonts w:hint="default" w:ascii="Times New Roman" w:hAnsi="Times New Roman" w:cs="Times New Roman"/>
                      <w:color w:val="000000"/>
                      <w:sz w:val="21"/>
                      <w:szCs w:val="21"/>
                      <w:highlight w:val="none"/>
                    </w:rPr>
                    <w:t>排放量（t/a）</w:t>
                  </w:r>
                </w:p>
              </w:tc>
              <w:tc>
                <w:tcPr>
                  <w:tcW w:w="547" w:type="pct"/>
                  <w:noWrap w:val="0"/>
                  <w:vAlign w:val="center"/>
                </w:tcPr>
                <w:p w14:paraId="055ED6E1">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kern w:val="0"/>
                      <w:sz w:val="21"/>
                      <w:szCs w:val="21"/>
                      <w:highlight w:val="none"/>
                      <w:lang w:val="en-US" w:eastAsia="zh-CN" w:bidi="ar-SA"/>
                    </w:rPr>
                    <w:t>2482.5</w:t>
                  </w:r>
                </w:p>
              </w:tc>
              <w:tc>
                <w:tcPr>
                  <w:tcW w:w="357" w:type="pct"/>
                  <w:noWrap w:val="0"/>
                  <w:vAlign w:val="center"/>
                </w:tcPr>
                <w:p w14:paraId="055FD6CF">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w:t>
                  </w:r>
                </w:p>
              </w:tc>
              <w:tc>
                <w:tcPr>
                  <w:tcW w:w="934" w:type="dxa"/>
                  <w:noWrap w:val="0"/>
                  <w:vAlign w:val="center"/>
                </w:tcPr>
                <w:p w14:paraId="51BD812B">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0.124</w:t>
                  </w:r>
                </w:p>
              </w:tc>
              <w:tc>
                <w:tcPr>
                  <w:tcW w:w="934" w:type="dxa"/>
                  <w:noWrap w:val="0"/>
                  <w:vAlign w:val="center"/>
                </w:tcPr>
                <w:p w14:paraId="12454233">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0.025</w:t>
                  </w:r>
                </w:p>
              </w:tc>
              <w:tc>
                <w:tcPr>
                  <w:tcW w:w="934" w:type="dxa"/>
                  <w:noWrap w:val="0"/>
                  <w:vAlign w:val="center"/>
                </w:tcPr>
                <w:p w14:paraId="19BD2220">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0.025</w:t>
                  </w:r>
                </w:p>
              </w:tc>
              <w:tc>
                <w:tcPr>
                  <w:tcW w:w="937" w:type="dxa"/>
                  <w:noWrap w:val="0"/>
                  <w:vAlign w:val="center"/>
                </w:tcPr>
                <w:p w14:paraId="239BAE4F">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 w:val="21"/>
                      <w:szCs w:val="21"/>
                      <w:highlight w:val="none"/>
                      <w:lang w:val="en-US" w:eastAsia="zh-CN" w:bidi="ar-SA"/>
                    </w:rPr>
                    <w:t>0.012</w:t>
                  </w:r>
                </w:p>
              </w:tc>
            </w:tr>
          </w:tbl>
          <w:p w14:paraId="4FC929AA">
            <w:pPr>
              <w:spacing w:line="360" w:lineRule="auto"/>
              <w:ind w:firstLine="480" w:firstLineChars="200"/>
              <w:rPr>
                <w:rFonts w:hint="eastAsia" w:eastAsia="宋体"/>
                <w:color w:val="auto"/>
                <w:sz w:val="24"/>
                <w:szCs w:val="24"/>
                <w:highlight w:val="none"/>
                <w:lang w:eastAsia="zh-CN"/>
              </w:rPr>
            </w:pPr>
            <w:r>
              <w:rPr>
                <w:rFonts w:hint="eastAsia" w:cs="Times New Roman"/>
                <w:color w:val="auto"/>
                <w:sz w:val="24"/>
                <w:szCs w:val="24"/>
                <w:highlight w:val="none"/>
                <w:lang w:val="en-US" w:eastAsia="zh-CN"/>
              </w:rPr>
              <w:t>由上表可知，项目废水排放满足</w:t>
            </w:r>
            <w:r>
              <w:rPr>
                <w:rFonts w:hint="eastAsia"/>
                <w:color w:val="auto"/>
                <w:sz w:val="24"/>
                <w:szCs w:val="32"/>
                <w:highlight w:val="none"/>
                <w:lang w:eastAsia="zh-CN"/>
              </w:rPr>
              <w:t>《</w:t>
            </w:r>
            <w:r>
              <w:rPr>
                <w:rFonts w:hint="eastAsia"/>
                <w:color w:val="auto"/>
                <w:sz w:val="24"/>
                <w:szCs w:val="32"/>
                <w:highlight w:val="none"/>
                <w:lang w:val="en-US" w:eastAsia="zh-CN"/>
              </w:rPr>
              <w:t>电子工业水污染物排放标准</w:t>
            </w:r>
            <w:r>
              <w:rPr>
                <w:rFonts w:hint="eastAsia"/>
                <w:color w:val="auto"/>
                <w:sz w:val="24"/>
                <w:szCs w:val="32"/>
                <w:highlight w:val="none"/>
                <w:lang w:eastAsia="zh-CN"/>
              </w:rPr>
              <w:t>》（GB</w:t>
            </w:r>
            <w:r>
              <w:rPr>
                <w:rFonts w:hint="eastAsia"/>
                <w:color w:val="auto"/>
                <w:sz w:val="24"/>
                <w:szCs w:val="32"/>
                <w:highlight w:val="none"/>
                <w:lang w:val="en-US" w:eastAsia="zh-CN"/>
              </w:rPr>
              <w:t>39731</w:t>
            </w:r>
            <w:r>
              <w:rPr>
                <w:rFonts w:hint="eastAsia"/>
                <w:color w:val="auto"/>
                <w:sz w:val="24"/>
                <w:szCs w:val="32"/>
                <w:highlight w:val="none"/>
                <w:lang w:eastAsia="zh-CN"/>
              </w:rPr>
              <w:t>-</w:t>
            </w:r>
            <w:r>
              <w:rPr>
                <w:rFonts w:hint="eastAsia"/>
                <w:color w:val="auto"/>
                <w:sz w:val="24"/>
                <w:szCs w:val="32"/>
                <w:highlight w:val="none"/>
                <w:lang w:val="en-US" w:eastAsia="zh-CN"/>
              </w:rPr>
              <w:t>2020</w:t>
            </w:r>
            <w:r>
              <w:rPr>
                <w:rFonts w:hint="eastAsia"/>
                <w:color w:val="auto"/>
                <w:sz w:val="24"/>
                <w:szCs w:val="32"/>
                <w:highlight w:val="none"/>
                <w:lang w:eastAsia="zh-CN"/>
              </w:rPr>
              <w:t>）</w:t>
            </w:r>
            <w:r>
              <w:rPr>
                <w:rFonts w:hint="eastAsia"/>
                <w:color w:val="auto"/>
                <w:sz w:val="24"/>
                <w:szCs w:val="32"/>
                <w:highlight w:val="none"/>
                <w:lang w:val="en-US" w:eastAsia="zh-CN"/>
              </w:rPr>
              <w:t>间接排放标准、</w:t>
            </w:r>
            <w:r>
              <w:rPr>
                <w:rFonts w:hint="eastAsia" w:cs="Times New Roman"/>
                <w:color w:val="auto"/>
                <w:sz w:val="24"/>
                <w:szCs w:val="24"/>
                <w:highlight w:val="none"/>
                <w:lang w:eastAsia="zh-CN"/>
              </w:rPr>
              <w:t>皖江江南新兴产业集中区第一污水处理厂</w:t>
            </w:r>
            <w:r>
              <w:rPr>
                <w:color w:val="auto"/>
                <w:sz w:val="24"/>
                <w:szCs w:val="32"/>
                <w:highlight w:val="none"/>
              </w:rPr>
              <w:t>接管限值</w:t>
            </w:r>
            <w:r>
              <w:rPr>
                <w:rFonts w:hint="eastAsia"/>
                <w:color w:val="auto"/>
                <w:sz w:val="24"/>
                <w:szCs w:val="32"/>
                <w:highlight w:val="none"/>
                <w:lang w:val="en-US" w:eastAsia="zh-CN"/>
              </w:rPr>
              <w:t>要求及</w:t>
            </w:r>
            <w:r>
              <w:rPr>
                <w:rFonts w:hint="default" w:ascii="Times New Roman" w:hAnsi="Times New Roman" w:cs="Times New Roman"/>
                <w:color w:val="auto"/>
                <w:sz w:val="24"/>
                <w:szCs w:val="24"/>
                <w:highlight w:val="none"/>
              </w:rPr>
              <w:t>《污水综合排放标准》（GB8978-1996）中三级排放标准要求</w:t>
            </w:r>
            <w:r>
              <w:rPr>
                <w:rFonts w:hint="eastAsia" w:cs="Times New Roman"/>
                <w:color w:val="auto"/>
                <w:sz w:val="24"/>
                <w:szCs w:val="24"/>
                <w:highlight w:val="none"/>
                <w:lang w:eastAsia="zh-CN"/>
              </w:rPr>
              <w:t>。</w:t>
            </w:r>
          </w:p>
          <w:p w14:paraId="56F93781">
            <w:pPr>
              <w:spacing w:line="360" w:lineRule="auto"/>
              <w:ind w:firstLine="482" w:firstLineChars="200"/>
              <w:jc w:val="both"/>
              <w:rPr>
                <w:rFonts w:hint="eastAsia" w:ascii="Times New Roman" w:hAnsi="Times New Roman" w:cs="Times New Roman"/>
                <w:b/>
                <w:color w:val="auto"/>
                <w:kern w:val="21"/>
                <w:sz w:val="24"/>
                <w:szCs w:val="24"/>
                <w:highlight w:val="none"/>
                <w:lang w:val="en-US" w:eastAsia="zh-CN"/>
              </w:rPr>
            </w:pPr>
            <w:r>
              <w:rPr>
                <w:rFonts w:hint="eastAsia" w:ascii="Times New Roman" w:hAnsi="Times New Roman" w:cs="Times New Roman"/>
                <w:b/>
                <w:color w:val="auto"/>
                <w:kern w:val="21"/>
                <w:sz w:val="24"/>
                <w:szCs w:val="24"/>
                <w:highlight w:val="none"/>
                <w:lang w:val="en-US" w:eastAsia="zh-CN"/>
              </w:rPr>
              <w:t>（2）基准排水量</w:t>
            </w:r>
          </w:p>
          <w:p w14:paraId="5C4301E5">
            <w:pPr>
              <w:spacing w:line="360" w:lineRule="auto"/>
              <w:ind w:firstLine="480" w:firstLineChars="200"/>
              <w:jc w:val="both"/>
              <w:rPr>
                <w:rFonts w:hint="eastAsia" w:cs="Times New Roman"/>
                <w:color w:val="auto"/>
                <w:spacing w:val="6"/>
                <w:sz w:val="24"/>
                <w:szCs w:val="32"/>
                <w:highlight w:val="none"/>
                <w:vertAlign w:val="baseline"/>
                <w:lang w:val="en-US" w:eastAsia="zh-CN"/>
              </w:rPr>
            </w:pPr>
            <w:r>
              <w:rPr>
                <w:rFonts w:hint="eastAsia" w:ascii="Times New Roman" w:hAnsi="Times New Roman" w:cs="Times New Roman"/>
                <w:color w:val="auto"/>
                <w:sz w:val="24"/>
                <w:szCs w:val="24"/>
                <w:highlight w:val="none"/>
                <w:lang w:val="en-US" w:eastAsia="zh-CN"/>
              </w:rPr>
              <w:t>根据《国民经济行业分类》(GB/T4754-2017)，</w:t>
            </w:r>
            <w:r>
              <w:rPr>
                <w:rFonts w:hint="eastAsia" w:cs="Times New Roman"/>
                <w:color w:val="auto"/>
                <w:sz w:val="24"/>
                <w:szCs w:val="24"/>
                <w:highlight w:val="none"/>
                <w:lang w:val="en-US" w:eastAsia="zh-CN"/>
              </w:rPr>
              <w:t>本项目生产的LED显示屏模组属于</w:t>
            </w:r>
            <w:r>
              <w:rPr>
                <w:rFonts w:hint="eastAsia" w:ascii="Times New Roman" w:hAnsi="Times New Roman" w:cs="Times New Roman"/>
                <w:color w:val="auto"/>
                <w:sz w:val="24"/>
                <w:szCs w:val="24"/>
                <w:highlight w:val="none"/>
                <w:lang w:val="en-US" w:eastAsia="zh-CN"/>
              </w:rPr>
              <w:t>C3974显示器件制造；</w:t>
            </w:r>
            <w:r>
              <w:rPr>
                <w:rFonts w:hint="eastAsia" w:cs="Times New Roman"/>
                <w:color w:val="auto"/>
                <w:sz w:val="24"/>
                <w:szCs w:val="24"/>
                <w:highlight w:val="none"/>
                <w:lang w:val="en-US" w:eastAsia="zh-CN"/>
              </w:rPr>
              <w:t>根据</w:t>
            </w:r>
            <w:r>
              <w:rPr>
                <w:rFonts w:hint="eastAsia"/>
                <w:color w:val="auto"/>
                <w:sz w:val="24"/>
                <w:szCs w:val="32"/>
                <w:highlight w:val="none"/>
                <w:lang w:eastAsia="zh-CN"/>
              </w:rPr>
              <w:t>《</w:t>
            </w:r>
            <w:r>
              <w:rPr>
                <w:rFonts w:hint="eastAsia"/>
                <w:color w:val="auto"/>
                <w:sz w:val="24"/>
                <w:szCs w:val="32"/>
                <w:highlight w:val="none"/>
                <w:lang w:val="en-US" w:eastAsia="zh-CN"/>
              </w:rPr>
              <w:t>电子工业水污染物排放标准</w:t>
            </w:r>
            <w:r>
              <w:rPr>
                <w:rFonts w:hint="eastAsia"/>
                <w:color w:val="auto"/>
                <w:sz w:val="24"/>
                <w:szCs w:val="32"/>
                <w:highlight w:val="none"/>
                <w:lang w:eastAsia="zh-CN"/>
              </w:rPr>
              <w:t>》（GB</w:t>
            </w:r>
            <w:r>
              <w:rPr>
                <w:rFonts w:hint="eastAsia"/>
                <w:color w:val="auto"/>
                <w:sz w:val="24"/>
                <w:szCs w:val="32"/>
                <w:highlight w:val="none"/>
                <w:lang w:val="en-US" w:eastAsia="zh-CN"/>
              </w:rPr>
              <w:t>39731</w:t>
            </w:r>
            <w:r>
              <w:rPr>
                <w:rFonts w:hint="eastAsia"/>
                <w:color w:val="auto"/>
                <w:sz w:val="24"/>
                <w:szCs w:val="32"/>
                <w:highlight w:val="none"/>
                <w:lang w:eastAsia="zh-CN"/>
              </w:rPr>
              <w:t>-</w:t>
            </w:r>
            <w:r>
              <w:rPr>
                <w:rFonts w:hint="eastAsia"/>
                <w:color w:val="auto"/>
                <w:sz w:val="24"/>
                <w:szCs w:val="32"/>
                <w:highlight w:val="none"/>
                <w:lang w:val="en-US" w:eastAsia="zh-CN"/>
              </w:rPr>
              <w:t>2020</w:t>
            </w:r>
            <w:r>
              <w:rPr>
                <w:rFonts w:hint="eastAsia"/>
                <w:color w:val="auto"/>
                <w:sz w:val="24"/>
                <w:szCs w:val="32"/>
                <w:highlight w:val="none"/>
                <w:lang w:eastAsia="zh-CN"/>
              </w:rPr>
              <w:t>）表</w:t>
            </w:r>
            <w:r>
              <w:rPr>
                <w:rFonts w:hint="eastAsia"/>
                <w:color w:val="auto"/>
                <w:sz w:val="24"/>
                <w:szCs w:val="32"/>
                <w:highlight w:val="none"/>
                <w:lang w:val="en-US" w:eastAsia="zh-CN"/>
              </w:rPr>
              <w:t>2单位产品基准排水量</w:t>
            </w:r>
            <w:r>
              <w:rPr>
                <w:rFonts w:hint="eastAsia" w:ascii="Times New Roman" w:hAnsi="Times New Roman" w:eastAsia="宋体" w:cs="Times New Roman"/>
                <w:color w:val="auto"/>
                <w:sz w:val="24"/>
                <w:szCs w:val="24"/>
                <w:highlight w:val="none"/>
                <w:lang w:val="en-US" w:eastAsia="zh-CN"/>
              </w:rPr>
              <w:t>要求，</w:t>
            </w:r>
            <w:r>
              <w:rPr>
                <w:rFonts w:hint="eastAsia" w:cs="Times New Roman"/>
                <w:color w:val="auto"/>
                <w:sz w:val="24"/>
                <w:szCs w:val="24"/>
                <w:highlight w:val="none"/>
                <w:lang w:val="en-US" w:eastAsia="zh-CN"/>
              </w:rPr>
              <w:t>显示器件及光电子器件</w:t>
            </w:r>
            <w:r>
              <w:rPr>
                <w:rFonts w:hint="eastAsia" w:ascii="Times New Roman" w:hAnsi="Times New Roman" w:eastAsia="宋体" w:cs="Times New Roman"/>
                <w:color w:val="auto"/>
                <w:sz w:val="24"/>
                <w:szCs w:val="24"/>
                <w:highlight w:val="none"/>
                <w:lang w:val="en-US" w:eastAsia="zh-CN"/>
              </w:rPr>
              <w:t>排污单位，基准排水量限值为0.5m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万粒；</w:t>
            </w:r>
            <w:r>
              <w:rPr>
                <w:rFonts w:hint="eastAsia"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工程设计规模为年产显示模组7000</w:t>
            </w:r>
            <w:r>
              <w:rPr>
                <w:rFonts w:hint="eastAsia"/>
                <w:color w:val="auto"/>
                <w:sz w:val="24"/>
                <w:szCs w:val="24"/>
                <w:highlight w:val="none"/>
                <w:lang w:val="en-US" w:eastAsia="zh-CN"/>
              </w:rPr>
              <w:t>万件，LED灯年用量896000000万粒，则排水量限值为448000000t/a；</w:t>
            </w:r>
            <w:r>
              <w:rPr>
                <w:rFonts w:hint="eastAsia" w:cs="Times New Roman"/>
                <w:color w:val="auto"/>
                <w:sz w:val="24"/>
                <w:szCs w:val="24"/>
                <w:highlight w:val="none"/>
                <w:lang w:val="en-US" w:eastAsia="zh-CN"/>
              </w:rPr>
              <w:t>根据水平衡分析，建成后全厂废水</w:t>
            </w:r>
            <w:r>
              <w:rPr>
                <w:rFonts w:hint="eastAsia" w:cs="Times New Roman"/>
                <w:color w:val="auto"/>
                <w:spacing w:val="6"/>
                <w:sz w:val="24"/>
                <w:szCs w:val="32"/>
                <w:highlight w:val="none"/>
                <w:vertAlign w:val="baseline"/>
                <w:lang w:val="en-US" w:eastAsia="zh-CN"/>
              </w:rPr>
              <w:t>排水量仅为2482.5t/a。因此，本项目能够满足基准排水量要求。</w:t>
            </w:r>
          </w:p>
          <w:p w14:paraId="2007D847">
            <w:pPr>
              <w:pStyle w:val="52"/>
              <w:keepNext w:val="0"/>
              <w:keepLines w:val="0"/>
              <w:pageBreakBefore w:val="0"/>
              <w:widowControl w:val="0"/>
              <w:kinsoku/>
              <w:wordWrap/>
              <w:overflowPunct/>
              <w:topLinePunct w:val="0"/>
              <w:autoSpaceDE/>
              <w:autoSpaceDN/>
              <w:bidi w:val="0"/>
              <w:adjustRightInd w:val="0"/>
              <w:snapToGrid/>
              <w:spacing w:line="360" w:lineRule="auto"/>
              <w:ind w:left="0" w:leftChars="0" w:right="0" w:firstLine="482" w:firstLineChars="200"/>
              <w:jc w:val="both"/>
              <w:textAlignment w:val="baseline"/>
              <w:rPr>
                <w:rFonts w:hint="default" w:ascii="Times New Roman" w:hAnsi="Times New Roman" w:cs="Times New Roman" w:eastAsiaTheme="minorEastAsia"/>
                <w:b/>
                <w:bCs/>
                <w:color w:val="auto"/>
                <w:sz w:val="24"/>
                <w:szCs w:val="24"/>
                <w:highlight w:val="none"/>
                <w:lang w:eastAsia="zh-CN"/>
              </w:rPr>
            </w:pPr>
            <w:r>
              <w:rPr>
                <w:rFonts w:hint="default" w:ascii="Times New Roman" w:hAnsi="Times New Roman" w:cs="Times New Roman" w:eastAsiaTheme="minorEastAsia"/>
                <w:b/>
                <w:bCs/>
                <w:color w:val="auto"/>
                <w:sz w:val="24"/>
                <w:szCs w:val="24"/>
                <w:highlight w:val="none"/>
                <w:lang w:eastAsia="zh-CN"/>
              </w:rPr>
              <w:t>（</w:t>
            </w:r>
            <w:r>
              <w:rPr>
                <w:rFonts w:hint="default" w:ascii="Times New Roman" w:hAnsi="Times New Roman" w:cs="Times New Roman" w:eastAsiaTheme="minorEastAsia"/>
                <w:b/>
                <w:bCs/>
                <w:color w:val="auto"/>
                <w:sz w:val="24"/>
                <w:szCs w:val="24"/>
                <w:highlight w:val="none"/>
                <w:lang w:val="en-US" w:eastAsia="zh-CN"/>
              </w:rPr>
              <w:t>3</w:t>
            </w:r>
            <w:r>
              <w:rPr>
                <w:rFonts w:hint="default" w:ascii="Times New Roman" w:hAnsi="Times New Roman" w:cs="Times New Roman" w:eastAsiaTheme="minorEastAsia"/>
                <w:b/>
                <w:bCs/>
                <w:color w:val="auto"/>
                <w:sz w:val="24"/>
                <w:szCs w:val="24"/>
                <w:highlight w:val="none"/>
                <w:lang w:eastAsia="zh-CN"/>
              </w:rPr>
              <w:t>）废水治理措施可行性</w:t>
            </w:r>
          </w:p>
          <w:p w14:paraId="4BCEDD47">
            <w:pPr>
              <w:pStyle w:val="52"/>
              <w:keepNext w:val="0"/>
              <w:keepLines w:val="0"/>
              <w:pageBreakBefore w:val="0"/>
              <w:widowControl w:val="0"/>
              <w:kinsoku/>
              <w:wordWrap/>
              <w:overflowPunct/>
              <w:topLinePunct w:val="0"/>
              <w:autoSpaceDE/>
              <w:autoSpaceDN/>
              <w:bidi w:val="0"/>
              <w:snapToGrid/>
              <w:spacing w:line="360" w:lineRule="auto"/>
              <w:ind w:left="0" w:leftChars="0" w:right="0" w:firstLine="480" w:firstLineChars="200"/>
              <w:jc w:val="both"/>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本项目生活污水依托园区化粪池处理后与冷却循环外排水一并通过市政污水管网送至皖江江南新兴产业集中区第一污水处理厂处理。根据《排污许可证申请与核发技术规范 电子工业》（HJ1031—2019）表B.2电子工业排污单位废水防治可行技术参考表，生活污水推荐可行技术为“隔油池+化粪池”，本项目不提供食宿，生活污水采用化粪池处理可行；根据《排污许可证申请与核发技术规范 橡胶和塑料制品工业》（HJ1122-2020）表A.2塑料制品工业排污单位废水污染防治可行技术参考表，生活污水推荐可行技术为“隔油池、化粪池、调节池、厌氧-好氧、兼性-好氧、好氧生物处理”。综上所述，项目生活污水采用化粪池处理可行。</w:t>
            </w:r>
          </w:p>
          <w:p w14:paraId="1F3128DF">
            <w:pPr>
              <w:pStyle w:val="52"/>
              <w:keepNext w:val="0"/>
              <w:keepLines w:val="0"/>
              <w:pageBreakBefore w:val="0"/>
              <w:widowControl w:val="0"/>
              <w:kinsoku/>
              <w:wordWrap/>
              <w:overflowPunct/>
              <w:topLinePunct w:val="0"/>
              <w:autoSpaceDE/>
              <w:autoSpaceDN/>
              <w:bidi w:val="0"/>
              <w:snapToGrid/>
              <w:spacing w:line="360" w:lineRule="auto"/>
              <w:ind w:left="0" w:leftChars="0" w:right="0" w:firstLine="482"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cs="Times New Roman" w:eastAsiaTheme="minorEastAsia"/>
                <w:b/>
                <w:bCs/>
                <w:color w:val="auto"/>
                <w:sz w:val="24"/>
                <w:szCs w:val="24"/>
                <w:highlight w:val="none"/>
                <w:lang w:eastAsia="zh-CN"/>
              </w:rPr>
              <w:t>（</w:t>
            </w:r>
            <w:r>
              <w:rPr>
                <w:rFonts w:hint="default" w:ascii="Times New Roman" w:hAnsi="Times New Roman" w:cs="Times New Roman" w:eastAsiaTheme="minorEastAsia"/>
                <w:b/>
                <w:bCs/>
                <w:color w:val="auto"/>
                <w:sz w:val="24"/>
                <w:szCs w:val="24"/>
                <w:highlight w:val="none"/>
                <w:lang w:val="en-US" w:eastAsia="zh-CN"/>
              </w:rPr>
              <w:t>4</w:t>
            </w:r>
            <w:r>
              <w:rPr>
                <w:rFonts w:hint="default" w:ascii="Times New Roman" w:hAnsi="Times New Roman" w:cs="Times New Roman" w:eastAsiaTheme="minorEastAsia"/>
                <w:b/>
                <w:bCs/>
                <w:color w:val="auto"/>
                <w:sz w:val="24"/>
                <w:szCs w:val="24"/>
                <w:highlight w:val="none"/>
                <w:lang w:eastAsia="zh-CN"/>
              </w:rPr>
              <w:t>）</w:t>
            </w:r>
            <w:r>
              <w:rPr>
                <w:rFonts w:hint="default" w:ascii="Times New Roman" w:hAnsi="Times New Roman" w:cs="Times New Roman" w:eastAsiaTheme="minorEastAsia"/>
                <w:b/>
                <w:bCs/>
                <w:color w:val="auto"/>
                <w:sz w:val="24"/>
                <w:szCs w:val="24"/>
                <w:highlight w:val="none"/>
              </w:rPr>
              <w:t>厂区污水接管可行性分析</w:t>
            </w:r>
          </w:p>
          <w:p w14:paraId="0D439C88">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default" w:ascii="Times New Roman" w:hAnsi="Times New Roman" w:eastAsia="宋体" w:cs="Times New Roman"/>
                <w:color w:val="000000"/>
                <w:sz w:val="24"/>
                <w:highlight w:val="none"/>
                <w:lang w:val="en-US" w:eastAsia="zh-CN"/>
              </w:rPr>
            </w:pPr>
            <w:r>
              <w:rPr>
                <w:rFonts w:hint="default" w:ascii="Times New Roman" w:hAnsi="Times New Roman" w:eastAsia="宋体" w:cs="Times New Roman"/>
                <w:b w:val="0"/>
                <w:bCs w:val="0"/>
                <w:color w:val="000000"/>
                <w:kern w:val="2"/>
                <w:sz w:val="24"/>
                <w:szCs w:val="24"/>
                <w:highlight w:val="none"/>
                <w:lang w:val="en-US" w:eastAsia="zh-CN" w:bidi="ar-SA"/>
              </w:rPr>
              <w:t>①皖江江南新兴产业集中区第一污水处理厂</w:t>
            </w:r>
          </w:p>
          <w:p w14:paraId="5B65A80D">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ascii="Times New Roman" w:hAnsi="Times New Roman" w:eastAsia="宋体" w:cs="Times New Roman"/>
                <w:color w:val="000000"/>
                <w:sz w:val="24"/>
                <w:highlight w:val="none"/>
                <w:lang w:val="en-US" w:eastAsia="zh-CN"/>
              </w:rPr>
            </w:pPr>
            <w:r>
              <w:rPr>
                <w:rFonts w:hint="default" w:ascii="Times New Roman" w:hAnsi="Times New Roman" w:eastAsia="宋体" w:cs="Times New Roman"/>
                <w:color w:val="000000"/>
                <w:sz w:val="24"/>
                <w:highlight w:val="none"/>
                <w:lang w:val="en-US" w:eastAsia="zh-CN"/>
              </w:rPr>
              <w:t>江南集中区第一污水处理厂（一期）项目位于江南产业集中区起步区，九华河东岸，龙腾大道南侧。根据《安徽省江南产业集中区起步区排水专业规划修编(2013-2030)》，</w:t>
            </w:r>
            <w:r>
              <w:rPr>
                <w:rFonts w:hint="default" w:ascii="Times New Roman" w:hAnsi="Times New Roman" w:cs="Times New Roman"/>
                <w:color w:val="000000"/>
                <w:sz w:val="24"/>
                <w:highlight w:val="none"/>
                <w:lang w:val="en-US" w:eastAsia="zh-CN"/>
              </w:rPr>
              <w:t>皖江江南新兴产业集中区第一污水处理厂</w:t>
            </w:r>
            <w:r>
              <w:rPr>
                <w:rFonts w:hint="default" w:ascii="Times New Roman" w:hAnsi="Times New Roman" w:eastAsia="宋体" w:cs="Times New Roman"/>
                <w:color w:val="000000"/>
                <w:sz w:val="24"/>
                <w:highlight w:val="none"/>
                <w:lang w:val="en-US" w:eastAsia="zh-CN"/>
              </w:rPr>
              <w:t>规划总建设规模为20.0万m</w:t>
            </w:r>
            <w:r>
              <w:rPr>
                <w:rFonts w:hint="default" w:ascii="Times New Roman" w:hAnsi="Times New Roman" w:eastAsia="宋体" w:cs="Times New Roman"/>
                <w:color w:val="000000"/>
                <w:sz w:val="24"/>
                <w:highlight w:val="none"/>
                <w:vertAlign w:val="superscript"/>
                <w:lang w:val="en-US" w:eastAsia="zh-CN"/>
              </w:rPr>
              <w:t>3</w:t>
            </w:r>
            <w:r>
              <w:rPr>
                <w:rFonts w:hint="default" w:ascii="Times New Roman" w:hAnsi="Times New Roman" w:eastAsia="宋体" w:cs="Times New Roman"/>
                <w:color w:val="000000"/>
                <w:sz w:val="24"/>
                <w:highlight w:val="none"/>
                <w:lang w:val="en-US" w:eastAsia="zh-CN"/>
              </w:rPr>
              <w:t>/d，需分期进行建设，一期工程建设规模5万m</w:t>
            </w:r>
            <w:r>
              <w:rPr>
                <w:rFonts w:hint="default" w:ascii="Times New Roman" w:hAnsi="Times New Roman" w:eastAsia="宋体" w:cs="Times New Roman"/>
                <w:color w:val="000000"/>
                <w:sz w:val="24"/>
                <w:highlight w:val="none"/>
                <w:vertAlign w:val="superscript"/>
                <w:lang w:val="en-US" w:eastAsia="zh-CN"/>
              </w:rPr>
              <w:t>3</w:t>
            </w:r>
            <w:r>
              <w:rPr>
                <w:rFonts w:hint="default" w:ascii="Times New Roman" w:hAnsi="Times New Roman" w:eastAsia="宋体" w:cs="Times New Roman"/>
                <w:color w:val="000000"/>
                <w:sz w:val="24"/>
                <w:highlight w:val="none"/>
                <w:lang w:val="en-US" w:eastAsia="zh-CN"/>
              </w:rPr>
              <w:t>/d，分为两组，每组建设规模2.5万m</w:t>
            </w:r>
            <w:r>
              <w:rPr>
                <w:rFonts w:hint="default" w:ascii="Times New Roman" w:hAnsi="Times New Roman" w:eastAsia="宋体" w:cs="Times New Roman"/>
                <w:color w:val="000000"/>
                <w:sz w:val="24"/>
                <w:highlight w:val="none"/>
                <w:vertAlign w:val="superscript"/>
                <w:lang w:val="en-US" w:eastAsia="zh-CN"/>
              </w:rPr>
              <w:t>3</w:t>
            </w:r>
            <w:r>
              <w:rPr>
                <w:rFonts w:hint="default" w:ascii="Times New Roman" w:hAnsi="Times New Roman" w:eastAsia="宋体" w:cs="Times New Roman"/>
                <w:color w:val="000000"/>
                <w:sz w:val="24"/>
                <w:highlight w:val="none"/>
                <w:lang w:val="en-US" w:eastAsia="zh-CN"/>
              </w:rPr>
              <w:t>/d。污水处理厂一期一组（日处理2.5万吨污水处理工程）已建成，根据设计现状服务范围为江南产业集中区内的起步区。处理工艺为：预处理+匀质池+混凝气</w:t>
            </w:r>
            <w:r>
              <w:rPr>
                <w:rFonts w:hint="eastAsia" w:ascii="Times New Roman" w:hAnsi="Times New Roman" w:eastAsia="宋体" w:cs="Times New Roman"/>
                <w:color w:val="000000"/>
                <w:sz w:val="24"/>
                <w:highlight w:val="none"/>
                <w:lang w:val="en-US" w:eastAsia="zh-CN"/>
              </w:rPr>
              <w:t>浮池+水解酸化池+A/O生化池+二沉池+混凝沉淀+臭氧氧化+BAF滤池+转盘滤池+消毒处理工艺，处理后尾水达到</w:t>
            </w:r>
            <w:r>
              <w:rPr>
                <w:rFonts w:hint="eastAsia" w:cs="Times New Roman"/>
                <w:color w:val="000000"/>
                <w:sz w:val="24"/>
                <w:highlight w:val="none"/>
                <w:lang w:val="en-US" w:eastAsia="zh-CN"/>
              </w:rPr>
              <w:t>《城镇污水处理厂污染物排放标准》（GB18918-2002）</w:t>
            </w:r>
            <w:r>
              <w:rPr>
                <w:rFonts w:hint="eastAsia" w:ascii="Times New Roman" w:hAnsi="Times New Roman" w:eastAsia="宋体" w:cs="Times New Roman"/>
                <w:color w:val="000000"/>
                <w:sz w:val="24"/>
                <w:highlight w:val="none"/>
                <w:lang w:val="en-US" w:eastAsia="zh-CN"/>
              </w:rPr>
              <w:t>中一级A标准后经九华河排入长江。</w:t>
            </w:r>
          </w:p>
          <w:p w14:paraId="5C257458">
            <w:pPr>
              <w:keepNext w:val="0"/>
              <w:keepLines w:val="0"/>
              <w:pageBreakBefore w:val="0"/>
              <w:widowControl w:val="0"/>
              <w:kinsoku/>
              <w:wordWrap/>
              <w:overflowPunct/>
              <w:topLinePunct w:val="0"/>
              <w:autoSpaceDE/>
              <w:autoSpaceDN/>
              <w:bidi w:val="0"/>
              <w:snapToGrid/>
              <w:spacing w:line="360" w:lineRule="auto"/>
              <w:ind w:right="0" w:firstLine="420" w:firstLineChars="200"/>
              <w:jc w:val="both"/>
              <w:rPr>
                <w:rFonts w:hint="eastAsia" w:ascii="Times New Roman" w:hAnsi="Times New Roman" w:eastAsia="宋体" w:cs="Times New Roman"/>
                <w:color w:val="000000"/>
                <w:sz w:val="24"/>
                <w:highlight w:val="none"/>
                <w:lang w:val="en-US" w:eastAsia="zh-CN"/>
              </w:rPr>
            </w:pPr>
            <w:r>
              <w:rPr>
                <w:rFonts w:hint="default" w:ascii="Times New Roman" w:hAnsi="Times New Roman" w:cs="Times New Roman"/>
                <w:color w:val="000000"/>
                <w:highlight w:val="none"/>
              </w:rPr>
              <w:drawing>
                <wp:anchor distT="0" distB="0" distL="114300" distR="114300" simplePos="0" relativeHeight="251662336" behindDoc="1" locked="0" layoutInCell="1" allowOverlap="1">
                  <wp:simplePos x="0" y="0"/>
                  <wp:positionH relativeFrom="column">
                    <wp:posOffset>-295910</wp:posOffset>
                  </wp:positionH>
                  <wp:positionV relativeFrom="paragraph">
                    <wp:posOffset>18415</wp:posOffset>
                  </wp:positionV>
                  <wp:extent cx="5345430" cy="2637790"/>
                  <wp:effectExtent l="0" t="0" r="7620" b="10160"/>
                  <wp:wrapNone/>
                  <wp:docPr id="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6"/>
                          <pic:cNvPicPr>
                            <a:picLocks noChangeAspect="1"/>
                          </pic:cNvPicPr>
                        </pic:nvPicPr>
                        <pic:blipFill>
                          <a:blip r:embed="rId17"/>
                          <a:stretch>
                            <a:fillRect/>
                          </a:stretch>
                        </pic:blipFill>
                        <pic:spPr>
                          <a:xfrm>
                            <a:off x="0" y="0"/>
                            <a:ext cx="5345430" cy="2637790"/>
                          </a:xfrm>
                          <a:prstGeom prst="rect">
                            <a:avLst/>
                          </a:prstGeom>
                          <a:noFill/>
                          <a:ln>
                            <a:noFill/>
                          </a:ln>
                        </pic:spPr>
                      </pic:pic>
                    </a:graphicData>
                  </a:graphic>
                </wp:anchor>
              </w:drawing>
            </w:r>
          </w:p>
          <w:p w14:paraId="30CCF85A">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ascii="Times New Roman" w:hAnsi="Times New Roman" w:eastAsia="宋体" w:cs="Times New Roman"/>
                <w:color w:val="000000"/>
                <w:sz w:val="24"/>
                <w:highlight w:val="none"/>
                <w:lang w:val="en-US" w:eastAsia="zh-CN"/>
              </w:rPr>
            </w:pPr>
          </w:p>
          <w:p w14:paraId="348F2F23">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cs="Times New Roman"/>
                <w:color w:val="auto"/>
                <w:sz w:val="24"/>
                <w:szCs w:val="24"/>
                <w:highlight w:val="none"/>
                <w:lang w:val="en-US" w:eastAsia="zh-CN"/>
              </w:rPr>
            </w:pPr>
          </w:p>
          <w:p w14:paraId="03E84A99">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cs="Times New Roman"/>
                <w:color w:val="auto"/>
                <w:sz w:val="24"/>
                <w:szCs w:val="24"/>
                <w:highlight w:val="none"/>
                <w:lang w:val="en-US" w:eastAsia="zh-CN"/>
              </w:rPr>
            </w:pPr>
          </w:p>
          <w:p w14:paraId="59E48983">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cs="Times New Roman"/>
                <w:color w:val="auto"/>
                <w:sz w:val="24"/>
                <w:szCs w:val="24"/>
                <w:highlight w:val="none"/>
                <w:lang w:val="en-US" w:eastAsia="zh-CN"/>
              </w:rPr>
            </w:pPr>
          </w:p>
          <w:p w14:paraId="518FAC0E">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cs="Times New Roman"/>
                <w:color w:val="auto"/>
                <w:sz w:val="24"/>
                <w:szCs w:val="24"/>
                <w:highlight w:val="none"/>
                <w:lang w:val="en-US" w:eastAsia="zh-CN"/>
              </w:rPr>
            </w:pPr>
          </w:p>
          <w:p w14:paraId="086B4190">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cs="Times New Roman"/>
                <w:color w:val="auto"/>
                <w:sz w:val="24"/>
                <w:szCs w:val="24"/>
                <w:highlight w:val="none"/>
                <w:lang w:val="en-US" w:eastAsia="zh-CN"/>
              </w:rPr>
            </w:pPr>
          </w:p>
          <w:p w14:paraId="368C70E2">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cs="Times New Roman"/>
                <w:color w:val="auto"/>
                <w:sz w:val="24"/>
                <w:szCs w:val="24"/>
                <w:highlight w:val="none"/>
                <w:lang w:val="en-US" w:eastAsia="zh-CN"/>
              </w:rPr>
            </w:pPr>
          </w:p>
          <w:p w14:paraId="63B8AA13">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cs="Times New Roman"/>
                <w:color w:val="auto"/>
                <w:sz w:val="24"/>
                <w:szCs w:val="24"/>
                <w:highlight w:val="none"/>
                <w:lang w:val="en-US" w:eastAsia="zh-CN"/>
              </w:rPr>
            </w:pPr>
          </w:p>
          <w:p w14:paraId="70A231A3">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cs="Times New Roman"/>
                <w:color w:val="auto"/>
                <w:sz w:val="24"/>
                <w:szCs w:val="24"/>
                <w:highlight w:val="none"/>
                <w:lang w:val="en-US" w:eastAsia="zh-CN"/>
              </w:rPr>
            </w:pPr>
          </w:p>
          <w:p w14:paraId="1F85376F">
            <w:pPr>
              <w:pStyle w:val="10"/>
              <w:spacing w:line="360" w:lineRule="auto"/>
              <w:ind w:left="0" w:leftChars="0" w:firstLine="0" w:firstLineChars="0"/>
              <w:jc w:val="center"/>
              <w:rPr>
                <w:rFonts w:hint="default" w:ascii="Times New Roman" w:hAnsi="Times New Roman" w:eastAsia="宋体" w:cs="Times New Roman"/>
                <w:color w:val="000000"/>
                <w:highlight w:val="none"/>
                <w:lang w:eastAsia="zh-CN"/>
              </w:rPr>
            </w:pPr>
            <w:r>
              <w:rPr>
                <w:rFonts w:hint="eastAsia" w:cs="Times New Roman"/>
                <w:b/>
                <w:bCs/>
                <w:color w:val="000000"/>
                <w:sz w:val="21"/>
                <w:szCs w:val="21"/>
                <w:highlight w:val="none"/>
                <w:lang w:val="en-US" w:eastAsia="zh-CN"/>
              </w:rPr>
              <w:t>图4-1  皖江江南新兴产业集中区第一污水处理厂污水处理工艺流程图</w:t>
            </w:r>
          </w:p>
          <w:p w14:paraId="6A693E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②污水接管可行性和可靠性分析</w:t>
            </w:r>
          </w:p>
          <w:p w14:paraId="519EEC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sz w:val="24"/>
                <w:szCs w:val="24"/>
                <w:highlight w:val="none"/>
              </w:rPr>
            </w:pPr>
            <w:r>
              <w:rPr>
                <w:rFonts w:hint="eastAsia" w:cs="Times New Roman"/>
                <w:color w:val="000000"/>
                <w:sz w:val="24"/>
                <w:szCs w:val="24"/>
                <w:highlight w:val="none"/>
                <w:lang w:eastAsia="zh-CN"/>
              </w:rPr>
              <w:t>皖江江南新兴产业集中区第一污水处理厂</w:t>
            </w:r>
            <w:r>
              <w:rPr>
                <w:rFonts w:hint="default" w:ascii="Times New Roman" w:hAnsi="Times New Roman" w:eastAsia="宋体" w:cs="Times New Roman"/>
                <w:color w:val="000000"/>
                <w:sz w:val="24"/>
                <w:szCs w:val="24"/>
                <w:highlight w:val="none"/>
              </w:rPr>
              <w:t>的收水范围</w:t>
            </w:r>
            <w:r>
              <w:rPr>
                <w:rFonts w:hint="default" w:ascii="Times New Roman" w:hAnsi="Times New Roman" w:eastAsia="宋体" w:cs="Times New Roman"/>
                <w:color w:val="000000"/>
                <w:sz w:val="24"/>
                <w:szCs w:val="24"/>
                <w:highlight w:val="none"/>
                <w:lang w:val="en-US" w:eastAsia="zh-CN"/>
              </w:rPr>
              <w:t>为</w:t>
            </w:r>
            <w:r>
              <w:rPr>
                <w:rFonts w:hint="eastAsia" w:cs="Times New Roman"/>
                <w:color w:val="000000"/>
                <w:sz w:val="24"/>
                <w:szCs w:val="24"/>
                <w:highlight w:val="none"/>
                <w:lang w:val="en-US" w:eastAsia="zh-CN"/>
              </w:rPr>
              <w:t>整个园区工业企业和公共区域，本项目处于污水处理厂的收水范围内，</w:t>
            </w:r>
            <w:r>
              <w:rPr>
                <w:rFonts w:hint="default" w:ascii="Times New Roman" w:hAnsi="Times New Roman" w:eastAsia="宋体" w:cs="Times New Roman"/>
                <w:color w:val="000000"/>
                <w:sz w:val="24"/>
                <w:szCs w:val="24"/>
                <w:highlight w:val="none"/>
              </w:rPr>
              <w:t>本项目污水进入</w:t>
            </w:r>
            <w:r>
              <w:rPr>
                <w:rFonts w:hint="eastAsia" w:cs="Times New Roman"/>
                <w:color w:val="000000"/>
                <w:sz w:val="24"/>
                <w:szCs w:val="24"/>
                <w:highlight w:val="none"/>
                <w:lang w:eastAsia="zh-CN"/>
              </w:rPr>
              <w:t>皖江江南新兴产业集中区第一污水处理厂</w:t>
            </w:r>
            <w:r>
              <w:rPr>
                <w:rFonts w:hint="default" w:ascii="Times New Roman" w:hAnsi="Times New Roman" w:eastAsia="宋体" w:cs="Times New Roman"/>
                <w:color w:val="000000"/>
                <w:sz w:val="24"/>
                <w:szCs w:val="24"/>
                <w:highlight w:val="none"/>
              </w:rPr>
              <w:t>处理。评价对本项目污水进入污水处理厂的可行性分析如下：</w:t>
            </w:r>
          </w:p>
          <w:p w14:paraId="6348B9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sz w:val="24"/>
                <w:szCs w:val="24"/>
                <w:highlight w:val="none"/>
              </w:rPr>
            </w:pPr>
            <w:r>
              <w:rPr>
                <w:rFonts w:hint="eastAsia" w:cs="Times New Roman"/>
                <w:color w:val="000000"/>
                <w:sz w:val="24"/>
                <w:szCs w:val="24"/>
                <w:highlight w:val="none"/>
                <w:lang w:eastAsia="zh-CN"/>
              </w:rPr>
              <w:t>皖江江南新兴产业集中区第一污水处理厂</w:t>
            </w:r>
            <w:r>
              <w:rPr>
                <w:rFonts w:hint="default" w:ascii="Times New Roman" w:hAnsi="Times New Roman" w:cs="Times New Roman"/>
                <w:bCs/>
                <w:color w:val="000000"/>
                <w:sz w:val="24"/>
                <w:highlight w:val="none"/>
              </w:rPr>
              <w:t>一期工程一组2.5万m</w:t>
            </w:r>
            <w:r>
              <w:rPr>
                <w:rFonts w:hint="default" w:ascii="Times New Roman" w:hAnsi="Times New Roman" w:cs="Times New Roman"/>
                <w:bCs/>
                <w:color w:val="000000"/>
                <w:sz w:val="24"/>
                <w:highlight w:val="none"/>
                <w:vertAlign w:val="superscript"/>
              </w:rPr>
              <w:t>3</w:t>
            </w:r>
            <w:r>
              <w:rPr>
                <w:rFonts w:hint="default" w:ascii="Times New Roman" w:hAnsi="Times New Roman" w:cs="Times New Roman"/>
                <w:bCs/>
                <w:color w:val="000000"/>
                <w:sz w:val="24"/>
                <w:highlight w:val="none"/>
              </w:rPr>
              <w:t>/d已投入运行</w:t>
            </w:r>
            <w:r>
              <w:rPr>
                <w:rFonts w:hint="default" w:ascii="Times New Roman" w:hAnsi="Times New Roman" w:eastAsia="宋体" w:cs="Times New Roman"/>
                <w:color w:val="000000"/>
                <w:sz w:val="24"/>
                <w:szCs w:val="24"/>
                <w:highlight w:val="none"/>
              </w:rPr>
              <w:t>，</w:t>
            </w:r>
            <w:r>
              <w:rPr>
                <w:rFonts w:hint="eastAsia" w:cs="Times New Roman"/>
                <w:color w:val="000000"/>
                <w:sz w:val="24"/>
                <w:szCs w:val="24"/>
                <w:highlight w:val="none"/>
                <w:lang w:val="en-US" w:eastAsia="zh-CN"/>
              </w:rPr>
              <w:t>本</w:t>
            </w:r>
            <w:r>
              <w:rPr>
                <w:rFonts w:hint="default" w:ascii="Times New Roman" w:hAnsi="Times New Roman" w:eastAsia="宋体" w:cs="Times New Roman"/>
                <w:color w:val="000000"/>
                <w:sz w:val="24"/>
                <w:szCs w:val="24"/>
                <w:highlight w:val="none"/>
              </w:rPr>
              <w:t>项目废水量</w:t>
            </w:r>
            <w:r>
              <w:rPr>
                <w:rFonts w:hint="default" w:ascii="Times New Roman" w:hAnsi="Times New Roman" w:eastAsia="宋体" w:cs="Times New Roman"/>
                <w:color w:val="000000"/>
                <w:sz w:val="24"/>
                <w:szCs w:val="24"/>
                <w:highlight w:val="none"/>
                <w:lang w:val="en-US" w:eastAsia="zh-CN"/>
              </w:rPr>
              <w:t>为</w:t>
            </w:r>
            <w:r>
              <w:rPr>
                <w:rFonts w:hint="eastAsia" w:cs="Times New Roman"/>
                <w:color w:val="000000"/>
                <w:sz w:val="24"/>
                <w:szCs w:val="24"/>
                <w:highlight w:val="none"/>
                <w:lang w:val="en-US" w:eastAsia="zh-CN"/>
              </w:rPr>
              <w:t>8.275</w:t>
            </w:r>
            <w:r>
              <w:rPr>
                <w:rFonts w:hint="default" w:ascii="Times New Roman" w:hAnsi="Times New Roman" w:eastAsia="宋体" w:cs="Times New Roman"/>
                <w:color w:val="000000"/>
                <w:sz w:val="24"/>
                <w:szCs w:val="24"/>
                <w:highlight w:val="none"/>
                <w:lang w:val="en-US" w:eastAsia="zh-CN"/>
              </w:rPr>
              <w:t>t/d，</w:t>
            </w:r>
            <w:r>
              <w:rPr>
                <w:rFonts w:hint="default" w:ascii="Times New Roman" w:hAnsi="Times New Roman" w:cs="Times New Roman"/>
                <w:bCs/>
                <w:color w:val="000000"/>
                <w:sz w:val="24"/>
                <w:highlight w:val="none"/>
              </w:rPr>
              <w:t>占第一污水处理厂一期</w:t>
            </w:r>
            <w:r>
              <w:rPr>
                <w:rFonts w:hint="eastAsia" w:cs="Times New Roman"/>
                <w:bCs/>
                <w:color w:val="000000"/>
                <w:sz w:val="24"/>
                <w:highlight w:val="none"/>
                <w:lang w:val="en-US" w:eastAsia="zh-CN"/>
              </w:rPr>
              <w:t>一组</w:t>
            </w:r>
            <w:r>
              <w:rPr>
                <w:rFonts w:hint="default" w:ascii="Times New Roman" w:hAnsi="Times New Roman" w:cs="Times New Roman"/>
                <w:bCs/>
                <w:color w:val="000000"/>
                <w:sz w:val="24"/>
                <w:highlight w:val="none"/>
              </w:rPr>
              <w:t>总处理规模（</w:t>
            </w:r>
            <w:r>
              <w:rPr>
                <w:rFonts w:hint="eastAsia" w:cs="Times New Roman"/>
                <w:bCs/>
                <w:color w:val="000000"/>
                <w:sz w:val="24"/>
                <w:highlight w:val="none"/>
                <w:lang w:val="en-US" w:eastAsia="zh-CN"/>
              </w:rPr>
              <w:t>2.5</w:t>
            </w:r>
            <w:r>
              <w:rPr>
                <w:rFonts w:hint="default" w:ascii="Times New Roman" w:hAnsi="Times New Roman" w:cs="Times New Roman"/>
                <w:bCs/>
                <w:color w:val="000000"/>
                <w:sz w:val="24"/>
                <w:highlight w:val="none"/>
              </w:rPr>
              <w:t>万m</w:t>
            </w:r>
            <w:r>
              <w:rPr>
                <w:rFonts w:hint="default" w:ascii="Times New Roman" w:hAnsi="Times New Roman" w:cs="Times New Roman"/>
                <w:bCs/>
                <w:color w:val="000000"/>
                <w:sz w:val="24"/>
                <w:highlight w:val="none"/>
                <w:vertAlign w:val="superscript"/>
              </w:rPr>
              <w:t>3</w:t>
            </w:r>
            <w:r>
              <w:rPr>
                <w:rFonts w:hint="default" w:ascii="Times New Roman" w:hAnsi="Times New Roman" w:cs="Times New Roman"/>
                <w:bCs/>
                <w:color w:val="000000"/>
                <w:sz w:val="24"/>
                <w:highlight w:val="none"/>
              </w:rPr>
              <w:t>/d）的</w:t>
            </w:r>
            <w:r>
              <w:rPr>
                <w:rFonts w:hint="default" w:ascii="Times New Roman" w:hAnsi="Times New Roman" w:eastAsia="宋体" w:cs="Times New Roman"/>
                <w:color w:val="000000"/>
                <w:sz w:val="24"/>
                <w:szCs w:val="24"/>
                <w:highlight w:val="none"/>
                <w:lang w:val="en-US" w:eastAsia="zh-CN"/>
              </w:rPr>
              <w:t>0.</w:t>
            </w:r>
            <w:r>
              <w:rPr>
                <w:rFonts w:hint="eastAsia" w:cs="Times New Roman"/>
                <w:color w:val="000000"/>
                <w:sz w:val="24"/>
                <w:szCs w:val="24"/>
                <w:highlight w:val="none"/>
                <w:lang w:val="en-US" w:eastAsia="zh-CN"/>
              </w:rPr>
              <w:t>03</w:t>
            </w:r>
            <w:r>
              <w:rPr>
                <w:rFonts w:hint="default" w:ascii="Times New Roman" w:hAnsi="Times New Roman" w:eastAsia="宋体" w:cs="Times New Roman"/>
                <w:color w:val="000000"/>
                <w:sz w:val="24"/>
                <w:szCs w:val="24"/>
                <w:highlight w:val="none"/>
                <w:lang w:val="en-US" w:eastAsia="zh-CN"/>
              </w:rPr>
              <w:t>%，</w:t>
            </w:r>
            <w:r>
              <w:rPr>
                <w:rFonts w:hint="default" w:ascii="Times New Roman" w:hAnsi="Times New Roman" w:eastAsia="宋体" w:cs="Times New Roman"/>
                <w:color w:val="000000"/>
                <w:sz w:val="24"/>
                <w:szCs w:val="24"/>
                <w:highlight w:val="none"/>
              </w:rPr>
              <w:t>远小于污水厂接管余量，水量可接管；本项目所在区域属于</w:t>
            </w:r>
            <w:r>
              <w:rPr>
                <w:rFonts w:hint="eastAsia" w:cs="Times New Roman"/>
                <w:color w:val="000000"/>
                <w:sz w:val="24"/>
                <w:szCs w:val="24"/>
                <w:highlight w:val="none"/>
                <w:lang w:eastAsia="zh-CN"/>
              </w:rPr>
              <w:t>皖江江南新兴产业集中区第一污水处理厂</w:t>
            </w:r>
            <w:r>
              <w:rPr>
                <w:rFonts w:hint="default" w:ascii="Times New Roman" w:hAnsi="Times New Roman" w:eastAsia="宋体" w:cs="Times New Roman"/>
                <w:color w:val="000000"/>
                <w:sz w:val="24"/>
                <w:szCs w:val="24"/>
                <w:highlight w:val="none"/>
              </w:rPr>
              <w:t>的收水范围。根据上面的分析结果，项目产生的废水，满足</w:t>
            </w:r>
            <w:r>
              <w:rPr>
                <w:rFonts w:hint="eastAsia" w:cs="Times New Roman"/>
                <w:color w:val="000000"/>
                <w:sz w:val="24"/>
                <w:szCs w:val="24"/>
                <w:highlight w:val="none"/>
                <w:lang w:eastAsia="zh-CN"/>
              </w:rPr>
              <w:t>皖江江南新兴产业集中区第一污水处理厂接管限值</w:t>
            </w:r>
            <w:r>
              <w:rPr>
                <w:rFonts w:hint="default" w:ascii="Times New Roman" w:hAnsi="Times New Roman" w:eastAsia="宋体" w:cs="Times New Roman"/>
                <w:color w:val="000000"/>
                <w:sz w:val="24"/>
                <w:szCs w:val="24"/>
                <w:highlight w:val="none"/>
              </w:rPr>
              <w:t>，进入</w:t>
            </w:r>
            <w:r>
              <w:rPr>
                <w:rFonts w:hint="eastAsia" w:cs="Times New Roman"/>
                <w:color w:val="000000"/>
                <w:sz w:val="24"/>
                <w:szCs w:val="24"/>
                <w:highlight w:val="none"/>
                <w:lang w:eastAsia="zh-CN"/>
              </w:rPr>
              <w:t>皖江江南新兴产业集中区第一污水处理厂</w:t>
            </w:r>
            <w:r>
              <w:rPr>
                <w:rFonts w:hint="default" w:ascii="Times New Roman" w:hAnsi="Times New Roman" w:eastAsia="宋体" w:cs="Times New Roman"/>
                <w:color w:val="000000"/>
                <w:sz w:val="24"/>
                <w:szCs w:val="24"/>
                <w:highlight w:val="none"/>
              </w:rPr>
              <w:t>处理可行，经污水厂处理达标后排入</w:t>
            </w:r>
            <w:r>
              <w:rPr>
                <w:rFonts w:hint="eastAsia" w:cs="Times New Roman"/>
                <w:color w:val="000000"/>
                <w:sz w:val="24"/>
                <w:szCs w:val="24"/>
                <w:highlight w:val="none"/>
                <w:lang w:val="en-US" w:eastAsia="zh-CN"/>
              </w:rPr>
              <w:t>九华河</w:t>
            </w:r>
            <w:r>
              <w:rPr>
                <w:rFonts w:hint="default" w:ascii="Times New Roman" w:hAnsi="Times New Roman" w:eastAsia="宋体" w:cs="Times New Roman"/>
                <w:color w:val="000000"/>
                <w:sz w:val="24"/>
                <w:szCs w:val="24"/>
                <w:highlight w:val="none"/>
              </w:rPr>
              <w:t>，对地表水环境影响较小。</w:t>
            </w:r>
          </w:p>
          <w:p w14:paraId="7EC8C94F">
            <w:pPr>
              <w:keepNext w:val="0"/>
              <w:keepLines w:val="0"/>
              <w:pageBreakBefore w:val="0"/>
              <w:widowControl w:val="0"/>
              <w:kinsoku/>
              <w:wordWrap/>
              <w:overflowPunct/>
              <w:topLinePunct w:val="0"/>
              <w:autoSpaceDE/>
              <w:autoSpaceDN/>
              <w:bidi w:val="0"/>
              <w:snapToGrid/>
              <w:spacing w:line="360" w:lineRule="auto"/>
              <w:ind w:right="0" w:firstLine="482" w:firstLineChars="200"/>
              <w:jc w:val="both"/>
              <w:rPr>
                <w:rFonts w:hint="default" w:cs="Times New Roman"/>
                <w:color w:val="auto"/>
                <w:sz w:val="24"/>
                <w:szCs w:val="24"/>
                <w:highlight w:val="none"/>
                <w:lang w:val="en-US" w:eastAsia="zh-CN"/>
              </w:rPr>
            </w:pPr>
            <w:r>
              <w:rPr>
                <w:rFonts w:hint="eastAsia" w:cs="Times New Roman"/>
                <w:b/>
                <w:bCs/>
                <w:color w:val="auto"/>
                <w:sz w:val="24"/>
                <w:szCs w:val="24"/>
                <w:highlight w:val="none"/>
                <w:lang w:val="en-US" w:eastAsia="zh-CN"/>
              </w:rPr>
              <w:t>（5）监测计划</w:t>
            </w:r>
          </w:p>
          <w:p w14:paraId="6F6B765C">
            <w:pPr>
              <w:adjustRightInd w:val="0"/>
              <w:spacing w:line="360" w:lineRule="auto"/>
              <w:ind w:firstLine="480" w:firstLineChars="200"/>
              <w:rPr>
                <w:rFonts w:hint="eastAsia" w:cs="Times New Roman"/>
                <w:color w:val="auto"/>
                <w:sz w:val="24"/>
                <w:szCs w:val="24"/>
                <w:highlight w:val="none"/>
                <w:lang w:eastAsia="zh-CN"/>
              </w:rPr>
            </w:pPr>
            <w:r>
              <w:rPr>
                <w:rFonts w:hint="eastAsia" w:cs="Times New Roman"/>
                <w:color w:val="auto"/>
                <w:sz w:val="24"/>
                <w:szCs w:val="24"/>
                <w:highlight w:val="none"/>
                <w:lang w:eastAsia="zh-CN"/>
              </w:rPr>
              <w:t>根据</w:t>
            </w:r>
            <w:r>
              <w:rPr>
                <w:rFonts w:hint="default" w:ascii="Times New Roman" w:hAnsi="Times New Roman" w:cs="Times New Roman"/>
                <w:color w:val="auto"/>
                <w:sz w:val="24"/>
                <w:szCs w:val="24"/>
                <w:highlight w:val="none"/>
              </w:rPr>
              <w:t>《</w:t>
            </w:r>
            <w:r>
              <w:rPr>
                <w:rFonts w:hint="eastAsia" w:eastAsia="宋体" w:cs="Times New Roman"/>
                <w:color w:val="auto"/>
                <w:sz w:val="24"/>
                <w:szCs w:val="24"/>
                <w:highlight w:val="none"/>
                <w:lang w:val="en-US" w:eastAsia="zh-CN"/>
              </w:rPr>
              <w:t>排污许可证申请与核发技术规范 电子工业</w:t>
            </w:r>
            <w:r>
              <w:rPr>
                <w:rFonts w:hint="default" w:eastAsia="宋体" w:cs="Times New Roman"/>
                <w:color w:val="auto"/>
                <w:sz w:val="24"/>
                <w:szCs w:val="24"/>
                <w:highlight w:val="none"/>
                <w:lang w:val="en-US" w:eastAsia="zh-CN"/>
              </w:rPr>
              <w:t>》（HJ1031</w:t>
            </w:r>
            <w:r>
              <w:rPr>
                <w:rFonts w:hint="eastAsia" w:cs="Times New Roman"/>
                <w:color w:val="auto"/>
                <w:sz w:val="24"/>
                <w:szCs w:val="24"/>
                <w:highlight w:val="none"/>
                <w:lang w:val="en-US" w:eastAsia="zh-CN"/>
              </w:rPr>
              <w:t>-</w:t>
            </w:r>
            <w:r>
              <w:rPr>
                <w:rFonts w:hint="default" w:eastAsia="宋体" w:cs="Times New Roman"/>
                <w:color w:val="auto"/>
                <w:sz w:val="24"/>
                <w:szCs w:val="24"/>
                <w:highlight w:val="none"/>
                <w:lang w:val="en-US" w:eastAsia="zh-CN"/>
              </w:rPr>
              <w:t>2019）</w:t>
            </w:r>
            <w:r>
              <w:rPr>
                <w:rFonts w:hint="default" w:ascii="Times New Roman" w:hAnsi="Times New Roman" w:cs="Times New Roman"/>
                <w:color w:val="auto"/>
                <w:sz w:val="24"/>
                <w:szCs w:val="24"/>
                <w:highlight w:val="none"/>
              </w:rPr>
              <w:t>、《</w:t>
            </w:r>
            <w:r>
              <w:rPr>
                <w:rFonts w:hint="eastAsia" w:eastAsia="宋体" w:cs="Times New Roman"/>
                <w:color w:val="auto"/>
                <w:sz w:val="24"/>
                <w:szCs w:val="24"/>
                <w:highlight w:val="none"/>
                <w:lang w:val="en-US" w:eastAsia="zh-CN"/>
              </w:rPr>
              <w:t xml:space="preserve">排污许可证申请与核发技术规范 </w:t>
            </w:r>
            <w:r>
              <w:rPr>
                <w:rFonts w:hint="eastAsia" w:cs="Times New Roman"/>
                <w:color w:val="auto"/>
                <w:sz w:val="24"/>
                <w:szCs w:val="24"/>
                <w:highlight w:val="none"/>
                <w:lang w:val="en-US" w:eastAsia="zh-CN"/>
              </w:rPr>
              <w:t>橡胶和塑料制品</w:t>
            </w:r>
            <w:r>
              <w:rPr>
                <w:rFonts w:hint="eastAsia" w:eastAsia="宋体" w:cs="Times New Roman"/>
                <w:color w:val="auto"/>
                <w:sz w:val="24"/>
                <w:szCs w:val="24"/>
                <w:highlight w:val="none"/>
                <w:lang w:val="en-US" w:eastAsia="zh-CN"/>
              </w:rPr>
              <w:t>工业</w:t>
            </w:r>
            <w:r>
              <w:rPr>
                <w:rFonts w:hint="default" w:eastAsia="宋体" w:cs="Times New Roman"/>
                <w:color w:val="auto"/>
                <w:sz w:val="24"/>
                <w:szCs w:val="24"/>
                <w:highlight w:val="none"/>
                <w:lang w:val="en-US" w:eastAsia="zh-CN"/>
              </w:rPr>
              <w:t>》（HJ</w:t>
            </w:r>
            <w:r>
              <w:rPr>
                <w:rFonts w:hint="eastAsia" w:cs="Times New Roman"/>
                <w:color w:val="auto"/>
                <w:sz w:val="24"/>
                <w:szCs w:val="24"/>
                <w:highlight w:val="none"/>
                <w:lang w:val="en-US" w:eastAsia="zh-CN"/>
              </w:rPr>
              <w:t>1122-</w:t>
            </w:r>
            <w:r>
              <w:rPr>
                <w:rFonts w:hint="default" w:eastAsia="宋体" w:cs="Times New Roman"/>
                <w:color w:val="auto"/>
                <w:sz w:val="24"/>
                <w:szCs w:val="24"/>
                <w:highlight w:val="none"/>
                <w:lang w:val="en-US" w:eastAsia="zh-CN"/>
              </w:rPr>
              <w:t>20</w:t>
            </w:r>
            <w:r>
              <w:rPr>
                <w:rFonts w:hint="eastAsia" w:cs="Times New Roman"/>
                <w:color w:val="auto"/>
                <w:sz w:val="24"/>
                <w:szCs w:val="24"/>
                <w:highlight w:val="none"/>
                <w:lang w:val="en-US" w:eastAsia="zh-CN"/>
              </w:rPr>
              <w:t>20</w:t>
            </w:r>
            <w:r>
              <w:rPr>
                <w:rFonts w:hint="default" w:eastAsia="宋体"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制定</w:t>
            </w:r>
            <w:r>
              <w:rPr>
                <w:rFonts w:hint="eastAsia" w:cs="Times New Roman"/>
                <w:color w:val="auto"/>
                <w:sz w:val="24"/>
                <w:szCs w:val="24"/>
                <w:highlight w:val="none"/>
                <w:lang w:eastAsia="zh-CN"/>
              </w:rPr>
              <w:t>大气</w:t>
            </w:r>
            <w:r>
              <w:rPr>
                <w:rFonts w:hint="default" w:ascii="Times New Roman" w:hAnsi="Times New Roman" w:cs="Times New Roman"/>
                <w:color w:val="auto"/>
                <w:sz w:val="24"/>
                <w:szCs w:val="24"/>
                <w:highlight w:val="none"/>
              </w:rPr>
              <w:t>监测计划</w:t>
            </w:r>
            <w:r>
              <w:rPr>
                <w:rFonts w:hint="eastAsia" w:cs="Times New Roman"/>
                <w:color w:val="auto"/>
                <w:sz w:val="24"/>
                <w:szCs w:val="24"/>
                <w:highlight w:val="none"/>
                <w:lang w:eastAsia="zh-CN"/>
              </w:rPr>
              <w:t>，具体如下：</w:t>
            </w:r>
          </w:p>
          <w:p w14:paraId="65B0E5B4">
            <w:pPr>
              <w:adjustRightInd w:val="0"/>
              <w:spacing w:line="360" w:lineRule="auto"/>
              <w:ind w:firstLine="422" w:firstLineChars="200"/>
              <w:jc w:val="center"/>
              <w:rPr>
                <w:rFonts w:hint="default" w:cs="Times New Roman"/>
                <w:color w:val="auto"/>
                <w:sz w:val="24"/>
                <w:szCs w:val="24"/>
                <w:highlight w:val="none"/>
                <w:lang w:val="en-US" w:eastAsia="zh-CN"/>
              </w:rPr>
            </w:pPr>
            <w:r>
              <w:rPr>
                <w:rFonts w:hint="eastAsia" w:cs="Times New Roman"/>
                <w:b/>
                <w:bCs/>
                <w:color w:val="auto"/>
                <w:sz w:val="21"/>
                <w:szCs w:val="21"/>
                <w:highlight w:val="none"/>
                <w:lang w:val="en-US" w:eastAsia="zh-CN"/>
              </w:rPr>
              <w:t>表4-12  项目废水监测工作计划一览表</w:t>
            </w: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587"/>
              <w:gridCol w:w="3338"/>
              <w:gridCol w:w="1990"/>
            </w:tblGrid>
            <w:tr w14:paraId="4530E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654" w:type="pct"/>
                  <w:vAlign w:val="center"/>
                </w:tcPr>
                <w:p w14:paraId="4826A689">
                  <w:pPr>
                    <w:adjustRightInd w:val="0"/>
                    <w:spacing w:line="240" w:lineRule="auto"/>
                    <w:jc w:val="center"/>
                    <w:rPr>
                      <w:rFonts w:hint="default"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类别</w:t>
                  </w:r>
                </w:p>
              </w:tc>
              <w:tc>
                <w:tcPr>
                  <w:tcW w:w="997" w:type="pct"/>
                  <w:vAlign w:val="center"/>
                </w:tcPr>
                <w:p w14:paraId="04016928">
                  <w:pPr>
                    <w:adjustRightInd w:val="0"/>
                    <w:spacing w:line="240" w:lineRule="auto"/>
                    <w:jc w:val="center"/>
                    <w:rPr>
                      <w:rFonts w:hint="default"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监测点位</w:t>
                  </w:r>
                </w:p>
              </w:tc>
              <w:tc>
                <w:tcPr>
                  <w:tcW w:w="2097" w:type="pct"/>
                  <w:vAlign w:val="center"/>
                </w:tcPr>
                <w:p w14:paraId="5E27EE15">
                  <w:pPr>
                    <w:adjustRightInd w:val="0"/>
                    <w:spacing w:line="240" w:lineRule="auto"/>
                    <w:jc w:val="center"/>
                    <w:rPr>
                      <w:rFonts w:hint="default"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监测指标</w:t>
                  </w:r>
                </w:p>
              </w:tc>
              <w:tc>
                <w:tcPr>
                  <w:tcW w:w="1250" w:type="pct"/>
                  <w:vAlign w:val="center"/>
                </w:tcPr>
                <w:p w14:paraId="7F3506A3">
                  <w:pPr>
                    <w:adjustRightInd w:val="0"/>
                    <w:spacing w:line="240" w:lineRule="auto"/>
                    <w:jc w:val="center"/>
                    <w:rPr>
                      <w:rFonts w:hint="default"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监测频率</w:t>
                  </w:r>
                </w:p>
              </w:tc>
            </w:tr>
            <w:tr w14:paraId="3CD8D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654" w:type="pct"/>
                  <w:vAlign w:val="center"/>
                </w:tcPr>
                <w:p w14:paraId="22DBC243">
                  <w:pPr>
                    <w:adjustRightInd w:val="0"/>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废水</w:t>
                  </w:r>
                </w:p>
              </w:tc>
              <w:tc>
                <w:tcPr>
                  <w:tcW w:w="997" w:type="pct"/>
                  <w:vAlign w:val="center"/>
                </w:tcPr>
                <w:p w14:paraId="69781466">
                  <w:pPr>
                    <w:adjustRightInd w:val="0"/>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废水总排口</w:t>
                  </w:r>
                </w:p>
              </w:tc>
              <w:tc>
                <w:tcPr>
                  <w:tcW w:w="2097" w:type="pct"/>
                  <w:vAlign w:val="center"/>
                </w:tcPr>
                <w:p w14:paraId="602263B1">
                  <w:pPr>
                    <w:adjustRightInd w:val="0"/>
                    <w:spacing w:line="240" w:lineRule="auto"/>
                    <w:jc w:val="center"/>
                    <w:rPr>
                      <w:rFonts w:hint="eastAsia" w:cs="Times New Roman"/>
                      <w:color w:val="auto"/>
                      <w:sz w:val="21"/>
                      <w:szCs w:val="21"/>
                      <w:highlight w:val="none"/>
                      <w:vertAlign w:val="baseline"/>
                      <w:lang w:eastAsia="zh-CN"/>
                    </w:rPr>
                  </w:pPr>
                  <w:r>
                    <w:rPr>
                      <w:rFonts w:hint="eastAsia" w:cs="Times New Roman"/>
                      <w:color w:val="auto"/>
                      <w:sz w:val="21"/>
                      <w:szCs w:val="21"/>
                      <w:highlight w:val="none"/>
                      <w:vertAlign w:val="baseline"/>
                      <w:lang w:val="en-US" w:eastAsia="zh-CN"/>
                    </w:rPr>
                    <w:t>pH、COD、BOD</w:t>
                  </w:r>
                  <w:r>
                    <w:rPr>
                      <w:rFonts w:hint="eastAsia" w:cs="Times New Roman"/>
                      <w:color w:val="auto"/>
                      <w:sz w:val="21"/>
                      <w:szCs w:val="21"/>
                      <w:highlight w:val="none"/>
                      <w:vertAlign w:val="subscript"/>
                      <w:lang w:val="en-US" w:eastAsia="zh-CN"/>
                    </w:rPr>
                    <w:t>5</w:t>
                  </w:r>
                  <w:r>
                    <w:rPr>
                      <w:rFonts w:hint="eastAsia" w:cs="Times New Roman"/>
                      <w:color w:val="auto"/>
                      <w:sz w:val="21"/>
                      <w:szCs w:val="21"/>
                      <w:highlight w:val="none"/>
                      <w:vertAlign w:val="baseline"/>
                      <w:lang w:val="en-US" w:eastAsia="zh-CN"/>
                    </w:rPr>
                    <w:t>、SS、NH</w:t>
                  </w:r>
                  <w:r>
                    <w:rPr>
                      <w:rFonts w:hint="eastAsia" w:cs="Times New Roman"/>
                      <w:color w:val="auto"/>
                      <w:sz w:val="21"/>
                      <w:szCs w:val="21"/>
                      <w:highlight w:val="none"/>
                      <w:vertAlign w:val="subscript"/>
                      <w:lang w:val="en-US" w:eastAsia="zh-CN"/>
                    </w:rPr>
                    <w:t>3</w:t>
                  </w:r>
                  <w:r>
                    <w:rPr>
                      <w:rFonts w:hint="eastAsia" w:cs="Times New Roman"/>
                      <w:color w:val="auto"/>
                      <w:sz w:val="21"/>
                      <w:szCs w:val="21"/>
                      <w:highlight w:val="none"/>
                      <w:vertAlign w:val="baseline"/>
                      <w:lang w:val="en-US" w:eastAsia="zh-CN"/>
                    </w:rPr>
                    <w:t>-N</w:t>
                  </w:r>
                </w:p>
              </w:tc>
              <w:tc>
                <w:tcPr>
                  <w:tcW w:w="1250" w:type="pct"/>
                  <w:vAlign w:val="center"/>
                </w:tcPr>
                <w:p w14:paraId="06BBCEF5">
                  <w:pPr>
                    <w:adjustRightInd w:val="0"/>
                    <w:spacing w:line="240" w:lineRule="auto"/>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1次/年</w:t>
                  </w:r>
                </w:p>
              </w:tc>
            </w:tr>
          </w:tbl>
          <w:p w14:paraId="05093A30">
            <w:pPr>
              <w:spacing w:line="360" w:lineRule="auto"/>
              <w:ind w:firstLine="482" w:firstLineChars="200"/>
              <w:rPr>
                <w:rFonts w:hint="default" w:eastAsia="宋体"/>
                <w:color w:val="auto"/>
                <w:sz w:val="24"/>
                <w:szCs w:val="24"/>
                <w:highlight w:val="none"/>
                <w:lang w:val="en-US" w:eastAsia="zh-CN"/>
              </w:rPr>
            </w:pPr>
            <w:r>
              <w:rPr>
                <w:rFonts w:hint="eastAsia"/>
                <w:b/>
                <w:bCs/>
                <w:color w:val="auto"/>
                <w:sz w:val="24"/>
                <w:szCs w:val="24"/>
                <w:highlight w:val="none"/>
                <w:lang w:val="en-US" w:eastAsia="zh-CN"/>
              </w:rPr>
              <w:t>3、噪声</w:t>
            </w:r>
          </w:p>
          <w:p w14:paraId="0B6816C7">
            <w:pPr>
              <w:spacing w:line="360" w:lineRule="auto"/>
              <w:ind w:firstLine="482" w:firstLineChars="200"/>
              <w:rPr>
                <w:rFonts w:hint="default" w:eastAsia="宋体"/>
                <w:color w:val="auto"/>
                <w:sz w:val="24"/>
                <w:szCs w:val="24"/>
                <w:highlight w:val="none"/>
                <w:lang w:val="en-US" w:eastAsia="zh-CN"/>
              </w:rPr>
            </w:pPr>
            <w:r>
              <w:rPr>
                <w:rFonts w:hint="eastAsia"/>
                <w:b/>
                <w:bCs/>
                <w:color w:val="auto"/>
                <w:sz w:val="24"/>
                <w:szCs w:val="24"/>
                <w:highlight w:val="none"/>
                <w:lang w:eastAsia="zh-CN"/>
              </w:rPr>
              <w:t>（</w:t>
            </w:r>
            <w:r>
              <w:rPr>
                <w:rFonts w:hint="eastAsia"/>
                <w:b/>
                <w:bCs/>
                <w:color w:val="auto"/>
                <w:sz w:val="24"/>
                <w:szCs w:val="24"/>
                <w:highlight w:val="none"/>
                <w:lang w:val="en-US" w:eastAsia="zh-CN"/>
              </w:rPr>
              <w:t>1</w:t>
            </w:r>
            <w:r>
              <w:rPr>
                <w:rFonts w:hint="eastAsia"/>
                <w:b/>
                <w:bCs/>
                <w:color w:val="auto"/>
                <w:sz w:val="24"/>
                <w:szCs w:val="24"/>
                <w:highlight w:val="none"/>
                <w:lang w:eastAsia="zh-CN"/>
              </w:rPr>
              <w:t>）</w:t>
            </w:r>
            <w:r>
              <w:rPr>
                <w:rFonts w:hint="eastAsia"/>
                <w:b/>
                <w:bCs/>
                <w:color w:val="auto"/>
                <w:sz w:val="24"/>
                <w:szCs w:val="24"/>
                <w:highlight w:val="none"/>
                <w:lang w:val="en-US" w:eastAsia="zh-CN"/>
              </w:rPr>
              <w:t>噪声源</w:t>
            </w:r>
          </w:p>
          <w:p w14:paraId="5A8D33CD">
            <w:pPr>
              <w:spacing w:line="360" w:lineRule="auto"/>
              <w:ind w:firstLine="480" w:firstLineChars="200"/>
              <w:rPr>
                <w:rFonts w:hint="default" w:ascii="Times New Roman" w:hAnsi="Times New Roman" w:eastAsia="宋体" w:cs="Times New Roman"/>
                <w:b w:val="0"/>
                <w:bCs/>
                <w:color w:val="000000"/>
                <w:sz w:val="24"/>
                <w:szCs w:val="24"/>
                <w:highlight w:val="none"/>
              </w:rPr>
            </w:pPr>
            <w:r>
              <w:rPr>
                <w:rFonts w:hint="default" w:ascii="Times New Roman" w:hAnsi="Times New Roman" w:eastAsia="宋体" w:cs="Times New Roman"/>
                <w:b w:val="0"/>
                <w:bCs/>
                <w:color w:val="000000"/>
                <w:sz w:val="24"/>
                <w:szCs w:val="24"/>
                <w:highlight w:val="none"/>
              </w:rPr>
              <w:t>项目主要</w:t>
            </w:r>
            <w:r>
              <w:rPr>
                <w:rFonts w:hint="eastAsia" w:ascii="Times New Roman" w:hAnsi="Times New Roman" w:eastAsia="宋体" w:cs="Times New Roman"/>
                <w:b w:val="0"/>
                <w:bCs/>
                <w:color w:val="000000"/>
                <w:sz w:val="24"/>
                <w:szCs w:val="24"/>
                <w:highlight w:val="none"/>
                <w:lang w:val="en-US" w:eastAsia="zh-CN"/>
              </w:rPr>
              <w:t>噪声</w:t>
            </w:r>
            <w:r>
              <w:rPr>
                <w:rFonts w:hint="default" w:ascii="Times New Roman" w:hAnsi="Times New Roman" w:eastAsia="宋体" w:cs="Times New Roman"/>
                <w:b w:val="0"/>
                <w:bCs/>
                <w:color w:val="000000"/>
                <w:sz w:val="24"/>
                <w:szCs w:val="24"/>
                <w:highlight w:val="none"/>
              </w:rPr>
              <w:t>源强见下表：</w:t>
            </w:r>
          </w:p>
          <w:p w14:paraId="48194326">
            <w:pPr>
              <w:spacing w:line="360" w:lineRule="auto"/>
              <w:ind w:firstLine="422" w:firstLineChars="200"/>
              <w:jc w:val="center"/>
              <w:rPr>
                <w:rFonts w:hint="eastAsia" w:ascii="Times New Roman" w:hAnsi="Times New Roman" w:eastAsia="宋体" w:cs="Times New Roman"/>
                <w:b/>
                <w:bCs w:val="0"/>
                <w:color w:val="000000"/>
                <w:szCs w:val="21"/>
                <w:highlight w:val="none"/>
                <w:lang w:val="en-US" w:eastAsia="zh-CN"/>
              </w:rPr>
            </w:pPr>
          </w:p>
          <w:p w14:paraId="15E59A1B">
            <w:pPr>
              <w:spacing w:line="360" w:lineRule="auto"/>
              <w:ind w:firstLine="422" w:firstLineChars="200"/>
              <w:jc w:val="center"/>
              <w:rPr>
                <w:rFonts w:hint="eastAsia" w:ascii="Times New Roman" w:hAnsi="Times New Roman" w:eastAsia="宋体" w:cs="Times New Roman"/>
                <w:b/>
                <w:bCs w:val="0"/>
                <w:color w:val="000000"/>
                <w:szCs w:val="21"/>
                <w:highlight w:val="none"/>
                <w:lang w:val="en-US" w:eastAsia="zh-CN"/>
              </w:rPr>
            </w:pPr>
          </w:p>
          <w:p w14:paraId="33C4CEC6">
            <w:pPr>
              <w:spacing w:line="360" w:lineRule="auto"/>
              <w:ind w:firstLine="422" w:firstLineChars="200"/>
              <w:jc w:val="center"/>
              <w:rPr>
                <w:rFonts w:hint="eastAsia" w:ascii="Times New Roman" w:hAnsi="Times New Roman" w:eastAsia="宋体" w:cs="Times New Roman"/>
                <w:b/>
                <w:bCs w:val="0"/>
                <w:color w:val="000000"/>
                <w:szCs w:val="21"/>
                <w:highlight w:val="none"/>
                <w:lang w:val="en-US" w:eastAsia="zh-CN"/>
              </w:rPr>
            </w:pPr>
          </w:p>
          <w:p w14:paraId="7F6DF6FF">
            <w:pPr>
              <w:spacing w:line="360" w:lineRule="auto"/>
              <w:ind w:firstLine="422" w:firstLineChars="200"/>
              <w:jc w:val="center"/>
              <w:rPr>
                <w:rFonts w:hint="eastAsia" w:ascii="Times New Roman" w:hAnsi="Times New Roman" w:eastAsia="宋体" w:cs="Times New Roman"/>
                <w:b/>
                <w:bCs w:val="0"/>
                <w:color w:val="000000"/>
                <w:szCs w:val="21"/>
                <w:highlight w:val="none"/>
                <w:lang w:val="en-US" w:eastAsia="zh-CN"/>
              </w:rPr>
            </w:pPr>
          </w:p>
          <w:p w14:paraId="080030E1">
            <w:pPr>
              <w:spacing w:line="360" w:lineRule="auto"/>
              <w:ind w:firstLine="422" w:firstLineChars="200"/>
              <w:jc w:val="center"/>
              <w:rPr>
                <w:rFonts w:hint="eastAsia" w:ascii="Times New Roman" w:hAnsi="Times New Roman" w:eastAsia="宋体" w:cs="Times New Roman"/>
                <w:b/>
                <w:bCs w:val="0"/>
                <w:color w:val="000000"/>
                <w:szCs w:val="21"/>
                <w:highlight w:val="none"/>
                <w:lang w:val="en-US" w:eastAsia="zh-CN"/>
              </w:rPr>
            </w:pPr>
          </w:p>
          <w:p w14:paraId="5217C749">
            <w:pPr>
              <w:spacing w:line="360" w:lineRule="auto"/>
              <w:ind w:firstLine="422" w:firstLineChars="200"/>
              <w:jc w:val="center"/>
              <w:rPr>
                <w:rFonts w:hint="eastAsia" w:ascii="Times New Roman" w:hAnsi="Times New Roman" w:eastAsia="宋体" w:cs="Times New Roman"/>
                <w:b/>
                <w:bCs w:val="0"/>
                <w:color w:val="000000"/>
                <w:szCs w:val="21"/>
                <w:highlight w:val="none"/>
                <w:lang w:val="en-US" w:eastAsia="zh-CN"/>
              </w:rPr>
            </w:pPr>
          </w:p>
          <w:p w14:paraId="138B8AB1">
            <w:pPr>
              <w:spacing w:line="360" w:lineRule="auto"/>
              <w:ind w:firstLine="422" w:firstLineChars="200"/>
              <w:jc w:val="center"/>
              <w:rPr>
                <w:rFonts w:hint="eastAsia" w:ascii="Times New Roman" w:hAnsi="Times New Roman" w:eastAsia="宋体" w:cs="Times New Roman"/>
                <w:b/>
                <w:bCs w:val="0"/>
                <w:color w:val="000000"/>
                <w:szCs w:val="21"/>
                <w:highlight w:val="none"/>
                <w:lang w:val="en-US" w:eastAsia="zh-CN"/>
              </w:rPr>
            </w:pPr>
          </w:p>
          <w:p w14:paraId="54FFAACB">
            <w:pPr>
              <w:spacing w:line="360" w:lineRule="auto"/>
              <w:ind w:firstLine="422" w:firstLineChars="200"/>
              <w:jc w:val="center"/>
              <w:rPr>
                <w:rFonts w:hint="eastAsia" w:ascii="Times New Roman" w:hAnsi="Times New Roman" w:eastAsia="宋体" w:cs="Times New Roman"/>
                <w:b/>
                <w:bCs w:val="0"/>
                <w:color w:val="000000"/>
                <w:szCs w:val="21"/>
                <w:highlight w:val="none"/>
                <w:lang w:val="en-US" w:eastAsia="zh-CN"/>
              </w:rPr>
            </w:pPr>
          </w:p>
          <w:p w14:paraId="63AAF466">
            <w:pPr>
              <w:spacing w:line="360" w:lineRule="auto"/>
              <w:ind w:firstLine="422" w:firstLineChars="200"/>
              <w:jc w:val="center"/>
              <w:rPr>
                <w:rFonts w:hint="eastAsia" w:ascii="Times New Roman" w:hAnsi="Times New Roman" w:eastAsia="宋体" w:cs="Times New Roman"/>
                <w:b/>
                <w:bCs w:val="0"/>
                <w:color w:val="000000"/>
                <w:szCs w:val="21"/>
                <w:highlight w:val="none"/>
                <w:lang w:val="en-US" w:eastAsia="zh-CN"/>
              </w:rPr>
            </w:pPr>
          </w:p>
          <w:p w14:paraId="1A5ADEEC">
            <w:pPr>
              <w:spacing w:line="360" w:lineRule="auto"/>
              <w:ind w:firstLine="422" w:firstLineChars="200"/>
              <w:jc w:val="center"/>
              <w:rPr>
                <w:rFonts w:hint="eastAsia" w:ascii="Times New Roman" w:hAnsi="Times New Roman" w:eastAsia="宋体" w:cs="Times New Roman"/>
                <w:b/>
                <w:bCs w:val="0"/>
                <w:color w:val="000000"/>
                <w:szCs w:val="21"/>
                <w:highlight w:val="none"/>
                <w:lang w:val="en-US" w:eastAsia="zh-CN"/>
              </w:rPr>
            </w:pPr>
          </w:p>
          <w:p w14:paraId="79C6C9C7">
            <w:pPr>
              <w:spacing w:line="360" w:lineRule="auto"/>
              <w:ind w:firstLine="422" w:firstLineChars="200"/>
              <w:jc w:val="center"/>
              <w:rPr>
                <w:rFonts w:hint="eastAsia" w:ascii="Times New Roman" w:hAnsi="Times New Roman" w:eastAsia="宋体" w:cs="Times New Roman"/>
                <w:b/>
                <w:bCs w:val="0"/>
                <w:color w:val="000000"/>
                <w:szCs w:val="21"/>
                <w:highlight w:val="none"/>
                <w:lang w:val="en-US" w:eastAsia="zh-CN"/>
              </w:rPr>
            </w:pPr>
          </w:p>
          <w:p w14:paraId="3682A179">
            <w:pPr>
              <w:spacing w:line="360" w:lineRule="auto"/>
              <w:ind w:firstLine="422" w:firstLineChars="200"/>
              <w:jc w:val="center"/>
              <w:rPr>
                <w:rFonts w:hint="eastAsia" w:ascii="Times New Roman" w:hAnsi="Times New Roman" w:eastAsia="宋体" w:cs="Times New Roman"/>
                <w:b/>
                <w:bCs w:val="0"/>
                <w:color w:val="000000"/>
                <w:szCs w:val="21"/>
                <w:highlight w:val="none"/>
                <w:lang w:val="en-US" w:eastAsia="zh-CN"/>
              </w:rPr>
            </w:pPr>
          </w:p>
          <w:p w14:paraId="2A81B8DB">
            <w:pPr>
              <w:spacing w:line="360" w:lineRule="auto"/>
              <w:ind w:firstLine="422" w:firstLineChars="200"/>
              <w:jc w:val="center"/>
              <w:rPr>
                <w:rFonts w:hint="eastAsia" w:ascii="Times New Roman" w:hAnsi="Times New Roman" w:eastAsia="宋体" w:cs="Times New Roman"/>
                <w:b/>
                <w:bCs w:val="0"/>
                <w:color w:val="000000"/>
                <w:szCs w:val="21"/>
                <w:highlight w:val="none"/>
                <w:lang w:val="en-US" w:eastAsia="zh-CN"/>
              </w:rPr>
            </w:pPr>
          </w:p>
          <w:p w14:paraId="3830C007">
            <w:pPr>
              <w:spacing w:line="360" w:lineRule="auto"/>
              <w:ind w:firstLine="422" w:firstLineChars="200"/>
              <w:jc w:val="center"/>
              <w:rPr>
                <w:rFonts w:hint="default" w:ascii="Times New Roman" w:hAnsi="Times New Roman" w:eastAsia="宋体" w:cs="Times New Roman"/>
                <w:b/>
                <w:bCs/>
                <w:color w:val="000000"/>
                <w:kern w:val="2"/>
                <w:sz w:val="21"/>
                <w:szCs w:val="21"/>
                <w:highlight w:val="none"/>
                <w:lang w:val="en-US" w:eastAsia="zh-CN" w:bidi="ar-SA"/>
              </w:rPr>
            </w:pPr>
            <w:r>
              <w:rPr>
                <w:rFonts w:hint="eastAsia" w:ascii="Times New Roman" w:hAnsi="Times New Roman" w:eastAsia="宋体" w:cs="Times New Roman"/>
                <w:b/>
                <w:bCs w:val="0"/>
                <w:color w:val="000000"/>
                <w:szCs w:val="21"/>
                <w:highlight w:val="none"/>
                <w:lang w:val="en-US" w:eastAsia="zh-CN"/>
              </w:rPr>
              <w:t>表4-</w:t>
            </w:r>
            <w:r>
              <w:rPr>
                <w:rFonts w:hint="eastAsia" w:cs="Times New Roman"/>
                <w:b/>
                <w:bCs w:val="0"/>
                <w:color w:val="000000"/>
                <w:szCs w:val="21"/>
                <w:highlight w:val="none"/>
                <w:lang w:val="en-US" w:eastAsia="zh-CN"/>
              </w:rPr>
              <w:t>13</w:t>
            </w:r>
            <w:r>
              <w:rPr>
                <w:rFonts w:hint="eastAsia" w:ascii="Times New Roman" w:hAnsi="Times New Roman" w:eastAsia="宋体" w:cs="Times New Roman"/>
                <w:b/>
                <w:bCs w:val="0"/>
                <w:color w:val="000000"/>
                <w:szCs w:val="21"/>
                <w:highlight w:val="none"/>
                <w:lang w:val="en-US" w:eastAsia="zh-CN"/>
              </w:rPr>
              <w:t xml:space="preserve">  </w:t>
            </w:r>
            <w:r>
              <w:rPr>
                <w:rFonts w:hint="default" w:ascii="Times New Roman" w:hAnsi="Times New Roman" w:eastAsia="宋体" w:cs="Times New Roman"/>
                <w:b/>
                <w:bCs w:val="0"/>
                <w:color w:val="000000"/>
                <w:szCs w:val="21"/>
                <w:highlight w:val="none"/>
                <w:lang w:val="en-US" w:eastAsia="zh-CN"/>
              </w:rPr>
              <w:t>工程噪声污染源（室内声源）一览表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3"/>
              <w:gridCol w:w="935"/>
              <w:gridCol w:w="584"/>
              <w:gridCol w:w="689"/>
              <w:gridCol w:w="941"/>
              <w:gridCol w:w="447"/>
              <w:gridCol w:w="428"/>
              <w:gridCol w:w="438"/>
              <w:gridCol w:w="640"/>
              <w:gridCol w:w="492"/>
              <w:gridCol w:w="623"/>
              <w:gridCol w:w="748"/>
              <w:gridCol w:w="525"/>
            </w:tblGrid>
            <w:tr w14:paraId="3FD4F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vMerge w:val="restart"/>
                  <w:tcBorders>
                    <w:tl2br w:val="nil"/>
                    <w:tr2bl w:val="nil"/>
                  </w:tcBorders>
                  <w:noWrap w:val="0"/>
                  <w:vAlign w:val="center"/>
                </w:tcPr>
                <w:p w14:paraId="22382E21">
                  <w:pPr>
                    <w:jc w:val="center"/>
                    <w:rPr>
                      <w:rFonts w:hint="eastAsia" w:eastAsia="宋体"/>
                      <w:highlight w:val="none"/>
                      <w:lang w:eastAsia="zh-CN"/>
                    </w:rPr>
                  </w:pPr>
                  <w:r>
                    <w:rPr>
                      <w:rFonts w:hint="eastAsia"/>
                      <w:highlight w:val="none"/>
                      <w:lang w:val="en-US" w:eastAsia="zh-CN"/>
                    </w:rPr>
                    <w:t>序号</w:t>
                  </w:r>
                </w:p>
              </w:tc>
              <w:tc>
                <w:tcPr>
                  <w:tcW w:w="587" w:type="pct"/>
                  <w:vMerge w:val="restart"/>
                  <w:tcBorders>
                    <w:tl2br w:val="nil"/>
                    <w:tr2bl w:val="nil"/>
                  </w:tcBorders>
                  <w:noWrap w:val="0"/>
                  <w:vAlign w:val="center"/>
                </w:tcPr>
                <w:p w14:paraId="4C573D5B">
                  <w:pPr>
                    <w:jc w:val="center"/>
                    <w:rPr>
                      <w:rFonts w:hint="default"/>
                      <w:highlight w:val="none"/>
                    </w:rPr>
                  </w:pPr>
                  <w:r>
                    <w:rPr>
                      <w:rFonts w:hint="default"/>
                      <w:highlight w:val="none"/>
                    </w:rPr>
                    <w:t>声源</w:t>
                  </w:r>
                </w:p>
                <w:p w14:paraId="4B9DFFFC">
                  <w:pPr>
                    <w:jc w:val="center"/>
                    <w:rPr>
                      <w:rFonts w:hint="default"/>
                      <w:highlight w:val="none"/>
                    </w:rPr>
                  </w:pPr>
                  <w:r>
                    <w:rPr>
                      <w:rFonts w:hint="default"/>
                      <w:highlight w:val="none"/>
                    </w:rPr>
                    <w:t>名称</w:t>
                  </w:r>
                </w:p>
              </w:tc>
              <w:tc>
                <w:tcPr>
                  <w:tcW w:w="367" w:type="pct"/>
                  <w:vMerge w:val="restart"/>
                  <w:tcBorders>
                    <w:tl2br w:val="nil"/>
                    <w:tr2bl w:val="nil"/>
                  </w:tcBorders>
                  <w:noWrap w:val="0"/>
                  <w:vAlign w:val="center"/>
                </w:tcPr>
                <w:p w14:paraId="7183689A">
                  <w:pPr>
                    <w:jc w:val="center"/>
                    <w:rPr>
                      <w:rFonts w:hint="eastAsia" w:eastAsia="宋体"/>
                      <w:highlight w:val="none"/>
                      <w:lang w:val="en-US" w:eastAsia="zh-CN"/>
                    </w:rPr>
                  </w:pPr>
                  <w:r>
                    <w:rPr>
                      <w:rFonts w:hint="eastAsia"/>
                      <w:highlight w:val="none"/>
                      <w:lang w:val="en-US" w:eastAsia="zh-CN"/>
                    </w:rPr>
                    <w:t>数量</w:t>
                  </w:r>
                </w:p>
              </w:tc>
              <w:tc>
                <w:tcPr>
                  <w:tcW w:w="433" w:type="pct"/>
                  <w:vMerge w:val="restart"/>
                  <w:tcBorders>
                    <w:tl2br w:val="nil"/>
                    <w:tr2bl w:val="nil"/>
                  </w:tcBorders>
                  <w:noWrap w:val="0"/>
                  <w:vAlign w:val="center"/>
                </w:tcPr>
                <w:p w14:paraId="0F5B18B4">
                  <w:pPr>
                    <w:jc w:val="center"/>
                    <w:rPr>
                      <w:rFonts w:hint="default"/>
                      <w:highlight w:val="none"/>
                    </w:rPr>
                  </w:pPr>
                  <w:r>
                    <w:rPr>
                      <w:rFonts w:hint="default"/>
                      <w:highlight w:val="none"/>
                    </w:rPr>
                    <w:t>声源源强/dB（A）</w:t>
                  </w:r>
                </w:p>
              </w:tc>
              <w:tc>
                <w:tcPr>
                  <w:tcW w:w="591" w:type="pct"/>
                  <w:vMerge w:val="restart"/>
                  <w:tcBorders>
                    <w:tl2br w:val="nil"/>
                    <w:tr2bl w:val="nil"/>
                  </w:tcBorders>
                  <w:noWrap w:val="0"/>
                  <w:vAlign w:val="center"/>
                </w:tcPr>
                <w:p w14:paraId="7649C904">
                  <w:pPr>
                    <w:jc w:val="center"/>
                    <w:rPr>
                      <w:rFonts w:hint="default"/>
                      <w:highlight w:val="none"/>
                      <w:lang w:eastAsia="zh-CN"/>
                    </w:rPr>
                  </w:pPr>
                  <w:r>
                    <w:rPr>
                      <w:rFonts w:hint="default"/>
                      <w:highlight w:val="none"/>
                      <w:lang w:eastAsia="zh-CN"/>
                    </w:rPr>
                    <w:t>声源控制措施</w:t>
                  </w:r>
                </w:p>
              </w:tc>
              <w:tc>
                <w:tcPr>
                  <w:tcW w:w="825" w:type="pct"/>
                  <w:gridSpan w:val="3"/>
                  <w:tcBorders>
                    <w:tl2br w:val="nil"/>
                    <w:tr2bl w:val="nil"/>
                  </w:tcBorders>
                  <w:noWrap w:val="0"/>
                  <w:vAlign w:val="center"/>
                </w:tcPr>
                <w:p w14:paraId="4B6C9494">
                  <w:pPr>
                    <w:jc w:val="center"/>
                    <w:rPr>
                      <w:rFonts w:hint="default"/>
                      <w:highlight w:val="none"/>
                    </w:rPr>
                  </w:pPr>
                  <w:r>
                    <w:rPr>
                      <w:rFonts w:hint="default"/>
                      <w:highlight w:val="none"/>
                    </w:rPr>
                    <w:t>空间相对位置/m</w:t>
                  </w:r>
                </w:p>
              </w:tc>
              <w:tc>
                <w:tcPr>
                  <w:tcW w:w="402" w:type="pct"/>
                  <w:vMerge w:val="restart"/>
                  <w:tcBorders>
                    <w:tl2br w:val="nil"/>
                    <w:tr2bl w:val="nil"/>
                  </w:tcBorders>
                  <w:noWrap w:val="0"/>
                  <w:vAlign w:val="center"/>
                </w:tcPr>
                <w:p w14:paraId="688DE716">
                  <w:pPr>
                    <w:jc w:val="center"/>
                    <w:rPr>
                      <w:rFonts w:hint="default"/>
                      <w:highlight w:val="none"/>
                    </w:rPr>
                  </w:pPr>
                  <w:r>
                    <w:rPr>
                      <w:rFonts w:hint="default"/>
                      <w:highlight w:val="none"/>
                    </w:rPr>
                    <w:t>室内边界声级/dB（A）</w:t>
                  </w:r>
                </w:p>
              </w:tc>
              <w:tc>
                <w:tcPr>
                  <w:tcW w:w="309" w:type="pct"/>
                  <w:vMerge w:val="restart"/>
                  <w:tcBorders>
                    <w:tl2br w:val="nil"/>
                    <w:tr2bl w:val="nil"/>
                  </w:tcBorders>
                  <w:noWrap w:val="0"/>
                  <w:vAlign w:val="center"/>
                </w:tcPr>
                <w:p w14:paraId="7569853E">
                  <w:pPr>
                    <w:jc w:val="center"/>
                    <w:rPr>
                      <w:rFonts w:hint="default"/>
                      <w:highlight w:val="none"/>
                    </w:rPr>
                  </w:pPr>
                  <w:r>
                    <w:rPr>
                      <w:rFonts w:hint="default"/>
                      <w:highlight w:val="none"/>
                    </w:rPr>
                    <w:t>运行时段</w:t>
                  </w:r>
                </w:p>
              </w:tc>
              <w:tc>
                <w:tcPr>
                  <w:tcW w:w="391" w:type="pct"/>
                  <w:vMerge w:val="restart"/>
                  <w:tcBorders>
                    <w:tl2br w:val="nil"/>
                    <w:tr2bl w:val="nil"/>
                  </w:tcBorders>
                  <w:noWrap w:val="0"/>
                  <w:vAlign w:val="center"/>
                </w:tcPr>
                <w:p w14:paraId="10ECEE73">
                  <w:pPr>
                    <w:jc w:val="center"/>
                    <w:rPr>
                      <w:rFonts w:hint="default"/>
                      <w:highlight w:val="none"/>
                    </w:rPr>
                  </w:pPr>
                  <w:r>
                    <w:rPr>
                      <w:rFonts w:hint="default"/>
                      <w:highlight w:val="none"/>
                    </w:rPr>
                    <w:t>建筑物插入损失/dB（A）</w:t>
                  </w:r>
                </w:p>
              </w:tc>
              <w:tc>
                <w:tcPr>
                  <w:tcW w:w="799" w:type="pct"/>
                  <w:gridSpan w:val="2"/>
                  <w:tcBorders>
                    <w:tl2br w:val="nil"/>
                    <w:tr2bl w:val="nil"/>
                  </w:tcBorders>
                  <w:noWrap w:val="0"/>
                  <w:vAlign w:val="center"/>
                </w:tcPr>
                <w:p w14:paraId="3AEC0945">
                  <w:pPr>
                    <w:jc w:val="center"/>
                    <w:rPr>
                      <w:rFonts w:hint="default"/>
                      <w:highlight w:val="none"/>
                    </w:rPr>
                  </w:pPr>
                  <w:r>
                    <w:rPr>
                      <w:rFonts w:hint="default"/>
                      <w:highlight w:val="none"/>
                    </w:rPr>
                    <w:t>建筑物外噪声</w:t>
                  </w:r>
                </w:p>
              </w:tc>
            </w:tr>
            <w:tr w14:paraId="2F916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vMerge w:val="continue"/>
                  <w:tcBorders>
                    <w:tl2br w:val="nil"/>
                    <w:tr2bl w:val="nil"/>
                  </w:tcBorders>
                  <w:noWrap w:val="0"/>
                  <w:vAlign w:val="center"/>
                </w:tcPr>
                <w:p w14:paraId="271326CB">
                  <w:pPr>
                    <w:jc w:val="center"/>
                    <w:rPr>
                      <w:rFonts w:hint="default"/>
                      <w:highlight w:val="none"/>
                    </w:rPr>
                  </w:pPr>
                </w:p>
              </w:tc>
              <w:tc>
                <w:tcPr>
                  <w:tcW w:w="587" w:type="pct"/>
                  <w:vMerge w:val="continue"/>
                  <w:tcBorders>
                    <w:tl2br w:val="nil"/>
                    <w:tr2bl w:val="nil"/>
                  </w:tcBorders>
                  <w:noWrap w:val="0"/>
                  <w:vAlign w:val="center"/>
                </w:tcPr>
                <w:p w14:paraId="414C1679">
                  <w:pPr>
                    <w:jc w:val="center"/>
                    <w:rPr>
                      <w:rFonts w:hint="default"/>
                      <w:highlight w:val="none"/>
                    </w:rPr>
                  </w:pPr>
                </w:p>
              </w:tc>
              <w:tc>
                <w:tcPr>
                  <w:tcW w:w="367" w:type="pct"/>
                  <w:vMerge w:val="continue"/>
                  <w:tcBorders>
                    <w:tl2br w:val="nil"/>
                    <w:tr2bl w:val="nil"/>
                  </w:tcBorders>
                  <w:noWrap w:val="0"/>
                  <w:vAlign w:val="center"/>
                </w:tcPr>
                <w:p w14:paraId="2288053E">
                  <w:pPr>
                    <w:jc w:val="center"/>
                    <w:rPr>
                      <w:rFonts w:hint="default"/>
                      <w:highlight w:val="none"/>
                    </w:rPr>
                  </w:pPr>
                </w:p>
              </w:tc>
              <w:tc>
                <w:tcPr>
                  <w:tcW w:w="433" w:type="pct"/>
                  <w:vMerge w:val="continue"/>
                  <w:tcBorders>
                    <w:tl2br w:val="nil"/>
                    <w:tr2bl w:val="nil"/>
                  </w:tcBorders>
                  <w:noWrap w:val="0"/>
                  <w:vAlign w:val="center"/>
                </w:tcPr>
                <w:p w14:paraId="33D62842">
                  <w:pPr>
                    <w:jc w:val="center"/>
                    <w:rPr>
                      <w:rFonts w:hint="default"/>
                      <w:highlight w:val="none"/>
                    </w:rPr>
                  </w:pPr>
                </w:p>
              </w:tc>
              <w:tc>
                <w:tcPr>
                  <w:tcW w:w="591" w:type="pct"/>
                  <w:vMerge w:val="continue"/>
                  <w:tcBorders>
                    <w:tl2br w:val="nil"/>
                    <w:tr2bl w:val="nil"/>
                  </w:tcBorders>
                  <w:noWrap w:val="0"/>
                  <w:vAlign w:val="center"/>
                </w:tcPr>
                <w:p w14:paraId="300FA1B7">
                  <w:pPr>
                    <w:jc w:val="center"/>
                    <w:rPr>
                      <w:rFonts w:hint="default"/>
                      <w:highlight w:val="none"/>
                    </w:rPr>
                  </w:pPr>
                </w:p>
              </w:tc>
              <w:tc>
                <w:tcPr>
                  <w:tcW w:w="281" w:type="pct"/>
                  <w:tcBorders>
                    <w:tl2br w:val="nil"/>
                    <w:tr2bl w:val="nil"/>
                  </w:tcBorders>
                  <w:noWrap w:val="0"/>
                  <w:vAlign w:val="center"/>
                </w:tcPr>
                <w:p w14:paraId="3880CB1E">
                  <w:pPr>
                    <w:jc w:val="center"/>
                    <w:rPr>
                      <w:rFonts w:hint="default"/>
                      <w:highlight w:val="none"/>
                    </w:rPr>
                  </w:pPr>
                  <w:r>
                    <w:rPr>
                      <w:rFonts w:hint="default"/>
                      <w:highlight w:val="none"/>
                    </w:rPr>
                    <w:t>X</w:t>
                  </w:r>
                </w:p>
              </w:tc>
              <w:tc>
                <w:tcPr>
                  <w:tcW w:w="269" w:type="pct"/>
                  <w:tcBorders>
                    <w:tl2br w:val="nil"/>
                    <w:tr2bl w:val="nil"/>
                  </w:tcBorders>
                  <w:noWrap w:val="0"/>
                  <w:vAlign w:val="center"/>
                </w:tcPr>
                <w:p w14:paraId="02C735E3">
                  <w:pPr>
                    <w:jc w:val="center"/>
                    <w:rPr>
                      <w:rFonts w:hint="default"/>
                      <w:highlight w:val="none"/>
                    </w:rPr>
                  </w:pPr>
                  <w:r>
                    <w:rPr>
                      <w:rFonts w:hint="default"/>
                      <w:highlight w:val="none"/>
                    </w:rPr>
                    <w:t>Y</w:t>
                  </w:r>
                </w:p>
              </w:tc>
              <w:tc>
                <w:tcPr>
                  <w:tcW w:w="275" w:type="pct"/>
                  <w:tcBorders>
                    <w:tl2br w:val="nil"/>
                    <w:tr2bl w:val="nil"/>
                  </w:tcBorders>
                  <w:noWrap w:val="0"/>
                  <w:vAlign w:val="center"/>
                </w:tcPr>
                <w:p w14:paraId="39D9D671">
                  <w:pPr>
                    <w:jc w:val="center"/>
                    <w:rPr>
                      <w:rFonts w:hint="default"/>
                      <w:highlight w:val="none"/>
                    </w:rPr>
                  </w:pPr>
                  <w:r>
                    <w:rPr>
                      <w:rFonts w:hint="default"/>
                      <w:highlight w:val="none"/>
                    </w:rPr>
                    <w:t>Z</w:t>
                  </w:r>
                </w:p>
              </w:tc>
              <w:tc>
                <w:tcPr>
                  <w:tcW w:w="402" w:type="pct"/>
                  <w:vMerge w:val="continue"/>
                  <w:tcBorders>
                    <w:tl2br w:val="nil"/>
                    <w:tr2bl w:val="nil"/>
                  </w:tcBorders>
                  <w:noWrap w:val="0"/>
                  <w:vAlign w:val="center"/>
                </w:tcPr>
                <w:p w14:paraId="268C7E90">
                  <w:pPr>
                    <w:jc w:val="center"/>
                    <w:rPr>
                      <w:rFonts w:hint="default"/>
                      <w:highlight w:val="none"/>
                    </w:rPr>
                  </w:pPr>
                </w:p>
              </w:tc>
              <w:tc>
                <w:tcPr>
                  <w:tcW w:w="309" w:type="pct"/>
                  <w:vMerge w:val="continue"/>
                  <w:tcBorders>
                    <w:tl2br w:val="nil"/>
                    <w:tr2bl w:val="nil"/>
                  </w:tcBorders>
                  <w:noWrap w:val="0"/>
                  <w:vAlign w:val="center"/>
                </w:tcPr>
                <w:p w14:paraId="79981061">
                  <w:pPr>
                    <w:jc w:val="center"/>
                    <w:rPr>
                      <w:rFonts w:hint="default"/>
                      <w:highlight w:val="none"/>
                    </w:rPr>
                  </w:pPr>
                </w:p>
              </w:tc>
              <w:tc>
                <w:tcPr>
                  <w:tcW w:w="391" w:type="pct"/>
                  <w:vMerge w:val="continue"/>
                  <w:tcBorders>
                    <w:tl2br w:val="nil"/>
                    <w:tr2bl w:val="nil"/>
                  </w:tcBorders>
                  <w:noWrap w:val="0"/>
                  <w:vAlign w:val="center"/>
                </w:tcPr>
                <w:p w14:paraId="45A4042E">
                  <w:pPr>
                    <w:jc w:val="center"/>
                    <w:rPr>
                      <w:rFonts w:hint="default"/>
                      <w:highlight w:val="none"/>
                    </w:rPr>
                  </w:pPr>
                </w:p>
              </w:tc>
              <w:tc>
                <w:tcPr>
                  <w:tcW w:w="470" w:type="pct"/>
                  <w:tcBorders>
                    <w:tl2br w:val="nil"/>
                    <w:tr2bl w:val="nil"/>
                  </w:tcBorders>
                  <w:noWrap w:val="0"/>
                  <w:vAlign w:val="center"/>
                </w:tcPr>
                <w:p w14:paraId="142A44C8">
                  <w:pPr>
                    <w:jc w:val="center"/>
                    <w:rPr>
                      <w:rFonts w:hint="default"/>
                      <w:highlight w:val="none"/>
                      <w:lang w:eastAsia="zh-CN"/>
                    </w:rPr>
                  </w:pPr>
                  <w:r>
                    <w:rPr>
                      <w:rFonts w:hint="default"/>
                      <w:highlight w:val="none"/>
                    </w:rPr>
                    <w:t>声压级/dB</w:t>
                  </w:r>
                  <w:r>
                    <w:rPr>
                      <w:rFonts w:hint="default"/>
                      <w:highlight w:val="none"/>
                      <w:lang w:val="en-US" w:eastAsia="zh-CN"/>
                    </w:rPr>
                    <w:t>(</w:t>
                  </w:r>
                  <w:r>
                    <w:rPr>
                      <w:rFonts w:hint="default"/>
                      <w:highlight w:val="none"/>
                    </w:rPr>
                    <w:t>A</w:t>
                  </w:r>
                  <w:r>
                    <w:rPr>
                      <w:rFonts w:hint="default"/>
                      <w:highlight w:val="none"/>
                      <w:lang w:val="en-US" w:eastAsia="zh-CN"/>
                    </w:rPr>
                    <w:t>)</w:t>
                  </w:r>
                </w:p>
              </w:tc>
              <w:tc>
                <w:tcPr>
                  <w:tcW w:w="328" w:type="pct"/>
                  <w:tcBorders>
                    <w:tl2br w:val="nil"/>
                    <w:tr2bl w:val="nil"/>
                  </w:tcBorders>
                  <w:noWrap w:val="0"/>
                  <w:vAlign w:val="center"/>
                </w:tcPr>
                <w:p w14:paraId="4D8A1A25">
                  <w:pPr>
                    <w:jc w:val="center"/>
                    <w:rPr>
                      <w:rFonts w:hint="default"/>
                      <w:highlight w:val="none"/>
                    </w:rPr>
                  </w:pPr>
                  <w:r>
                    <w:rPr>
                      <w:rFonts w:hint="default"/>
                      <w:highlight w:val="none"/>
                    </w:rPr>
                    <w:t>建筑物外距离</w:t>
                  </w:r>
                </w:p>
              </w:tc>
            </w:tr>
            <w:tr w14:paraId="0C97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tcBorders>
                    <w:tl2br w:val="nil"/>
                    <w:tr2bl w:val="nil"/>
                  </w:tcBorders>
                  <w:noWrap w:val="0"/>
                  <w:vAlign w:val="center"/>
                </w:tcPr>
                <w:p w14:paraId="0B034889">
                  <w:pPr>
                    <w:jc w:val="center"/>
                    <w:rPr>
                      <w:rFonts w:hint="eastAsia" w:eastAsia="宋体"/>
                      <w:highlight w:val="none"/>
                      <w:lang w:val="en-US" w:eastAsia="zh-CN"/>
                    </w:rPr>
                  </w:pPr>
                  <w:r>
                    <w:rPr>
                      <w:rFonts w:hint="eastAsia"/>
                      <w:highlight w:val="none"/>
                      <w:lang w:val="en-US" w:eastAsia="zh-CN"/>
                    </w:rPr>
                    <w:t>1</w:t>
                  </w:r>
                </w:p>
              </w:tc>
              <w:tc>
                <w:tcPr>
                  <w:tcW w:w="587" w:type="pct"/>
                  <w:tcBorders>
                    <w:tl2br w:val="nil"/>
                    <w:tr2bl w:val="nil"/>
                  </w:tcBorders>
                  <w:noWrap w:val="0"/>
                  <w:vAlign w:val="center"/>
                </w:tcPr>
                <w:p w14:paraId="78B89FE5">
                  <w:pPr>
                    <w:jc w:val="center"/>
                    <w:rPr>
                      <w:rFonts w:hint="default"/>
                      <w:highlight w:val="none"/>
                    </w:rPr>
                  </w:pPr>
                  <w:r>
                    <w:rPr>
                      <w:rFonts w:hint="default"/>
                      <w:highlight w:val="none"/>
                    </w:rPr>
                    <w:t>印刷机</w:t>
                  </w:r>
                </w:p>
              </w:tc>
              <w:tc>
                <w:tcPr>
                  <w:tcW w:w="367" w:type="pct"/>
                  <w:tcBorders>
                    <w:tl2br w:val="nil"/>
                    <w:tr2bl w:val="nil"/>
                  </w:tcBorders>
                  <w:noWrap w:val="0"/>
                  <w:vAlign w:val="center"/>
                </w:tcPr>
                <w:p w14:paraId="3AA60B21">
                  <w:pPr>
                    <w:jc w:val="center"/>
                    <w:rPr>
                      <w:rFonts w:hint="eastAsia" w:eastAsia="宋体"/>
                      <w:highlight w:val="none"/>
                      <w:lang w:val="en-US" w:eastAsia="zh-CN"/>
                    </w:rPr>
                  </w:pPr>
                  <w:r>
                    <w:rPr>
                      <w:rFonts w:hint="eastAsia"/>
                      <w:highlight w:val="none"/>
                      <w:lang w:val="en-US" w:eastAsia="zh-CN"/>
                    </w:rPr>
                    <w:t>8</w:t>
                  </w:r>
                </w:p>
              </w:tc>
              <w:tc>
                <w:tcPr>
                  <w:tcW w:w="433" w:type="pct"/>
                  <w:tcBorders>
                    <w:tl2br w:val="nil"/>
                    <w:tr2bl w:val="nil"/>
                  </w:tcBorders>
                  <w:noWrap w:val="0"/>
                  <w:vAlign w:val="center"/>
                </w:tcPr>
                <w:p w14:paraId="57E55341">
                  <w:pPr>
                    <w:jc w:val="center"/>
                    <w:rPr>
                      <w:rFonts w:hint="default" w:eastAsia="宋体"/>
                      <w:highlight w:val="none"/>
                      <w:lang w:val="en-US" w:eastAsia="zh-CN"/>
                    </w:rPr>
                  </w:pPr>
                  <w:r>
                    <w:rPr>
                      <w:rFonts w:hint="eastAsia"/>
                      <w:highlight w:val="none"/>
                      <w:lang w:val="en-US" w:eastAsia="zh-CN"/>
                    </w:rPr>
                    <w:t>75</w:t>
                  </w:r>
                </w:p>
              </w:tc>
              <w:tc>
                <w:tcPr>
                  <w:tcW w:w="591" w:type="pct"/>
                  <w:vMerge w:val="restart"/>
                  <w:tcBorders>
                    <w:tl2br w:val="nil"/>
                    <w:tr2bl w:val="nil"/>
                  </w:tcBorders>
                  <w:noWrap w:val="0"/>
                  <w:vAlign w:val="center"/>
                </w:tcPr>
                <w:p w14:paraId="5C45CA91">
                  <w:pPr>
                    <w:jc w:val="center"/>
                    <w:rPr>
                      <w:rFonts w:hint="default"/>
                      <w:highlight w:val="none"/>
                    </w:rPr>
                  </w:pPr>
                  <w:r>
                    <w:rPr>
                      <w:rFonts w:hint="default" w:ascii="Times New Roman" w:hAnsi="Times New Roman" w:eastAsia="宋体" w:cs="Times New Roman"/>
                      <w:color w:val="000000"/>
                      <w:sz w:val="21"/>
                      <w:szCs w:val="21"/>
                      <w:highlight w:val="none"/>
                      <w:lang w:val="en-US" w:eastAsia="zh-CN"/>
                    </w:rPr>
                    <w:t>建筑隔声，选用低噪声设备</w:t>
                  </w:r>
                </w:p>
              </w:tc>
              <w:tc>
                <w:tcPr>
                  <w:tcW w:w="281" w:type="pct"/>
                  <w:tcBorders>
                    <w:tl2br w:val="nil"/>
                    <w:tr2bl w:val="nil"/>
                  </w:tcBorders>
                  <w:noWrap w:val="0"/>
                  <w:vAlign w:val="center"/>
                </w:tcPr>
                <w:p w14:paraId="2F5BBB7C">
                  <w:pPr>
                    <w:jc w:val="center"/>
                    <w:rPr>
                      <w:rFonts w:hint="default" w:eastAsia="宋体"/>
                      <w:highlight w:val="none"/>
                      <w:lang w:val="en-US" w:eastAsia="zh-CN"/>
                    </w:rPr>
                  </w:pPr>
                  <w:r>
                    <w:rPr>
                      <w:rFonts w:hint="eastAsia"/>
                      <w:highlight w:val="none"/>
                      <w:lang w:val="en-US" w:eastAsia="zh-CN"/>
                    </w:rPr>
                    <w:t>50</w:t>
                  </w:r>
                </w:p>
              </w:tc>
              <w:tc>
                <w:tcPr>
                  <w:tcW w:w="269" w:type="pct"/>
                  <w:tcBorders>
                    <w:tl2br w:val="nil"/>
                    <w:tr2bl w:val="nil"/>
                  </w:tcBorders>
                  <w:noWrap w:val="0"/>
                  <w:vAlign w:val="center"/>
                </w:tcPr>
                <w:p w14:paraId="167F07DC">
                  <w:pPr>
                    <w:jc w:val="center"/>
                    <w:rPr>
                      <w:rFonts w:hint="default" w:eastAsia="宋体"/>
                      <w:highlight w:val="none"/>
                      <w:lang w:val="en-US" w:eastAsia="zh-CN"/>
                    </w:rPr>
                  </w:pPr>
                  <w:r>
                    <w:rPr>
                      <w:rFonts w:hint="eastAsia"/>
                      <w:highlight w:val="none"/>
                      <w:lang w:val="en-US" w:eastAsia="zh-CN"/>
                    </w:rPr>
                    <w:t>17</w:t>
                  </w:r>
                </w:p>
              </w:tc>
              <w:tc>
                <w:tcPr>
                  <w:tcW w:w="275" w:type="pct"/>
                  <w:tcBorders>
                    <w:tl2br w:val="nil"/>
                    <w:tr2bl w:val="nil"/>
                  </w:tcBorders>
                  <w:noWrap w:val="0"/>
                  <w:vAlign w:val="center"/>
                </w:tcPr>
                <w:p w14:paraId="524B9BD3">
                  <w:pPr>
                    <w:jc w:val="center"/>
                    <w:rPr>
                      <w:rFonts w:hint="eastAsia" w:eastAsia="宋体"/>
                      <w:highlight w:val="none"/>
                      <w:lang w:val="en-US" w:eastAsia="zh-CN"/>
                    </w:rPr>
                  </w:pPr>
                  <w:r>
                    <w:rPr>
                      <w:rFonts w:hint="eastAsia"/>
                      <w:highlight w:val="none"/>
                      <w:lang w:val="en-US" w:eastAsia="zh-CN"/>
                    </w:rPr>
                    <w:t>5</w:t>
                  </w:r>
                </w:p>
              </w:tc>
              <w:tc>
                <w:tcPr>
                  <w:tcW w:w="402" w:type="pct"/>
                  <w:tcBorders>
                    <w:tl2br w:val="nil"/>
                    <w:tr2bl w:val="nil"/>
                  </w:tcBorders>
                  <w:noWrap w:val="0"/>
                  <w:vAlign w:val="center"/>
                </w:tcPr>
                <w:p w14:paraId="4282D36D">
                  <w:pPr>
                    <w:jc w:val="center"/>
                    <w:rPr>
                      <w:rFonts w:hint="default" w:eastAsia="宋体"/>
                      <w:highlight w:val="none"/>
                      <w:lang w:val="en-US" w:eastAsia="zh-CN"/>
                    </w:rPr>
                  </w:pPr>
                  <w:r>
                    <w:rPr>
                      <w:rFonts w:hint="eastAsia"/>
                      <w:highlight w:val="none"/>
                      <w:lang w:val="en-US" w:eastAsia="zh-CN"/>
                    </w:rPr>
                    <w:t>84.0</w:t>
                  </w:r>
                </w:p>
              </w:tc>
              <w:tc>
                <w:tcPr>
                  <w:tcW w:w="309" w:type="pct"/>
                  <w:tcBorders>
                    <w:tl2br w:val="nil"/>
                    <w:tr2bl w:val="nil"/>
                  </w:tcBorders>
                  <w:noWrap w:val="0"/>
                  <w:vAlign w:val="center"/>
                </w:tcPr>
                <w:p w14:paraId="5BE9DBB9">
                  <w:pPr>
                    <w:jc w:val="center"/>
                    <w:rPr>
                      <w:rFonts w:hint="default" w:eastAsia="宋体"/>
                      <w:highlight w:val="none"/>
                      <w:lang w:val="en-US" w:eastAsia="zh-CN"/>
                    </w:rPr>
                  </w:pPr>
                  <w:r>
                    <w:rPr>
                      <w:rFonts w:hint="eastAsia"/>
                      <w:highlight w:val="none"/>
                      <w:lang w:val="en-US" w:eastAsia="zh-CN"/>
                    </w:rPr>
                    <w:t>昼间夜间</w:t>
                  </w:r>
                </w:p>
              </w:tc>
              <w:tc>
                <w:tcPr>
                  <w:tcW w:w="391" w:type="pct"/>
                  <w:tcBorders>
                    <w:tl2br w:val="nil"/>
                    <w:tr2bl w:val="nil"/>
                  </w:tcBorders>
                  <w:noWrap w:val="0"/>
                  <w:vAlign w:val="center"/>
                </w:tcPr>
                <w:p w14:paraId="0EFEDBC1">
                  <w:pPr>
                    <w:jc w:val="center"/>
                    <w:rPr>
                      <w:rFonts w:hint="default" w:eastAsia="宋体"/>
                      <w:highlight w:val="none"/>
                      <w:lang w:val="en-US" w:eastAsia="zh-CN"/>
                    </w:rPr>
                  </w:pPr>
                  <w:r>
                    <w:rPr>
                      <w:rFonts w:hint="eastAsia"/>
                      <w:highlight w:val="none"/>
                      <w:lang w:val="en-US" w:eastAsia="zh-CN"/>
                    </w:rPr>
                    <w:t>25</w:t>
                  </w:r>
                </w:p>
              </w:tc>
              <w:tc>
                <w:tcPr>
                  <w:tcW w:w="470" w:type="pct"/>
                  <w:tcBorders>
                    <w:tl2br w:val="nil"/>
                    <w:tr2bl w:val="nil"/>
                  </w:tcBorders>
                  <w:noWrap w:val="0"/>
                  <w:vAlign w:val="center"/>
                </w:tcPr>
                <w:p w14:paraId="4F85F315">
                  <w:pPr>
                    <w:jc w:val="center"/>
                    <w:rPr>
                      <w:rFonts w:hint="default"/>
                      <w:highlight w:val="none"/>
                      <w:lang w:val="en-US" w:eastAsia="zh-CN"/>
                    </w:rPr>
                  </w:pPr>
                  <w:r>
                    <w:rPr>
                      <w:rFonts w:hint="eastAsia"/>
                      <w:highlight w:val="none"/>
                      <w:lang w:val="en-US" w:eastAsia="zh-CN"/>
                    </w:rPr>
                    <w:t>59.0</w:t>
                  </w:r>
                </w:p>
              </w:tc>
              <w:tc>
                <w:tcPr>
                  <w:tcW w:w="328" w:type="pct"/>
                  <w:tcBorders>
                    <w:tl2br w:val="nil"/>
                    <w:tr2bl w:val="nil"/>
                  </w:tcBorders>
                  <w:noWrap w:val="0"/>
                  <w:vAlign w:val="center"/>
                </w:tcPr>
                <w:p w14:paraId="4157E22D">
                  <w:pPr>
                    <w:jc w:val="center"/>
                    <w:rPr>
                      <w:rFonts w:hint="default"/>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1m</w:t>
                  </w:r>
                </w:p>
              </w:tc>
            </w:tr>
            <w:tr w14:paraId="0C123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tcBorders>
                    <w:tl2br w:val="nil"/>
                    <w:tr2bl w:val="nil"/>
                  </w:tcBorders>
                  <w:noWrap w:val="0"/>
                  <w:vAlign w:val="center"/>
                </w:tcPr>
                <w:p w14:paraId="3956BC24">
                  <w:pPr>
                    <w:jc w:val="center"/>
                    <w:rPr>
                      <w:rFonts w:hint="eastAsia" w:eastAsia="宋体"/>
                      <w:highlight w:val="none"/>
                      <w:lang w:val="en-US" w:eastAsia="zh-CN"/>
                    </w:rPr>
                  </w:pPr>
                  <w:r>
                    <w:rPr>
                      <w:rFonts w:hint="eastAsia"/>
                      <w:highlight w:val="none"/>
                      <w:lang w:val="en-US" w:eastAsia="zh-CN"/>
                    </w:rPr>
                    <w:t>2</w:t>
                  </w:r>
                </w:p>
              </w:tc>
              <w:tc>
                <w:tcPr>
                  <w:tcW w:w="587" w:type="pct"/>
                  <w:tcBorders>
                    <w:tl2br w:val="nil"/>
                    <w:tr2bl w:val="nil"/>
                  </w:tcBorders>
                  <w:noWrap w:val="0"/>
                  <w:vAlign w:val="center"/>
                </w:tcPr>
                <w:p w14:paraId="772CFF9B">
                  <w:pPr>
                    <w:jc w:val="center"/>
                    <w:rPr>
                      <w:rFonts w:hint="default"/>
                      <w:highlight w:val="none"/>
                    </w:rPr>
                  </w:pPr>
                  <w:r>
                    <w:rPr>
                      <w:rFonts w:hint="eastAsia" w:cs="Times New Roman"/>
                      <w:b w:val="0"/>
                      <w:bCs w:val="0"/>
                      <w:color w:val="000000"/>
                      <w:kern w:val="2"/>
                      <w:sz w:val="21"/>
                      <w:szCs w:val="21"/>
                      <w:highlight w:val="none"/>
                      <w:vertAlign w:val="baseline"/>
                      <w:lang w:val="en-US" w:eastAsia="zh-CN" w:bidi="ar-SA"/>
                    </w:rPr>
                    <w:t>回流焊</w:t>
                  </w:r>
                </w:p>
              </w:tc>
              <w:tc>
                <w:tcPr>
                  <w:tcW w:w="367" w:type="pct"/>
                  <w:tcBorders>
                    <w:tl2br w:val="nil"/>
                    <w:tr2bl w:val="nil"/>
                  </w:tcBorders>
                  <w:noWrap w:val="0"/>
                  <w:vAlign w:val="center"/>
                </w:tcPr>
                <w:p w14:paraId="59625FE4">
                  <w:pPr>
                    <w:jc w:val="center"/>
                    <w:rPr>
                      <w:rFonts w:hint="default"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4</w:t>
                  </w:r>
                </w:p>
              </w:tc>
              <w:tc>
                <w:tcPr>
                  <w:tcW w:w="433" w:type="pct"/>
                  <w:tcBorders>
                    <w:tl2br w:val="nil"/>
                    <w:tr2bl w:val="nil"/>
                  </w:tcBorders>
                  <w:noWrap w:val="0"/>
                  <w:vAlign w:val="center"/>
                </w:tcPr>
                <w:p w14:paraId="7F0CAE20">
                  <w:pPr>
                    <w:jc w:val="center"/>
                    <w:rPr>
                      <w:rFonts w:hint="default" w:eastAsia="宋体"/>
                      <w:highlight w:val="none"/>
                      <w:lang w:val="en-US" w:eastAsia="zh-CN"/>
                    </w:rPr>
                  </w:pPr>
                  <w:r>
                    <w:rPr>
                      <w:rFonts w:hint="eastAsia"/>
                      <w:highlight w:val="none"/>
                      <w:lang w:val="en-US" w:eastAsia="zh-CN"/>
                    </w:rPr>
                    <w:t>75</w:t>
                  </w:r>
                </w:p>
              </w:tc>
              <w:tc>
                <w:tcPr>
                  <w:tcW w:w="591" w:type="pct"/>
                  <w:vMerge w:val="continue"/>
                  <w:tcBorders>
                    <w:tl2br w:val="nil"/>
                    <w:tr2bl w:val="nil"/>
                  </w:tcBorders>
                  <w:noWrap w:val="0"/>
                  <w:vAlign w:val="center"/>
                </w:tcPr>
                <w:p w14:paraId="44D7A731">
                  <w:pPr>
                    <w:jc w:val="center"/>
                    <w:rPr>
                      <w:rFonts w:hint="default"/>
                      <w:highlight w:val="none"/>
                    </w:rPr>
                  </w:pPr>
                </w:p>
              </w:tc>
              <w:tc>
                <w:tcPr>
                  <w:tcW w:w="281" w:type="pct"/>
                  <w:tcBorders>
                    <w:tl2br w:val="nil"/>
                    <w:tr2bl w:val="nil"/>
                  </w:tcBorders>
                  <w:noWrap w:val="0"/>
                  <w:vAlign w:val="center"/>
                </w:tcPr>
                <w:p w14:paraId="1780CB06">
                  <w:pPr>
                    <w:jc w:val="center"/>
                    <w:rPr>
                      <w:rFonts w:hint="default" w:eastAsia="宋体"/>
                      <w:highlight w:val="none"/>
                      <w:lang w:val="en-US" w:eastAsia="zh-CN"/>
                    </w:rPr>
                  </w:pPr>
                  <w:r>
                    <w:rPr>
                      <w:rFonts w:hint="eastAsia"/>
                      <w:highlight w:val="none"/>
                      <w:lang w:val="en-US" w:eastAsia="zh-CN"/>
                    </w:rPr>
                    <w:t>22</w:t>
                  </w:r>
                </w:p>
              </w:tc>
              <w:tc>
                <w:tcPr>
                  <w:tcW w:w="269" w:type="pct"/>
                  <w:tcBorders>
                    <w:tl2br w:val="nil"/>
                    <w:tr2bl w:val="nil"/>
                  </w:tcBorders>
                  <w:noWrap w:val="0"/>
                  <w:vAlign w:val="center"/>
                </w:tcPr>
                <w:p w14:paraId="5129EFAF">
                  <w:pPr>
                    <w:jc w:val="center"/>
                    <w:rPr>
                      <w:rFonts w:hint="default" w:eastAsia="宋体"/>
                      <w:highlight w:val="none"/>
                      <w:lang w:val="en-US" w:eastAsia="zh-CN"/>
                    </w:rPr>
                  </w:pPr>
                  <w:r>
                    <w:rPr>
                      <w:rFonts w:hint="eastAsia"/>
                      <w:highlight w:val="none"/>
                      <w:lang w:val="en-US" w:eastAsia="zh-CN"/>
                    </w:rPr>
                    <w:t>22</w:t>
                  </w:r>
                </w:p>
              </w:tc>
              <w:tc>
                <w:tcPr>
                  <w:tcW w:w="275" w:type="pct"/>
                  <w:tcBorders>
                    <w:tl2br w:val="nil"/>
                    <w:tr2bl w:val="nil"/>
                  </w:tcBorders>
                  <w:noWrap w:val="0"/>
                  <w:vAlign w:val="center"/>
                </w:tcPr>
                <w:p w14:paraId="79EC60F2">
                  <w:pPr>
                    <w:jc w:val="center"/>
                    <w:rPr>
                      <w:rFonts w:hint="eastAsia" w:eastAsia="宋体"/>
                      <w:highlight w:val="none"/>
                      <w:lang w:val="en-US" w:eastAsia="zh-CN"/>
                    </w:rPr>
                  </w:pPr>
                  <w:r>
                    <w:rPr>
                      <w:rFonts w:hint="eastAsia"/>
                      <w:highlight w:val="none"/>
                      <w:lang w:val="en-US" w:eastAsia="zh-CN"/>
                    </w:rPr>
                    <w:t>5</w:t>
                  </w:r>
                </w:p>
              </w:tc>
              <w:tc>
                <w:tcPr>
                  <w:tcW w:w="402" w:type="pct"/>
                  <w:tcBorders>
                    <w:tl2br w:val="nil"/>
                    <w:tr2bl w:val="nil"/>
                  </w:tcBorders>
                  <w:noWrap w:val="0"/>
                  <w:vAlign w:val="center"/>
                </w:tcPr>
                <w:p w14:paraId="7BFCEA87">
                  <w:pPr>
                    <w:jc w:val="center"/>
                    <w:rPr>
                      <w:rFonts w:hint="default" w:eastAsia="宋体"/>
                      <w:highlight w:val="none"/>
                      <w:lang w:val="en-US" w:eastAsia="zh-CN"/>
                    </w:rPr>
                  </w:pPr>
                  <w:r>
                    <w:rPr>
                      <w:rFonts w:hint="eastAsia"/>
                      <w:highlight w:val="none"/>
                      <w:lang w:val="en-US" w:eastAsia="zh-CN"/>
                    </w:rPr>
                    <w:t>81.0</w:t>
                  </w:r>
                </w:p>
              </w:tc>
              <w:tc>
                <w:tcPr>
                  <w:tcW w:w="309" w:type="pct"/>
                  <w:tcBorders>
                    <w:tl2br w:val="nil"/>
                    <w:tr2bl w:val="nil"/>
                  </w:tcBorders>
                  <w:noWrap w:val="0"/>
                  <w:vAlign w:val="center"/>
                </w:tcPr>
                <w:p w14:paraId="42B6BB7F">
                  <w:pPr>
                    <w:jc w:val="center"/>
                    <w:rPr>
                      <w:rFonts w:hint="default"/>
                      <w:highlight w:val="none"/>
                    </w:rPr>
                  </w:pPr>
                  <w:r>
                    <w:rPr>
                      <w:rFonts w:hint="eastAsia"/>
                      <w:highlight w:val="none"/>
                      <w:lang w:val="en-US" w:eastAsia="zh-CN"/>
                    </w:rPr>
                    <w:t>昼间夜间</w:t>
                  </w:r>
                </w:p>
              </w:tc>
              <w:tc>
                <w:tcPr>
                  <w:tcW w:w="391" w:type="pct"/>
                  <w:tcBorders>
                    <w:tl2br w:val="nil"/>
                    <w:tr2bl w:val="nil"/>
                  </w:tcBorders>
                  <w:noWrap w:val="0"/>
                  <w:vAlign w:val="center"/>
                </w:tcPr>
                <w:p w14:paraId="009CA417">
                  <w:pPr>
                    <w:jc w:val="center"/>
                    <w:rPr>
                      <w:rFonts w:hint="default"/>
                      <w:highlight w:val="none"/>
                    </w:rPr>
                  </w:pPr>
                  <w:r>
                    <w:rPr>
                      <w:rFonts w:hint="eastAsia"/>
                      <w:highlight w:val="none"/>
                      <w:lang w:val="en-US" w:eastAsia="zh-CN"/>
                    </w:rPr>
                    <w:t>25</w:t>
                  </w:r>
                </w:p>
              </w:tc>
              <w:tc>
                <w:tcPr>
                  <w:tcW w:w="470" w:type="pct"/>
                  <w:tcBorders>
                    <w:tl2br w:val="nil"/>
                    <w:tr2bl w:val="nil"/>
                  </w:tcBorders>
                  <w:noWrap w:val="0"/>
                  <w:vAlign w:val="center"/>
                </w:tcPr>
                <w:p w14:paraId="13349189">
                  <w:pPr>
                    <w:jc w:val="center"/>
                    <w:rPr>
                      <w:rFonts w:hint="default"/>
                      <w:highlight w:val="none"/>
                      <w:lang w:val="en-US" w:eastAsia="zh-CN"/>
                    </w:rPr>
                  </w:pPr>
                  <w:r>
                    <w:rPr>
                      <w:rFonts w:hint="eastAsia"/>
                      <w:highlight w:val="none"/>
                      <w:lang w:val="en-US" w:eastAsia="zh-CN"/>
                    </w:rPr>
                    <w:t>56.0</w:t>
                  </w:r>
                </w:p>
              </w:tc>
              <w:tc>
                <w:tcPr>
                  <w:tcW w:w="328" w:type="pct"/>
                  <w:tcBorders>
                    <w:tl2br w:val="nil"/>
                    <w:tr2bl w:val="nil"/>
                  </w:tcBorders>
                  <w:noWrap w:val="0"/>
                  <w:vAlign w:val="center"/>
                </w:tcPr>
                <w:p w14:paraId="22A1749F">
                  <w:pPr>
                    <w:jc w:val="center"/>
                    <w:rPr>
                      <w:rFonts w:hint="default"/>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1m</w:t>
                  </w:r>
                </w:p>
              </w:tc>
            </w:tr>
            <w:tr w14:paraId="13EA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tcBorders>
                    <w:tl2br w:val="nil"/>
                    <w:tr2bl w:val="nil"/>
                  </w:tcBorders>
                  <w:noWrap w:val="0"/>
                  <w:vAlign w:val="center"/>
                </w:tcPr>
                <w:p w14:paraId="1AECD677">
                  <w:pPr>
                    <w:jc w:val="center"/>
                    <w:rPr>
                      <w:rFonts w:hint="eastAsia" w:eastAsia="宋体"/>
                      <w:highlight w:val="none"/>
                      <w:lang w:val="en-US" w:eastAsia="zh-CN"/>
                    </w:rPr>
                  </w:pPr>
                  <w:r>
                    <w:rPr>
                      <w:rFonts w:hint="eastAsia"/>
                      <w:highlight w:val="none"/>
                      <w:lang w:val="en-US" w:eastAsia="zh-CN"/>
                    </w:rPr>
                    <w:t>3</w:t>
                  </w:r>
                </w:p>
              </w:tc>
              <w:tc>
                <w:tcPr>
                  <w:tcW w:w="587" w:type="pct"/>
                  <w:tcBorders>
                    <w:tl2br w:val="nil"/>
                    <w:tr2bl w:val="nil"/>
                  </w:tcBorders>
                  <w:noWrap w:val="0"/>
                  <w:vAlign w:val="center"/>
                </w:tcPr>
                <w:p w14:paraId="247B3C67">
                  <w:pPr>
                    <w:jc w:val="center"/>
                    <w:rPr>
                      <w:rFonts w:hint="default"/>
                      <w:highlight w:val="none"/>
                    </w:rPr>
                  </w:pPr>
                  <w:r>
                    <w:rPr>
                      <w:color w:val="auto"/>
                      <w:highlight w:val="none"/>
                      <w:lang w:val="en-US" w:eastAsia="zh-CN"/>
                    </w:rPr>
                    <w:t>全自动螺丝机</w:t>
                  </w:r>
                </w:p>
              </w:tc>
              <w:tc>
                <w:tcPr>
                  <w:tcW w:w="367" w:type="pct"/>
                  <w:tcBorders>
                    <w:tl2br w:val="nil"/>
                    <w:tr2bl w:val="nil"/>
                  </w:tcBorders>
                  <w:noWrap w:val="0"/>
                  <w:vAlign w:val="center"/>
                </w:tcPr>
                <w:p w14:paraId="0782EBE2">
                  <w:pPr>
                    <w:jc w:val="center"/>
                    <w:rPr>
                      <w:rFonts w:hint="default"/>
                      <w:color w:val="auto"/>
                      <w:highlight w:val="none"/>
                      <w:lang w:val="en-US" w:eastAsia="zh-CN"/>
                    </w:rPr>
                  </w:pPr>
                  <w:r>
                    <w:rPr>
                      <w:rFonts w:hint="eastAsia"/>
                      <w:color w:val="auto"/>
                      <w:highlight w:val="none"/>
                      <w:lang w:val="en-US" w:eastAsia="zh-CN"/>
                    </w:rPr>
                    <w:t>8</w:t>
                  </w:r>
                </w:p>
              </w:tc>
              <w:tc>
                <w:tcPr>
                  <w:tcW w:w="433" w:type="pct"/>
                  <w:tcBorders>
                    <w:tl2br w:val="nil"/>
                    <w:tr2bl w:val="nil"/>
                  </w:tcBorders>
                  <w:noWrap w:val="0"/>
                  <w:vAlign w:val="center"/>
                </w:tcPr>
                <w:p w14:paraId="2E61AAFF">
                  <w:pPr>
                    <w:jc w:val="center"/>
                    <w:rPr>
                      <w:rFonts w:hint="default" w:eastAsia="宋体"/>
                      <w:highlight w:val="none"/>
                      <w:lang w:val="en-US" w:eastAsia="zh-CN"/>
                    </w:rPr>
                  </w:pPr>
                  <w:r>
                    <w:rPr>
                      <w:rFonts w:hint="eastAsia"/>
                      <w:highlight w:val="none"/>
                      <w:lang w:val="en-US" w:eastAsia="zh-CN"/>
                    </w:rPr>
                    <w:t>75</w:t>
                  </w:r>
                </w:p>
              </w:tc>
              <w:tc>
                <w:tcPr>
                  <w:tcW w:w="591" w:type="pct"/>
                  <w:vMerge w:val="continue"/>
                  <w:tcBorders>
                    <w:tl2br w:val="nil"/>
                    <w:tr2bl w:val="nil"/>
                  </w:tcBorders>
                  <w:noWrap w:val="0"/>
                  <w:vAlign w:val="center"/>
                </w:tcPr>
                <w:p w14:paraId="5F4DE9DA">
                  <w:pPr>
                    <w:jc w:val="center"/>
                    <w:rPr>
                      <w:rFonts w:hint="default"/>
                      <w:highlight w:val="none"/>
                    </w:rPr>
                  </w:pPr>
                </w:p>
              </w:tc>
              <w:tc>
                <w:tcPr>
                  <w:tcW w:w="281" w:type="pct"/>
                  <w:tcBorders>
                    <w:tl2br w:val="nil"/>
                    <w:tr2bl w:val="nil"/>
                  </w:tcBorders>
                  <w:noWrap w:val="0"/>
                  <w:vAlign w:val="center"/>
                </w:tcPr>
                <w:p w14:paraId="7E12B9F7">
                  <w:pPr>
                    <w:jc w:val="center"/>
                    <w:rPr>
                      <w:rFonts w:hint="default" w:eastAsia="宋体"/>
                      <w:highlight w:val="none"/>
                      <w:lang w:val="en-US" w:eastAsia="zh-CN"/>
                    </w:rPr>
                  </w:pPr>
                  <w:r>
                    <w:rPr>
                      <w:rFonts w:hint="eastAsia"/>
                      <w:highlight w:val="none"/>
                      <w:lang w:val="en-US" w:eastAsia="zh-CN"/>
                    </w:rPr>
                    <w:t>33</w:t>
                  </w:r>
                </w:p>
              </w:tc>
              <w:tc>
                <w:tcPr>
                  <w:tcW w:w="269" w:type="pct"/>
                  <w:tcBorders>
                    <w:tl2br w:val="nil"/>
                    <w:tr2bl w:val="nil"/>
                  </w:tcBorders>
                  <w:noWrap w:val="0"/>
                  <w:vAlign w:val="center"/>
                </w:tcPr>
                <w:p w14:paraId="51C7A42D">
                  <w:pPr>
                    <w:jc w:val="center"/>
                    <w:rPr>
                      <w:rFonts w:hint="default" w:eastAsia="宋体"/>
                      <w:highlight w:val="none"/>
                      <w:lang w:val="en-US" w:eastAsia="zh-CN"/>
                    </w:rPr>
                  </w:pPr>
                  <w:r>
                    <w:rPr>
                      <w:rFonts w:hint="eastAsia"/>
                      <w:highlight w:val="none"/>
                      <w:lang w:val="en-US" w:eastAsia="zh-CN"/>
                    </w:rPr>
                    <w:t>30</w:t>
                  </w:r>
                </w:p>
              </w:tc>
              <w:tc>
                <w:tcPr>
                  <w:tcW w:w="275" w:type="pct"/>
                  <w:tcBorders>
                    <w:tl2br w:val="nil"/>
                    <w:tr2bl w:val="nil"/>
                  </w:tcBorders>
                  <w:noWrap w:val="0"/>
                  <w:vAlign w:val="center"/>
                </w:tcPr>
                <w:p w14:paraId="7073EFE0">
                  <w:pPr>
                    <w:jc w:val="center"/>
                    <w:rPr>
                      <w:rFonts w:hint="eastAsia" w:eastAsia="宋体"/>
                      <w:highlight w:val="none"/>
                      <w:lang w:val="en-US" w:eastAsia="zh-CN"/>
                    </w:rPr>
                  </w:pPr>
                  <w:r>
                    <w:rPr>
                      <w:rFonts w:hint="eastAsia"/>
                      <w:highlight w:val="none"/>
                      <w:lang w:val="en-US" w:eastAsia="zh-CN"/>
                    </w:rPr>
                    <w:t>5</w:t>
                  </w:r>
                </w:p>
              </w:tc>
              <w:tc>
                <w:tcPr>
                  <w:tcW w:w="402" w:type="pct"/>
                  <w:tcBorders>
                    <w:tl2br w:val="nil"/>
                    <w:tr2bl w:val="nil"/>
                  </w:tcBorders>
                  <w:noWrap w:val="0"/>
                  <w:vAlign w:val="center"/>
                </w:tcPr>
                <w:p w14:paraId="7EB57DD9">
                  <w:pPr>
                    <w:jc w:val="center"/>
                    <w:rPr>
                      <w:rFonts w:hint="default" w:eastAsia="宋体"/>
                      <w:highlight w:val="none"/>
                      <w:lang w:val="en-US" w:eastAsia="zh-CN"/>
                    </w:rPr>
                  </w:pPr>
                  <w:r>
                    <w:rPr>
                      <w:rFonts w:hint="eastAsia"/>
                      <w:highlight w:val="none"/>
                      <w:lang w:val="en-US" w:eastAsia="zh-CN"/>
                    </w:rPr>
                    <w:t>84.0</w:t>
                  </w:r>
                </w:p>
              </w:tc>
              <w:tc>
                <w:tcPr>
                  <w:tcW w:w="309" w:type="pct"/>
                  <w:tcBorders>
                    <w:tl2br w:val="nil"/>
                    <w:tr2bl w:val="nil"/>
                  </w:tcBorders>
                  <w:noWrap w:val="0"/>
                  <w:vAlign w:val="center"/>
                </w:tcPr>
                <w:p w14:paraId="3496EA52">
                  <w:pPr>
                    <w:jc w:val="center"/>
                    <w:rPr>
                      <w:rFonts w:hint="default"/>
                      <w:highlight w:val="none"/>
                    </w:rPr>
                  </w:pPr>
                  <w:r>
                    <w:rPr>
                      <w:rFonts w:hint="eastAsia"/>
                      <w:highlight w:val="none"/>
                      <w:lang w:val="en-US" w:eastAsia="zh-CN"/>
                    </w:rPr>
                    <w:t>昼间夜间</w:t>
                  </w:r>
                </w:p>
              </w:tc>
              <w:tc>
                <w:tcPr>
                  <w:tcW w:w="391" w:type="pct"/>
                  <w:tcBorders>
                    <w:tl2br w:val="nil"/>
                    <w:tr2bl w:val="nil"/>
                  </w:tcBorders>
                  <w:noWrap w:val="0"/>
                  <w:vAlign w:val="center"/>
                </w:tcPr>
                <w:p w14:paraId="641E110F">
                  <w:pPr>
                    <w:jc w:val="center"/>
                    <w:rPr>
                      <w:rFonts w:hint="default"/>
                      <w:highlight w:val="none"/>
                    </w:rPr>
                  </w:pPr>
                  <w:r>
                    <w:rPr>
                      <w:rFonts w:hint="eastAsia"/>
                      <w:highlight w:val="none"/>
                      <w:lang w:val="en-US" w:eastAsia="zh-CN"/>
                    </w:rPr>
                    <w:t>25</w:t>
                  </w:r>
                </w:p>
              </w:tc>
              <w:tc>
                <w:tcPr>
                  <w:tcW w:w="470" w:type="pct"/>
                  <w:tcBorders>
                    <w:tl2br w:val="nil"/>
                    <w:tr2bl w:val="nil"/>
                  </w:tcBorders>
                  <w:noWrap w:val="0"/>
                  <w:vAlign w:val="center"/>
                </w:tcPr>
                <w:p w14:paraId="7F37CBF3">
                  <w:pPr>
                    <w:jc w:val="center"/>
                    <w:rPr>
                      <w:rFonts w:hint="default"/>
                      <w:highlight w:val="none"/>
                      <w:lang w:val="en-US" w:eastAsia="zh-CN"/>
                    </w:rPr>
                  </w:pPr>
                  <w:r>
                    <w:rPr>
                      <w:rFonts w:hint="eastAsia"/>
                      <w:highlight w:val="none"/>
                      <w:lang w:val="en-US" w:eastAsia="zh-CN"/>
                    </w:rPr>
                    <w:t>59.0</w:t>
                  </w:r>
                </w:p>
              </w:tc>
              <w:tc>
                <w:tcPr>
                  <w:tcW w:w="328" w:type="pct"/>
                  <w:tcBorders>
                    <w:tl2br w:val="nil"/>
                    <w:tr2bl w:val="nil"/>
                  </w:tcBorders>
                  <w:noWrap w:val="0"/>
                  <w:vAlign w:val="center"/>
                </w:tcPr>
                <w:p w14:paraId="48979F29">
                  <w:pPr>
                    <w:jc w:val="center"/>
                    <w:rPr>
                      <w:rFonts w:hint="default"/>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1m</w:t>
                  </w:r>
                </w:p>
              </w:tc>
            </w:tr>
            <w:tr w14:paraId="7803C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tcBorders>
                    <w:tl2br w:val="nil"/>
                    <w:tr2bl w:val="nil"/>
                  </w:tcBorders>
                  <w:noWrap w:val="0"/>
                  <w:vAlign w:val="center"/>
                </w:tcPr>
                <w:p w14:paraId="0719DAE4">
                  <w:pPr>
                    <w:jc w:val="center"/>
                    <w:rPr>
                      <w:rFonts w:hint="eastAsia" w:eastAsia="宋体"/>
                      <w:highlight w:val="none"/>
                      <w:lang w:val="en-US" w:eastAsia="zh-CN"/>
                    </w:rPr>
                  </w:pPr>
                  <w:r>
                    <w:rPr>
                      <w:rFonts w:hint="eastAsia"/>
                      <w:highlight w:val="none"/>
                      <w:lang w:val="en-US" w:eastAsia="zh-CN"/>
                    </w:rPr>
                    <w:t>4</w:t>
                  </w:r>
                </w:p>
              </w:tc>
              <w:tc>
                <w:tcPr>
                  <w:tcW w:w="587" w:type="pct"/>
                  <w:tcBorders>
                    <w:tl2br w:val="nil"/>
                    <w:tr2bl w:val="nil"/>
                  </w:tcBorders>
                  <w:noWrap w:val="0"/>
                  <w:vAlign w:val="center"/>
                </w:tcPr>
                <w:p w14:paraId="5DB86E6F">
                  <w:pPr>
                    <w:jc w:val="center"/>
                    <w:rPr>
                      <w:rFonts w:hint="default"/>
                      <w:highlight w:val="none"/>
                    </w:rPr>
                  </w:pPr>
                  <w:r>
                    <w:rPr>
                      <w:rFonts w:hint="eastAsia"/>
                      <w:color w:val="auto"/>
                      <w:highlight w:val="none"/>
                      <w:lang w:val="en-US" w:eastAsia="zh-CN"/>
                    </w:rPr>
                    <w:t>打包机</w:t>
                  </w:r>
                </w:p>
              </w:tc>
              <w:tc>
                <w:tcPr>
                  <w:tcW w:w="367" w:type="pct"/>
                  <w:tcBorders>
                    <w:tl2br w:val="nil"/>
                    <w:tr2bl w:val="nil"/>
                  </w:tcBorders>
                  <w:noWrap w:val="0"/>
                  <w:vAlign w:val="center"/>
                </w:tcPr>
                <w:p w14:paraId="02411892">
                  <w:pPr>
                    <w:jc w:val="center"/>
                    <w:rPr>
                      <w:rFonts w:hint="default"/>
                      <w:color w:val="auto"/>
                      <w:highlight w:val="none"/>
                      <w:lang w:val="en-US" w:eastAsia="zh-CN"/>
                    </w:rPr>
                  </w:pPr>
                  <w:r>
                    <w:rPr>
                      <w:rFonts w:hint="eastAsia"/>
                      <w:color w:val="auto"/>
                      <w:highlight w:val="none"/>
                      <w:lang w:val="en-US" w:eastAsia="zh-CN"/>
                    </w:rPr>
                    <w:t>5</w:t>
                  </w:r>
                </w:p>
              </w:tc>
              <w:tc>
                <w:tcPr>
                  <w:tcW w:w="433" w:type="pct"/>
                  <w:tcBorders>
                    <w:tl2br w:val="nil"/>
                    <w:tr2bl w:val="nil"/>
                  </w:tcBorders>
                  <w:noWrap w:val="0"/>
                  <w:vAlign w:val="center"/>
                </w:tcPr>
                <w:p w14:paraId="7E822EF2">
                  <w:pPr>
                    <w:jc w:val="center"/>
                    <w:rPr>
                      <w:rFonts w:hint="default" w:eastAsia="宋体"/>
                      <w:highlight w:val="none"/>
                      <w:lang w:val="en-US" w:eastAsia="zh-CN"/>
                    </w:rPr>
                  </w:pPr>
                  <w:r>
                    <w:rPr>
                      <w:rFonts w:hint="eastAsia"/>
                      <w:highlight w:val="none"/>
                      <w:lang w:val="en-US" w:eastAsia="zh-CN"/>
                    </w:rPr>
                    <w:t>80</w:t>
                  </w:r>
                </w:p>
              </w:tc>
              <w:tc>
                <w:tcPr>
                  <w:tcW w:w="591" w:type="pct"/>
                  <w:vMerge w:val="continue"/>
                  <w:tcBorders>
                    <w:tl2br w:val="nil"/>
                    <w:tr2bl w:val="nil"/>
                  </w:tcBorders>
                  <w:noWrap w:val="0"/>
                  <w:vAlign w:val="center"/>
                </w:tcPr>
                <w:p w14:paraId="46D11EF1">
                  <w:pPr>
                    <w:jc w:val="center"/>
                    <w:rPr>
                      <w:rFonts w:hint="default"/>
                      <w:highlight w:val="none"/>
                    </w:rPr>
                  </w:pPr>
                </w:p>
              </w:tc>
              <w:tc>
                <w:tcPr>
                  <w:tcW w:w="281" w:type="pct"/>
                  <w:tcBorders>
                    <w:tl2br w:val="nil"/>
                    <w:tr2bl w:val="nil"/>
                  </w:tcBorders>
                  <w:noWrap w:val="0"/>
                  <w:vAlign w:val="center"/>
                </w:tcPr>
                <w:p w14:paraId="614D4469">
                  <w:pPr>
                    <w:jc w:val="center"/>
                    <w:rPr>
                      <w:rFonts w:hint="default" w:eastAsia="宋体"/>
                      <w:highlight w:val="none"/>
                      <w:lang w:val="en-US" w:eastAsia="zh-CN"/>
                    </w:rPr>
                  </w:pPr>
                  <w:r>
                    <w:rPr>
                      <w:rFonts w:hint="eastAsia"/>
                      <w:highlight w:val="none"/>
                      <w:lang w:val="en-US" w:eastAsia="zh-CN"/>
                    </w:rPr>
                    <w:t>55</w:t>
                  </w:r>
                </w:p>
              </w:tc>
              <w:tc>
                <w:tcPr>
                  <w:tcW w:w="269" w:type="pct"/>
                  <w:tcBorders>
                    <w:tl2br w:val="nil"/>
                    <w:tr2bl w:val="nil"/>
                  </w:tcBorders>
                  <w:noWrap w:val="0"/>
                  <w:vAlign w:val="center"/>
                </w:tcPr>
                <w:p w14:paraId="2D5C8360">
                  <w:pPr>
                    <w:jc w:val="center"/>
                    <w:rPr>
                      <w:rFonts w:hint="default" w:eastAsia="宋体"/>
                      <w:highlight w:val="none"/>
                      <w:lang w:val="en-US" w:eastAsia="zh-CN"/>
                    </w:rPr>
                  </w:pPr>
                  <w:r>
                    <w:rPr>
                      <w:rFonts w:hint="eastAsia"/>
                      <w:highlight w:val="none"/>
                      <w:lang w:val="en-US" w:eastAsia="zh-CN"/>
                    </w:rPr>
                    <w:t>21</w:t>
                  </w:r>
                </w:p>
              </w:tc>
              <w:tc>
                <w:tcPr>
                  <w:tcW w:w="275" w:type="pct"/>
                  <w:tcBorders>
                    <w:tl2br w:val="nil"/>
                    <w:tr2bl w:val="nil"/>
                  </w:tcBorders>
                  <w:noWrap w:val="0"/>
                  <w:vAlign w:val="center"/>
                </w:tcPr>
                <w:p w14:paraId="6E0368E7">
                  <w:pPr>
                    <w:jc w:val="center"/>
                    <w:rPr>
                      <w:rFonts w:hint="eastAsia" w:eastAsia="宋体"/>
                      <w:highlight w:val="none"/>
                      <w:lang w:val="en-US" w:eastAsia="zh-CN"/>
                    </w:rPr>
                  </w:pPr>
                  <w:r>
                    <w:rPr>
                      <w:rFonts w:hint="eastAsia"/>
                      <w:highlight w:val="none"/>
                      <w:lang w:val="en-US" w:eastAsia="zh-CN"/>
                    </w:rPr>
                    <w:t>5</w:t>
                  </w:r>
                </w:p>
              </w:tc>
              <w:tc>
                <w:tcPr>
                  <w:tcW w:w="402" w:type="pct"/>
                  <w:tcBorders>
                    <w:tl2br w:val="nil"/>
                    <w:tr2bl w:val="nil"/>
                  </w:tcBorders>
                  <w:noWrap w:val="0"/>
                  <w:vAlign w:val="center"/>
                </w:tcPr>
                <w:p w14:paraId="4D112C6F">
                  <w:pPr>
                    <w:jc w:val="center"/>
                    <w:rPr>
                      <w:rFonts w:hint="default" w:eastAsia="宋体"/>
                      <w:highlight w:val="none"/>
                      <w:lang w:val="en-US" w:eastAsia="zh-CN"/>
                    </w:rPr>
                  </w:pPr>
                  <w:r>
                    <w:rPr>
                      <w:rFonts w:hint="eastAsia"/>
                      <w:highlight w:val="none"/>
                      <w:lang w:val="en-US" w:eastAsia="zh-CN"/>
                    </w:rPr>
                    <w:t>87.0</w:t>
                  </w:r>
                </w:p>
              </w:tc>
              <w:tc>
                <w:tcPr>
                  <w:tcW w:w="309" w:type="pct"/>
                  <w:tcBorders>
                    <w:tl2br w:val="nil"/>
                    <w:tr2bl w:val="nil"/>
                  </w:tcBorders>
                  <w:noWrap w:val="0"/>
                  <w:vAlign w:val="center"/>
                </w:tcPr>
                <w:p w14:paraId="750C03B3">
                  <w:pPr>
                    <w:jc w:val="center"/>
                    <w:rPr>
                      <w:rFonts w:hint="default"/>
                      <w:highlight w:val="none"/>
                    </w:rPr>
                  </w:pPr>
                  <w:r>
                    <w:rPr>
                      <w:rFonts w:hint="eastAsia"/>
                      <w:highlight w:val="none"/>
                      <w:lang w:val="en-US" w:eastAsia="zh-CN"/>
                    </w:rPr>
                    <w:t>昼间夜间</w:t>
                  </w:r>
                </w:p>
              </w:tc>
              <w:tc>
                <w:tcPr>
                  <w:tcW w:w="391" w:type="pct"/>
                  <w:tcBorders>
                    <w:tl2br w:val="nil"/>
                    <w:tr2bl w:val="nil"/>
                  </w:tcBorders>
                  <w:noWrap w:val="0"/>
                  <w:vAlign w:val="center"/>
                </w:tcPr>
                <w:p w14:paraId="282371E0">
                  <w:pPr>
                    <w:jc w:val="center"/>
                    <w:rPr>
                      <w:rFonts w:hint="default"/>
                      <w:highlight w:val="none"/>
                    </w:rPr>
                  </w:pPr>
                  <w:r>
                    <w:rPr>
                      <w:rFonts w:hint="eastAsia"/>
                      <w:highlight w:val="none"/>
                      <w:lang w:val="en-US" w:eastAsia="zh-CN"/>
                    </w:rPr>
                    <w:t>25</w:t>
                  </w:r>
                </w:p>
              </w:tc>
              <w:tc>
                <w:tcPr>
                  <w:tcW w:w="470" w:type="pct"/>
                  <w:tcBorders>
                    <w:tl2br w:val="nil"/>
                    <w:tr2bl w:val="nil"/>
                  </w:tcBorders>
                  <w:noWrap w:val="0"/>
                  <w:vAlign w:val="center"/>
                </w:tcPr>
                <w:p w14:paraId="1608BF73">
                  <w:pPr>
                    <w:jc w:val="center"/>
                    <w:rPr>
                      <w:rFonts w:hint="default"/>
                      <w:highlight w:val="none"/>
                      <w:lang w:val="en-US" w:eastAsia="zh-CN"/>
                    </w:rPr>
                  </w:pPr>
                  <w:r>
                    <w:rPr>
                      <w:rFonts w:hint="eastAsia"/>
                      <w:highlight w:val="none"/>
                      <w:lang w:val="en-US" w:eastAsia="zh-CN"/>
                    </w:rPr>
                    <w:t>62.0</w:t>
                  </w:r>
                </w:p>
              </w:tc>
              <w:tc>
                <w:tcPr>
                  <w:tcW w:w="328" w:type="pct"/>
                  <w:tcBorders>
                    <w:tl2br w:val="nil"/>
                    <w:tr2bl w:val="nil"/>
                  </w:tcBorders>
                  <w:noWrap w:val="0"/>
                  <w:vAlign w:val="center"/>
                </w:tcPr>
                <w:p w14:paraId="142424EB">
                  <w:pPr>
                    <w:jc w:val="center"/>
                    <w:rPr>
                      <w:rFonts w:hint="default"/>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1m</w:t>
                  </w:r>
                </w:p>
              </w:tc>
            </w:tr>
            <w:tr w14:paraId="7E308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tcBorders>
                    <w:tl2br w:val="nil"/>
                    <w:tr2bl w:val="nil"/>
                  </w:tcBorders>
                  <w:noWrap w:val="0"/>
                  <w:vAlign w:val="center"/>
                </w:tcPr>
                <w:p w14:paraId="25AEA408">
                  <w:pPr>
                    <w:jc w:val="center"/>
                    <w:rPr>
                      <w:rFonts w:hint="eastAsia" w:eastAsia="宋体"/>
                      <w:highlight w:val="none"/>
                      <w:lang w:val="en-US" w:eastAsia="zh-CN"/>
                    </w:rPr>
                  </w:pPr>
                  <w:r>
                    <w:rPr>
                      <w:rFonts w:hint="eastAsia"/>
                      <w:highlight w:val="none"/>
                      <w:lang w:val="en-US" w:eastAsia="zh-CN"/>
                    </w:rPr>
                    <w:t>5</w:t>
                  </w:r>
                </w:p>
              </w:tc>
              <w:tc>
                <w:tcPr>
                  <w:tcW w:w="587" w:type="pct"/>
                  <w:tcBorders>
                    <w:tl2br w:val="nil"/>
                    <w:tr2bl w:val="nil"/>
                  </w:tcBorders>
                  <w:noWrap w:val="0"/>
                  <w:vAlign w:val="center"/>
                </w:tcPr>
                <w:p w14:paraId="6B140815">
                  <w:pPr>
                    <w:jc w:val="center"/>
                    <w:rPr>
                      <w:rFonts w:hint="default"/>
                      <w:highlight w:val="none"/>
                    </w:rPr>
                  </w:pPr>
                  <w:r>
                    <w:rPr>
                      <w:rFonts w:hint="eastAsia"/>
                      <w:b w:val="0"/>
                      <w:bCs w:val="0"/>
                      <w:color w:val="000000"/>
                      <w:kern w:val="2"/>
                      <w:sz w:val="21"/>
                      <w:szCs w:val="21"/>
                      <w:highlight w:val="none"/>
                      <w:vertAlign w:val="baseline"/>
                      <w:lang w:val="en-US" w:eastAsia="zh-CN" w:bidi="ar-SA"/>
                    </w:rPr>
                    <w:t>空压机</w:t>
                  </w:r>
                </w:p>
              </w:tc>
              <w:tc>
                <w:tcPr>
                  <w:tcW w:w="367" w:type="pct"/>
                  <w:tcBorders>
                    <w:tl2br w:val="nil"/>
                    <w:tr2bl w:val="nil"/>
                  </w:tcBorders>
                  <w:noWrap w:val="0"/>
                  <w:vAlign w:val="center"/>
                </w:tcPr>
                <w:p w14:paraId="5794E207">
                  <w:pPr>
                    <w:jc w:val="center"/>
                    <w:rPr>
                      <w:rFonts w:hint="default"/>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2</w:t>
                  </w:r>
                </w:p>
              </w:tc>
              <w:tc>
                <w:tcPr>
                  <w:tcW w:w="433" w:type="pct"/>
                  <w:tcBorders>
                    <w:tl2br w:val="nil"/>
                    <w:tr2bl w:val="nil"/>
                  </w:tcBorders>
                  <w:noWrap w:val="0"/>
                  <w:vAlign w:val="center"/>
                </w:tcPr>
                <w:p w14:paraId="037F4DE9">
                  <w:pPr>
                    <w:jc w:val="center"/>
                    <w:rPr>
                      <w:rFonts w:hint="default" w:eastAsia="宋体"/>
                      <w:highlight w:val="none"/>
                      <w:lang w:val="en-US" w:eastAsia="zh-CN"/>
                    </w:rPr>
                  </w:pPr>
                  <w:r>
                    <w:rPr>
                      <w:rFonts w:hint="eastAsia"/>
                      <w:highlight w:val="none"/>
                      <w:lang w:val="en-US" w:eastAsia="zh-CN"/>
                    </w:rPr>
                    <w:t>90</w:t>
                  </w:r>
                </w:p>
              </w:tc>
              <w:tc>
                <w:tcPr>
                  <w:tcW w:w="591" w:type="pct"/>
                  <w:vMerge w:val="continue"/>
                  <w:tcBorders>
                    <w:tl2br w:val="nil"/>
                    <w:tr2bl w:val="nil"/>
                  </w:tcBorders>
                  <w:noWrap w:val="0"/>
                  <w:vAlign w:val="center"/>
                </w:tcPr>
                <w:p w14:paraId="6A9B46C5">
                  <w:pPr>
                    <w:jc w:val="center"/>
                    <w:rPr>
                      <w:rFonts w:hint="default"/>
                      <w:highlight w:val="none"/>
                    </w:rPr>
                  </w:pPr>
                </w:p>
              </w:tc>
              <w:tc>
                <w:tcPr>
                  <w:tcW w:w="281" w:type="pct"/>
                  <w:tcBorders>
                    <w:tl2br w:val="nil"/>
                    <w:tr2bl w:val="nil"/>
                  </w:tcBorders>
                  <w:noWrap w:val="0"/>
                  <w:vAlign w:val="center"/>
                </w:tcPr>
                <w:p w14:paraId="6B4D412F">
                  <w:pPr>
                    <w:jc w:val="center"/>
                    <w:rPr>
                      <w:rFonts w:hint="default" w:eastAsia="宋体"/>
                      <w:highlight w:val="none"/>
                      <w:lang w:val="en-US" w:eastAsia="zh-CN"/>
                    </w:rPr>
                  </w:pPr>
                  <w:r>
                    <w:rPr>
                      <w:rFonts w:hint="eastAsia"/>
                      <w:highlight w:val="none"/>
                      <w:lang w:val="en-US" w:eastAsia="zh-CN"/>
                    </w:rPr>
                    <w:t>60</w:t>
                  </w:r>
                </w:p>
              </w:tc>
              <w:tc>
                <w:tcPr>
                  <w:tcW w:w="269" w:type="pct"/>
                  <w:tcBorders>
                    <w:tl2br w:val="nil"/>
                    <w:tr2bl w:val="nil"/>
                  </w:tcBorders>
                  <w:noWrap w:val="0"/>
                  <w:vAlign w:val="center"/>
                </w:tcPr>
                <w:p w14:paraId="7C20B7C6">
                  <w:pPr>
                    <w:jc w:val="center"/>
                    <w:rPr>
                      <w:rFonts w:hint="default" w:eastAsia="宋体"/>
                      <w:highlight w:val="none"/>
                      <w:lang w:val="en-US" w:eastAsia="zh-CN"/>
                    </w:rPr>
                  </w:pPr>
                  <w:r>
                    <w:rPr>
                      <w:rFonts w:hint="eastAsia"/>
                      <w:highlight w:val="none"/>
                      <w:lang w:val="en-US" w:eastAsia="zh-CN"/>
                    </w:rPr>
                    <w:t>22</w:t>
                  </w:r>
                </w:p>
              </w:tc>
              <w:tc>
                <w:tcPr>
                  <w:tcW w:w="275" w:type="pct"/>
                  <w:tcBorders>
                    <w:tl2br w:val="nil"/>
                    <w:tr2bl w:val="nil"/>
                  </w:tcBorders>
                  <w:noWrap w:val="0"/>
                  <w:vAlign w:val="center"/>
                </w:tcPr>
                <w:p w14:paraId="507BB3D1">
                  <w:pPr>
                    <w:jc w:val="center"/>
                    <w:rPr>
                      <w:rFonts w:hint="eastAsia" w:eastAsia="宋体"/>
                      <w:highlight w:val="none"/>
                      <w:lang w:val="en-US" w:eastAsia="zh-CN"/>
                    </w:rPr>
                  </w:pPr>
                  <w:r>
                    <w:rPr>
                      <w:rFonts w:hint="eastAsia"/>
                      <w:highlight w:val="none"/>
                      <w:lang w:val="en-US" w:eastAsia="zh-CN"/>
                    </w:rPr>
                    <w:t>5</w:t>
                  </w:r>
                </w:p>
              </w:tc>
              <w:tc>
                <w:tcPr>
                  <w:tcW w:w="402" w:type="pct"/>
                  <w:tcBorders>
                    <w:tl2br w:val="nil"/>
                    <w:tr2bl w:val="nil"/>
                  </w:tcBorders>
                  <w:noWrap w:val="0"/>
                  <w:vAlign w:val="center"/>
                </w:tcPr>
                <w:p w14:paraId="60F3FD6A">
                  <w:pPr>
                    <w:jc w:val="center"/>
                    <w:rPr>
                      <w:rFonts w:hint="default" w:eastAsia="宋体"/>
                      <w:highlight w:val="none"/>
                      <w:lang w:val="en-US" w:eastAsia="zh-CN"/>
                    </w:rPr>
                  </w:pPr>
                  <w:r>
                    <w:rPr>
                      <w:rFonts w:hint="eastAsia"/>
                      <w:highlight w:val="none"/>
                      <w:lang w:val="en-US" w:eastAsia="zh-CN"/>
                    </w:rPr>
                    <w:t>93.0</w:t>
                  </w:r>
                </w:p>
              </w:tc>
              <w:tc>
                <w:tcPr>
                  <w:tcW w:w="309" w:type="pct"/>
                  <w:tcBorders>
                    <w:tl2br w:val="nil"/>
                    <w:tr2bl w:val="nil"/>
                  </w:tcBorders>
                  <w:noWrap w:val="0"/>
                  <w:vAlign w:val="center"/>
                </w:tcPr>
                <w:p w14:paraId="4F43CCEB">
                  <w:pPr>
                    <w:jc w:val="center"/>
                    <w:rPr>
                      <w:rFonts w:hint="default"/>
                      <w:highlight w:val="none"/>
                    </w:rPr>
                  </w:pPr>
                  <w:r>
                    <w:rPr>
                      <w:rFonts w:hint="eastAsia"/>
                      <w:highlight w:val="none"/>
                      <w:lang w:val="en-US" w:eastAsia="zh-CN"/>
                    </w:rPr>
                    <w:t>昼间夜间</w:t>
                  </w:r>
                </w:p>
              </w:tc>
              <w:tc>
                <w:tcPr>
                  <w:tcW w:w="391" w:type="pct"/>
                  <w:tcBorders>
                    <w:tl2br w:val="nil"/>
                    <w:tr2bl w:val="nil"/>
                  </w:tcBorders>
                  <w:noWrap w:val="0"/>
                  <w:vAlign w:val="center"/>
                </w:tcPr>
                <w:p w14:paraId="13D47432">
                  <w:pPr>
                    <w:jc w:val="center"/>
                    <w:rPr>
                      <w:rFonts w:hint="default"/>
                      <w:highlight w:val="none"/>
                    </w:rPr>
                  </w:pPr>
                  <w:r>
                    <w:rPr>
                      <w:rFonts w:hint="eastAsia"/>
                      <w:highlight w:val="none"/>
                      <w:lang w:val="en-US" w:eastAsia="zh-CN"/>
                    </w:rPr>
                    <w:t>25</w:t>
                  </w:r>
                </w:p>
              </w:tc>
              <w:tc>
                <w:tcPr>
                  <w:tcW w:w="470" w:type="pct"/>
                  <w:tcBorders>
                    <w:tl2br w:val="nil"/>
                    <w:tr2bl w:val="nil"/>
                  </w:tcBorders>
                  <w:noWrap w:val="0"/>
                  <w:vAlign w:val="center"/>
                </w:tcPr>
                <w:p w14:paraId="36FEC740">
                  <w:pPr>
                    <w:jc w:val="center"/>
                    <w:rPr>
                      <w:rFonts w:hint="default"/>
                      <w:highlight w:val="none"/>
                      <w:lang w:val="en-US" w:eastAsia="zh-CN"/>
                    </w:rPr>
                  </w:pPr>
                  <w:r>
                    <w:rPr>
                      <w:rFonts w:hint="eastAsia"/>
                      <w:highlight w:val="none"/>
                      <w:lang w:val="en-US" w:eastAsia="zh-CN"/>
                    </w:rPr>
                    <w:t>68.0</w:t>
                  </w:r>
                </w:p>
              </w:tc>
              <w:tc>
                <w:tcPr>
                  <w:tcW w:w="328" w:type="pct"/>
                  <w:tcBorders>
                    <w:tl2br w:val="nil"/>
                    <w:tr2bl w:val="nil"/>
                  </w:tcBorders>
                  <w:noWrap w:val="0"/>
                  <w:vAlign w:val="center"/>
                </w:tcPr>
                <w:p w14:paraId="6282BE0D">
                  <w:pPr>
                    <w:jc w:val="center"/>
                    <w:rPr>
                      <w:rFonts w:hint="default"/>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1m</w:t>
                  </w:r>
                </w:p>
              </w:tc>
            </w:tr>
            <w:tr w14:paraId="00011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tcBorders>
                    <w:tl2br w:val="nil"/>
                    <w:tr2bl w:val="nil"/>
                  </w:tcBorders>
                  <w:noWrap w:val="0"/>
                  <w:vAlign w:val="center"/>
                </w:tcPr>
                <w:p w14:paraId="781FBD9A">
                  <w:pPr>
                    <w:jc w:val="center"/>
                    <w:rPr>
                      <w:rFonts w:hint="eastAsia" w:eastAsia="宋体"/>
                      <w:highlight w:val="none"/>
                      <w:lang w:val="en-US" w:eastAsia="zh-CN"/>
                    </w:rPr>
                  </w:pPr>
                  <w:r>
                    <w:rPr>
                      <w:rFonts w:hint="eastAsia"/>
                      <w:highlight w:val="none"/>
                      <w:lang w:val="en-US" w:eastAsia="zh-CN"/>
                    </w:rPr>
                    <w:t>6</w:t>
                  </w:r>
                </w:p>
              </w:tc>
              <w:tc>
                <w:tcPr>
                  <w:tcW w:w="587" w:type="pct"/>
                  <w:tcBorders>
                    <w:tl2br w:val="nil"/>
                    <w:tr2bl w:val="nil"/>
                  </w:tcBorders>
                  <w:shd w:val="clear" w:color="auto" w:fill="auto"/>
                  <w:noWrap w:val="0"/>
                  <w:vAlign w:val="center"/>
                </w:tcPr>
                <w:p w14:paraId="525BAEC2">
                  <w:pPr>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挤出机</w:t>
                  </w:r>
                </w:p>
              </w:tc>
              <w:tc>
                <w:tcPr>
                  <w:tcW w:w="367" w:type="pct"/>
                  <w:tcBorders>
                    <w:tl2br w:val="nil"/>
                    <w:tr2bl w:val="nil"/>
                  </w:tcBorders>
                  <w:shd w:val="clear" w:color="auto" w:fill="auto"/>
                  <w:noWrap w:val="0"/>
                  <w:vAlign w:val="center"/>
                </w:tcPr>
                <w:p w14:paraId="60FCD077">
                  <w:pPr>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7</w:t>
                  </w:r>
                </w:p>
              </w:tc>
              <w:tc>
                <w:tcPr>
                  <w:tcW w:w="433" w:type="pct"/>
                  <w:tcBorders>
                    <w:tl2br w:val="nil"/>
                    <w:tr2bl w:val="nil"/>
                  </w:tcBorders>
                  <w:noWrap w:val="0"/>
                  <w:vAlign w:val="center"/>
                </w:tcPr>
                <w:p w14:paraId="318CE805">
                  <w:pPr>
                    <w:jc w:val="center"/>
                    <w:rPr>
                      <w:rFonts w:hint="default" w:eastAsia="宋体"/>
                      <w:highlight w:val="none"/>
                      <w:lang w:val="en-US" w:eastAsia="zh-CN"/>
                    </w:rPr>
                  </w:pPr>
                  <w:r>
                    <w:rPr>
                      <w:rFonts w:hint="eastAsia"/>
                      <w:highlight w:val="none"/>
                      <w:lang w:val="en-US" w:eastAsia="zh-CN"/>
                    </w:rPr>
                    <w:t>75</w:t>
                  </w:r>
                </w:p>
              </w:tc>
              <w:tc>
                <w:tcPr>
                  <w:tcW w:w="591" w:type="pct"/>
                  <w:vMerge w:val="continue"/>
                  <w:tcBorders>
                    <w:tl2br w:val="nil"/>
                    <w:tr2bl w:val="nil"/>
                  </w:tcBorders>
                  <w:noWrap w:val="0"/>
                  <w:vAlign w:val="center"/>
                </w:tcPr>
                <w:p w14:paraId="537F2921">
                  <w:pPr>
                    <w:jc w:val="center"/>
                    <w:rPr>
                      <w:rFonts w:hint="default"/>
                      <w:highlight w:val="none"/>
                    </w:rPr>
                  </w:pPr>
                </w:p>
              </w:tc>
              <w:tc>
                <w:tcPr>
                  <w:tcW w:w="281" w:type="pct"/>
                  <w:tcBorders>
                    <w:tl2br w:val="nil"/>
                    <w:tr2bl w:val="nil"/>
                  </w:tcBorders>
                  <w:noWrap w:val="0"/>
                  <w:vAlign w:val="center"/>
                </w:tcPr>
                <w:p w14:paraId="4C3E462D">
                  <w:pPr>
                    <w:jc w:val="center"/>
                    <w:rPr>
                      <w:rFonts w:hint="default" w:eastAsia="宋体"/>
                      <w:highlight w:val="none"/>
                      <w:lang w:val="en-US" w:eastAsia="zh-CN"/>
                    </w:rPr>
                  </w:pPr>
                  <w:r>
                    <w:rPr>
                      <w:rFonts w:hint="eastAsia"/>
                      <w:highlight w:val="none"/>
                      <w:lang w:val="en-US" w:eastAsia="zh-CN"/>
                    </w:rPr>
                    <w:t>37</w:t>
                  </w:r>
                </w:p>
              </w:tc>
              <w:tc>
                <w:tcPr>
                  <w:tcW w:w="269" w:type="pct"/>
                  <w:tcBorders>
                    <w:tl2br w:val="nil"/>
                    <w:tr2bl w:val="nil"/>
                  </w:tcBorders>
                  <w:noWrap w:val="0"/>
                  <w:vAlign w:val="center"/>
                </w:tcPr>
                <w:p w14:paraId="09270ED7">
                  <w:pPr>
                    <w:jc w:val="center"/>
                    <w:rPr>
                      <w:rFonts w:hint="default" w:eastAsia="宋体"/>
                      <w:highlight w:val="none"/>
                      <w:lang w:val="en-US" w:eastAsia="zh-CN"/>
                    </w:rPr>
                  </w:pPr>
                  <w:r>
                    <w:rPr>
                      <w:rFonts w:hint="eastAsia"/>
                      <w:highlight w:val="none"/>
                      <w:lang w:val="en-US" w:eastAsia="zh-CN"/>
                    </w:rPr>
                    <w:t>24</w:t>
                  </w:r>
                </w:p>
              </w:tc>
              <w:tc>
                <w:tcPr>
                  <w:tcW w:w="275" w:type="pct"/>
                  <w:tcBorders>
                    <w:tl2br w:val="nil"/>
                    <w:tr2bl w:val="nil"/>
                  </w:tcBorders>
                  <w:noWrap w:val="0"/>
                  <w:vAlign w:val="center"/>
                </w:tcPr>
                <w:p w14:paraId="3075CBF8">
                  <w:pPr>
                    <w:jc w:val="center"/>
                    <w:rPr>
                      <w:rFonts w:hint="default" w:eastAsia="宋体"/>
                      <w:highlight w:val="none"/>
                      <w:lang w:val="en-US" w:eastAsia="zh-CN"/>
                    </w:rPr>
                  </w:pPr>
                  <w:r>
                    <w:rPr>
                      <w:rFonts w:hint="eastAsia"/>
                      <w:highlight w:val="none"/>
                      <w:lang w:val="en-US" w:eastAsia="zh-CN"/>
                    </w:rPr>
                    <w:t>10</w:t>
                  </w:r>
                </w:p>
              </w:tc>
              <w:tc>
                <w:tcPr>
                  <w:tcW w:w="402" w:type="pct"/>
                  <w:tcBorders>
                    <w:tl2br w:val="nil"/>
                    <w:tr2bl w:val="nil"/>
                  </w:tcBorders>
                  <w:noWrap w:val="0"/>
                  <w:vAlign w:val="center"/>
                </w:tcPr>
                <w:p w14:paraId="0943360E">
                  <w:pPr>
                    <w:jc w:val="center"/>
                    <w:rPr>
                      <w:rFonts w:hint="default" w:eastAsia="宋体"/>
                      <w:highlight w:val="none"/>
                      <w:lang w:val="en-US" w:eastAsia="zh-CN"/>
                    </w:rPr>
                  </w:pPr>
                  <w:r>
                    <w:rPr>
                      <w:rFonts w:hint="eastAsia"/>
                      <w:highlight w:val="none"/>
                      <w:lang w:val="en-US" w:eastAsia="zh-CN"/>
                    </w:rPr>
                    <w:t>83.5</w:t>
                  </w:r>
                </w:p>
              </w:tc>
              <w:tc>
                <w:tcPr>
                  <w:tcW w:w="309" w:type="pct"/>
                  <w:tcBorders>
                    <w:tl2br w:val="nil"/>
                    <w:tr2bl w:val="nil"/>
                  </w:tcBorders>
                  <w:noWrap w:val="0"/>
                  <w:vAlign w:val="center"/>
                </w:tcPr>
                <w:p w14:paraId="39F6A35A">
                  <w:pPr>
                    <w:jc w:val="center"/>
                    <w:rPr>
                      <w:rFonts w:hint="default"/>
                      <w:highlight w:val="none"/>
                    </w:rPr>
                  </w:pPr>
                  <w:r>
                    <w:rPr>
                      <w:rFonts w:hint="eastAsia"/>
                      <w:highlight w:val="none"/>
                      <w:lang w:val="en-US" w:eastAsia="zh-CN"/>
                    </w:rPr>
                    <w:t>昼间夜间</w:t>
                  </w:r>
                </w:p>
              </w:tc>
              <w:tc>
                <w:tcPr>
                  <w:tcW w:w="391" w:type="pct"/>
                  <w:tcBorders>
                    <w:tl2br w:val="nil"/>
                    <w:tr2bl w:val="nil"/>
                  </w:tcBorders>
                  <w:noWrap w:val="0"/>
                  <w:vAlign w:val="center"/>
                </w:tcPr>
                <w:p w14:paraId="57EB3780">
                  <w:pPr>
                    <w:jc w:val="center"/>
                    <w:rPr>
                      <w:rFonts w:hint="default"/>
                      <w:highlight w:val="none"/>
                    </w:rPr>
                  </w:pPr>
                  <w:r>
                    <w:rPr>
                      <w:rFonts w:hint="eastAsia"/>
                      <w:highlight w:val="none"/>
                      <w:lang w:val="en-US" w:eastAsia="zh-CN"/>
                    </w:rPr>
                    <w:t>25</w:t>
                  </w:r>
                </w:p>
              </w:tc>
              <w:tc>
                <w:tcPr>
                  <w:tcW w:w="470" w:type="pct"/>
                  <w:tcBorders>
                    <w:tl2br w:val="nil"/>
                    <w:tr2bl w:val="nil"/>
                  </w:tcBorders>
                  <w:noWrap w:val="0"/>
                  <w:vAlign w:val="center"/>
                </w:tcPr>
                <w:p w14:paraId="5FBD20F6">
                  <w:pPr>
                    <w:jc w:val="center"/>
                    <w:rPr>
                      <w:rFonts w:hint="default"/>
                      <w:highlight w:val="none"/>
                      <w:lang w:val="en-US" w:eastAsia="zh-CN"/>
                    </w:rPr>
                  </w:pPr>
                  <w:r>
                    <w:rPr>
                      <w:rFonts w:hint="eastAsia"/>
                      <w:highlight w:val="none"/>
                      <w:lang w:val="en-US" w:eastAsia="zh-CN"/>
                    </w:rPr>
                    <w:t>58.5</w:t>
                  </w:r>
                </w:p>
              </w:tc>
              <w:tc>
                <w:tcPr>
                  <w:tcW w:w="328" w:type="pct"/>
                  <w:tcBorders>
                    <w:tl2br w:val="nil"/>
                    <w:tr2bl w:val="nil"/>
                  </w:tcBorders>
                  <w:noWrap w:val="0"/>
                  <w:vAlign w:val="center"/>
                </w:tcPr>
                <w:p w14:paraId="1DD362F6">
                  <w:pPr>
                    <w:jc w:val="center"/>
                    <w:rPr>
                      <w:rFonts w:hint="default"/>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1m</w:t>
                  </w:r>
                </w:p>
              </w:tc>
            </w:tr>
            <w:tr w14:paraId="5E6AC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vAlign w:val="center"/>
                </w:tcPr>
                <w:p w14:paraId="7B47DA5F">
                  <w:pPr>
                    <w:jc w:val="center"/>
                    <w:rPr>
                      <w:rFonts w:hint="eastAsia" w:eastAsia="宋体"/>
                      <w:highlight w:val="none"/>
                      <w:lang w:val="en-US" w:eastAsia="zh-CN"/>
                    </w:rPr>
                  </w:pPr>
                  <w:r>
                    <w:rPr>
                      <w:rFonts w:hint="eastAsia"/>
                      <w:highlight w:val="none"/>
                      <w:lang w:val="en-US" w:eastAsia="zh-CN"/>
                    </w:rPr>
                    <w:t>7</w:t>
                  </w:r>
                </w:p>
              </w:tc>
              <w:tc>
                <w:tcPr>
                  <w:tcW w:w="587" w:type="pct"/>
                  <w:shd w:val="clear" w:color="auto" w:fill="auto"/>
                  <w:vAlign w:val="center"/>
                </w:tcPr>
                <w:p w14:paraId="1F8D291E">
                  <w:pPr>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成型机</w:t>
                  </w:r>
                </w:p>
              </w:tc>
              <w:tc>
                <w:tcPr>
                  <w:tcW w:w="367" w:type="pct"/>
                  <w:shd w:val="clear" w:color="auto" w:fill="auto"/>
                  <w:vAlign w:val="center"/>
                </w:tcPr>
                <w:p w14:paraId="5AFD1C5D">
                  <w:pPr>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kern w:val="2"/>
                      <w:sz w:val="21"/>
                      <w:szCs w:val="21"/>
                      <w:highlight w:val="none"/>
                      <w:vertAlign w:val="baseline"/>
                      <w:lang w:val="en-US" w:eastAsia="zh-CN" w:bidi="ar-SA"/>
                    </w:rPr>
                    <w:t>7</w:t>
                  </w:r>
                </w:p>
              </w:tc>
              <w:tc>
                <w:tcPr>
                  <w:tcW w:w="433" w:type="pct"/>
                  <w:vAlign w:val="center"/>
                </w:tcPr>
                <w:p w14:paraId="3BE48F5D">
                  <w:pPr>
                    <w:jc w:val="center"/>
                    <w:rPr>
                      <w:rFonts w:hint="default" w:eastAsia="宋体"/>
                      <w:highlight w:val="none"/>
                      <w:lang w:val="en-US" w:eastAsia="zh-CN"/>
                    </w:rPr>
                  </w:pPr>
                  <w:r>
                    <w:rPr>
                      <w:rFonts w:hint="eastAsia"/>
                      <w:highlight w:val="none"/>
                      <w:lang w:val="en-US" w:eastAsia="zh-CN"/>
                    </w:rPr>
                    <w:t>75</w:t>
                  </w:r>
                </w:p>
              </w:tc>
              <w:tc>
                <w:tcPr>
                  <w:tcW w:w="591" w:type="pct"/>
                  <w:vMerge w:val="continue"/>
                  <w:vAlign w:val="center"/>
                </w:tcPr>
                <w:p w14:paraId="3B8D4A12">
                  <w:pPr>
                    <w:jc w:val="center"/>
                    <w:rPr>
                      <w:rFonts w:hint="default"/>
                      <w:highlight w:val="none"/>
                    </w:rPr>
                  </w:pPr>
                </w:p>
              </w:tc>
              <w:tc>
                <w:tcPr>
                  <w:tcW w:w="281" w:type="pct"/>
                  <w:vAlign w:val="center"/>
                </w:tcPr>
                <w:p w14:paraId="73DBDA08">
                  <w:pPr>
                    <w:jc w:val="center"/>
                    <w:rPr>
                      <w:rFonts w:hint="default" w:eastAsia="宋体"/>
                      <w:highlight w:val="none"/>
                      <w:lang w:val="en-US" w:eastAsia="zh-CN"/>
                    </w:rPr>
                  </w:pPr>
                  <w:r>
                    <w:rPr>
                      <w:rFonts w:hint="eastAsia"/>
                      <w:highlight w:val="none"/>
                      <w:lang w:val="en-US" w:eastAsia="zh-CN"/>
                    </w:rPr>
                    <w:t>37</w:t>
                  </w:r>
                </w:p>
              </w:tc>
              <w:tc>
                <w:tcPr>
                  <w:tcW w:w="269" w:type="pct"/>
                  <w:vAlign w:val="center"/>
                </w:tcPr>
                <w:p w14:paraId="4035610A">
                  <w:pPr>
                    <w:jc w:val="center"/>
                    <w:rPr>
                      <w:rFonts w:hint="default" w:eastAsia="宋体"/>
                      <w:highlight w:val="none"/>
                      <w:lang w:val="en-US" w:eastAsia="zh-CN"/>
                    </w:rPr>
                  </w:pPr>
                  <w:r>
                    <w:rPr>
                      <w:rFonts w:hint="eastAsia"/>
                      <w:highlight w:val="none"/>
                      <w:lang w:val="en-US" w:eastAsia="zh-CN"/>
                    </w:rPr>
                    <w:t>21</w:t>
                  </w:r>
                </w:p>
              </w:tc>
              <w:tc>
                <w:tcPr>
                  <w:tcW w:w="275" w:type="pct"/>
                  <w:vAlign w:val="center"/>
                </w:tcPr>
                <w:p w14:paraId="2113D24C">
                  <w:pPr>
                    <w:jc w:val="center"/>
                    <w:rPr>
                      <w:rFonts w:hint="default" w:eastAsia="宋体"/>
                      <w:highlight w:val="none"/>
                      <w:lang w:val="en-US" w:eastAsia="zh-CN"/>
                    </w:rPr>
                  </w:pPr>
                  <w:r>
                    <w:rPr>
                      <w:rFonts w:hint="eastAsia"/>
                      <w:highlight w:val="none"/>
                      <w:lang w:val="en-US" w:eastAsia="zh-CN"/>
                    </w:rPr>
                    <w:t>10</w:t>
                  </w:r>
                </w:p>
              </w:tc>
              <w:tc>
                <w:tcPr>
                  <w:tcW w:w="402" w:type="pct"/>
                  <w:vAlign w:val="center"/>
                </w:tcPr>
                <w:p w14:paraId="06FD2D5A">
                  <w:pPr>
                    <w:jc w:val="center"/>
                    <w:rPr>
                      <w:rFonts w:hint="default"/>
                      <w:highlight w:val="none"/>
                    </w:rPr>
                  </w:pPr>
                  <w:r>
                    <w:rPr>
                      <w:rFonts w:hint="eastAsia"/>
                      <w:highlight w:val="none"/>
                      <w:lang w:val="en-US" w:eastAsia="zh-CN"/>
                    </w:rPr>
                    <w:t>83.5</w:t>
                  </w:r>
                </w:p>
              </w:tc>
              <w:tc>
                <w:tcPr>
                  <w:tcW w:w="309" w:type="pct"/>
                  <w:vAlign w:val="center"/>
                </w:tcPr>
                <w:p w14:paraId="1D7D1A7A">
                  <w:pPr>
                    <w:jc w:val="center"/>
                    <w:rPr>
                      <w:rFonts w:hint="default"/>
                      <w:highlight w:val="none"/>
                    </w:rPr>
                  </w:pPr>
                  <w:r>
                    <w:rPr>
                      <w:rFonts w:hint="eastAsia"/>
                      <w:highlight w:val="none"/>
                      <w:lang w:val="en-US" w:eastAsia="zh-CN"/>
                    </w:rPr>
                    <w:t>昼间夜间</w:t>
                  </w:r>
                </w:p>
              </w:tc>
              <w:tc>
                <w:tcPr>
                  <w:tcW w:w="391" w:type="pct"/>
                  <w:vAlign w:val="center"/>
                </w:tcPr>
                <w:p w14:paraId="39016534">
                  <w:pPr>
                    <w:jc w:val="center"/>
                    <w:rPr>
                      <w:rFonts w:hint="default"/>
                      <w:highlight w:val="none"/>
                    </w:rPr>
                  </w:pPr>
                  <w:r>
                    <w:rPr>
                      <w:rFonts w:hint="eastAsia"/>
                      <w:highlight w:val="none"/>
                      <w:lang w:val="en-US" w:eastAsia="zh-CN"/>
                    </w:rPr>
                    <w:t>25</w:t>
                  </w:r>
                </w:p>
              </w:tc>
              <w:tc>
                <w:tcPr>
                  <w:tcW w:w="470" w:type="pct"/>
                  <w:vAlign w:val="center"/>
                </w:tcPr>
                <w:p w14:paraId="7C7180BD">
                  <w:pPr>
                    <w:jc w:val="center"/>
                    <w:rPr>
                      <w:rFonts w:hint="default"/>
                      <w:highlight w:val="none"/>
                      <w:lang w:val="en-US" w:eastAsia="zh-CN"/>
                    </w:rPr>
                  </w:pPr>
                  <w:r>
                    <w:rPr>
                      <w:rFonts w:hint="eastAsia"/>
                      <w:highlight w:val="none"/>
                      <w:lang w:val="en-US" w:eastAsia="zh-CN"/>
                    </w:rPr>
                    <w:t>58.5</w:t>
                  </w:r>
                </w:p>
              </w:tc>
              <w:tc>
                <w:tcPr>
                  <w:tcW w:w="328" w:type="pct"/>
                  <w:vAlign w:val="center"/>
                </w:tcPr>
                <w:p w14:paraId="523DFB4F">
                  <w:pPr>
                    <w:jc w:val="center"/>
                    <w:rPr>
                      <w:rFonts w:hint="default"/>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1m</w:t>
                  </w:r>
                </w:p>
              </w:tc>
            </w:tr>
            <w:tr w14:paraId="034B9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vAlign w:val="center"/>
                </w:tcPr>
                <w:p w14:paraId="0C21733B">
                  <w:pPr>
                    <w:jc w:val="center"/>
                    <w:rPr>
                      <w:rFonts w:hint="eastAsia" w:eastAsia="宋体"/>
                      <w:highlight w:val="none"/>
                      <w:lang w:val="en-US" w:eastAsia="zh-CN"/>
                    </w:rPr>
                  </w:pPr>
                  <w:r>
                    <w:rPr>
                      <w:rFonts w:hint="eastAsia"/>
                      <w:highlight w:val="none"/>
                      <w:lang w:val="en-US" w:eastAsia="zh-CN"/>
                    </w:rPr>
                    <w:t>8</w:t>
                  </w:r>
                </w:p>
              </w:tc>
              <w:tc>
                <w:tcPr>
                  <w:tcW w:w="587" w:type="pct"/>
                  <w:shd w:val="clear" w:color="auto" w:fill="auto"/>
                  <w:vAlign w:val="center"/>
                </w:tcPr>
                <w:p w14:paraId="79FBC985">
                  <w:pPr>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sz w:val="21"/>
                      <w:szCs w:val="21"/>
                      <w:highlight w:val="none"/>
                      <w:vertAlign w:val="baseline"/>
                      <w:lang w:val="en-US" w:eastAsia="zh-CN"/>
                    </w:rPr>
                    <w:t>打孔机</w:t>
                  </w:r>
                </w:p>
              </w:tc>
              <w:tc>
                <w:tcPr>
                  <w:tcW w:w="367" w:type="pct"/>
                  <w:shd w:val="clear" w:color="auto" w:fill="auto"/>
                  <w:vAlign w:val="center"/>
                </w:tcPr>
                <w:p w14:paraId="14E0EEA6">
                  <w:pPr>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b w:val="0"/>
                      <w:bCs w:val="0"/>
                      <w:color w:val="000000"/>
                      <w:sz w:val="21"/>
                      <w:szCs w:val="21"/>
                      <w:highlight w:val="none"/>
                      <w:vertAlign w:val="baseline"/>
                      <w:lang w:val="en-US" w:eastAsia="zh-CN"/>
                    </w:rPr>
                    <w:t>7</w:t>
                  </w:r>
                </w:p>
              </w:tc>
              <w:tc>
                <w:tcPr>
                  <w:tcW w:w="433" w:type="pct"/>
                  <w:vAlign w:val="center"/>
                </w:tcPr>
                <w:p w14:paraId="1DE69428">
                  <w:pPr>
                    <w:jc w:val="center"/>
                    <w:rPr>
                      <w:rFonts w:hint="default" w:eastAsia="宋体"/>
                      <w:highlight w:val="none"/>
                      <w:lang w:val="en-US" w:eastAsia="zh-CN"/>
                    </w:rPr>
                  </w:pPr>
                  <w:r>
                    <w:rPr>
                      <w:rFonts w:hint="eastAsia"/>
                      <w:highlight w:val="none"/>
                      <w:lang w:val="en-US" w:eastAsia="zh-CN"/>
                    </w:rPr>
                    <w:t>80</w:t>
                  </w:r>
                </w:p>
              </w:tc>
              <w:tc>
                <w:tcPr>
                  <w:tcW w:w="591" w:type="pct"/>
                  <w:vMerge w:val="continue"/>
                  <w:vAlign w:val="center"/>
                </w:tcPr>
                <w:p w14:paraId="2F529A38">
                  <w:pPr>
                    <w:jc w:val="center"/>
                    <w:rPr>
                      <w:rFonts w:hint="default"/>
                      <w:highlight w:val="none"/>
                    </w:rPr>
                  </w:pPr>
                </w:p>
              </w:tc>
              <w:tc>
                <w:tcPr>
                  <w:tcW w:w="281" w:type="pct"/>
                  <w:vAlign w:val="center"/>
                </w:tcPr>
                <w:p w14:paraId="72CB4FD2">
                  <w:pPr>
                    <w:jc w:val="center"/>
                    <w:rPr>
                      <w:rFonts w:hint="default"/>
                      <w:highlight w:val="none"/>
                    </w:rPr>
                  </w:pPr>
                  <w:r>
                    <w:rPr>
                      <w:rFonts w:hint="eastAsia"/>
                      <w:highlight w:val="none"/>
                      <w:lang w:val="en-US" w:eastAsia="zh-CN"/>
                    </w:rPr>
                    <w:t>37</w:t>
                  </w:r>
                </w:p>
              </w:tc>
              <w:tc>
                <w:tcPr>
                  <w:tcW w:w="269" w:type="pct"/>
                  <w:vAlign w:val="center"/>
                </w:tcPr>
                <w:p w14:paraId="1F528979">
                  <w:pPr>
                    <w:jc w:val="center"/>
                    <w:rPr>
                      <w:rFonts w:hint="default" w:eastAsia="宋体"/>
                      <w:highlight w:val="none"/>
                      <w:lang w:val="en-US" w:eastAsia="zh-CN"/>
                    </w:rPr>
                  </w:pPr>
                  <w:r>
                    <w:rPr>
                      <w:rFonts w:hint="eastAsia"/>
                      <w:highlight w:val="none"/>
                      <w:lang w:val="en-US" w:eastAsia="zh-CN"/>
                    </w:rPr>
                    <w:t>18</w:t>
                  </w:r>
                </w:p>
              </w:tc>
              <w:tc>
                <w:tcPr>
                  <w:tcW w:w="275" w:type="pct"/>
                  <w:vAlign w:val="center"/>
                </w:tcPr>
                <w:p w14:paraId="15D9D419">
                  <w:pPr>
                    <w:jc w:val="center"/>
                    <w:rPr>
                      <w:rFonts w:hint="default" w:eastAsia="宋体"/>
                      <w:highlight w:val="none"/>
                      <w:lang w:val="en-US" w:eastAsia="zh-CN"/>
                    </w:rPr>
                  </w:pPr>
                  <w:r>
                    <w:rPr>
                      <w:rFonts w:hint="eastAsia"/>
                      <w:highlight w:val="none"/>
                      <w:lang w:val="en-US" w:eastAsia="zh-CN"/>
                    </w:rPr>
                    <w:t>10</w:t>
                  </w:r>
                </w:p>
              </w:tc>
              <w:tc>
                <w:tcPr>
                  <w:tcW w:w="402" w:type="pct"/>
                  <w:vAlign w:val="center"/>
                </w:tcPr>
                <w:p w14:paraId="406D0D5E">
                  <w:pPr>
                    <w:jc w:val="center"/>
                    <w:rPr>
                      <w:rFonts w:hint="default" w:eastAsia="宋体"/>
                      <w:highlight w:val="none"/>
                      <w:lang w:val="en-US" w:eastAsia="zh-CN"/>
                    </w:rPr>
                  </w:pPr>
                  <w:r>
                    <w:rPr>
                      <w:rFonts w:hint="eastAsia"/>
                      <w:highlight w:val="none"/>
                      <w:lang w:val="en-US" w:eastAsia="zh-CN"/>
                    </w:rPr>
                    <w:t>88.5</w:t>
                  </w:r>
                </w:p>
              </w:tc>
              <w:tc>
                <w:tcPr>
                  <w:tcW w:w="309" w:type="pct"/>
                  <w:vAlign w:val="center"/>
                </w:tcPr>
                <w:p w14:paraId="72DBA05A">
                  <w:pPr>
                    <w:jc w:val="center"/>
                    <w:rPr>
                      <w:rFonts w:hint="default"/>
                      <w:highlight w:val="none"/>
                    </w:rPr>
                  </w:pPr>
                  <w:r>
                    <w:rPr>
                      <w:rFonts w:hint="eastAsia"/>
                      <w:highlight w:val="none"/>
                      <w:lang w:val="en-US" w:eastAsia="zh-CN"/>
                    </w:rPr>
                    <w:t>昼间夜间</w:t>
                  </w:r>
                </w:p>
              </w:tc>
              <w:tc>
                <w:tcPr>
                  <w:tcW w:w="391" w:type="pct"/>
                  <w:vAlign w:val="center"/>
                </w:tcPr>
                <w:p w14:paraId="21293CAD">
                  <w:pPr>
                    <w:jc w:val="center"/>
                    <w:rPr>
                      <w:rFonts w:hint="default"/>
                      <w:highlight w:val="none"/>
                    </w:rPr>
                  </w:pPr>
                  <w:r>
                    <w:rPr>
                      <w:rFonts w:hint="eastAsia"/>
                      <w:highlight w:val="none"/>
                      <w:lang w:val="en-US" w:eastAsia="zh-CN"/>
                    </w:rPr>
                    <w:t>25</w:t>
                  </w:r>
                </w:p>
              </w:tc>
              <w:tc>
                <w:tcPr>
                  <w:tcW w:w="470" w:type="pct"/>
                  <w:vAlign w:val="center"/>
                </w:tcPr>
                <w:p w14:paraId="03D590A8">
                  <w:pPr>
                    <w:jc w:val="center"/>
                    <w:rPr>
                      <w:rFonts w:hint="default"/>
                      <w:highlight w:val="none"/>
                      <w:lang w:val="en-US" w:eastAsia="zh-CN"/>
                    </w:rPr>
                  </w:pPr>
                  <w:r>
                    <w:rPr>
                      <w:rFonts w:hint="eastAsia"/>
                      <w:highlight w:val="none"/>
                      <w:lang w:val="en-US" w:eastAsia="zh-CN"/>
                    </w:rPr>
                    <w:t>63.5</w:t>
                  </w:r>
                </w:p>
              </w:tc>
              <w:tc>
                <w:tcPr>
                  <w:tcW w:w="328" w:type="pct"/>
                  <w:vAlign w:val="center"/>
                </w:tcPr>
                <w:p w14:paraId="71A70AF1">
                  <w:pPr>
                    <w:jc w:val="center"/>
                    <w:rPr>
                      <w:rFonts w:hint="default"/>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1m</w:t>
                  </w:r>
                </w:p>
              </w:tc>
            </w:tr>
            <w:tr w14:paraId="0A8E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vAlign w:val="center"/>
                </w:tcPr>
                <w:p w14:paraId="5D06E775">
                  <w:pPr>
                    <w:jc w:val="center"/>
                    <w:rPr>
                      <w:rFonts w:hint="eastAsia" w:eastAsia="宋体"/>
                      <w:highlight w:val="none"/>
                      <w:lang w:val="en-US" w:eastAsia="zh-CN"/>
                    </w:rPr>
                  </w:pPr>
                  <w:r>
                    <w:rPr>
                      <w:rFonts w:hint="eastAsia"/>
                      <w:highlight w:val="none"/>
                      <w:lang w:val="en-US" w:eastAsia="zh-CN"/>
                    </w:rPr>
                    <w:t>9</w:t>
                  </w:r>
                </w:p>
              </w:tc>
              <w:tc>
                <w:tcPr>
                  <w:tcW w:w="587" w:type="pct"/>
                  <w:shd w:val="clear" w:color="auto" w:fill="auto"/>
                  <w:vAlign w:val="center"/>
                </w:tcPr>
                <w:p w14:paraId="6824C73F">
                  <w:pPr>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分切机</w:t>
                  </w:r>
                </w:p>
              </w:tc>
              <w:tc>
                <w:tcPr>
                  <w:tcW w:w="367" w:type="pct"/>
                  <w:shd w:val="clear" w:color="auto" w:fill="auto"/>
                  <w:vAlign w:val="center"/>
                </w:tcPr>
                <w:p w14:paraId="7DCF2668">
                  <w:pPr>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7</w:t>
                  </w:r>
                </w:p>
              </w:tc>
              <w:tc>
                <w:tcPr>
                  <w:tcW w:w="433" w:type="pct"/>
                  <w:vAlign w:val="center"/>
                </w:tcPr>
                <w:p w14:paraId="70B4A721">
                  <w:pPr>
                    <w:jc w:val="center"/>
                    <w:rPr>
                      <w:rFonts w:hint="default" w:eastAsia="宋体"/>
                      <w:highlight w:val="none"/>
                      <w:lang w:val="en-US" w:eastAsia="zh-CN"/>
                    </w:rPr>
                  </w:pPr>
                  <w:r>
                    <w:rPr>
                      <w:rFonts w:hint="eastAsia"/>
                      <w:highlight w:val="none"/>
                      <w:lang w:val="en-US" w:eastAsia="zh-CN"/>
                    </w:rPr>
                    <w:t>80</w:t>
                  </w:r>
                </w:p>
              </w:tc>
              <w:tc>
                <w:tcPr>
                  <w:tcW w:w="591" w:type="pct"/>
                  <w:vMerge w:val="continue"/>
                  <w:vAlign w:val="center"/>
                </w:tcPr>
                <w:p w14:paraId="6355C84A">
                  <w:pPr>
                    <w:jc w:val="center"/>
                    <w:rPr>
                      <w:rFonts w:hint="default"/>
                      <w:highlight w:val="none"/>
                    </w:rPr>
                  </w:pPr>
                </w:p>
              </w:tc>
              <w:tc>
                <w:tcPr>
                  <w:tcW w:w="281" w:type="pct"/>
                  <w:vAlign w:val="center"/>
                </w:tcPr>
                <w:p w14:paraId="112126B3">
                  <w:pPr>
                    <w:jc w:val="center"/>
                    <w:rPr>
                      <w:rFonts w:hint="default"/>
                      <w:highlight w:val="none"/>
                    </w:rPr>
                  </w:pPr>
                  <w:r>
                    <w:rPr>
                      <w:rFonts w:hint="eastAsia"/>
                      <w:highlight w:val="none"/>
                      <w:lang w:val="en-US" w:eastAsia="zh-CN"/>
                    </w:rPr>
                    <w:t>37</w:t>
                  </w:r>
                </w:p>
              </w:tc>
              <w:tc>
                <w:tcPr>
                  <w:tcW w:w="269" w:type="pct"/>
                  <w:vAlign w:val="center"/>
                </w:tcPr>
                <w:p w14:paraId="382F2852">
                  <w:pPr>
                    <w:jc w:val="center"/>
                    <w:rPr>
                      <w:rFonts w:hint="default" w:eastAsia="宋体"/>
                      <w:highlight w:val="none"/>
                      <w:lang w:val="en-US" w:eastAsia="zh-CN"/>
                    </w:rPr>
                  </w:pPr>
                  <w:r>
                    <w:rPr>
                      <w:rFonts w:hint="eastAsia"/>
                      <w:highlight w:val="none"/>
                      <w:lang w:val="en-US" w:eastAsia="zh-CN"/>
                    </w:rPr>
                    <w:t>15</w:t>
                  </w:r>
                </w:p>
              </w:tc>
              <w:tc>
                <w:tcPr>
                  <w:tcW w:w="275" w:type="pct"/>
                  <w:vAlign w:val="center"/>
                </w:tcPr>
                <w:p w14:paraId="5B20D182">
                  <w:pPr>
                    <w:jc w:val="center"/>
                    <w:rPr>
                      <w:rFonts w:hint="default" w:eastAsia="宋体"/>
                      <w:highlight w:val="none"/>
                      <w:lang w:val="en-US" w:eastAsia="zh-CN"/>
                    </w:rPr>
                  </w:pPr>
                  <w:r>
                    <w:rPr>
                      <w:rFonts w:hint="eastAsia"/>
                      <w:highlight w:val="none"/>
                      <w:lang w:val="en-US" w:eastAsia="zh-CN"/>
                    </w:rPr>
                    <w:t>10</w:t>
                  </w:r>
                </w:p>
              </w:tc>
              <w:tc>
                <w:tcPr>
                  <w:tcW w:w="402" w:type="pct"/>
                  <w:vAlign w:val="center"/>
                </w:tcPr>
                <w:p w14:paraId="4B4B3BEF">
                  <w:pPr>
                    <w:jc w:val="center"/>
                    <w:rPr>
                      <w:rFonts w:hint="default" w:eastAsia="宋体"/>
                      <w:highlight w:val="none"/>
                      <w:lang w:val="en-US" w:eastAsia="zh-CN"/>
                    </w:rPr>
                  </w:pPr>
                  <w:r>
                    <w:rPr>
                      <w:rFonts w:hint="eastAsia"/>
                      <w:highlight w:val="none"/>
                      <w:lang w:val="en-US" w:eastAsia="zh-CN"/>
                    </w:rPr>
                    <w:t>88.5</w:t>
                  </w:r>
                </w:p>
              </w:tc>
              <w:tc>
                <w:tcPr>
                  <w:tcW w:w="309" w:type="pct"/>
                  <w:vAlign w:val="center"/>
                </w:tcPr>
                <w:p w14:paraId="3EDAA361">
                  <w:pPr>
                    <w:jc w:val="center"/>
                    <w:rPr>
                      <w:rFonts w:hint="default"/>
                      <w:highlight w:val="none"/>
                    </w:rPr>
                  </w:pPr>
                  <w:r>
                    <w:rPr>
                      <w:rFonts w:hint="eastAsia"/>
                      <w:highlight w:val="none"/>
                      <w:lang w:val="en-US" w:eastAsia="zh-CN"/>
                    </w:rPr>
                    <w:t>昼间夜间</w:t>
                  </w:r>
                </w:p>
              </w:tc>
              <w:tc>
                <w:tcPr>
                  <w:tcW w:w="391" w:type="pct"/>
                  <w:vAlign w:val="center"/>
                </w:tcPr>
                <w:p w14:paraId="44B69135">
                  <w:pPr>
                    <w:jc w:val="center"/>
                    <w:rPr>
                      <w:rFonts w:hint="default"/>
                      <w:highlight w:val="none"/>
                    </w:rPr>
                  </w:pPr>
                  <w:r>
                    <w:rPr>
                      <w:rFonts w:hint="eastAsia"/>
                      <w:highlight w:val="none"/>
                      <w:lang w:val="en-US" w:eastAsia="zh-CN"/>
                    </w:rPr>
                    <w:t>25</w:t>
                  </w:r>
                </w:p>
              </w:tc>
              <w:tc>
                <w:tcPr>
                  <w:tcW w:w="470" w:type="pct"/>
                  <w:vAlign w:val="center"/>
                </w:tcPr>
                <w:p w14:paraId="6C82F239">
                  <w:pPr>
                    <w:jc w:val="center"/>
                    <w:rPr>
                      <w:rFonts w:hint="default"/>
                      <w:highlight w:val="none"/>
                      <w:lang w:val="en-US" w:eastAsia="zh-CN"/>
                    </w:rPr>
                  </w:pPr>
                  <w:r>
                    <w:rPr>
                      <w:rFonts w:hint="eastAsia"/>
                      <w:highlight w:val="none"/>
                      <w:lang w:val="en-US" w:eastAsia="zh-CN"/>
                    </w:rPr>
                    <w:t>63.5</w:t>
                  </w:r>
                </w:p>
              </w:tc>
              <w:tc>
                <w:tcPr>
                  <w:tcW w:w="328" w:type="pct"/>
                  <w:vAlign w:val="center"/>
                </w:tcPr>
                <w:p w14:paraId="4943DA25">
                  <w:pPr>
                    <w:jc w:val="center"/>
                    <w:rPr>
                      <w:rFonts w:hint="default"/>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1m</w:t>
                  </w:r>
                </w:p>
              </w:tc>
            </w:tr>
            <w:tr w14:paraId="7019A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vAlign w:val="center"/>
                </w:tcPr>
                <w:p w14:paraId="04282D2E">
                  <w:pPr>
                    <w:jc w:val="center"/>
                    <w:rPr>
                      <w:rFonts w:hint="default" w:eastAsia="宋体"/>
                      <w:highlight w:val="none"/>
                      <w:lang w:val="en-US" w:eastAsia="zh-CN"/>
                    </w:rPr>
                  </w:pPr>
                  <w:r>
                    <w:rPr>
                      <w:rFonts w:hint="eastAsia"/>
                      <w:highlight w:val="none"/>
                      <w:lang w:val="en-US" w:eastAsia="zh-CN"/>
                    </w:rPr>
                    <w:t>10</w:t>
                  </w:r>
                </w:p>
              </w:tc>
              <w:tc>
                <w:tcPr>
                  <w:tcW w:w="587" w:type="pct"/>
                  <w:shd w:val="clear" w:color="auto" w:fill="auto"/>
                  <w:vAlign w:val="center"/>
                </w:tcPr>
                <w:p w14:paraId="7BCF03AD">
                  <w:pPr>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收卷机</w:t>
                  </w:r>
                </w:p>
              </w:tc>
              <w:tc>
                <w:tcPr>
                  <w:tcW w:w="367" w:type="pct"/>
                  <w:shd w:val="clear" w:color="auto" w:fill="auto"/>
                  <w:vAlign w:val="center"/>
                </w:tcPr>
                <w:p w14:paraId="73574113">
                  <w:pPr>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35</w:t>
                  </w:r>
                </w:p>
              </w:tc>
              <w:tc>
                <w:tcPr>
                  <w:tcW w:w="433" w:type="pct"/>
                  <w:vAlign w:val="center"/>
                </w:tcPr>
                <w:p w14:paraId="0D68C220">
                  <w:pPr>
                    <w:jc w:val="center"/>
                    <w:rPr>
                      <w:rFonts w:hint="default" w:eastAsia="宋体"/>
                      <w:highlight w:val="none"/>
                      <w:lang w:val="en-US" w:eastAsia="zh-CN"/>
                    </w:rPr>
                  </w:pPr>
                  <w:r>
                    <w:rPr>
                      <w:rFonts w:hint="eastAsia"/>
                      <w:highlight w:val="none"/>
                      <w:lang w:val="en-US" w:eastAsia="zh-CN"/>
                    </w:rPr>
                    <w:t>80</w:t>
                  </w:r>
                </w:p>
              </w:tc>
              <w:tc>
                <w:tcPr>
                  <w:tcW w:w="591" w:type="pct"/>
                  <w:vMerge w:val="continue"/>
                  <w:vAlign w:val="center"/>
                </w:tcPr>
                <w:p w14:paraId="761560A8">
                  <w:pPr>
                    <w:jc w:val="center"/>
                    <w:rPr>
                      <w:rFonts w:hint="default"/>
                      <w:highlight w:val="none"/>
                    </w:rPr>
                  </w:pPr>
                </w:p>
              </w:tc>
              <w:tc>
                <w:tcPr>
                  <w:tcW w:w="281" w:type="pct"/>
                  <w:vAlign w:val="center"/>
                </w:tcPr>
                <w:p w14:paraId="467E7B86">
                  <w:pPr>
                    <w:jc w:val="center"/>
                    <w:rPr>
                      <w:rFonts w:hint="default"/>
                      <w:highlight w:val="none"/>
                    </w:rPr>
                  </w:pPr>
                  <w:r>
                    <w:rPr>
                      <w:rFonts w:hint="eastAsia"/>
                      <w:highlight w:val="none"/>
                      <w:lang w:val="en-US" w:eastAsia="zh-CN"/>
                    </w:rPr>
                    <w:t>37</w:t>
                  </w:r>
                </w:p>
              </w:tc>
              <w:tc>
                <w:tcPr>
                  <w:tcW w:w="269" w:type="pct"/>
                  <w:vAlign w:val="center"/>
                </w:tcPr>
                <w:p w14:paraId="007CF3BB">
                  <w:pPr>
                    <w:jc w:val="center"/>
                    <w:rPr>
                      <w:rFonts w:hint="default" w:eastAsia="宋体"/>
                      <w:highlight w:val="none"/>
                      <w:lang w:val="en-US" w:eastAsia="zh-CN"/>
                    </w:rPr>
                  </w:pPr>
                  <w:r>
                    <w:rPr>
                      <w:rFonts w:hint="eastAsia"/>
                      <w:highlight w:val="none"/>
                      <w:lang w:val="en-US" w:eastAsia="zh-CN"/>
                    </w:rPr>
                    <w:t>12</w:t>
                  </w:r>
                </w:p>
              </w:tc>
              <w:tc>
                <w:tcPr>
                  <w:tcW w:w="275" w:type="pct"/>
                  <w:vAlign w:val="center"/>
                </w:tcPr>
                <w:p w14:paraId="4BE34EC3">
                  <w:pPr>
                    <w:jc w:val="center"/>
                    <w:rPr>
                      <w:rFonts w:hint="default" w:eastAsia="宋体"/>
                      <w:highlight w:val="none"/>
                      <w:lang w:val="en-US" w:eastAsia="zh-CN"/>
                    </w:rPr>
                  </w:pPr>
                  <w:r>
                    <w:rPr>
                      <w:rFonts w:hint="eastAsia"/>
                      <w:highlight w:val="none"/>
                      <w:lang w:val="en-US" w:eastAsia="zh-CN"/>
                    </w:rPr>
                    <w:t>10</w:t>
                  </w:r>
                </w:p>
              </w:tc>
              <w:tc>
                <w:tcPr>
                  <w:tcW w:w="402" w:type="pct"/>
                  <w:vAlign w:val="center"/>
                </w:tcPr>
                <w:p w14:paraId="563AD70D">
                  <w:pPr>
                    <w:jc w:val="center"/>
                    <w:rPr>
                      <w:rFonts w:hint="default" w:eastAsia="宋体"/>
                      <w:highlight w:val="none"/>
                      <w:lang w:val="en-US" w:eastAsia="zh-CN"/>
                    </w:rPr>
                  </w:pPr>
                  <w:r>
                    <w:rPr>
                      <w:rFonts w:hint="eastAsia"/>
                      <w:highlight w:val="none"/>
                      <w:lang w:val="en-US" w:eastAsia="zh-CN"/>
                    </w:rPr>
                    <w:t>95.4</w:t>
                  </w:r>
                </w:p>
              </w:tc>
              <w:tc>
                <w:tcPr>
                  <w:tcW w:w="309" w:type="pct"/>
                  <w:vAlign w:val="center"/>
                </w:tcPr>
                <w:p w14:paraId="24F88D73">
                  <w:pPr>
                    <w:jc w:val="center"/>
                    <w:rPr>
                      <w:rFonts w:hint="default"/>
                      <w:highlight w:val="none"/>
                    </w:rPr>
                  </w:pPr>
                  <w:r>
                    <w:rPr>
                      <w:rFonts w:hint="eastAsia"/>
                      <w:highlight w:val="none"/>
                      <w:lang w:val="en-US" w:eastAsia="zh-CN"/>
                    </w:rPr>
                    <w:t>昼间夜间</w:t>
                  </w:r>
                </w:p>
              </w:tc>
              <w:tc>
                <w:tcPr>
                  <w:tcW w:w="391" w:type="pct"/>
                  <w:vAlign w:val="center"/>
                </w:tcPr>
                <w:p w14:paraId="773503B4">
                  <w:pPr>
                    <w:jc w:val="center"/>
                    <w:rPr>
                      <w:rFonts w:hint="default"/>
                      <w:highlight w:val="none"/>
                    </w:rPr>
                  </w:pPr>
                  <w:r>
                    <w:rPr>
                      <w:rFonts w:hint="eastAsia"/>
                      <w:highlight w:val="none"/>
                      <w:lang w:val="en-US" w:eastAsia="zh-CN"/>
                    </w:rPr>
                    <w:t>25</w:t>
                  </w:r>
                </w:p>
              </w:tc>
              <w:tc>
                <w:tcPr>
                  <w:tcW w:w="470" w:type="pct"/>
                  <w:vAlign w:val="center"/>
                </w:tcPr>
                <w:p w14:paraId="58A79919">
                  <w:pPr>
                    <w:jc w:val="center"/>
                    <w:rPr>
                      <w:rFonts w:hint="default"/>
                      <w:highlight w:val="none"/>
                      <w:lang w:val="en-US" w:eastAsia="zh-CN"/>
                    </w:rPr>
                  </w:pPr>
                  <w:r>
                    <w:rPr>
                      <w:rFonts w:hint="eastAsia"/>
                      <w:highlight w:val="none"/>
                      <w:lang w:val="en-US" w:eastAsia="zh-CN"/>
                    </w:rPr>
                    <w:t>70.4</w:t>
                  </w:r>
                </w:p>
              </w:tc>
              <w:tc>
                <w:tcPr>
                  <w:tcW w:w="328" w:type="pct"/>
                  <w:vAlign w:val="center"/>
                </w:tcPr>
                <w:p w14:paraId="4BF2064A">
                  <w:pPr>
                    <w:jc w:val="center"/>
                    <w:rPr>
                      <w:rFonts w:hint="default"/>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1m</w:t>
                  </w:r>
                </w:p>
              </w:tc>
            </w:tr>
            <w:tr w14:paraId="55962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vAlign w:val="center"/>
                </w:tcPr>
                <w:p w14:paraId="6FF09073">
                  <w:pPr>
                    <w:jc w:val="center"/>
                    <w:rPr>
                      <w:rFonts w:hint="default" w:eastAsia="宋体"/>
                      <w:highlight w:val="none"/>
                      <w:lang w:val="en-US" w:eastAsia="zh-CN"/>
                    </w:rPr>
                  </w:pPr>
                  <w:r>
                    <w:rPr>
                      <w:rFonts w:hint="eastAsia"/>
                      <w:highlight w:val="none"/>
                      <w:lang w:val="en-US" w:eastAsia="zh-CN"/>
                    </w:rPr>
                    <w:t>11</w:t>
                  </w:r>
                </w:p>
              </w:tc>
              <w:tc>
                <w:tcPr>
                  <w:tcW w:w="587" w:type="pct"/>
                  <w:shd w:val="clear" w:color="auto" w:fill="auto"/>
                  <w:vAlign w:val="center"/>
                </w:tcPr>
                <w:p w14:paraId="70FB709F">
                  <w:pPr>
                    <w:jc w:val="center"/>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冷却塔</w:t>
                  </w:r>
                </w:p>
              </w:tc>
              <w:tc>
                <w:tcPr>
                  <w:tcW w:w="367" w:type="pct"/>
                  <w:shd w:val="clear" w:color="auto" w:fill="auto"/>
                  <w:vAlign w:val="center"/>
                </w:tcPr>
                <w:p w14:paraId="4CB1DA4D">
                  <w:pPr>
                    <w:jc w:val="center"/>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cs="Times New Roman"/>
                      <w:b w:val="0"/>
                      <w:bCs w:val="0"/>
                      <w:color w:val="000000"/>
                      <w:kern w:val="2"/>
                      <w:sz w:val="21"/>
                      <w:szCs w:val="21"/>
                      <w:highlight w:val="none"/>
                      <w:vertAlign w:val="baseline"/>
                      <w:lang w:val="en-US" w:eastAsia="zh-CN" w:bidi="ar-SA"/>
                    </w:rPr>
                    <w:t>1</w:t>
                  </w:r>
                </w:p>
              </w:tc>
              <w:tc>
                <w:tcPr>
                  <w:tcW w:w="433" w:type="pct"/>
                  <w:vAlign w:val="center"/>
                </w:tcPr>
                <w:p w14:paraId="6917D31D">
                  <w:pPr>
                    <w:jc w:val="center"/>
                    <w:rPr>
                      <w:rFonts w:hint="default" w:eastAsia="宋体"/>
                      <w:highlight w:val="none"/>
                      <w:lang w:val="en-US" w:eastAsia="zh-CN"/>
                    </w:rPr>
                  </w:pPr>
                  <w:r>
                    <w:rPr>
                      <w:rFonts w:hint="eastAsia"/>
                      <w:highlight w:val="none"/>
                      <w:lang w:val="en-US" w:eastAsia="zh-CN"/>
                    </w:rPr>
                    <w:t>90</w:t>
                  </w:r>
                </w:p>
              </w:tc>
              <w:tc>
                <w:tcPr>
                  <w:tcW w:w="591" w:type="pct"/>
                  <w:vMerge w:val="continue"/>
                  <w:vAlign w:val="center"/>
                </w:tcPr>
                <w:p w14:paraId="4473AD04">
                  <w:pPr>
                    <w:jc w:val="center"/>
                    <w:rPr>
                      <w:rFonts w:hint="default"/>
                      <w:highlight w:val="none"/>
                    </w:rPr>
                  </w:pPr>
                </w:p>
              </w:tc>
              <w:tc>
                <w:tcPr>
                  <w:tcW w:w="281" w:type="pct"/>
                  <w:vAlign w:val="center"/>
                </w:tcPr>
                <w:p w14:paraId="55ED19BB">
                  <w:pPr>
                    <w:jc w:val="center"/>
                    <w:rPr>
                      <w:rFonts w:hint="default" w:eastAsia="宋体"/>
                      <w:highlight w:val="none"/>
                      <w:lang w:val="en-US" w:eastAsia="zh-CN"/>
                    </w:rPr>
                  </w:pPr>
                  <w:r>
                    <w:rPr>
                      <w:rFonts w:hint="eastAsia"/>
                      <w:highlight w:val="none"/>
                      <w:lang w:val="en-US" w:eastAsia="zh-CN"/>
                    </w:rPr>
                    <w:t>53</w:t>
                  </w:r>
                </w:p>
              </w:tc>
              <w:tc>
                <w:tcPr>
                  <w:tcW w:w="269" w:type="pct"/>
                  <w:vAlign w:val="center"/>
                </w:tcPr>
                <w:p w14:paraId="2F5251A6">
                  <w:pPr>
                    <w:jc w:val="center"/>
                    <w:rPr>
                      <w:rFonts w:hint="default" w:eastAsia="宋体"/>
                      <w:highlight w:val="none"/>
                      <w:lang w:val="en-US" w:eastAsia="zh-CN"/>
                    </w:rPr>
                  </w:pPr>
                  <w:r>
                    <w:rPr>
                      <w:rFonts w:hint="eastAsia"/>
                      <w:highlight w:val="none"/>
                      <w:lang w:val="en-US" w:eastAsia="zh-CN"/>
                    </w:rPr>
                    <w:t>24</w:t>
                  </w:r>
                </w:p>
              </w:tc>
              <w:tc>
                <w:tcPr>
                  <w:tcW w:w="275" w:type="pct"/>
                  <w:vAlign w:val="center"/>
                </w:tcPr>
                <w:p w14:paraId="2879065B">
                  <w:pPr>
                    <w:jc w:val="center"/>
                    <w:rPr>
                      <w:rFonts w:hint="default" w:eastAsia="宋体"/>
                      <w:highlight w:val="none"/>
                      <w:lang w:val="en-US" w:eastAsia="zh-CN"/>
                    </w:rPr>
                  </w:pPr>
                  <w:r>
                    <w:rPr>
                      <w:rFonts w:hint="eastAsia"/>
                      <w:highlight w:val="none"/>
                      <w:lang w:val="en-US" w:eastAsia="zh-CN"/>
                    </w:rPr>
                    <w:t>10</w:t>
                  </w:r>
                </w:p>
              </w:tc>
              <w:tc>
                <w:tcPr>
                  <w:tcW w:w="402" w:type="pct"/>
                  <w:vAlign w:val="center"/>
                </w:tcPr>
                <w:p w14:paraId="43B662FA">
                  <w:pPr>
                    <w:jc w:val="center"/>
                    <w:rPr>
                      <w:rFonts w:hint="default" w:eastAsia="宋体"/>
                      <w:highlight w:val="none"/>
                      <w:lang w:val="en-US" w:eastAsia="zh-CN"/>
                    </w:rPr>
                  </w:pPr>
                  <w:r>
                    <w:rPr>
                      <w:rFonts w:hint="eastAsia"/>
                      <w:highlight w:val="none"/>
                      <w:lang w:val="en-US" w:eastAsia="zh-CN"/>
                    </w:rPr>
                    <w:t>90.0</w:t>
                  </w:r>
                </w:p>
              </w:tc>
              <w:tc>
                <w:tcPr>
                  <w:tcW w:w="309" w:type="pct"/>
                  <w:vAlign w:val="center"/>
                </w:tcPr>
                <w:p w14:paraId="5940DAD5">
                  <w:pPr>
                    <w:jc w:val="center"/>
                    <w:rPr>
                      <w:rFonts w:hint="default"/>
                      <w:highlight w:val="none"/>
                    </w:rPr>
                  </w:pPr>
                  <w:r>
                    <w:rPr>
                      <w:rFonts w:hint="eastAsia"/>
                      <w:highlight w:val="none"/>
                      <w:lang w:val="en-US" w:eastAsia="zh-CN"/>
                    </w:rPr>
                    <w:t>昼间夜间</w:t>
                  </w:r>
                </w:p>
              </w:tc>
              <w:tc>
                <w:tcPr>
                  <w:tcW w:w="391" w:type="pct"/>
                  <w:vAlign w:val="center"/>
                </w:tcPr>
                <w:p w14:paraId="650C6231">
                  <w:pPr>
                    <w:jc w:val="center"/>
                    <w:rPr>
                      <w:rFonts w:hint="default"/>
                      <w:highlight w:val="none"/>
                    </w:rPr>
                  </w:pPr>
                  <w:r>
                    <w:rPr>
                      <w:rFonts w:hint="eastAsia"/>
                      <w:highlight w:val="none"/>
                      <w:lang w:val="en-US" w:eastAsia="zh-CN"/>
                    </w:rPr>
                    <w:t>25</w:t>
                  </w:r>
                </w:p>
              </w:tc>
              <w:tc>
                <w:tcPr>
                  <w:tcW w:w="470" w:type="pct"/>
                  <w:vAlign w:val="center"/>
                </w:tcPr>
                <w:p w14:paraId="3B45D510">
                  <w:pPr>
                    <w:jc w:val="center"/>
                    <w:rPr>
                      <w:rFonts w:hint="default"/>
                      <w:highlight w:val="none"/>
                      <w:lang w:val="en-US" w:eastAsia="zh-CN"/>
                    </w:rPr>
                  </w:pPr>
                  <w:r>
                    <w:rPr>
                      <w:rFonts w:hint="eastAsia"/>
                      <w:highlight w:val="none"/>
                      <w:lang w:val="en-US" w:eastAsia="zh-CN"/>
                    </w:rPr>
                    <w:t>65.0</w:t>
                  </w:r>
                </w:p>
              </w:tc>
              <w:tc>
                <w:tcPr>
                  <w:tcW w:w="328" w:type="pct"/>
                  <w:vAlign w:val="center"/>
                </w:tcPr>
                <w:p w14:paraId="6B2177E1">
                  <w:pPr>
                    <w:jc w:val="center"/>
                    <w:rPr>
                      <w:rFonts w:hint="default"/>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1m</w:t>
                  </w:r>
                </w:p>
              </w:tc>
            </w:tr>
          </w:tbl>
          <w:p w14:paraId="478FC308">
            <w:pPr>
              <w:spacing w:line="360" w:lineRule="auto"/>
              <w:rPr>
                <w:rFonts w:hint="default"/>
                <w:color w:val="auto"/>
                <w:sz w:val="24"/>
                <w:szCs w:val="24"/>
                <w:highlight w:val="none"/>
              </w:rPr>
            </w:pPr>
            <w:r>
              <w:rPr>
                <w:rFonts w:hint="eastAsia" w:cs="Times New Roman"/>
                <w:b/>
                <w:bCs/>
                <w:color w:val="000000"/>
                <w:sz w:val="21"/>
                <w:szCs w:val="21"/>
                <w:highlight w:val="none"/>
                <w:lang w:eastAsia="zh-CN"/>
              </w:rPr>
              <w:t>注：以</w:t>
            </w:r>
            <w:r>
              <w:rPr>
                <w:rFonts w:hint="eastAsia" w:cs="Times New Roman"/>
                <w:b/>
                <w:bCs/>
                <w:color w:val="000000"/>
                <w:sz w:val="21"/>
                <w:szCs w:val="21"/>
                <w:highlight w:val="none"/>
                <w:lang w:val="en-US" w:eastAsia="zh-CN"/>
              </w:rPr>
              <w:t>厂房</w:t>
            </w:r>
            <w:r>
              <w:rPr>
                <w:rFonts w:hint="eastAsia" w:cs="Times New Roman"/>
                <w:b/>
                <w:bCs/>
                <w:color w:val="000000"/>
                <w:sz w:val="21"/>
                <w:szCs w:val="21"/>
                <w:highlight w:val="none"/>
                <w:lang w:eastAsia="zh-CN"/>
              </w:rPr>
              <w:t>西南角为原点，正东向为</w:t>
            </w:r>
            <w:r>
              <w:rPr>
                <w:rFonts w:hint="eastAsia" w:cs="Times New Roman"/>
                <w:b/>
                <w:bCs/>
                <w:color w:val="000000"/>
                <w:sz w:val="21"/>
                <w:szCs w:val="21"/>
                <w:highlight w:val="none"/>
                <w:lang w:val="en-US" w:eastAsia="zh-CN"/>
              </w:rPr>
              <w:t>X轴，正北向为Y轴。</w:t>
            </w:r>
          </w:p>
          <w:p w14:paraId="33052F8E">
            <w:pPr>
              <w:spacing w:line="360" w:lineRule="auto"/>
              <w:jc w:val="center"/>
              <w:rPr>
                <w:rFonts w:hint="default" w:ascii="Times New Roman" w:hAnsi="Times New Roman" w:eastAsia="宋体" w:cs="Times New Roman"/>
                <w:b/>
                <w:color w:val="000000"/>
                <w:sz w:val="21"/>
                <w:szCs w:val="21"/>
                <w:highlight w:val="none"/>
              </w:rPr>
            </w:pPr>
            <w:r>
              <w:rPr>
                <w:rFonts w:hint="default" w:ascii="Times New Roman" w:hAnsi="Times New Roman" w:eastAsia="宋体" w:cs="Times New Roman"/>
                <w:b/>
                <w:color w:val="000000"/>
                <w:sz w:val="21"/>
                <w:szCs w:val="21"/>
                <w:highlight w:val="none"/>
              </w:rPr>
              <w:t>表</w:t>
            </w:r>
            <w:r>
              <w:rPr>
                <w:rFonts w:hint="eastAsia" w:cs="Times New Roman"/>
                <w:b/>
                <w:color w:val="000000"/>
                <w:sz w:val="21"/>
                <w:szCs w:val="21"/>
                <w:highlight w:val="none"/>
                <w:lang w:val="en-US" w:eastAsia="zh-CN"/>
              </w:rPr>
              <w:t>4-14</w:t>
            </w:r>
            <w:r>
              <w:rPr>
                <w:rFonts w:hint="default" w:ascii="Times New Roman" w:hAnsi="Times New Roman" w:eastAsia="宋体" w:cs="Times New Roman"/>
                <w:b/>
                <w:color w:val="000000"/>
                <w:sz w:val="21"/>
                <w:szCs w:val="21"/>
                <w:highlight w:val="none"/>
                <w:lang w:val="en-US" w:eastAsia="zh-CN"/>
              </w:rPr>
              <w:t xml:space="preserve"> </w:t>
            </w:r>
            <w:r>
              <w:rPr>
                <w:rFonts w:hint="default" w:ascii="Times New Roman" w:hAnsi="Times New Roman" w:eastAsia="宋体" w:cs="Times New Roman"/>
                <w:b/>
                <w:color w:val="000000"/>
                <w:sz w:val="21"/>
                <w:szCs w:val="21"/>
                <w:highlight w:val="none"/>
              </w:rPr>
              <w:t xml:space="preserve"> 工业企业噪声源强调查清单（室</w:t>
            </w:r>
            <w:r>
              <w:rPr>
                <w:rFonts w:hint="default" w:ascii="Times New Roman" w:hAnsi="Times New Roman" w:eastAsia="宋体" w:cs="Times New Roman"/>
                <w:b/>
                <w:color w:val="000000"/>
                <w:sz w:val="21"/>
                <w:szCs w:val="21"/>
                <w:highlight w:val="none"/>
                <w:lang w:val="en-US" w:eastAsia="zh-CN"/>
              </w:rPr>
              <w:t>外</w:t>
            </w:r>
            <w:r>
              <w:rPr>
                <w:rFonts w:hint="default" w:ascii="Times New Roman" w:hAnsi="Times New Roman" w:eastAsia="宋体" w:cs="Times New Roman"/>
                <w:b/>
                <w:color w:val="000000"/>
                <w:sz w:val="21"/>
                <w:szCs w:val="21"/>
                <w:highlight w:val="none"/>
              </w:rPr>
              <w:t>声源）一览表</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797"/>
              <w:gridCol w:w="788"/>
              <w:gridCol w:w="573"/>
              <w:gridCol w:w="573"/>
              <w:gridCol w:w="578"/>
              <w:gridCol w:w="1041"/>
              <w:gridCol w:w="1641"/>
              <w:gridCol w:w="1117"/>
            </w:tblGrid>
            <w:tr w14:paraId="4DF8B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531" w:type="pct"/>
                  <w:vMerge w:val="restart"/>
                  <w:noWrap w:val="0"/>
                  <w:vAlign w:val="center"/>
                </w:tcPr>
                <w:p w14:paraId="79027D44">
                  <w:pPr>
                    <w:spacing w:line="240" w:lineRule="auto"/>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声源</w:t>
                  </w:r>
                </w:p>
                <w:p w14:paraId="59D91D3B">
                  <w:pPr>
                    <w:spacing w:line="240" w:lineRule="auto"/>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名称</w:t>
                  </w:r>
                </w:p>
              </w:tc>
              <w:tc>
                <w:tcPr>
                  <w:tcW w:w="501" w:type="pct"/>
                  <w:vMerge w:val="restart"/>
                  <w:noWrap w:val="0"/>
                  <w:vAlign w:val="center"/>
                </w:tcPr>
                <w:p w14:paraId="6AF0C329">
                  <w:pPr>
                    <w:spacing w:line="240" w:lineRule="auto"/>
                    <w:jc w:val="center"/>
                    <w:rPr>
                      <w:rFonts w:hint="default" w:ascii="Times New Roman" w:hAnsi="Times New Roman" w:eastAsia="宋体" w:cs="Times New Roman"/>
                      <w:color w:val="000000"/>
                      <w:spacing w:val="-2"/>
                      <w:kern w:val="0"/>
                      <w:sz w:val="21"/>
                      <w:szCs w:val="21"/>
                      <w:highlight w:val="none"/>
                      <w:lang w:val="en-US" w:eastAsia="zh-CN"/>
                    </w:rPr>
                  </w:pPr>
                  <w:r>
                    <w:rPr>
                      <w:rFonts w:hint="default" w:ascii="Times New Roman" w:hAnsi="Times New Roman" w:eastAsia="宋体" w:cs="Times New Roman"/>
                      <w:color w:val="000000"/>
                      <w:sz w:val="21"/>
                      <w:szCs w:val="21"/>
                      <w:highlight w:val="none"/>
                    </w:rPr>
                    <w:t>型号</w:t>
                  </w:r>
                </w:p>
              </w:tc>
              <w:tc>
                <w:tcPr>
                  <w:tcW w:w="495" w:type="pct"/>
                  <w:vMerge w:val="restart"/>
                  <w:noWrap w:val="0"/>
                  <w:vAlign w:val="center"/>
                </w:tcPr>
                <w:p w14:paraId="1E0EFA72">
                  <w:pPr>
                    <w:spacing w:line="240" w:lineRule="auto"/>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设备数量</w:t>
                  </w:r>
                </w:p>
              </w:tc>
              <w:tc>
                <w:tcPr>
                  <w:tcW w:w="1083" w:type="pct"/>
                  <w:gridSpan w:val="3"/>
                  <w:noWrap w:val="0"/>
                  <w:vAlign w:val="center"/>
                </w:tcPr>
                <w:p w14:paraId="3DE4A24C">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空间相对位置/m</w:t>
                  </w:r>
                </w:p>
              </w:tc>
              <w:tc>
                <w:tcPr>
                  <w:tcW w:w="654" w:type="pct"/>
                  <w:vMerge w:val="restart"/>
                  <w:noWrap w:val="0"/>
                  <w:vAlign w:val="center"/>
                </w:tcPr>
                <w:p w14:paraId="253D3FF6">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lang w:eastAsia="zh-CN"/>
                    </w:rPr>
                    <w:t>声源源强</w:t>
                  </w:r>
                  <w:r>
                    <w:rPr>
                      <w:rFonts w:hint="default" w:ascii="Times New Roman" w:hAnsi="Times New Roman" w:eastAsia="宋体" w:cs="Times New Roman"/>
                      <w:color w:val="000000"/>
                      <w:sz w:val="21"/>
                      <w:szCs w:val="21"/>
                      <w:highlight w:val="none"/>
                    </w:rPr>
                    <w:t>dB(A)</w:t>
                  </w:r>
                </w:p>
              </w:tc>
              <w:tc>
                <w:tcPr>
                  <w:tcW w:w="1031" w:type="pct"/>
                  <w:vMerge w:val="restart"/>
                  <w:noWrap w:val="0"/>
                  <w:vAlign w:val="center"/>
                </w:tcPr>
                <w:p w14:paraId="18ED0206">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声源控制措施</w:t>
                  </w:r>
                </w:p>
              </w:tc>
              <w:tc>
                <w:tcPr>
                  <w:tcW w:w="701" w:type="pct"/>
                  <w:vMerge w:val="restart"/>
                  <w:noWrap w:val="0"/>
                  <w:vAlign w:val="center"/>
                </w:tcPr>
                <w:p w14:paraId="42C8107D">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运行时段</w:t>
                  </w:r>
                </w:p>
              </w:tc>
            </w:tr>
            <w:tr w14:paraId="37DE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rPr>
              <w:tc>
                <w:tcPr>
                  <w:tcW w:w="531" w:type="pct"/>
                  <w:vMerge w:val="continue"/>
                  <w:noWrap w:val="0"/>
                  <w:vAlign w:val="center"/>
                </w:tcPr>
                <w:p w14:paraId="28EE1944">
                  <w:pPr>
                    <w:spacing w:line="240" w:lineRule="auto"/>
                    <w:jc w:val="center"/>
                    <w:rPr>
                      <w:rFonts w:hint="default" w:ascii="Times New Roman" w:hAnsi="Times New Roman" w:eastAsia="宋体" w:cs="Times New Roman"/>
                      <w:color w:val="000000"/>
                      <w:sz w:val="21"/>
                      <w:szCs w:val="21"/>
                      <w:highlight w:val="none"/>
                    </w:rPr>
                  </w:pPr>
                </w:p>
              </w:tc>
              <w:tc>
                <w:tcPr>
                  <w:tcW w:w="501" w:type="pct"/>
                  <w:vMerge w:val="continue"/>
                  <w:noWrap w:val="0"/>
                  <w:vAlign w:val="center"/>
                </w:tcPr>
                <w:p w14:paraId="03394EDE">
                  <w:pPr>
                    <w:spacing w:line="240" w:lineRule="auto"/>
                    <w:jc w:val="center"/>
                    <w:rPr>
                      <w:rFonts w:hint="default" w:ascii="Times New Roman" w:hAnsi="Times New Roman" w:eastAsia="宋体" w:cs="Times New Roman"/>
                      <w:color w:val="000000"/>
                      <w:sz w:val="21"/>
                      <w:szCs w:val="21"/>
                      <w:highlight w:val="none"/>
                    </w:rPr>
                  </w:pPr>
                </w:p>
              </w:tc>
              <w:tc>
                <w:tcPr>
                  <w:tcW w:w="495" w:type="pct"/>
                  <w:vMerge w:val="continue"/>
                  <w:noWrap w:val="0"/>
                  <w:vAlign w:val="center"/>
                </w:tcPr>
                <w:p w14:paraId="054654DC">
                  <w:pPr>
                    <w:spacing w:line="240" w:lineRule="auto"/>
                    <w:jc w:val="center"/>
                    <w:rPr>
                      <w:rFonts w:hint="default" w:ascii="Times New Roman" w:hAnsi="Times New Roman" w:eastAsia="宋体" w:cs="Times New Roman"/>
                      <w:color w:val="000000"/>
                      <w:sz w:val="21"/>
                      <w:szCs w:val="21"/>
                      <w:highlight w:val="none"/>
                    </w:rPr>
                  </w:pPr>
                </w:p>
              </w:tc>
              <w:tc>
                <w:tcPr>
                  <w:tcW w:w="360" w:type="pct"/>
                  <w:noWrap w:val="0"/>
                  <w:vAlign w:val="center"/>
                </w:tcPr>
                <w:p w14:paraId="3F6C19CC">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X</w:t>
                  </w:r>
                </w:p>
              </w:tc>
              <w:tc>
                <w:tcPr>
                  <w:tcW w:w="360" w:type="pct"/>
                  <w:noWrap w:val="0"/>
                  <w:vAlign w:val="center"/>
                </w:tcPr>
                <w:p w14:paraId="27F86424">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Y</w:t>
                  </w:r>
                </w:p>
              </w:tc>
              <w:tc>
                <w:tcPr>
                  <w:tcW w:w="362" w:type="pct"/>
                  <w:noWrap w:val="0"/>
                  <w:vAlign w:val="center"/>
                </w:tcPr>
                <w:p w14:paraId="1A491463">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Z</w:t>
                  </w:r>
                </w:p>
              </w:tc>
              <w:tc>
                <w:tcPr>
                  <w:tcW w:w="654" w:type="pct"/>
                  <w:vMerge w:val="continue"/>
                  <w:noWrap w:val="0"/>
                  <w:vAlign w:val="center"/>
                </w:tcPr>
                <w:p w14:paraId="053C30FD">
                  <w:pPr>
                    <w:bidi w:val="0"/>
                    <w:jc w:val="center"/>
                    <w:rPr>
                      <w:rFonts w:hint="default" w:ascii="Times New Roman" w:hAnsi="Times New Roman" w:eastAsia="宋体" w:cs="Times New Roman"/>
                      <w:color w:val="000000"/>
                      <w:sz w:val="21"/>
                      <w:szCs w:val="21"/>
                      <w:highlight w:val="none"/>
                      <w:vertAlign w:val="baseline"/>
                      <w:lang w:val="en-US" w:eastAsia="zh-CN"/>
                    </w:rPr>
                  </w:pPr>
                </w:p>
              </w:tc>
              <w:tc>
                <w:tcPr>
                  <w:tcW w:w="1031" w:type="pct"/>
                  <w:vMerge w:val="continue"/>
                  <w:noWrap w:val="0"/>
                  <w:vAlign w:val="center"/>
                </w:tcPr>
                <w:p w14:paraId="679B7C2D">
                  <w:pPr>
                    <w:bidi w:val="0"/>
                    <w:jc w:val="center"/>
                    <w:rPr>
                      <w:rFonts w:hint="default" w:ascii="Times New Roman" w:hAnsi="Times New Roman" w:eastAsia="宋体" w:cs="Times New Roman"/>
                      <w:color w:val="000000"/>
                      <w:sz w:val="21"/>
                      <w:szCs w:val="21"/>
                      <w:highlight w:val="none"/>
                      <w:vertAlign w:val="baseline"/>
                      <w:lang w:val="en-US" w:eastAsia="zh-CN"/>
                    </w:rPr>
                  </w:pPr>
                </w:p>
              </w:tc>
              <w:tc>
                <w:tcPr>
                  <w:tcW w:w="701" w:type="pct"/>
                  <w:vMerge w:val="continue"/>
                  <w:noWrap w:val="0"/>
                  <w:vAlign w:val="center"/>
                </w:tcPr>
                <w:p w14:paraId="56A704EC">
                  <w:pPr>
                    <w:bidi w:val="0"/>
                    <w:jc w:val="center"/>
                    <w:rPr>
                      <w:rFonts w:hint="default" w:ascii="Times New Roman" w:hAnsi="Times New Roman" w:eastAsia="宋体" w:cs="Times New Roman"/>
                      <w:color w:val="000000"/>
                      <w:sz w:val="21"/>
                      <w:szCs w:val="21"/>
                      <w:highlight w:val="none"/>
                      <w:vertAlign w:val="baseline"/>
                      <w:lang w:val="en-US" w:eastAsia="zh-CN"/>
                    </w:rPr>
                  </w:pPr>
                </w:p>
              </w:tc>
            </w:tr>
            <w:tr w14:paraId="3DE72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pct"/>
                  <w:noWrap w:val="0"/>
                  <w:vAlign w:val="center"/>
                </w:tcPr>
                <w:p w14:paraId="6C64E1C9">
                  <w:pPr>
                    <w:widowControl/>
                    <w:jc w:val="center"/>
                    <w:rPr>
                      <w:rFonts w:hint="default" w:ascii="Times New Roman" w:hAnsi="Times New Roman" w:eastAsia="宋体" w:cs="Times New Roman"/>
                      <w:color w:val="000000"/>
                      <w:spacing w:val="-2"/>
                      <w:kern w:val="0"/>
                      <w:sz w:val="21"/>
                      <w:szCs w:val="21"/>
                      <w:highlight w:val="none"/>
                      <w:lang w:val="en-US" w:eastAsia="zh-CN"/>
                    </w:rPr>
                  </w:pPr>
                  <w:r>
                    <w:rPr>
                      <w:rFonts w:hint="eastAsia" w:ascii="Times New Roman" w:hAnsi="Times New Roman" w:eastAsia="宋体" w:cs="Times New Roman"/>
                      <w:color w:val="000000"/>
                      <w:spacing w:val="-2"/>
                      <w:kern w:val="0"/>
                      <w:sz w:val="21"/>
                      <w:szCs w:val="21"/>
                      <w:highlight w:val="none"/>
                      <w:lang w:val="en-US" w:eastAsia="zh-CN"/>
                    </w:rPr>
                    <w:t>风机</w:t>
                  </w:r>
                </w:p>
              </w:tc>
              <w:tc>
                <w:tcPr>
                  <w:tcW w:w="501" w:type="pct"/>
                  <w:noWrap w:val="0"/>
                  <w:vAlign w:val="center"/>
                </w:tcPr>
                <w:p w14:paraId="1F2E34C3">
                  <w:pPr>
                    <w:widowControl/>
                    <w:jc w:val="center"/>
                    <w:rPr>
                      <w:rFonts w:hint="default" w:ascii="Times New Roman" w:hAnsi="Times New Roman" w:eastAsia="宋体" w:cs="Times New Roman"/>
                      <w:color w:val="000000"/>
                      <w:sz w:val="21"/>
                      <w:szCs w:val="21"/>
                      <w:highlight w:val="none"/>
                      <w:vertAlign w:val="baseline"/>
                      <w:lang w:val="en-US" w:eastAsia="zh-CN"/>
                    </w:rPr>
                  </w:pPr>
                  <w:r>
                    <w:rPr>
                      <w:rFonts w:hint="eastAsia" w:ascii="Times New Roman" w:hAnsi="Times New Roman" w:eastAsia="宋体" w:cs="Times New Roman"/>
                      <w:color w:val="000000"/>
                      <w:sz w:val="21"/>
                      <w:szCs w:val="21"/>
                      <w:highlight w:val="none"/>
                      <w:vertAlign w:val="baseline"/>
                      <w:lang w:val="en-US" w:eastAsia="zh-CN"/>
                    </w:rPr>
                    <w:t>/</w:t>
                  </w:r>
                </w:p>
              </w:tc>
              <w:tc>
                <w:tcPr>
                  <w:tcW w:w="495" w:type="pct"/>
                  <w:noWrap w:val="0"/>
                  <w:vAlign w:val="center"/>
                </w:tcPr>
                <w:p w14:paraId="31F1B7CD">
                  <w:pPr>
                    <w:widowControl/>
                    <w:jc w:val="center"/>
                    <w:rPr>
                      <w:rFonts w:hint="default" w:ascii="Times New Roman" w:hAnsi="Times New Roman" w:eastAsia="宋体" w:cs="Times New Roman"/>
                      <w:color w:val="000000"/>
                      <w:kern w:val="0"/>
                      <w:sz w:val="21"/>
                      <w:szCs w:val="21"/>
                      <w:highlight w:val="none"/>
                      <w:lang w:val="en-US" w:eastAsia="zh-CN"/>
                    </w:rPr>
                  </w:pPr>
                  <w:r>
                    <w:rPr>
                      <w:rFonts w:hint="eastAsia" w:ascii="Times New Roman" w:hAnsi="Times New Roman" w:eastAsia="宋体" w:cs="Times New Roman"/>
                      <w:color w:val="000000"/>
                      <w:kern w:val="0"/>
                      <w:sz w:val="21"/>
                      <w:szCs w:val="21"/>
                      <w:highlight w:val="none"/>
                      <w:lang w:val="en-US" w:eastAsia="zh-CN"/>
                    </w:rPr>
                    <w:t>1</w:t>
                  </w:r>
                </w:p>
              </w:tc>
              <w:tc>
                <w:tcPr>
                  <w:tcW w:w="360" w:type="pct"/>
                  <w:noWrap w:val="0"/>
                  <w:vAlign w:val="center"/>
                </w:tcPr>
                <w:p w14:paraId="5F36E8F5">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eastAsia" w:cs="Times New Roman"/>
                      <w:color w:val="000000"/>
                      <w:sz w:val="21"/>
                      <w:szCs w:val="21"/>
                      <w:highlight w:val="none"/>
                      <w:vertAlign w:val="baseline"/>
                      <w:lang w:val="en-US" w:eastAsia="zh-CN"/>
                    </w:rPr>
                    <w:t>30</w:t>
                  </w:r>
                </w:p>
              </w:tc>
              <w:tc>
                <w:tcPr>
                  <w:tcW w:w="360" w:type="pct"/>
                  <w:noWrap w:val="0"/>
                  <w:vAlign w:val="center"/>
                </w:tcPr>
                <w:p w14:paraId="334D1BF3">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eastAsia" w:cs="Times New Roman"/>
                      <w:color w:val="000000"/>
                      <w:sz w:val="21"/>
                      <w:szCs w:val="21"/>
                      <w:highlight w:val="none"/>
                      <w:vertAlign w:val="baseline"/>
                      <w:lang w:val="en-US" w:eastAsia="zh-CN"/>
                    </w:rPr>
                    <w:t>25</w:t>
                  </w:r>
                </w:p>
              </w:tc>
              <w:tc>
                <w:tcPr>
                  <w:tcW w:w="362" w:type="pct"/>
                  <w:noWrap w:val="0"/>
                  <w:vAlign w:val="center"/>
                </w:tcPr>
                <w:p w14:paraId="069DB262">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eastAsia" w:cs="Times New Roman"/>
                      <w:color w:val="000000"/>
                      <w:sz w:val="21"/>
                      <w:szCs w:val="21"/>
                      <w:highlight w:val="none"/>
                      <w:vertAlign w:val="baseline"/>
                      <w:lang w:val="en-US" w:eastAsia="zh-CN"/>
                    </w:rPr>
                    <w:t>23</w:t>
                  </w:r>
                </w:p>
              </w:tc>
              <w:tc>
                <w:tcPr>
                  <w:tcW w:w="654" w:type="pct"/>
                  <w:noWrap w:val="0"/>
                  <w:vAlign w:val="center"/>
                </w:tcPr>
                <w:p w14:paraId="16973A5C">
                  <w:pPr>
                    <w:bidi w:val="0"/>
                    <w:jc w:val="center"/>
                    <w:rPr>
                      <w:rFonts w:hint="default" w:cs="Times New Roman"/>
                      <w:color w:val="000000"/>
                      <w:sz w:val="21"/>
                      <w:szCs w:val="21"/>
                      <w:highlight w:val="none"/>
                      <w:vertAlign w:val="baseline"/>
                      <w:lang w:val="en-US" w:eastAsia="zh-CN"/>
                    </w:rPr>
                  </w:pPr>
                  <w:r>
                    <w:rPr>
                      <w:rFonts w:hint="eastAsia" w:cs="Times New Roman"/>
                      <w:color w:val="000000"/>
                      <w:sz w:val="21"/>
                      <w:szCs w:val="21"/>
                      <w:highlight w:val="none"/>
                      <w:vertAlign w:val="baseline"/>
                      <w:lang w:val="en-US" w:eastAsia="zh-CN"/>
                    </w:rPr>
                    <w:t>90</w:t>
                  </w:r>
                </w:p>
              </w:tc>
              <w:tc>
                <w:tcPr>
                  <w:tcW w:w="1031" w:type="pct"/>
                  <w:noWrap w:val="0"/>
                  <w:vAlign w:val="center"/>
                </w:tcPr>
                <w:p w14:paraId="52E34FEF">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eastAsia" w:cs="Times New Roman"/>
                      <w:color w:val="000000"/>
                      <w:sz w:val="21"/>
                      <w:szCs w:val="21"/>
                      <w:highlight w:val="none"/>
                      <w:vertAlign w:val="baseline"/>
                      <w:lang w:val="en-US" w:eastAsia="zh-CN"/>
                    </w:rPr>
                    <w:t>选用低噪设备，</w:t>
                  </w:r>
                  <w:r>
                    <w:rPr>
                      <w:rFonts w:hint="eastAsia" w:ascii="Times New Roman" w:hAnsi="Times New Roman" w:cs="Times New Roman"/>
                      <w:color w:val="000000"/>
                      <w:sz w:val="21"/>
                      <w:szCs w:val="21"/>
                      <w:highlight w:val="none"/>
                      <w:lang w:val="en-US" w:eastAsia="zh-CN"/>
                    </w:rPr>
                    <w:t>设置隔声罩</w:t>
                  </w:r>
                </w:p>
              </w:tc>
              <w:tc>
                <w:tcPr>
                  <w:tcW w:w="701" w:type="pct"/>
                  <w:noWrap w:val="0"/>
                  <w:vAlign w:val="center"/>
                </w:tcPr>
                <w:p w14:paraId="4C87B6CE">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昼间、夜间</w:t>
                  </w:r>
                </w:p>
              </w:tc>
            </w:tr>
          </w:tbl>
          <w:p w14:paraId="55241AE0">
            <w:pPr>
              <w:spacing w:line="360" w:lineRule="auto"/>
              <w:rPr>
                <w:rFonts w:hint="default"/>
                <w:color w:val="auto"/>
                <w:highlight w:val="none"/>
              </w:rPr>
            </w:pPr>
            <w:r>
              <w:rPr>
                <w:rFonts w:hint="eastAsia" w:cs="Times New Roman"/>
                <w:b/>
                <w:bCs/>
                <w:color w:val="000000"/>
                <w:sz w:val="21"/>
                <w:szCs w:val="21"/>
                <w:highlight w:val="none"/>
                <w:lang w:eastAsia="zh-CN"/>
              </w:rPr>
              <w:t>注：以</w:t>
            </w:r>
            <w:r>
              <w:rPr>
                <w:rFonts w:hint="eastAsia" w:cs="Times New Roman"/>
                <w:b/>
                <w:bCs/>
                <w:color w:val="000000"/>
                <w:sz w:val="21"/>
                <w:szCs w:val="21"/>
                <w:highlight w:val="none"/>
                <w:lang w:val="en-US" w:eastAsia="zh-CN"/>
              </w:rPr>
              <w:t>厂房</w:t>
            </w:r>
            <w:r>
              <w:rPr>
                <w:rFonts w:hint="eastAsia" w:cs="Times New Roman"/>
                <w:b/>
                <w:bCs/>
                <w:color w:val="000000"/>
                <w:sz w:val="21"/>
                <w:szCs w:val="21"/>
                <w:highlight w:val="none"/>
                <w:lang w:eastAsia="zh-CN"/>
              </w:rPr>
              <w:t>西南角为原点，正东向为</w:t>
            </w:r>
            <w:r>
              <w:rPr>
                <w:rFonts w:hint="eastAsia" w:cs="Times New Roman"/>
                <w:b/>
                <w:bCs/>
                <w:color w:val="000000"/>
                <w:sz w:val="21"/>
                <w:szCs w:val="21"/>
                <w:highlight w:val="none"/>
                <w:lang w:val="en-US" w:eastAsia="zh-CN"/>
              </w:rPr>
              <w:t>X轴，正北向为Y轴。</w:t>
            </w:r>
          </w:p>
          <w:p w14:paraId="2811DDAD">
            <w:pPr>
              <w:pStyle w:val="54"/>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cs="Times New Roman"/>
                <w:b/>
                <w:bCs w:val="0"/>
                <w:color w:val="000000"/>
                <w:sz w:val="24"/>
                <w:szCs w:val="24"/>
                <w:highlight w:val="none"/>
                <w:lang w:val="en-US" w:eastAsia="zh-CN"/>
              </w:rPr>
              <w:t>（2）</w:t>
            </w:r>
            <w:r>
              <w:rPr>
                <w:rFonts w:hint="eastAsia" w:ascii="Times New Roman" w:hAnsi="Times New Roman" w:eastAsia="宋体" w:cs="Times New Roman"/>
                <w:b/>
                <w:bCs w:val="0"/>
                <w:color w:val="000000"/>
                <w:sz w:val="24"/>
                <w:szCs w:val="24"/>
                <w:highlight w:val="none"/>
                <w:lang w:val="en-US" w:eastAsia="zh-CN"/>
              </w:rPr>
              <w:t>噪声环境影响分析</w:t>
            </w:r>
          </w:p>
          <w:p w14:paraId="191B70C6">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本项目声环境影响预测方法选取参数模型法，主要预测方法依据</w:t>
            </w:r>
            <w:r>
              <w:rPr>
                <w:rFonts w:hint="default" w:ascii="Times New Roman" w:hAnsi="Times New Roman" w:eastAsia="宋体" w:cs="Times New Roman"/>
                <w:b w:val="0"/>
                <w:bCs/>
                <w:color w:val="000000"/>
                <w:sz w:val="24"/>
                <w:szCs w:val="24"/>
                <w:highlight w:val="none"/>
              </w:rPr>
              <w:t>《环境影响评价技术导则 声环境》（HJ2.4-2021）</w:t>
            </w:r>
            <w:r>
              <w:rPr>
                <w:rFonts w:hint="default" w:ascii="Times New Roman" w:hAnsi="Times New Roman" w:eastAsia="宋体" w:cs="Times New Roman"/>
                <w:b w:val="0"/>
                <w:bCs/>
                <w:color w:val="000000"/>
                <w:sz w:val="24"/>
                <w:szCs w:val="24"/>
                <w:highlight w:val="none"/>
                <w:lang w:eastAsia="zh-CN"/>
              </w:rPr>
              <w:t>中</w:t>
            </w:r>
            <w:r>
              <w:rPr>
                <w:rFonts w:hint="default" w:ascii="Times New Roman" w:hAnsi="Times New Roman" w:eastAsia="宋体" w:cs="Times New Roman"/>
                <w:b w:val="0"/>
                <w:bCs/>
                <w:color w:val="000000"/>
                <w:sz w:val="24"/>
                <w:szCs w:val="24"/>
                <w:highlight w:val="none"/>
                <w:lang w:val="en-US" w:eastAsia="zh-CN"/>
              </w:rPr>
              <w:t>“B.1.3室内声源等效室外声源</w:t>
            </w:r>
            <w:r>
              <w:rPr>
                <w:rFonts w:hint="eastAsia" w:ascii="Times New Roman" w:hAnsi="Times New Roman" w:eastAsia="宋体" w:cs="Times New Roman"/>
                <w:b w:val="0"/>
                <w:bCs/>
                <w:color w:val="000000"/>
                <w:sz w:val="24"/>
                <w:szCs w:val="24"/>
                <w:highlight w:val="none"/>
                <w:lang w:val="en-US" w:eastAsia="zh-CN"/>
              </w:rPr>
              <w:t>声</w:t>
            </w:r>
            <w:r>
              <w:rPr>
                <w:rFonts w:hint="default" w:ascii="Times New Roman" w:hAnsi="Times New Roman" w:eastAsia="宋体" w:cs="Times New Roman"/>
                <w:b w:val="0"/>
                <w:bCs/>
                <w:color w:val="000000"/>
                <w:sz w:val="24"/>
                <w:szCs w:val="24"/>
                <w:highlight w:val="none"/>
                <w:lang w:val="en-US" w:eastAsia="zh-CN"/>
              </w:rPr>
              <w:t>功率级计算方法”将本项目室内声源等效为室外声源；等效后的室内声源按照室外声源预测方法计算预测点处的A声级。</w:t>
            </w:r>
          </w:p>
          <w:p w14:paraId="2F2F8931">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1）室内声源等效室外声源声功率级计算方法</w:t>
            </w:r>
          </w:p>
          <w:p w14:paraId="558837DC">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本项目</w:t>
            </w:r>
            <w:r>
              <w:rPr>
                <w:rFonts w:hint="default" w:ascii="Times New Roman" w:hAnsi="Times New Roman" w:eastAsia="宋体" w:cs="Times New Roman"/>
                <w:b w:val="0"/>
                <w:bCs/>
                <w:color w:val="000000"/>
                <w:sz w:val="24"/>
                <w:szCs w:val="24"/>
                <w:highlight w:val="none"/>
                <w:lang w:val="en-US"/>
              </w:rPr>
              <w:t>声源所在室内声场为近似扩散声场，</w:t>
            </w:r>
            <w:r>
              <w:rPr>
                <w:rFonts w:hint="default" w:ascii="Times New Roman" w:hAnsi="Times New Roman" w:eastAsia="宋体" w:cs="Times New Roman"/>
                <w:b w:val="0"/>
                <w:bCs/>
                <w:color w:val="000000"/>
                <w:sz w:val="24"/>
                <w:szCs w:val="24"/>
                <w:highlight w:val="none"/>
                <w:lang w:val="en-US" w:eastAsia="zh-CN"/>
              </w:rPr>
              <w:t>按照下列</w:t>
            </w:r>
            <w:r>
              <w:rPr>
                <w:rFonts w:hint="eastAsia" w:ascii="Times New Roman" w:hAnsi="Times New Roman" w:eastAsia="宋体" w:cs="Times New Roman"/>
                <w:b w:val="0"/>
                <w:bCs/>
                <w:color w:val="000000"/>
                <w:sz w:val="24"/>
                <w:szCs w:val="24"/>
                <w:highlight w:val="none"/>
                <w:lang w:val="en-US" w:eastAsia="zh-CN"/>
              </w:rPr>
              <w:t>公式</w:t>
            </w:r>
            <w:r>
              <w:rPr>
                <w:rFonts w:hint="default" w:ascii="Times New Roman" w:hAnsi="Times New Roman" w:eastAsia="宋体" w:cs="Times New Roman"/>
                <w:b w:val="0"/>
                <w:bCs/>
                <w:color w:val="000000"/>
                <w:sz w:val="24"/>
                <w:szCs w:val="24"/>
                <w:highlight w:val="none"/>
                <w:lang w:val="en-US" w:eastAsia="zh-CN"/>
              </w:rPr>
              <w:t>（B.1）求出：</w:t>
            </w:r>
          </w:p>
          <w:p w14:paraId="63E2A3EF">
            <w:pPr>
              <w:pStyle w:val="54"/>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rPr>
              <w:drawing>
                <wp:inline distT="0" distB="0" distL="114300" distR="114300">
                  <wp:extent cx="1316355" cy="242570"/>
                  <wp:effectExtent l="0" t="0" r="17145" b="5080"/>
                  <wp:docPr id="1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pic:cNvPicPr>
                            <a:picLocks noChangeAspect="1"/>
                          </pic:cNvPicPr>
                        </pic:nvPicPr>
                        <pic:blipFill>
                          <a:blip r:embed="rId18"/>
                          <a:stretch>
                            <a:fillRect/>
                          </a:stretch>
                        </pic:blipFill>
                        <pic:spPr>
                          <a:xfrm>
                            <a:off x="0" y="0"/>
                            <a:ext cx="1316355" cy="242570"/>
                          </a:xfrm>
                          <a:prstGeom prst="rect">
                            <a:avLst/>
                          </a:prstGeom>
                          <a:noFill/>
                          <a:ln>
                            <a:noFill/>
                          </a:ln>
                        </pic:spPr>
                      </pic:pic>
                    </a:graphicData>
                  </a:graphic>
                </wp:inline>
              </w:drawing>
            </w:r>
          </w:p>
          <w:p w14:paraId="43C26A3B">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式中：L</w:t>
            </w:r>
            <w:r>
              <w:rPr>
                <w:rFonts w:hint="default" w:ascii="Times New Roman" w:hAnsi="Times New Roman" w:eastAsia="宋体" w:cs="Times New Roman"/>
                <w:b w:val="0"/>
                <w:bCs/>
                <w:color w:val="000000"/>
                <w:sz w:val="24"/>
                <w:szCs w:val="24"/>
                <w:highlight w:val="none"/>
                <w:vertAlign w:val="subscript"/>
                <w:lang w:val="en-US" w:eastAsia="zh-CN"/>
              </w:rPr>
              <w:t>p1</w:t>
            </w:r>
            <w:r>
              <w:rPr>
                <w:rFonts w:hint="default" w:ascii="Times New Roman" w:hAnsi="Times New Roman" w:eastAsia="宋体" w:cs="Times New Roman"/>
                <w:b w:val="0"/>
                <w:bCs/>
                <w:color w:val="000000"/>
                <w:sz w:val="24"/>
                <w:szCs w:val="24"/>
                <w:highlight w:val="none"/>
                <w:lang w:val="en-US" w:eastAsia="zh-CN"/>
              </w:rPr>
              <w:t xml:space="preserve"> ——靠近开口处（或窗户）室内某倍频带的声压级或A声级，dB；</w:t>
            </w:r>
          </w:p>
          <w:p w14:paraId="0B9B694C">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L</w:t>
            </w:r>
            <w:r>
              <w:rPr>
                <w:rFonts w:hint="default" w:ascii="Times New Roman" w:hAnsi="Times New Roman" w:eastAsia="宋体" w:cs="Times New Roman"/>
                <w:b w:val="0"/>
                <w:bCs/>
                <w:color w:val="000000"/>
                <w:sz w:val="24"/>
                <w:szCs w:val="24"/>
                <w:highlight w:val="none"/>
                <w:vertAlign w:val="subscript"/>
                <w:lang w:val="en-US" w:eastAsia="zh-CN"/>
              </w:rPr>
              <w:t>p2</w:t>
            </w:r>
            <w:r>
              <w:rPr>
                <w:rFonts w:hint="default" w:ascii="Times New Roman" w:hAnsi="Times New Roman" w:eastAsia="宋体" w:cs="Times New Roman"/>
                <w:b w:val="0"/>
                <w:bCs/>
                <w:color w:val="000000"/>
                <w:sz w:val="24"/>
                <w:szCs w:val="24"/>
                <w:highlight w:val="none"/>
                <w:lang w:val="en-US" w:eastAsia="zh-CN"/>
              </w:rPr>
              <w:t xml:space="preserve"> ——靠近开口处（或窗户）室外某倍频带的声压级或A声级，dB；</w:t>
            </w:r>
          </w:p>
          <w:p w14:paraId="56E956DB">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TL——隔墙（或窗户）倍频带或A声级的隔声量，dB。</w:t>
            </w:r>
          </w:p>
          <w:p w14:paraId="62FD56B5">
            <w:pPr>
              <w:pStyle w:val="54"/>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rPr>
              <w:drawing>
                <wp:inline distT="0" distB="0" distL="114300" distR="114300">
                  <wp:extent cx="2087245" cy="1079500"/>
                  <wp:effectExtent l="0" t="0" r="8255" b="6350"/>
                  <wp:docPr id="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4"/>
                          <pic:cNvPicPr>
                            <a:picLocks noChangeAspect="1"/>
                          </pic:cNvPicPr>
                        </pic:nvPicPr>
                        <pic:blipFill>
                          <a:blip r:embed="rId19"/>
                          <a:stretch>
                            <a:fillRect/>
                          </a:stretch>
                        </pic:blipFill>
                        <pic:spPr>
                          <a:xfrm>
                            <a:off x="0" y="0"/>
                            <a:ext cx="2087245" cy="1079500"/>
                          </a:xfrm>
                          <a:prstGeom prst="rect">
                            <a:avLst/>
                          </a:prstGeom>
                          <a:noFill/>
                          <a:ln>
                            <a:noFill/>
                          </a:ln>
                        </pic:spPr>
                      </pic:pic>
                    </a:graphicData>
                  </a:graphic>
                </wp:inline>
              </w:drawing>
            </w:r>
          </w:p>
          <w:p w14:paraId="495F4E0F">
            <w:pPr>
              <w:pStyle w:val="81"/>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b/>
                <w:bCs w:val="0"/>
                <w:color w:val="000000"/>
                <w:sz w:val="24"/>
                <w:szCs w:val="24"/>
                <w:highlight w:val="none"/>
                <w:lang w:val="en-US"/>
              </w:rPr>
            </w:pPr>
            <w:r>
              <w:rPr>
                <w:rFonts w:hint="default" w:ascii="Times New Roman" w:hAnsi="Times New Roman" w:eastAsia="宋体" w:cs="Times New Roman"/>
                <w:b/>
                <w:bCs w:val="0"/>
                <w:color w:val="000000"/>
                <w:sz w:val="21"/>
                <w:szCs w:val="21"/>
                <w:highlight w:val="none"/>
              </w:rPr>
              <w:t>图</w:t>
            </w:r>
            <w:r>
              <w:rPr>
                <w:rFonts w:hint="eastAsia" w:ascii="Times New Roman" w:hAnsi="Times New Roman" w:eastAsia="宋体" w:cs="Times New Roman"/>
                <w:b/>
                <w:bCs w:val="0"/>
                <w:color w:val="000000"/>
                <w:sz w:val="21"/>
                <w:szCs w:val="21"/>
                <w:highlight w:val="none"/>
                <w:lang w:val="en-US" w:eastAsia="zh-CN"/>
              </w:rPr>
              <w:t>4-</w:t>
            </w:r>
            <w:r>
              <w:rPr>
                <w:rFonts w:hint="eastAsia" w:cs="Times New Roman"/>
                <w:b/>
                <w:bCs w:val="0"/>
                <w:color w:val="000000"/>
                <w:sz w:val="21"/>
                <w:szCs w:val="21"/>
                <w:highlight w:val="none"/>
                <w:lang w:val="en-US" w:eastAsia="zh-CN"/>
              </w:rPr>
              <w:t>2</w:t>
            </w:r>
            <w:r>
              <w:rPr>
                <w:rFonts w:hint="default" w:ascii="Times New Roman" w:hAnsi="Times New Roman" w:eastAsia="宋体" w:cs="Times New Roman"/>
                <w:b/>
                <w:bCs w:val="0"/>
                <w:color w:val="000000"/>
                <w:sz w:val="21"/>
                <w:szCs w:val="21"/>
                <w:highlight w:val="none"/>
              </w:rPr>
              <w:t xml:space="preserve">  室内声源等效为室外声源图例</w:t>
            </w:r>
          </w:p>
          <w:p w14:paraId="33771BA4">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2）靠近声源处的预测点噪声预测模型</w:t>
            </w:r>
          </w:p>
          <w:p w14:paraId="1186D832">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根据设计资料调查，本项目预测选用点声源预测模型。</w:t>
            </w:r>
          </w:p>
          <w:p w14:paraId="1F569B7A">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3）工业企业噪声计算</w:t>
            </w:r>
          </w:p>
          <w:p w14:paraId="13AC90A6">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多个室外声源在一定工作时间内，对本项目声源预测点产生的贡献值计算公式（B.6）如下：</w:t>
            </w:r>
          </w:p>
          <w:p w14:paraId="0D784F44">
            <w:pPr>
              <w:pStyle w:val="54"/>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rPr>
              <w:drawing>
                <wp:inline distT="0" distB="0" distL="114300" distR="114300">
                  <wp:extent cx="2162175" cy="411480"/>
                  <wp:effectExtent l="0" t="0" r="9525" b="7620"/>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20"/>
                          <a:stretch>
                            <a:fillRect/>
                          </a:stretch>
                        </pic:blipFill>
                        <pic:spPr>
                          <a:xfrm>
                            <a:off x="0" y="0"/>
                            <a:ext cx="2162175" cy="411480"/>
                          </a:xfrm>
                          <a:prstGeom prst="rect">
                            <a:avLst/>
                          </a:prstGeom>
                          <a:noFill/>
                          <a:ln>
                            <a:noFill/>
                          </a:ln>
                        </pic:spPr>
                      </pic:pic>
                    </a:graphicData>
                  </a:graphic>
                </wp:inline>
              </w:drawing>
            </w:r>
          </w:p>
          <w:p w14:paraId="49E82712">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式中：L</w:t>
            </w:r>
            <w:r>
              <w:rPr>
                <w:rFonts w:hint="default" w:ascii="Times New Roman" w:hAnsi="Times New Roman" w:eastAsia="宋体" w:cs="Times New Roman"/>
                <w:b w:val="0"/>
                <w:bCs/>
                <w:color w:val="000000"/>
                <w:sz w:val="24"/>
                <w:szCs w:val="24"/>
                <w:highlight w:val="none"/>
                <w:vertAlign w:val="subscript"/>
                <w:lang w:val="en-US" w:eastAsia="zh-CN"/>
              </w:rPr>
              <w:t>eqg</w:t>
            </w:r>
            <w:r>
              <w:rPr>
                <w:rFonts w:hint="default" w:ascii="Times New Roman" w:hAnsi="Times New Roman" w:eastAsia="宋体" w:cs="Times New Roman"/>
                <w:b w:val="0"/>
                <w:bCs/>
                <w:color w:val="000000"/>
                <w:sz w:val="24"/>
                <w:szCs w:val="24"/>
                <w:highlight w:val="none"/>
                <w:lang w:val="en-US" w:eastAsia="zh-CN"/>
              </w:rPr>
              <w:t>——项目声源在预测点产生的噪声贡献值，dB；</w:t>
            </w:r>
          </w:p>
          <w:p w14:paraId="144537F0">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T——用于计算等效声级的时间，s；</w:t>
            </w:r>
          </w:p>
          <w:p w14:paraId="0E70AB12">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N——室外声源个数；</w:t>
            </w:r>
          </w:p>
          <w:p w14:paraId="7B65E1F3">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 xml:space="preserve">t </w:t>
            </w:r>
            <w:r>
              <w:rPr>
                <w:rFonts w:hint="default" w:ascii="Times New Roman" w:hAnsi="Times New Roman" w:eastAsia="宋体" w:cs="Times New Roman"/>
                <w:b w:val="0"/>
                <w:bCs/>
                <w:color w:val="000000"/>
                <w:sz w:val="24"/>
                <w:szCs w:val="24"/>
                <w:highlight w:val="none"/>
                <w:vertAlign w:val="subscript"/>
                <w:lang w:val="en-US" w:eastAsia="zh-CN"/>
              </w:rPr>
              <w:t>i</w:t>
            </w:r>
            <w:r>
              <w:rPr>
                <w:rFonts w:hint="default" w:ascii="Times New Roman" w:hAnsi="Times New Roman" w:eastAsia="宋体" w:cs="Times New Roman"/>
                <w:b w:val="0"/>
                <w:bCs/>
                <w:color w:val="000000"/>
                <w:sz w:val="24"/>
                <w:szCs w:val="24"/>
                <w:highlight w:val="none"/>
                <w:lang w:val="en-US" w:eastAsia="zh-CN"/>
              </w:rPr>
              <w:t>——在T时间内i声源工作时间，s；</w:t>
            </w:r>
          </w:p>
          <w:p w14:paraId="54E90E66">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M ——等效室外声源个数；</w:t>
            </w:r>
          </w:p>
          <w:p w14:paraId="647249C2">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 xml:space="preserve">t </w:t>
            </w:r>
            <w:r>
              <w:rPr>
                <w:rFonts w:hint="default" w:ascii="Times New Roman" w:hAnsi="Times New Roman" w:eastAsia="宋体" w:cs="Times New Roman"/>
                <w:b w:val="0"/>
                <w:bCs/>
                <w:color w:val="000000"/>
                <w:sz w:val="24"/>
                <w:szCs w:val="24"/>
                <w:highlight w:val="none"/>
                <w:vertAlign w:val="subscript"/>
                <w:lang w:val="en-US" w:eastAsia="zh-CN"/>
              </w:rPr>
              <w:t>j</w:t>
            </w:r>
            <w:r>
              <w:rPr>
                <w:rFonts w:hint="default" w:ascii="Times New Roman" w:hAnsi="Times New Roman" w:eastAsia="宋体" w:cs="Times New Roman"/>
                <w:b w:val="0"/>
                <w:bCs/>
                <w:color w:val="000000"/>
                <w:sz w:val="24"/>
                <w:szCs w:val="24"/>
                <w:highlight w:val="none"/>
                <w:lang w:val="en-US" w:eastAsia="zh-CN"/>
              </w:rPr>
              <w:t>——在T时间内j声源工作时间，s。</w:t>
            </w:r>
          </w:p>
          <w:p w14:paraId="33050CE0">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lang w:val="en-US" w:eastAsia="zh-CN"/>
              </w:rPr>
              <w:t>4</w:t>
            </w:r>
            <w:r>
              <w:rPr>
                <w:rFonts w:hint="default" w:ascii="Times New Roman" w:hAnsi="Times New Roman" w:eastAsia="宋体" w:cs="Times New Roman"/>
                <w:b w:val="0"/>
                <w:bCs/>
                <w:color w:val="000000"/>
                <w:sz w:val="24"/>
                <w:szCs w:val="24"/>
                <w:highlight w:val="none"/>
              </w:rPr>
              <w:t>）室外声源在预测点产生的声级计算模型</w:t>
            </w:r>
          </w:p>
          <w:p w14:paraId="4EF9F2E9">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rPr>
              <w:t>考虑本项目声源与预测点之间地形平整、无明显高差、无障碍物、绿化稀疏。因此本评价只考虑户外点声源衰减包括的几何发散（A</w:t>
            </w:r>
            <w:r>
              <w:rPr>
                <w:rFonts w:hint="default" w:ascii="Times New Roman" w:hAnsi="Times New Roman" w:eastAsia="宋体" w:cs="Times New Roman"/>
                <w:b w:val="0"/>
                <w:bCs/>
                <w:color w:val="000000"/>
                <w:sz w:val="24"/>
                <w:szCs w:val="24"/>
                <w:highlight w:val="none"/>
                <w:vertAlign w:val="subscript"/>
              </w:rPr>
              <w:t>div</w:t>
            </w:r>
            <w:r>
              <w:rPr>
                <w:rFonts w:hint="default" w:ascii="Times New Roman" w:hAnsi="Times New Roman" w:eastAsia="宋体" w:cs="Times New Roman"/>
                <w:b w:val="0"/>
                <w:bCs/>
                <w:color w:val="000000"/>
                <w:sz w:val="24"/>
                <w:szCs w:val="24"/>
                <w:highlight w:val="none"/>
              </w:rPr>
              <w:t>）和大气吸收（A</w:t>
            </w:r>
            <w:r>
              <w:rPr>
                <w:rFonts w:hint="default" w:ascii="Times New Roman" w:hAnsi="Times New Roman" w:eastAsia="宋体" w:cs="Times New Roman"/>
                <w:b w:val="0"/>
                <w:bCs/>
                <w:color w:val="000000"/>
                <w:sz w:val="24"/>
                <w:szCs w:val="24"/>
                <w:highlight w:val="none"/>
                <w:vertAlign w:val="subscript"/>
              </w:rPr>
              <w:t>atm</w:t>
            </w:r>
            <w:r>
              <w:rPr>
                <w:rFonts w:hint="default" w:ascii="Times New Roman" w:hAnsi="Times New Roman" w:eastAsia="宋体" w:cs="Times New Roman"/>
                <w:b w:val="0"/>
                <w:bCs/>
                <w:color w:val="000000"/>
                <w:sz w:val="24"/>
                <w:szCs w:val="24"/>
                <w:highlight w:val="none"/>
              </w:rPr>
              <w:t>）引起的衰减。</w:t>
            </w:r>
          </w:p>
          <w:p w14:paraId="75C421A4">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t>综合衰减按照以下基本公式（A.1）：</w:t>
            </w:r>
          </w:p>
          <w:p w14:paraId="35F99D2D">
            <w:pPr>
              <w:pStyle w:val="54"/>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rPr>
              <w:drawing>
                <wp:inline distT="0" distB="0" distL="114300" distR="114300">
                  <wp:extent cx="2396490" cy="275590"/>
                  <wp:effectExtent l="0" t="0" r="3810" b="10160"/>
                  <wp:docPr id="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6"/>
                          <pic:cNvPicPr>
                            <a:picLocks noChangeAspect="1"/>
                          </pic:cNvPicPr>
                        </pic:nvPicPr>
                        <pic:blipFill>
                          <a:blip r:embed="rId21"/>
                          <a:stretch>
                            <a:fillRect/>
                          </a:stretch>
                        </pic:blipFill>
                        <pic:spPr>
                          <a:xfrm>
                            <a:off x="0" y="0"/>
                            <a:ext cx="2396490" cy="275590"/>
                          </a:xfrm>
                          <a:prstGeom prst="rect">
                            <a:avLst/>
                          </a:prstGeom>
                          <a:noFill/>
                          <a:ln>
                            <a:noFill/>
                          </a:ln>
                        </pic:spPr>
                      </pic:pic>
                    </a:graphicData>
                  </a:graphic>
                </wp:inline>
              </w:drawing>
            </w:r>
          </w:p>
          <w:p w14:paraId="241B29F3">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fldChar w:fldCharType="begin"/>
            </w:r>
            <w:r>
              <w:rPr>
                <w:rFonts w:hint="default" w:ascii="Times New Roman" w:hAnsi="Times New Roman" w:eastAsia="宋体" w:cs="Times New Roman"/>
                <w:b w:val="0"/>
                <w:bCs/>
                <w:color w:val="000000"/>
                <w:sz w:val="24"/>
                <w:szCs w:val="24"/>
                <w:highlight w:val="none"/>
                <w:lang w:eastAsia="zh-CN"/>
              </w:rPr>
              <w:instrText xml:space="preserve"> = 1 \* GB3 </w:instrText>
            </w:r>
            <w:r>
              <w:rPr>
                <w:rFonts w:hint="default" w:ascii="Times New Roman" w:hAnsi="Times New Roman" w:eastAsia="宋体" w:cs="Times New Roman"/>
                <w:b w:val="0"/>
                <w:bCs/>
                <w:color w:val="000000"/>
                <w:sz w:val="24"/>
                <w:szCs w:val="24"/>
                <w:highlight w:val="none"/>
                <w:lang w:eastAsia="zh-CN"/>
              </w:rPr>
              <w:fldChar w:fldCharType="separate"/>
            </w:r>
            <w:r>
              <w:rPr>
                <w:rFonts w:hint="default" w:ascii="Times New Roman" w:hAnsi="Times New Roman" w:eastAsia="宋体" w:cs="Times New Roman"/>
                <w:b w:val="0"/>
                <w:bCs/>
                <w:color w:val="000000"/>
                <w:sz w:val="24"/>
                <w:szCs w:val="24"/>
                <w:highlight w:val="none"/>
                <w:lang w:eastAsia="zh-CN"/>
              </w:rPr>
              <w:t>①</w:t>
            </w:r>
            <w:r>
              <w:rPr>
                <w:rFonts w:hint="default" w:ascii="Times New Roman" w:hAnsi="Times New Roman" w:eastAsia="宋体" w:cs="Times New Roman"/>
                <w:b w:val="0"/>
                <w:bCs/>
                <w:color w:val="000000"/>
                <w:sz w:val="24"/>
                <w:szCs w:val="24"/>
                <w:highlight w:val="none"/>
                <w:lang w:eastAsia="zh-CN"/>
              </w:rPr>
              <w:fldChar w:fldCharType="end"/>
            </w:r>
            <w:r>
              <w:rPr>
                <w:rFonts w:hint="default" w:ascii="Times New Roman" w:hAnsi="Times New Roman" w:eastAsia="宋体" w:cs="Times New Roman"/>
                <w:b w:val="0"/>
                <w:bCs/>
                <w:color w:val="000000"/>
                <w:sz w:val="24"/>
                <w:szCs w:val="24"/>
                <w:highlight w:val="none"/>
                <w:lang w:eastAsia="zh-CN"/>
              </w:rPr>
              <w:t>点声源几何发散</w:t>
            </w:r>
            <w:r>
              <w:rPr>
                <w:rFonts w:hint="default" w:ascii="Times New Roman" w:hAnsi="Times New Roman" w:eastAsia="宋体" w:cs="Times New Roman"/>
                <w:b w:val="0"/>
                <w:bCs/>
                <w:color w:val="000000"/>
                <w:sz w:val="24"/>
                <w:szCs w:val="24"/>
                <w:highlight w:val="none"/>
              </w:rPr>
              <w:t>（A</w:t>
            </w:r>
            <w:r>
              <w:rPr>
                <w:rFonts w:hint="default" w:ascii="Times New Roman" w:hAnsi="Times New Roman" w:eastAsia="宋体" w:cs="Times New Roman"/>
                <w:b w:val="0"/>
                <w:bCs/>
                <w:color w:val="000000"/>
                <w:sz w:val="24"/>
                <w:szCs w:val="24"/>
                <w:highlight w:val="none"/>
                <w:vertAlign w:val="subscript"/>
              </w:rPr>
              <w:t>div</w:t>
            </w:r>
            <w:r>
              <w:rPr>
                <w:rFonts w:hint="default" w:ascii="Times New Roman" w:hAnsi="Times New Roman" w:eastAsia="宋体" w:cs="Times New Roman"/>
                <w:b w:val="0"/>
                <w:bCs/>
                <w:color w:val="000000"/>
                <w:sz w:val="24"/>
                <w:szCs w:val="24"/>
                <w:highlight w:val="none"/>
              </w:rPr>
              <w:t>）</w:t>
            </w:r>
          </w:p>
          <w:p w14:paraId="44DE1B16">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rPr>
            </w:pPr>
            <w:r>
              <w:rPr>
                <w:rFonts w:hint="default" w:ascii="Times New Roman" w:hAnsi="Times New Roman" w:eastAsia="宋体" w:cs="Times New Roman"/>
                <w:b w:val="0"/>
                <w:bCs/>
                <w:color w:val="000000"/>
                <w:sz w:val="24"/>
                <w:szCs w:val="24"/>
                <w:highlight w:val="none"/>
              </w:rPr>
              <w:t>点声源几何发散选取半自由声场</w:t>
            </w:r>
            <w:r>
              <w:rPr>
                <w:rFonts w:hint="eastAsia" w:ascii="Times New Roman" w:hAnsi="Times New Roman" w:eastAsia="宋体" w:cs="Times New Roman"/>
                <w:b w:val="0"/>
                <w:bCs/>
                <w:color w:val="000000"/>
                <w:sz w:val="24"/>
                <w:szCs w:val="24"/>
                <w:highlight w:val="none"/>
                <w:lang w:eastAsia="zh-CN"/>
              </w:rPr>
              <w:t>公式</w:t>
            </w:r>
            <w:r>
              <w:rPr>
                <w:rFonts w:hint="default" w:ascii="Times New Roman" w:hAnsi="Times New Roman" w:eastAsia="宋体" w:cs="Times New Roman"/>
                <w:b w:val="0"/>
                <w:bCs/>
                <w:color w:val="000000"/>
                <w:sz w:val="24"/>
                <w:szCs w:val="24"/>
                <w:highlight w:val="none"/>
              </w:rPr>
              <w:t>（A.10）。</w:t>
            </w:r>
          </w:p>
          <w:p w14:paraId="30CFA9A1">
            <w:pPr>
              <w:pStyle w:val="54"/>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rPr>
              <w:drawing>
                <wp:inline distT="0" distB="0" distL="114300" distR="114300">
                  <wp:extent cx="1452880" cy="196215"/>
                  <wp:effectExtent l="0" t="0" r="13970" b="13335"/>
                  <wp:docPr id="1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7"/>
                          <pic:cNvPicPr>
                            <a:picLocks noChangeAspect="1"/>
                          </pic:cNvPicPr>
                        </pic:nvPicPr>
                        <pic:blipFill>
                          <a:blip r:embed="rId22"/>
                          <a:stretch>
                            <a:fillRect/>
                          </a:stretch>
                        </pic:blipFill>
                        <pic:spPr>
                          <a:xfrm>
                            <a:off x="0" y="0"/>
                            <a:ext cx="1452880" cy="196215"/>
                          </a:xfrm>
                          <a:prstGeom prst="rect">
                            <a:avLst/>
                          </a:prstGeom>
                          <a:noFill/>
                          <a:ln>
                            <a:noFill/>
                          </a:ln>
                        </pic:spPr>
                      </pic:pic>
                    </a:graphicData>
                  </a:graphic>
                </wp:inline>
              </w:drawing>
            </w:r>
          </w:p>
          <w:p w14:paraId="14977F24">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式中：L</w:t>
            </w:r>
            <w:r>
              <w:rPr>
                <w:rFonts w:hint="default" w:ascii="Times New Roman" w:hAnsi="Times New Roman" w:eastAsia="宋体" w:cs="Times New Roman"/>
                <w:b w:val="0"/>
                <w:bCs/>
                <w:color w:val="000000"/>
                <w:sz w:val="24"/>
                <w:szCs w:val="24"/>
                <w:highlight w:val="none"/>
                <w:vertAlign w:val="subscript"/>
                <w:lang w:val="en-US" w:eastAsia="zh-CN"/>
              </w:rPr>
              <w:t>A</w:t>
            </w:r>
            <w:r>
              <w:rPr>
                <w:rFonts w:hint="default" w:ascii="Times New Roman" w:hAnsi="Times New Roman" w:eastAsia="宋体" w:cs="Times New Roman"/>
                <w:b w:val="0"/>
                <w:bCs/>
                <w:color w:val="000000"/>
                <w:sz w:val="24"/>
                <w:szCs w:val="24"/>
                <w:highlight w:val="none"/>
                <w:lang w:val="en-US" w:eastAsia="zh-CN"/>
              </w:rPr>
              <w:t xml:space="preserve"> (r)——距声源r处的A声级，dB(A)；</w:t>
            </w:r>
          </w:p>
          <w:p w14:paraId="0A6442EC">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L</w:t>
            </w:r>
            <w:r>
              <w:rPr>
                <w:rFonts w:hint="default" w:ascii="Times New Roman" w:hAnsi="Times New Roman" w:eastAsia="宋体" w:cs="Times New Roman"/>
                <w:b w:val="0"/>
                <w:bCs/>
                <w:color w:val="000000"/>
                <w:sz w:val="24"/>
                <w:szCs w:val="24"/>
                <w:highlight w:val="none"/>
                <w:vertAlign w:val="subscript"/>
                <w:lang w:val="en-US" w:eastAsia="zh-CN"/>
              </w:rPr>
              <w:t>Aw</w:t>
            </w:r>
            <w:r>
              <w:rPr>
                <w:rFonts w:hint="default" w:ascii="Times New Roman" w:hAnsi="Times New Roman" w:eastAsia="宋体" w:cs="Times New Roman"/>
                <w:b w:val="0"/>
                <w:bCs/>
                <w:color w:val="000000"/>
                <w:sz w:val="24"/>
                <w:szCs w:val="24"/>
                <w:highlight w:val="none"/>
                <w:lang w:val="en-US" w:eastAsia="zh-CN"/>
              </w:rPr>
              <w:t>——点声源A计权声功率级，dB；</w:t>
            </w:r>
          </w:p>
          <w:p w14:paraId="44F56221">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r——预测点距声源的距离。</w:t>
            </w:r>
          </w:p>
          <w:p w14:paraId="0D7D1511">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rPr>
              <w:fldChar w:fldCharType="begin"/>
            </w:r>
            <w:r>
              <w:rPr>
                <w:rFonts w:hint="default" w:ascii="Times New Roman" w:hAnsi="Times New Roman" w:eastAsia="宋体" w:cs="Times New Roman"/>
                <w:b w:val="0"/>
                <w:bCs/>
                <w:color w:val="000000"/>
                <w:sz w:val="24"/>
                <w:szCs w:val="24"/>
                <w:highlight w:val="none"/>
              </w:rPr>
              <w:instrText xml:space="preserve"> = 2 \* GB3 </w:instrText>
            </w:r>
            <w:r>
              <w:rPr>
                <w:rFonts w:hint="default" w:ascii="Times New Roman" w:hAnsi="Times New Roman" w:eastAsia="宋体" w:cs="Times New Roman"/>
                <w:b w:val="0"/>
                <w:bCs/>
                <w:color w:val="000000"/>
                <w:sz w:val="24"/>
                <w:szCs w:val="24"/>
                <w:highlight w:val="none"/>
              </w:rPr>
              <w:fldChar w:fldCharType="separate"/>
            </w:r>
            <w:r>
              <w:rPr>
                <w:rFonts w:hint="default" w:ascii="Times New Roman" w:hAnsi="Times New Roman" w:eastAsia="宋体" w:cs="Times New Roman"/>
                <w:b w:val="0"/>
                <w:bCs/>
                <w:color w:val="000000"/>
                <w:sz w:val="24"/>
                <w:szCs w:val="24"/>
                <w:highlight w:val="none"/>
              </w:rPr>
              <w:t>②</w:t>
            </w:r>
            <w:r>
              <w:rPr>
                <w:rFonts w:hint="default" w:ascii="Times New Roman" w:hAnsi="Times New Roman" w:eastAsia="宋体" w:cs="Times New Roman"/>
                <w:b w:val="0"/>
                <w:bCs/>
                <w:color w:val="000000"/>
                <w:sz w:val="24"/>
                <w:szCs w:val="24"/>
                <w:highlight w:val="none"/>
              </w:rPr>
              <w:fldChar w:fldCharType="end"/>
            </w:r>
            <w:r>
              <w:rPr>
                <w:rFonts w:hint="default" w:ascii="Times New Roman" w:hAnsi="Times New Roman" w:eastAsia="宋体" w:cs="Times New Roman"/>
                <w:b w:val="0"/>
                <w:bCs/>
                <w:color w:val="000000"/>
                <w:sz w:val="24"/>
                <w:szCs w:val="24"/>
                <w:highlight w:val="none"/>
                <w:lang w:eastAsia="zh-CN"/>
              </w:rPr>
              <w:t>大气吸收引起的衰减（</w:t>
            </w:r>
            <w:r>
              <w:rPr>
                <w:rFonts w:hint="default" w:ascii="Times New Roman" w:hAnsi="Times New Roman" w:eastAsia="宋体" w:cs="Times New Roman"/>
                <w:b w:val="0"/>
                <w:bCs/>
                <w:color w:val="000000"/>
                <w:sz w:val="24"/>
                <w:szCs w:val="24"/>
                <w:highlight w:val="none"/>
              </w:rPr>
              <w:t>A</w:t>
            </w:r>
            <w:r>
              <w:rPr>
                <w:rFonts w:hint="default" w:ascii="Times New Roman" w:hAnsi="Times New Roman" w:eastAsia="宋体" w:cs="Times New Roman"/>
                <w:b w:val="0"/>
                <w:bCs/>
                <w:color w:val="000000"/>
                <w:sz w:val="24"/>
                <w:szCs w:val="24"/>
                <w:highlight w:val="none"/>
                <w:vertAlign w:val="subscript"/>
              </w:rPr>
              <w:t>atm</w:t>
            </w:r>
            <w:r>
              <w:rPr>
                <w:rFonts w:hint="default" w:ascii="Times New Roman" w:hAnsi="Times New Roman" w:eastAsia="宋体" w:cs="Times New Roman"/>
                <w:b w:val="0"/>
                <w:bCs/>
                <w:color w:val="000000"/>
                <w:sz w:val="24"/>
                <w:szCs w:val="24"/>
                <w:highlight w:val="none"/>
                <w:lang w:eastAsia="zh-CN"/>
              </w:rPr>
              <w:t>）</w:t>
            </w:r>
          </w:p>
          <w:p w14:paraId="609B9DFA">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t>大气吸收引起的衰减按</w:t>
            </w:r>
            <w:r>
              <w:rPr>
                <w:rFonts w:hint="eastAsia" w:ascii="Times New Roman" w:hAnsi="Times New Roman" w:eastAsia="宋体" w:cs="Times New Roman"/>
                <w:b w:val="0"/>
                <w:bCs/>
                <w:color w:val="000000"/>
                <w:sz w:val="24"/>
                <w:szCs w:val="24"/>
                <w:highlight w:val="none"/>
                <w:lang w:eastAsia="zh-CN"/>
              </w:rPr>
              <w:t>公式</w:t>
            </w:r>
            <w:r>
              <w:rPr>
                <w:rFonts w:hint="default" w:ascii="Times New Roman" w:hAnsi="Times New Roman" w:eastAsia="宋体" w:cs="Times New Roman"/>
                <w:b w:val="0"/>
                <w:bCs/>
                <w:color w:val="000000"/>
                <w:sz w:val="24"/>
                <w:szCs w:val="24"/>
                <w:highlight w:val="none"/>
                <w:lang w:eastAsia="zh-CN"/>
              </w:rPr>
              <w:t>（A.19）计算：</w:t>
            </w:r>
          </w:p>
          <w:p w14:paraId="64AE072F">
            <w:pPr>
              <w:pStyle w:val="54"/>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rPr>
              <w:drawing>
                <wp:inline distT="0" distB="0" distL="114300" distR="114300">
                  <wp:extent cx="954405" cy="331470"/>
                  <wp:effectExtent l="0" t="0" r="17145" b="11430"/>
                  <wp:docPr id="1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8"/>
                          <pic:cNvPicPr>
                            <a:picLocks noChangeAspect="1"/>
                          </pic:cNvPicPr>
                        </pic:nvPicPr>
                        <pic:blipFill>
                          <a:blip r:embed="rId23"/>
                          <a:stretch>
                            <a:fillRect/>
                          </a:stretch>
                        </pic:blipFill>
                        <pic:spPr>
                          <a:xfrm>
                            <a:off x="0" y="0"/>
                            <a:ext cx="954405" cy="331470"/>
                          </a:xfrm>
                          <a:prstGeom prst="rect">
                            <a:avLst/>
                          </a:prstGeom>
                          <a:noFill/>
                          <a:ln>
                            <a:noFill/>
                          </a:ln>
                        </pic:spPr>
                      </pic:pic>
                    </a:graphicData>
                  </a:graphic>
                </wp:inline>
              </w:drawing>
            </w:r>
          </w:p>
          <w:p w14:paraId="234E3621">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t>式中：A</w:t>
            </w:r>
            <w:r>
              <w:rPr>
                <w:rFonts w:hint="default" w:ascii="Times New Roman" w:hAnsi="Times New Roman" w:eastAsia="宋体" w:cs="Times New Roman"/>
                <w:b w:val="0"/>
                <w:bCs/>
                <w:color w:val="000000"/>
                <w:sz w:val="24"/>
                <w:szCs w:val="24"/>
                <w:highlight w:val="none"/>
                <w:vertAlign w:val="subscript"/>
                <w:lang w:eastAsia="zh-CN"/>
              </w:rPr>
              <w:t>atm</w:t>
            </w:r>
            <w:r>
              <w:rPr>
                <w:rFonts w:hint="default" w:ascii="Times New Roman" w:hAnsi="Times New Roman" w:eastAsia="宋体" w:cs="Times New Roman"/>
                <w:b w:val="0"/>
                <w:bCs/>
                <w:color w:val="000000"/>
                <w:sz w:val="24"/>
                <w:szCs w:val="24"/>
                <w:highlight w:val="none"/>
                <w:lang w:eastAsia="zh-CN"/>
              </w:rPr>
              <w:t>——大气吸收引起的衰减，dB；</w:t>
            </w:r>
          </w:p>
          <w:p w14:paraId="4E0E0A2B">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t>α——与温度、湿度和声波频率有关的大气吸收衰减系数，预测计算中一般根据建设项目所处区域常年平均气温和湿度选择相应的大气吸收衰减系数；</w:t>
            </w:r>
          </w:p>
          <w:p w14:paraId="4A7CE5C0">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t>r——预测点距声源的距离；</w:t>
            </w:r>
          </w:p>
          <w:p w14:paraId="3A3EB44B">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t>r</w:t>
            </w:r>
            <w:r>
              <w:rPr>
                <w:rFonts w:hint="default" w:ascii="Times New Roman" w:hAnsi="Times New Roman" w:eastAsia="宋体" w:cs="Times New Roman"/>
                <w:b w:val="0"/>
                <w:bCs/>
                <w:color w:val="000000"/>
                <w:sz w:val="24"/>
                <w:szCs w:val="24"/>
                <w:highlight w:val="none"/>
                <w:vertAlign w:val="subscript"/>
                <w:lang w:eastAsia="zh-CN"/>
              </w:rPr>
              <w:t>0</w:t>
            </w:r>
            <w:r>
              <w:rPr>
                <w:rFonts w:hint="default" w:ascii="Times New Roman" w:hAnsi="Times New Roman" w:eastAsia="宋体" w:cs="Times New Roman"/>
                <w:b w:val="0"/>
                <w:bCs/>
                <w:color w:val="000000"/>
                <w:sz w:val="24"/>
                <w:szCs w:val="24"/>
                <w:highlight w:val="none"/>
                <w:lang w:eastAsia="zh-CN"/>
              </w:rPr>
              <w:t>——参考位置距声源的距离。</w:t>
            </w:r>
          </w:p>
          <w:p w14:paraId="64A9CA8B">
            <w:pPr>
              <w:pStyle w:val="4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表4-15 </w:t>
            </w:r>
            <w:r>
              <w:rPr>
                <w:rFonts w:hint="eastAsia" w:ascii="Times New Roman" w:hAnsi="Times New Roman" w:eastAsia="宋体" w:cs="Times New Roman"/>
                <w:color w:val="000000"/>
                <w:sz w:val="21"/>
                <w:szCs w:val="21"/>
                <w:highlight w:val="none"/>
                <w:lang w:val="en-US" w:eastAsia="zh-CN"/>
              </w:rPr>
              <w:t xml:space="preserve"> </w:t>
            </w:r>
            <w:r>
              <w:rPr>
                <w:rFonts w:hint="default" w:ascii="Times New Roman" w:hAnsi="Times New Roman" w:eastAsia="宋体" w:cs="Times New Roman"/>
                <w:color w:val="000000"/>
                <w:sz w:val="21"/>
                <w:szCs w:val="21"/>
                <w:highlight w:val="none"/>
                <w:lang w:val="en-US" w:eastAsia="zh-CN"/>
              </w:rPr>
              <w:t>倍频带噪声的大气吸收衰减系数α</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794"/>
              <w:gridCol w:w="794"/>
              <w:gridCol w:w="794"/>
              <w:gridCol w:w="794"/>
              <w:gridCol w:w="794"/>
              <w:gridCol w:w="794"/>
              <w:gridCol w:w="794"/>
              <w:gridCol w:w="796"/>
              <w:gridCol w:w="806"/>
            </w:tblGrid>
            <w:tr w14:paraId="72B97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499" w:type="pct"/>
                  <w:vMerge w:val="restart"/>
                  <w:noWrap w:val="0"/>
                  <w:vAlign w:val="center"/>
                </w:tcPr>
                <w:p w14:paraId="33B47CD4">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温度/℃</w:t>
                  </w:r>
                </w:p>
              </w:tc>
              <w:tc>
                <w:tcPr>
                  <w:tcW w:w="499" w:type="pct"/>
                  <w:vMerge w:val="restart"/>
                  <w:noWrap w:val="0"/>
                  <w:vAlign w:val="center"/>
                </w:tcPr>
                <w:p w14:paraId="650440FF">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相对湿度/%</w:t>
                  </w:r>
                </w:p>
              </w:tc>
              <w:tc>
                <w:tcPr>
                  <w:tcW w:w="4000" w:type="pct"/>
                  <w:gridSpan w:val="8"/>
                  <w:noWrap w:val="0"/>
                  <w:vAlign w:val="center"/>
                </w:tcPr>
                <w:p w14:paraId="08B7E15A">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大气吸收衰减系数 α/(dB/km)</w:t>
                  </w:r>
                </w:p>
              </w:tc>
            </w:tr>
            <w:tr w14:paraId="00C76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99" w:type="pct"/>
                  <w:vMerge w:val="continue"/>
                  <w:noWrap w:val="0"/>
                  <w:vAlign w:val="center"/>
                </w:tcPr>
                <w:p w14:paraId="23FE9BFB">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p>
              </w:tc>
              <w:tc>
                <w:tcPr>
                  <w:tcW w:w="499" w:type="pct"/>
                  <w:vMerge w:val="continue"/>
                  <w:noWrap w:val="0"/>
                  <w:vAlign w:val="center"/>
                </w:tcPr>
                <w:p w14:paraId="615E0829">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p>
              </w:tc>
              <w:tc>
                <w:tcPr>
                  <w:tcW w:w="4000" w:type="pct"/>
                  <w:gridSpan w:val="8"/>
                  <w:noWrap w:val="0"/>
                  <w:vAlign w:val="center"/>
                </w:tcPr>
                <w:p w14:paraId="2166B590">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倍频带中心频率/Hz</w:t>
                  </w:r>
                </w:p>
              </w:tc>
            </w:tr>
            <w:tr w14:paraId="19649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499" w:type="pct"/>
                  <w:vMerge w:val="continue"/>
                  <w:noWrap w:val="0"/>
                  <w:vAlign w:val="center"/>
                </w:tcPr>
                <w:p w14:paraId="3EF803DB">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p>
              </w:tc>
              <w:tc>
                <w:tcPr>
                  <w:tcW w:w="499" w:type="pct"/>
                  <w:vMerge w:val="continue"/>
                  <w:noWrap w:val="0"/>
                  <w:vAlign w:val="center"/>
                </w:tcPr>
                <w:p w14:paraId="29119BB8">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p>
              </w:tc>
              <w:tc>
                <w:tcPr>
                  <w:tcW w:w="499" w:type="pct"/>
                  <w:noWrap w:val="0"/>
                  <w:vAlign w:val="center"/>
                </w:tcPr>
                <w:p w14:paraId="2B217BF2">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63</w:t>
                  </w:r>
                </w:p>
              </w:tc>
              <w:tc>
                <w:tcPr>
                  <w:tcW w:w="499" w:type="pct"/>
                  <w:noWrap w:val="0"/>
                  <w:vAlign w:val="center"/>
                </w:tcPr>
                <w:p w14:paraId="42A62C2E">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125</w:t>
                  </w:r>
                </w:p>
              </w:tc>
              <w:tc>
                <w:tcPr>
                  <w:tcW w:w="499" w:type="pct"/>
                  <w:noWrap w:val="0"/>
                  <w:vAlign w:val="center"/>
                </w:tcPr>
                <w:p w14:paraId="75495CBF">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250</w:t>
                  </w:r>
                </w:p>
              </w:tc>
              <w:tc>
                <w:tcPr>
                  <w:tcW w:w="499" w:type="pct"/>
                  <w:noWrap w:val="0"/>
                  <w:vAlign w:val="center"/>
                </w:tcPr>
                <w:p w14:paraId="2F729AE0">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500</w:t>
                  </w:r>
                </w:p>
              </w:tc>
              <w:tc>
                <w:tcPr>
                  <w:tcW w:w="499" w:type="pct"/>
                  <w:noWrap w:val="0"/>
                  <w:vAlign w:val="center"/>
                </w:tcPr>
                <w:p w14:paraId="78B97AB4">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1000</w:t>
                  </w:r>
                </w:p>
              </w:tc>
              <w:tc>
                <w:tcPr>
                  <w:tcW w:w="499" w:type="pct"/>
                  <w:noWrap w:val="0"/>
                  <w:vAlign w:val="center"/>
                </w:tcPr>
                <w:p w14:paraId="2A9A23E6">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2000</w:t>
                  </w:r>
                </w:p>
              </w:tc>
              <w:tc>
                <w:tcPr>
                  <w:tcW w:w="500" w:type="pct"/>
                  <w:noWrap w:val="0"/>
                  <w:vAlign w:val="center"/>
                </w:tcPr>
                <w:p w14:paraId="431C237C">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4000</w:t>
                  </w:r>
                </w:p>
              </w:tc>
              <w:tc>
                <w:tcPr>
                  <w:tcW w:w="502" w:type="pct"/>
                  <w:noWrap w:val="0"/>
                  <w:vAlign w:val="center"/>
                </w:tcPr>
                <w:p w14:paraId="1B945AE8">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8000</w:t>
                  </w:r>
                </w:p>
              </w:tc>
            </w:tr>
            <w:tr w14:paraId="25EA0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499" w:type="pct"/>
                  <w:noWrap w:val="0"/>
                  <w:vAlign w:val="center"/>
                </w:tcPr>
                <w:p w14:paraId="13F113C3">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10</w:t>
                  </w:r>
                </w:p>
              </w:tc>
              <w:tc>
                <w:tcPr>
                  <w:tcW w:w="499" w:type="pct"/>
                  <w:noWrap w:val="0"/>
                  <w:vAlign w:val="center"/>
                </w:tcPr>
                <w:p w14:paraId="29D98BDD">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70</w:t>
                  </w:r>
                </w:p>
              </w:tc>
              <w:tc>
                <w:tcPr>
                  <w:tcW w:w="499" w:type="pct"/>
                  <w:noWrap w:val="0"/>
                  <w:vAlign w:val="center"/>
                </w:tcPr>
                <w:p w14:paraId="6D233B1E">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0.1</w:t>
                  </w:r>
                </w:p>
              </w:tc>
              <w:tc>
                <w:tcPr>
                  <w:tcW w:w="499" w:type="pct"/>
                  <w:noWrap w:val="0"/>
                  <w:vAlign w:val="center"/>
                </w:tcPr>
                <w:p w14:paraId="57E721D8">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0.4</w:t>
                  </w:r>
                </w:p>
              </w:tc>
              <w:tc>
                <w:tcPr>
                  <w:tcW w:w="499" w:type="pct"/>
                  <w:noWrap w:val="0"/>
                  <w:vAlign w:val="center"/>
                </w:tcPr>
                <w:p w14:paraId="2C8E3526">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1.0</w:t>
                  </w:r>
                </w:p>
              </w:tc>
              <w:tc>
                <w:tcPr>
                  <w:tcW w:w="499" w:type="pct"/>
                  <w:noWrap w:val="0"/>
                  <w:vAlign w:val="center"/>
                </w:tcPr>
                <w:p w14:paraId="3D4A58D7">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1.9</w:t>
                  </w:r>
                </w:p>
              </w:tc>
              <w:tc>
                <w:tcPr>
                  <w:tcW w:w="499" w:type="pct"/>
                  <w:noWrap w:val="0"/>
                  <w:vAlign w:val="center"/>
                </w:tcPr>
                <w:p w14:paraId="79B479FC">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3.7</w:t>
                  </w:r>
                </w:p>
              </w:tc>
              <w:tc>
                <w:tcPr>
                  <w:tcW w:w="499" w:type="pct"/>
                  <w:noWrap w:val="0"/>
                  <w:vAlign w:val="center"/>
                </w:tcPr>
                <w:p w14:paraId="47466132">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9.7</w:t>
                  </w:r>
                </w:p>
              </w:tc>
              <w:tc>
                <w:tcPr>
                  <w:tcW w:w="500" w:type="pct"/>
                  <w:noWrap w:val="0"/>
                  <w:vAlign w:val="center"/>
                </w:tcPr>
                <w:p w14:paraId="0A48AA97">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32.8</w:t>
                  </w:r>
                </w:p>
              </w:tc>
              <w:tc>
                <w:tcPr>
                  <w:tcW w:w="502" w:type="pct"/>
                  <w:noWrap w:val="0"/>
                  <w:vAlign w:val="center"/>
                </w:tcPr>
                <w:p w14:paraId="6B6011E3">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117.0</w:t>
                  </w:r>
                </w:p>
              </w:tc>
            </w:tr>
            <w:tr w14:paraId="6D65F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499" w:type="pct"/>
                  <w:noWrap w:val="0"/>
                  <w:vAlign w:val="center"/>
                </w:tcPr>
                <w:p w14:paraId="23891727">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20</w:t>
                  </w:r>
                </w:p>
              </w:tc>
              <w:tc>
                <w:tcPr>
                  <w:tcW w:w="499" w:type="pct"/>
                  <w:noWrap w:val="0"/>
                  <w:vAlign w:val="center"/>
                </w:tcPr>
                <w:p w14:paraId="5E9671E0">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70</w:t>
                  </w:r>
                </w:p>
              </w:tc>
              <w:tc>
                <w:tcPr>
                  <w:tcW w:w="499" w:type="pct"/>
                  <w:noWrap w:val="0"/>
                  <w:vAlign w:val="center"/>
                </w:tcPr>
                <w:p w14:paraId="2907C101">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0.1</w:t>
                  </w:r>
                </w:p>
              </w:tc>
              <w:tc>
                <w:tcPr>
                  <w:tcW w:w="499" w:type="pct"/>
                  <w:noWrap w:val="0"/>
                  <w:vAlign w:val="center"/>
                </w:tcPr>
                <w:p w14:paraId="5A446AFD">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0.3</w:t>
                  </w:r>
                </w:p>
              </w:tc>
              <w:tc>
                <w:tcPr>
                  <w:tcW w:w="499" w:type="pct"/>
                  <w:noWrap w:val="0"/>
                  <w:vAlign w:val="center"/>
                </w:tcPr>
                <w:p w14:paraId="5900430F">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1.1</w:t>
                  </w:r>
                </w:p>
              </w:tc>
              <w:tc>
                <w:tcPr>
                  <w:tcW w:w="499" w:type="pct"/>
                  <w:noWrap w:val="0"/>
                  <w:vAlign w:val="center"/>
                </w:tcPr>
                <w:p w14:paraId="237E8A7F">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2.8</w:t>
                  </w:r>
                </w:p>
              </w:tc>
              <w:tc>
                <w:tcPr>
                  <w:tcW w:w="499" w:type="pct"/>
                  <w:noWrap w:val="0"/>
                  <w:vAlign w:val="center"/>
                </w:tcPr>
                <w:p w14:paraId="00638CF2">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5.0</w:t>
                  </w:r>
                </w:p>
              </w:tc>
              <w:tc>
                <w:tcPr>
                  <w:tcW w:w="499" w:type="pct"/>
                  <w:noWrap w:val="0"/>
                  <w:vAlign w:val="center"/>
                </w:tcPr>
                <w:p w14:paraId="77C68F02">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9.0</w:t>
                  </w:r>
                </w:p>
              </w:tc>
              <w:tc>
                <w:tcPr>
                  <w:tcW w:w="500" w:type="pct"/>
                  <w:noWrap w:val="0"/>
                  <w:vAlign w:val="center"/>
                </w:tcPr>
                <w:p w14:paraId="302F5633">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22.9</w:t>
                  </w:r>
                </w:p>
              </w:tc>
              <w:tc>
                <w:tcPr>
                  <w:tcW w:w="502" w:type="pct"/>
                  <w:noWrap w:val="0"/>
                  <w:vAlign w:val="center"/>
                </w:tcPr>
                <w:p w14:paraId="36993BB1">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76.6</w:t>
                  </w:r>
                </w:p>
              </w:tc>
            </w:tr>
            <w:tr w14:paraId="118A6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499" w:type="pct"/>
                  <w:noWrap w:val="0"/>
                  <w:vAlign w:val="center"/>
                </w:tcPr>
                <w:p w14:paraId="5EA3550A">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30</w:t>
                  </w:r>
                </w:p>
              </w:tc>
              <w:tc>
                <w:tcPr>
                  <w:tcW w:w="499" w:type="pct"/>
                  <w:noWrap w:val="0"/>
                  <w:vAlign w:val="center"/>
                </w:tcPr>
                <w:p w14:paraId="72624C89">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70</w:t>
                  </w:r>
                </w:p>
              </w:tc>
              <w:tc>
                <w:tcPr>
                  <w:tcW w:w="499" w:type="pct"/>
                  <w:noWrap w:val="0"/>
                  <w:vAlign w:val="center"/>
                </w:tcPr>
                <w:p w14:paraId="0EF3AD36">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0.1</w:t>
                  </w:r>
                </w:p>
              </w:tc>
              <w:tc>
                <w:tcPr>
                  <w:tcW w:w="499" w:type="pct"/>
                  <w:noWrap w:val="0"/>
                  <w:vAlign w:val="center"/>
                </w:tcPr>
                <w:p w14:paraId="54F96550">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0.3</w:t>
                  </w:r>
                </w:p>
              </w:tc>
              <w:tc>
                <w:tcPr>
                  <w:tcW w:w="499" w:type="pct"/>
                  <w:noWrap w:val="0"/>
                  <w:vAlign w:val="center"/>
                </w:tcPr>
                <w:p w14:paraId="452C51A2">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1.0</w:t>
                  </w:r>
                </w:p>
              </w:tc>
              <w:tc>
                <w:tcPr>
                  <w:tcW w:w="499" w:type="pct"/>
                  <w:noWrap w:val="0"/>
                  <w:vAlign w:val="center"/>
                </w:tcPr>
                <w:p w14:paraId="20BF7A24">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3.1</w:t>
                  </w:r>
                </w:p>
              </w:tc>
              <w:tc>
                <w:tcPr>
                  <w:tcW w:w="499" w:type="pct"/>
                  <w:noWrap w:val="0"/>
                  <w:vAlign w:val="center"/>
                </w:tcPr>
                <w:p w14:paraId="432D584F">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7.4</w:t>
                  </w:r>
                </w:p>
              </w:tc>
              <w:tc>
                <w:tcPr>
                  <w:tcW w:w="499" w:type="pct"/>
                  <w:noWrap w:val="0"/>
                  <w:vAlign w:val="center"/>
                </w:tcPr>
                <w:p w14:paraId="0549EA4E">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12.7</w:t>
                  </w:r>
                </w:p>
              </w:tc>
              <w:tc>
                <w:tcPr>
                  <w:tcW w:w="500" w:type="pct"/>
                  <w:noWrap w:val="0"/>
                  <w:vAlign w:val="center"/>
                </w:tcPr>
                <w:p w14:paraId="6C75AB1C">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23.1</w:t>
                  </w:r>
                </w:p>
              </w:tc>
              <w:tc>
                <w:tcPr>
                  <w:tcW w:w="502" w:type="pct"/>
                  <w:noWrap w:val="0"/>
                  <w:vAlign w:val="center"/>
                </w:tcPr>
                <w:p w14:paraId="316ECC42">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59.3</w:t>
                  </w:r>
                </w:p>
              </w:tc>
            </w:tr>
            <w:tr w14:paraId="11932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499" w:type="pct"/>
                  <w:noWrap w:val="0"/>
                  <w:vAlign w:val="center"/>
                </w:tcPr>
                <w:p w14:paraId="09A4605F">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15</w:t>
                  </w:r>
                </w:p>
              </w:tc>
              <w:tc>
                <w:tcPr>
                  <w:tcW w:w="499" w:type="pct"/>
                  <w:noWrap w:val="0"/>
                  <w:vAlign w:val="center"/>
                </w:tcPr>
                <w:p w14:paraId="6819A0F5">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20</w:t>
                  </w:r>
                </w:p>
              </w:tc>
              <w:tc>
                <w:tcPr>
                  <w:tcW w:w="499" w:type="pct"/>
                  <w:noWrap w:val="0"/>
                  <w:vAlign w:val="center"/>
                </w:tcPr>
                <w:p w14:paraId="5353EAFA">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0.3</w:t>
                  </w:r>
                </w:p>
              </w:tc>
              <w:tc>
                <w:tcPr>
                  <w:tcW w:w="499" w:type="pct"/>
                  <w:noWrap w:val="0"/>
                  <w:vAlign w:val="center"/>
                </w:tcPr>
                <w:p w14:paraId="68AF128A">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0.6</w:t>
                  </w:r>
                </w:p>
              </w:tc>
              <w:tc>
                <w:tcPr>
                  <w:tcW w:w="499" w:type="pct"/>
                  <w:noWrap w:val="0"/>
                  <w:vAlign w:val="center"/>
                </w:tcPr>
                <w:p w14:paraId="23F4A45B">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1.2</w:t>
                  </w:r>
                </w:p>
              </w:tc>
              <w:tc>
                <w:tcPr>
                  <w:tcW w:w="499" w:type="pct"/>
                  <w:noWrap w:val="0"/>
                  <w:vAlign w:val="center"/>
                </w:tcPr>
                <w:p w14:paraId="75C3B05F">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2.7</w:t>
                  </w:r>
                </w:p>
              </w:tc>
              <w:tc>
                <w:tcPr>
                  <w:tcW w:w="499" w:type="pct"/>
                  <w:noWrap w:val="0"/>
                  <w:vAlign w:val="center"/>
                </w:tcPr>
                <w:p w14:paraId="6295CBA0">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8.2</w:t>
                  </w:r>
                </w:p>
              </w:tc>
              <w:tc>
                <w:tcPr>
                  <w:tcW w:w="499" w:type="pct"/>
                  <w:noWrap w:val="0"/>
                  <w:vAlign w:val="center"/>
                </w:tcPr>
                <w:p w14:paraId="59672B38">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28.2</w:t>
                  </w:r>
                </w:p>
              </w:tc>
              <w:tc>
                <w:tcPr>
                  <w:tcW w:w="500" w:type="pct"/>
                  <w:noWrap w:val="0"/>
                  <w:vAlign w:val="center"/>
                </w:tcPr>
                <w:p w14:paraId="4444E6F3">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28.8</w:t>
                  </w:r>
                </w:p>
              </w:tc>
              <w:tc>
                <w:tcPr>
                  <w:tcW w:w="502" w:type="pct"/>
                  <w:noWrap w:val="0"/>
                  <w:vAlign w:val="center"/>
                </w:tcPr>
                <w:p w14:paraId="20CCC6A9">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202.0</w:t>
                  </w:r>
                </w:p>
              </w:tc>
            </w:tr>
            <w:tr w14:paraId="39FEB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499" w:type="pct"/>
                  <w:noWrap w:val="0"/>
                  <w:vAlign w:val="center"/>
                </w:tcPr>
                <w:p w14:paraId="05A890D0">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15</w:t>
                  </w:r>
                </w:p>
              </w:tc>
              <w:tc>
                <w:tcPr>
                  <w:tcW w:w="499" w:type="pct"/>
                  <w:noWrap w:val="0"/>
                  <w:vAlign w:val="center"/>
                </w:tcPr>
                <w:p w14:paraId="2958BBE8">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50</w:t>
                  </w:r>
                </w:p>
              </w:tc>
              <w:tc>
                <w:tcPr>
                  <w:tcW w:w="499" w:type="pct"/>
                  <w:noWrap w:val="0"/>
                  <w:vAlign w:val="center"/>
                </w:tcPr>
                <w:p w14:paraId="34302C6E">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0.1</w:t>
                  </w:r>
                </w:p>
              </w:tc>
              <w:tc>
                <w:tcPr>
                  <w:tcW w:w="499" w:type="pct"/>
                  <w:noWrap w:val="0"/>
                  <w:vAlign w:val="center"/>
                </w:tcPr>
                <w:p w14:paraId="267C1D3D">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0.5</w:t>
                  </w:r>
                </w:p>
              </w:tc>
              <w:tc>
                <w:tcPr>
                  <w:tcW w:w="499" w:type="pct"/>
                  <w:noWrap w:val="0"/>
                  <w:vAlign w:val="center"/>
                </w:tcPr>
                <w:p w14:paraId="17F31399">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1.2</w:t>
                  </w:r>
                </w:p>
              </w:tc>
              <w:tc>
                <w:tcPr>
                  <w:tcW w:w="499" w:type="pct"/>
                  <w:noWrap w:val="0"/>
                  <w:vAlign w:val="center"/>
                </w:tcPr>
                <w:p w14:paraId="1472787D">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2.2</w:t>
                  </w:r>
                </w:p>
              </w:tc>
              <w:tc>
                <w:tcPr>
                  <w:tcW w:w="499" w:type="pct"/>
                  <w:noWrap w:val="0"/>
                  <w:vAlign w:val="center"/>
                </w:tcPr>
                <w:p w14:paraId="13324913">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4.2</w:t>
                  </w:r>
                </w:p>
              </w:tc>
              <w:tc>
                <w:tcPr>
                  <w:tcW w:w="499" w:type="pct"/>
                  <w:noWrap w:val="0"/>
                  <w:vAlign w:val="center"/>
                </w:tcPr>
                <w:p w14:paraId="4BE4E070">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10.8</w:t>
                  </w:r>
                </w:p>
              </w:tc>
              <w:tc>
                <w:tcPr>
                  <w:tcW w:w="500" w:type="pct"/>
                  <w:noWrap w:val="0"/>
                  <w:vAlign w:val="center"/>
                </w:tcPr>
                <w:p w14:paraId="3034F986">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36.2</w:t>
                  </w:r>
                </w:p>
              </w:tc>
              <w:tc>
                <w:tcPr>
                  <w:tcW w:w="502" w:type="pct"/>
                  <w:noWrap w:val="0"/>
                  <w:vAlign w:val="center"/>
                </w:tcPr>
                <w:p w14:paraId="20F2F093">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129.0</w:t>
                  </w:r>
                </w:p>
              </w:tc>
            </w:tr>
            <w:tr w14:paraId="39098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499" w:type="pct"/>
                  <w:noWrap w:val="0"/>
                  <w:vAlign w:val="center"/>
                </w:tcPr>
                <w:p w14:paraId="2F8C77AA">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15</w:t>
                  </w:r>
                </w:p>
              </w:tc>
              <w:tc>
                <w:tcPr>
                  <w:tcW w:w="499" w:type="pct"/>
                  <w:noWrap w:val="0"/>
                  <w:vAlign w:val="center"/>
                </w:tcPr>
                <w:p w14:paraId="33F8B867">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80</w:t>
                  </w:r>
                </w:p>
              </w:tc>
              <w:tc>
                <w:tcPr>
                  <w:tcW w:w="499" w:type="pct"/>
                  <w:noWrap w:val="0"/>
                  <w:vAlign w:val="center"/>
                </w:tcPr>
                <w:p w14:paraId="79E0F34D">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0.1</w:t>
                  </w:r>
                </w:p>
              </w:tc>
              <w:tc>
                <w:tcPr>
                  <w:tcW w:w="499" w:type="pct"/>
                  <w:noWrap w:val="0"/>
                  <w:vAlign w:val="center"/>
                </w:tcPr>
                <w:p w14:paraId="2FD30B07">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0.3</w:t>
                  </w:r>
                </w:p>
              </w:tc>
              <w:tc>
                <w:tcPr>
                  <w:tcW w:w="499" w:type="pct"/>
                  <w:noWrap w:val="0"/>
                  <w:vAlign w:val="center"/>
                </w:tcPr>
                <w:p w14:paraId="703C0751">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1.1</w:t>
                  </w:r>
                </w:p>
              </w:tc>
              <w:tc>
                <w:tcPr>
                  <w:tcW w:w="499" w:type="pct"/>
                  <w:noWrap w:val="0"/>
                  <w:vAlign w:val="center"/>
                </w:tcPr>
                <w:p w14:paraId="213C2944">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2.4</w:t>
                  </w:r>
                </w:p>
              </w:tc>
              <w:tc>
                <w:tcPr>
                  <w:tcW w:w="499" w:type="pct"/>
                  <w:noWrap w:val="0"/>
                  <w:vAlign w:val="center"/>
                </w:tcPr>
                <w:p w14:paraId="0C7EAE33">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4.1</w:t>
                  </w:r>
                </w:p>
              </w:tc>
              <w:tc>
                <w:tcPr>
                  <w:tcW w:w="499" w:type="pct"/>
                  <w:noWrap w:val="0"/>
                  <w:vAlign w:val="center"/>
                </w:tcPr>
                <w:p w14:paraId="7C10F401">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8.3</w:t>
                  </w:r>
                </w:p>
              </w:tc>
              <w:tc>
                <w:tcPr>
                  <w:tcW w:w="500" w:type="pct"/>
                  <w:noWrap w:val="0"/>
                  <w:vAlign w:val="center"/>
                </w:tcPr>
                <w:p w14:paraId="477B76E2">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23.7</w:t>
                  </w:r>
                </w:p>
              </w:tc>
              <w:tc>
                <w:tcPr>
                  <w:tcW w:w="502" w:type="pct"/>
                  <w:noWrap w:val="0"/>
                  <w:vAlign w:val="center"/>
                </w:tcPr>
                <w:p w14:paraId="22DF3C7B">
                  <w:pPr>
                    <w:pStyle w:val="8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sz w:val="21"/>
                      <w:szCs w:val="21"/>
                      <w:highlight w:val="none"/>
                    </w:rPr>
                  </w:pPr>
                  <w:r>
                    <w:rPr>
                      <w:rFonts w:hint="default" w:ascii="Times New Roman" w:hAnsi="Times New Roman" w:eastAsia="宋体" w:cs="Times New Roman"/>
                      <w:b w:val="0"/>
                      <w:bCs/>
                      <w:color w:val="000000"/>
                      <w:sz w:val="21"/>
                      <w:szCs w:val="21"/>
                      <w:highlight w:val="none"/>
                    </w:rPr>
                    <w:t>82.8</w:t>
                  </w:r>
                </w:p>
              </w:tc>
            </w:tr>
          </w:tbl>
          <w:p w14:paraId="12E50F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4"/>
                <w:szCs w:val="24"/>
                <w:highlight w:val="none"/>
              </w:rPr>
            </w:pPr>
            <w:r>
              <w:rPr>
                <w:rFonts w:hint="eastAsia" w:ascii="Times New Roman" w:hAnsi="Times New Roman" w:cs="Times New Roman"/>
                <w:color w:val="000000"/>
                <w:sz w:val="24"/>
                <w:szCs w:val="24"/>
                <w:highlight w:val="none"/>
                <w:lang w:val="en-US" w:eastAsia="zh-CN"/>
              </w:rPr>
              <w:t>5）</w:t>
            </w:r>
            <w:r>
              <w:rPr>
                <w:rFonts w:hint="default" w:ascii="Times New Roman" w:hAnsi="Times New Roman" w:cs="Times New Roman"/>
                <w:color w:val="000000"/>
                <w:sz w:val="24"/>
                <w:szCs w:val="24"/>
                <w:highlight w:val="none"/>
              </w:rPr>
              <w:t>预测结果及评价</w:t>
            </w:r>
          </w:p>
          <w:p w14:paraId="320B31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4"/>
                <w:szCs w:val="24"/>
                <w:highlight w:val="none"/>
                <w:lang w:eastAsia="zh-CN"/>
              </w:rPr>
              <w:t>根据以上参数，</w:t>
            </w:r>
            <w:r>
              <w:rPr>
                <w:rFonts w:hint="default" w:ascii="Times New Roman" w:hAnsi="Times New Roman" w:cs="Times New Roman"/>
                <w:color w:val="000000"/>
                <w:sz w:val="24"/>
                <w:szCs w:val="24"/>
                <w:highlight w:val="none"/>
              </w:rPr>
              <w:t>建设项目厂界噪声影响预测结果见</w:t>
            </w:r>
            <w:r>
              <w:rPr>
                <w:rFonts w:hint="default" w:ascii="Times New Roman" w:hAnsi="Times New Roman" w:cs="Times New Roman"/>
                <w:color w:val="000000"/>
                <w:sz w:val="24"/>
                <w:szCs w:val="24"/>
                <w:highlight w:val="none"/>
                <w:lang w:eastAsia="zh-CN"/>
              </w:rPr>
              <w:t>下</w:t>
            </w:r>
            <w:r>
              <w:rPr>
                <w:rFonts w:hint="default" w:ascii="Times New Roman" w:hAnsi="Times New Roman" w:cs="Times New Roman"/>
                <w:color w:val="000000"/>
                <w:sz w:val="24"/>
                <w:szCs w:val="24"/>
                <w:highlight w:val="none"/>
              </w:rPr>
              <w:t>表：</w:t>
            </w:r>
          </w:p>
          <w:p w14:paraId="4FA0497E">
            <w:pPr>
              <w:pStyle w:val="4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Times New Roman" w:hAnsi="Times New Roman" w:cs="Times New Roman"/>
                <w:color w:val="000000"/>
                <w:sz w:val="21"/>
                <w:szCs w:val="21"/>
                <w:highlight w:val="none"/>
                <w:lang w:val="en-US" w:eastAsia="zh-CN"/>
              </w:rPr>
            </w:pPr>
          </w:p>
          <w:p w14:paraId="61FA8093">
            <w:pPr>
              <w:pStyle w:val="4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Times New Roman" w:hAnsi="Times New Roman" w:cs="Times New Roman"/>
                <w:color w:val="000000"/>
                <w:sz w:val="21"/>
                <w:szCs w:val="21"/>
                <w:highlight w:val="none"/>
                <w:lang w:val="en-US" w:eastAsia="zh-CN"/>
              </w:rPr>
            </w:pPr>
          </w:p>
          <w:p w14:paraId="4E8AA80E">
            <w:pPr>
              <w:pStyle w:val="4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Times New Roman" w:hAnsi="Times New Roman" w:cs="Times New Roman"/>
                <w:color w:val="000000"/>
                <w:sz w:val="21"/>
                <w:szCs w:val="21"/>
                <w:highlight w:val="none"/>
                <w:lang w:val="en-US" w:eastAsia="zh-CN"/>
              </w:rPr>
            </w:pPr>
          </w:p>
          <w:p w14:paraId="4A426C6C">
            <w:pPr>
              <w:pStyle w:val="4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Times New Roman" w:hAnsi="Times New Roman" w:cs="Times New Roman"/>
                <w:color w:val="000000"/>
                <w:sz w:val="21"/>
                <w:szCs w:val="21"/>
                <w:highlight w:val="none"/>
                <w:lang w:val="en-US" w:eastAsia="zh-CN"/>
              </w:rPr>
            </w:pPr>
          </w:p>
          <w:p w14:paraId="46D16841">
            <w:pPr>
              <w:pStyle w:val="4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Times New Roman" w:hAnsi="Times New Roman" w:cs="Times New Roman"/>
                <w:color w:val="000000"/>
                <w:sz w:val="21"/>
                <w:szCs w:val="21"/>
                <w:highlight w:val="none"/>
                <w:lang w:val="en-US" w:eastAsia="zh-CN"/>
              </w:rPr>
            </w:pPr>
          </w:p>
          <w:p w14:paraId="2412F332">
            <w:pPr>
              <w:pStyle w:val="44"/>
              <w:tabs>
                <w:tab w:val="left" w:pos="0"/>
              </w:tabs>
              <w:autoSpaceDE/>
              <w:spacing w:line="240" w:lineRule="auto"/>
              <w:rPr>
                <w:rStyle w:val="31"/>
                <w:rFonts w:ascii="Times New Roman" w:hAnsi="Times New Roman"/>
                <w:b w:val="0"/>
                <w:kern w:val="0"/>
                <w:szCs w:val="20"/>
                <w:highlight w:val="none"/>
              </w:rPr>
            </w:pPr>
            <w:r>
              <w:rPr>
                <w:rFonts w:hint="eastAsia" w:ascii="Times New Roman" w:hAnsi="Times New Roman"/>
                <w:highlight w:val="none"/>
              </w:rPr>
              <w:t>表4-</w:t>
            </w:r>
            <w:r>
              <w:rPr>
                <w:rFonts w:hint="eastAsia" w:ascii="Times New Roman" w:hAnsi="Times New Roman"/>
                <w:highlight w:val="none"/>
                <w:lang w:val="en-US" w:eastAsia="zh-CN"/>
              </w:rPr>
              <w:t xml:space="preserve">16 </w:t>
            </w:r>
            <w:r>
              <w:rPr>
                <w:rFonts w:ascii="Times New Roman" w:hAnsi="Times New Roman"/>
                <w:highlight w:val="none"/>
              </w:rPr>
              <w:t xml:space="preserve"> 项目厂界噪声预测结果单位：dB(A)</w:t>
            </w:r>
          </w:p>
          <w:tbl>
            <w:tblPr>
              <w:tblStyle w:val="2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93"/>
              <w:gridCol w:w="1437"/>
              <w:gridCol w:w="1123"/>
              <w:gridCol w:w="446"/>
              <w:gridCol w:w="907"/>
              <w:gridCol w:w="724"/>
              <w:gridCol w:w="913"/>
              <w:gridCol w:w="708"/>
              <w:gridCol w:w="673"/>
              <w:gridCol w:w="726"/>
            </w:tblGrid>
            <w:tr w14:paraId="5BED4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noWrap w:val="0"/>
                  <w:vAlign w:val="center"/>
                </w:tcPr>
                <w:p w14:paraId="77138985">
                  <w:pPr>
                    <w:widowControl/>
                    <w:adjustRightInd w:val="0"/>
                    <w:snapToGrid w:val="0"/>
                    <w:ind w:left="-105" w:leftChars="-50" w:right="-105" w:rightChars="-50"/>
                    <w:jc w:val="center"/>
                    <w:rPr>
                      <w:b/>
                      <w:color w:val="000000"/>
                      <w:spacing w:val="-6"/>
                      <w:sz w:val="18"/>
                      <w:szCs w:val="18"/>
                      <w:highlight w:val="none"/>
                    </w:rPr>
                  </w:pPr>
                  <w:r>
                    <w:rPr>
                      <w:b/>
                      <w:color w:val="000000"/>
                      <w:spacing w:val="-6"/>
                      <w:sz w:val="18"/>
                      <w:szCs w:val="18"/>
                      <w:highlight w:val="none"/>
                    </w:rPr>
                    <w:t>关心点</w:t>
                  </w:r>
                </w:p>
              </w:tc>
              <w:tc>
                <w:tcPr>
                  <w:tcW w:w="903" w:type="pct"/>
                  <w:noWrap w:val="0"/>
                  <w:vAlign w:val="center"/>
                </w:tcPr>
                <w:p w14:paraId="083B2341">
                  <w:pPr>
                    <w:widowControl/>
                    <w:adjustRightInd w:val="0"/>
                    <w:snapToGrid w:val="0"/>
                    <w:jc w:val="center"/>
                    <w:textAlignment w:val="bottom"/>
                    <w:rPr>
                      <w:b/>
                      <w:color w:val="000000"/>
                      <w:spacing w:val="-6"/>
                      <w:kern w:val="0"/>
                      <w:sz w:val="18"/>
                      <w:szCs w:val="18"/>
                      <w:highlight w:val="none"/>
                    </w:rPr>
                  </w:pPr>
                  <w:r>
                    <w:rPr>
                      <w:b/>
                      <w:color w:val="000000"/>
                      <w:spacing w:val="-6"/>
                      <w:kern w:val="0"/>
                      <w:sz w:val="18"/>
                      <w:szCs w:val="18"/>
                      <w:highlight w:val="none"/>
                    </w:rPr>
                    <w:t>噪声源</w:t>
                  </w:r>
                </w:p>
              </w:tc>
              <w:tc>
                <w:tcPr>
                  <w:tcW w:w="706" w:type="pct"/>
                  <w:noWrap w:val="0"/>
                  <w:vAlign w:val="center"/>
                </w:tcPr>
                <w:p w14:paraId="5C7E8729">
                  <w:pPr>
                    <w:widowControl/>
                    <w:adjustRightInd w:val="0"/>
                    <w:snapToGrid w:val="0"/>
                    <w:ind w:left="-105" w:leftChars="-50" w:right="-105" w:rightChars="-50"/>
                    <w:jc w:val="center"/>
                    <w:textAlignment w:val="bottom"/>
                    <w:rPr>
                      <w:b/>
                      <w:color w:val="000000"/>
                      <w:spacing w:val="-6"/>
                      <w:kern w:val="0"/>
                      <w:sz w:val="18"/>
                      <w:szCs w:val="18"/>
                      <w:highlight w:val="none"/>
                    </w:rPr>
                  </w:pPr>
                  <w:r>
                    <w:rPr>
                      <w:b/>
                      <w:color w:val="000000"/>
                      <w:spacing w:val="-6"/>
                      <w:kern w:val="0"/>
                      <w:sz w:val="18"/>
                      <w:szCs w:val="18"/>
                      <w:highlight w:val="none"/>
                    </w:rPr>
                    <w:t>单台声</w:t>
                  </w:r>
                </w:p>
                <w:p w14:paraId="22F91621">
                  <w:pPr>
                    <w:widowControl/>
                    <w:adjustRightInd w:val="0"/>
                    <w:snapToGrid w:val="0"/>
                    <w:ind w:left="-105" w:leftChars="-50" w:right="-105" w:rightChars="-50"/>
                    <w:jc w:val="center"/>
                    <w:textAlignment w:val="bottom"/>
                    <w:rPr>
                      <w:b/>
                      <w:color w:val="000000"/>
                      <w:spacing w:val="-6"/>
                      <w:kern w:val="0"/>
                      <w:sz w:val="18"/>
                      <w:szCs w:val="18"/>
                      <w:highlight w:val="none"/>
                    </w:rPr>
                  </w:pPr>
                  <w:r>
                    <w:rPr>
                      <w:b/>
                      <w:color w:val="000000"/>
                      <w:spacing w:val="-6"/>
                      <w:kern w:val="0"/>
                      <w:sz w:val="18"/>
                      <w:szCs w:val="18"/>
                      <w:highlight w:val="none"/>
                    </w:rPr>
                    <w:t>压级（</w:t>
                  </w:r>
                  <w:r>
                    <w:rPr>
                      <w:b/>
                      <w:color w:val="000000"/>
                      <w:sz w:val="18"/>
                      <w:szCs w:val="18"/>
                      <w:highlight w:val="none"/>
                    </w:rPr>
                    <w:t>dB(A)</w:t>
                  </w:r>
                  <w:r>
                    <w:rPr>
                      <w:b/>
                      <w:color w:val="000000"/>
                      <w:spacing w:val="-6"/>
                      <w:kern w:val="0"/>
                      <w:sz w:val="18"/>
                      <w:szCs w:val="18"/>
                      <w:highlight w:val="none"/>
                    </w:rPr>
                    <w:t>）</w:t>
                  </w:r>
                </w:p>
              </w:tc>
              <w:tc>
                <w:tcPr>
                  <w:tcW w:w="280" w:type="pct"/>
                  <w:noWrap w:val="0"/>
                  <w:vAlign w:val="center"/>
                </w:tcPr>
                <w:p w14:paraId="2E1BF512">
                  <w:pPr>
                    <w:widowControl/>
                    <w:adjustRightInd w:val="0"/>
                    <w:snapToGrid w:val="0"/>
                    <w:ind w:left="-105" w:leftChars="-50" w:right="-105" w:rightChars="-50"/>
                    <w:jc w:val="center"/>
                    <w:textAlignment w:val="bottom"/>
                    <w:rPr>
                      <w:b/>
                      <w:color w:val="000000"/>
                      <w:spacing w:val="-6"/>
                      <w:kern w:val="0"/>
                      <w:sz w:val="18"/>
                      <w:szCs w:val="18"/>
                      <w:highlight w:val="none"/>
                    </w:rPr>
                  </w:pPr>
                  <w:r>
                    <w:rPr>
                      <w:b/>
                      <w:color w:val="000000"/>
                      <w:spacing w:val="-6"/>
                      <w:kern w:val="0"/>
                      <w:sz w:val="18"/>
                      <w:szCs w:val="18"/>
                      <w:highlight w:val="none"/>
                    </w:rPr>
                    <w:t>设备数量（台）</w:t>
                  </w:r>
                </w:p>
              </w:tc>
              <w:tc>
                <w:tcPr>
                  <w:tcW w:w="570" w:type="pct"/>
                  <w:noWrap w:val="0"/>
                  <w:vAlign w:val="center"/>
                </w:tcPr>
                <w:p w14:paraId="531A5F5F">
                  <w:pPr>
                    <w:widowControl/>
                    <w:adjustRightInd w:val="0"/>
                    <w:snapToGrid w:val="0"/>
                    <w:ind w:left="-105" w:leftChars="-50" w:right="-105" w:rightChars="-50"/>
                    <w:jc w:val="center"/>
                    <w:textAlignment w:val="bottom"/>
                    <w:rPr>
                      <w:b/>
                      <w:color w:val="000000"/>
                      <w:spacing w:val="-6"/>
                      <w:kern w:val="0"/>
                      <w:sz w:val="18"/>
                      <w:szCs w:val="18"/>
                      <w:highlight w:val="none"/>
                    </w:rPr>
                  </w:pPr>
                  <w:r>
                    <w:rPr>
                      <w:b/>
                      <w:color w:val="000000"/>
                      <w:spacing w:val="-6"/>
                      <w:kern w:val="0"/>
                      <w:sz w:val="18"/>
                      <w:szCs w:val="18"/>
                      <w:highlight w:val="none"/>
                    </w:rPr>
                    <w:t>噪声叠加值</w:t>
                  </w:r>
                </w:p>
                <w:p w14:paraId="4A4F9F82">
                  <w:pPr>
                    <w:widowControl/>
                    <w:adjustRightInd w:val="0"/>
                    <w:snapToGrid w:val="0"/>
                    <w:ind w:left="-105" w:leftChars="-50" w:right="-105" w:rightChars="-50"/>
                    <w:jc w:val="center"/>
                    <w:textAlignment w:val="bottom"/>
                    <w:rPr>
                      <w:b/>
                      <w:color w:val="000000"/>
                      <w:spacing w:val="-6"/>
                      <w:kern w:val="0"/>
                      <w:sz w:val="18"/>
                      <w:szCs w:val="18"/>
                      <w:highlight w:val="none"/>
                    </w:rPr>
                  </w:pPr>
                  <w:r>
                    <w:rPr>
                      <w:b/>
                      <w:color w:val="000000"/>
                      <w:spacing w:val="-6"/>
                      <w:kern w:val="0"/>
                      <w:sz w:val="18"/>
                      <w:szCs w:val="18"/>
                      <w:highlight w:val="none"/>
                    </w:rPr>
                    <w:t>（dB（A））</w:t>
                  </w:r>
                </w:p>
              </w:tc>
              <w:tc>
                <w:tcPr>
                  <w:tcW w:w="455" w:type="pct"/>
                  <w:noWrap w:val="0"/>
                  <w:vAlign w:val="center"/>
                </w:tcPr>
                <w:p w14:paraId="57CA8902">
                  <w:pPr>
                    <w:widowControl/>
                    <w:adjustRightInd w:val="0"/>
                    <w:snapToGrid w:val="0"/>
                    <w:ind w:left="-105" w:leftChars="-50" w:right="-105" w:rightChars="-50"/>
                    <w:jc w:val="center"/>
                    <w:textAlignment w:val="bottom"/>
                    <w:rPr>
                      <w:color w:val="000000"/>
                      <w:sz w:val="18"/>
                      <w:szCs w:val="18"/>
                      <w:highlight w:val="none"/>
                    </w:rPr>
                  </w:pPr>
                  <w:r>
                    <w:rPr>
                      <w:b/>
                      <w:color w:val="000000"/>
                      <w:spacing w:val="-6"/>
                      <w:kern w:val="0"/>
                      <w:sz w:val="18"/>
                      <w:szCs w:val="18"/>
                      <w:highlight w:val="none"/>
                    </w:rPr>
                    <w:t>隔声值（</w:t>
                  </w:r>
                  <w:r>
                    <w:rPr>
                      <w:b/>
                      <w:color w:val="000000"/>
                      <w:sz w:val="18"/>
                      <w:szCs w:val="18"/>
                      <w:highlight w:val="none"/>
                    </w:rPr>
                    <w:t>dB(A)</w:t>
                  </w:r>
                  <w:r>
                    <w:rPr>
                      <w:b/>
                      <w:color w:val="000000"/>
                      <w:spacing w:val="-6"/>
                      <w:kern w:val="0"/>
                      <w:sz w:val="18"/>
                      <w:szCs w:val="18"/>
                      <w:highlight w:val="none"/>
                    </w:rPr>
                    <w:t>）</w:t>
                  </w:r>
                </w:p>
              </w:tc>
              <w:tc>
                <w:tcPr>
                  <w:tcW w:w="574" w:type="pct"/>
                  <w:noWrap w:val="0"/>
                  <w:vAlign w:val="center"/>
                </w:tcPr>
                <w:p w14:paraId="4E35973A">
                  <w:pPr>
                    <w:widowControl/>
                    <w:adjustRightInd w:val="0"/>
                    <w:snapToGrid w:val="0"/>
                    <w:ind w:left="-105" w:leftChars="-50" w:right="-105" w:rightChars="-50"/>
                    <w:jc w:val="center"/>
                    <w:textAlignment w:val="bottom"/>
                    <w:rPr>
                      <w:b/>
                      <w:color w:val="000000"/>
                      <w:spacing w:val="-6"/>
                      <w:kern w:val="0"/>
                      <w:sz w:val="18"/>
                      <w:szCs w:val="18"/>
                      <w:highlight w:val="none"/>
                    </w:rPr>
                  </w:pPr>
                  <w:r>
                    <w:rPr>
                      <w:b/>
                      <w:color w:val="000000"/>
                      <w:spacing w:val="-6"/>
                      <w:kern w:val="0"/>
                      <w:sz w:val="18"/>
                      <w:szCs w:val="18"/>
                      <w:highlight w:val="none"/>
                    </w:rPr>
                    <w:t>噪声源距关心点距离（m）</w:t>
                  </w:r>
                </w:p>
              </w:tc>
              <w:tc>
                <w:tcPr>
                  <w:tcW w:w="445" w:type="pct"/>
                  <w:noWrap w:val="0"/>
                  <w:vAlign w:val="center"/>
                </w:tcPr>
                <w:p w14:paraId="693F887C">
                  <w:pPr>
                    <w:widowControl/>
                    <w:adjustRightInd w:val="0"/>
                    <w:snapToGrid w:val="0"/>
                    <w:ind w:left="-105" w:leftChars="-50" w:right="-105" w:rightChars="-50"/>
                    <w:jc w:val="center"/>
                    <w:textAlignment w:val="bottom"/>
                    <w:rPr>
                      <w:b/>
                      <w:color w:val="000000"/>
                      <w:spacing w:val="-6"/>
                      <w:kern w:val="0"/>
                      <w:sz w:val="18"/>
                      <w:szCs w:val="18"/>
                      <w:highlight w:val="none"/>
                    </w:rPr>
                  </w:pPr>
                  <w:r>
                    <w:rPr>
                      <w:b/>
                      <w:color w:val="000000"/>
                      <w:spacing w:val="-6"/>
                      <w:kern w:val="0"/>
                      <w:sz w:val="18"/>
                      <w:szCs w:val="18"/>
                      <w:highlight w:val="none"/>
                    </w:rPr>
                    <w:t>距离衰减</w:t>
                  </w:r>
                </w:p>
                <w:p w14:paraId="59C8DB13">
                  <w:pPr>
                    <w:widowControl/>
                    <w:adjustRightInd w:val="0"/>
                    <w:snapToGrid w:val="0"/>
                    <w:ind w:left="-105" w:leftChars="-50" w:right="-105" w:rightChars="-50"/>
                    <w:jc w:val="center"/>
                    <w:textAlignment w:val="bottom"/>
                    <w:rPr>
                      <w:b/>
                      <w:color w:val="000000"/>
                      <w:spacing w:val="-6"/>
                      <w:kern w:val="0"/>
                      <w:sz w:val="18"/>
                      <w:szCs w:val="18"/>
                      <w:highlight w:val="none"/>
                    </w:rPr>
                  </w:pPr>
                  <w:r>
                    <w:rPr>
                      <w:b/>
                      <w:color w:val="000000"/>
                      <w:spacing w:val="-6"/>
                      <w:kern w:val="0"/>
                      <w:sz w:val="18"/>
                      <w:szCs w:val="18"/>
                      <w:highlight w:val="none"/>
                    </w:rPr>
                    <w:t>dB（A）</w:t>
                  </w:r>
                </w:p>
              </w:tc>
              <w:tc>
                <w:tcPr>
                  <w:tcW w:w="423" w:type="pct"/>
                  <w:noWrap w:val="0"/>
                  <w:vAlign w:val="center"/>
                </w:tcPr>
                <w:p w14:paraId="0E6A3B6D">
                  <w:pPr>
                    <w:widowControl/>
                    <w:adjustRightInd w:val="0"/>
                    <w:snapToGrid w:val="0"/>
                    <w:ind w:left="-105" w:leftChars="-50" w:right="-105" w:rightChars="-50"/>
                    <w:jc w:val="center"/>
                    <w:textAlignment w:val="bottom"/>
                    <w:rPr>
                      <w:b/>
                      <w:color w:val="000000"/>
                      <w:spacing w:val="-6"/>
                      <w:kern w:val="0"/>
                      <w:sz w:val="18"/>
                      <w:szCs w:val="18"/>
                      <w:highlight w:val="none"/>
                    </w:rPr>
                  </w:pPr>
                  <w:r>
                    <w:rPr>
                      <w:b/>
                      <w:color w:val="000000"/>
                      <w:spacing w:val="-6"/>
                      <w:kern w:val="0"/>
                      <w:sz w:val="18"/>
                      <w:szCs w:val="18"/>
                      <w:highlight w:val="none"/>
                    </w:rPr>
                    <w:t>贡献值（</w:t>
                  </w:r>
                  <w:r>
                    <w:rPr>
                      <w:b/>
                      <w:color w:val="000000"/>
                      <w:sz w:val="18"/>
                      <w:szCs w:val="18"/>
                      <w:highlight w:val="none"/>
                    </w:rPr>
                    <w:t>dB(A)</w:t>
                  </w:r>
                  <w:r>
                    <w:rPr>
                      <w:b/>
                      <w:color w:val="000000"/>
                      <w:spacing w:val="-6"/>
                      <w:kern w:val="0"/>
                      <w:sz w:val="18"/>
                      <w:szCs w:val="18"/>
                      <w:highlight w:val="none"/>
                    </w:rPr>
                    <w:t>）</w:t>
                  </w:r>
                </w:p>
              </w:tc>
              <w:tc>
                <w:tcPr>
                  <w:tcW w:w="456" w:type="pct"/>
                  <w:noWrap w:val="0"/>
                  <w:vAlign w:val="center"/>
                </w:tcPr>
                <w:p w14:paraId="290CA6D7">
                  <w:pPr>
                    <w:widowControl/>
                    <w:adjustRightInd w:val="0"/>
                    <w:snapToGrid w:val="0"/>
                    <w:ind w:left="-105" w:leftChars="-50" w:right="-105" w:rightChars="-50"/>
                    <w:jc w:val="center"/>
                    <w:textAlignment w:val="bottom"/>
                    <w:rPr>
                      <w:rFonts w:hint="eastAsia"/>
                      <w:b/>
                      <w:color w:val="000000"/>
                      <w:spacing w:val="-6"/>
                      <w:kern w:val="0"/>
                      <w:sz w:val="18"/>
                      <w:szCs w:val="18"/>
                      <w:highlight w:val="none"/>
                    </w:rPr>
                  </w:pPr>
                  <w:r>
                    <w:rPr>
                      <w:rFonts w:hint="eastAsia"/>
                      <w:b/>
                      <w:color w:val="000000"/>
                      <w:spacing w:val="-6"/>
                      <w:kern w:val="0"/>
                      <w:sz w:val="18"/>
                      <w:szCs w:val="18"/>
                      <w:highlight w:val="none"/>
                    </w:rPr>
                    <w:t>预测值（</w:t>
                  </w:r>
                  <w:r>
                    <w:rPr>
                      <w:b/>
                      <w:color w:val="000000"/>
                      <w:sz w:val="18"/>
                      <w:szCs w:val="18"/>
                      <w:highlight w:val="none"/>
                    </w:rPr>
                    <w:t>dB(A)</w:t>
                  </w:r>
                  <w:r>
                    <w:rPr>
                      <w:rFonts w:hint="eastAsia"/>
                      <w:b/>
                      <w:color w:val="000000"/>
                      <w:spacing w:val="-6"/>
                      <w:kern w:val="0"/>
                      <w:sz w:val="18"/>
                      <w:szCs w:val="18"/>
                      <w:highlight w:val="none"/>
                    </w:rPr>
                    <w:t>）</w:t>
                  </w:r>
                </w:p>
              </w:tc>
            </w:tr>
            <w:tr w14:paraId="014AD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184" w:type="pct"/>
                  <w:vMerge w:val="restart"/>
                  <w:noWrap w:val="0"/>
                  <w:vAlign w:val="center"/>
                </w:tcPr>
                <w:p w14:paraId="4F6D3586">
                  <w:pPr>
                    <w:widowControl/>
                    <w:adjustRightInd w:val="0"/>
                    <w:snapToGrid w:val="0"/>
                    <w:jc w:val="center"/>
                    <w:rPr>
                      <w:color w:val="000000"/>
                      <w:spacing w:val="-6"/>
                      <w:sz w:val="18"/>
                      <w:szCs w:val="18"/>
                      <w:highlight w:val="none"/>
                    </w:rPr>
                  </w:pPr>
                  <w:r>
                    <w:rPr>
                      <w:color w:val="000000"/>
                      <w:spacing w:val="-6"/>
                      <w:sz w:val="18"/>
                      <w:szCs w:val="18"/>
                      <w:highlight w:val="none"/>
                    </w:rPr>
                    <w:t>东厂界</w:t>
                  </w:r>
                </w:p>
              </w:tc>
              <w:tc>
                <w:tcPr>
                  <w:tcW w:w="903" w:type="pct"/>
                  <w:shd w:val="clear" w:color="auto" w:fill="auto"/>
                  <w:noWrap w:val="0"/>
                  <w:vAlign w:val="center"/>
                </w:tcPr>
                <w:p w14:paraId="34DF0AAF">
                  <w:pPr>
                    <w:jc w:val="center"/>
                    <w:rPr>
                      <w:rFonts w:hint="default" w:ascii="Times New Roman" w:hAnsi="Times New Roman" w:eastAsia="宋体" w:cs="Times New Roman"/>
                      <w:kern w:val="2"/>
                      <w:sz w:val="18"/>
                      <w:szCs w:val="18"/>
                      <w:highlight w:val="none"/>
                      <w:lang w:val="en-US" w:eastAsia="zh-CN" w:bidi="ar-SA"/>
                    </w:rPr>
                  </w:pPr>
                  <w:r>
                    <w:rPr>
                      <w:rFonts w:hint="default"/>
                      <w:sz w:val="18"/>
                      <w:szCs w:val="18"/>
                      <w:highlight w:val="none"/>
                    </w:rPr>
                    <w:t>印刷机</w:t>
                  </w:r>
                </w:p>
              </w:tc>
              <w:tc>
                <w:tcPr>
                  <w:tcW w:w="706" w:type="pct"/>
                  <w:shd w:val="clear" w:color="auto" w:fill="auto"/>
                  <w:noWrap w:val="0"/>
                  <w:vAlign w:val="center"/>
                </w:tcPr>
                <w:p w14:paraId="71D51949">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3E58A90E">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w:t>
                  </w:r>
                </w:p>
              </w:tc>
              <w:tc>
                <w:tcPr>
                  <w:tcW w:w="570" w:type="pct"/>
                  <w:shd w:val="clear" w:color="auto" w:fill="auto"/>
                  <w:noWrap w:val="0"/>
                  <w:vAlign w:val="center"/>
                </w:tcPr>
                <w:p w14:paraId="57DE49CB">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84.0</w:t>
                  </w:r>
                </w:p>
              </w:tc>
              <w:tc>
                <w:tcPr>
                  <w:tcW w:w="455" w:type="pct"/>
                  <w:noWrap w:val="0"/>
                  <w:vAlign w:val="center"/>
                </w:tcPr>
                <w:p w14:paraId="318B439D">
                  <w:pPr>
                    <w:adjustRightInd w:val="0"/>
                    <w:snapToGrid w:val="0"/>
                    <w:jc w:val="center"/>
                    <w:rPr>
                      <w:color w:val="000000"/>
                      <w:sz w:val="18"/>
                      <w:szCs w:val="18"/>
                      <w:highlight w:val="none"/>
                    </w:rPr>
                  </w:pPr>
                  <w:r>
                    <w:rPr>
                      <w:rFonts w:hint="eastAsia"/>
                      <w:color w:val="000000"/>
                      <w:sz w:val="18"/>
                      <w:szCs w:val="18"/>
                      <w:highlight w:val="none"/>
                    </w:rPr>
                    <w:t>25</w:t>
                  </w:r>
                </w:p>
              </w:tc>
              <w:tc>
                <w:tcPr>
                  <w:tcW w:w="574" w:type="pct"/>
                  <w:noWrap w:val="0"/>
                  <w:vAlign w:val="center"/>
                </w:tcPr>
                <w:p w14:paraId="621F4C93">
                  <w:pPr>
                    <w:adjustRightInd w:val="0"/>
                    <w:snapToGrid w:val="0"/>
                    <w:jc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50</w:t>
                  </w:r>
                </w:p>
              </w:tc>
              <w:tc>
                <w:tcPr>
                  <w:tcW w:w="445" w:type="pct"/>
                  <w:noWrap w:val="0"/>
                  <w:vAlign w:val="center"/>
                </w:tcPr>
                <w:p w14:paraId="732BE054">
                  <w:pPr>
                    <w:keepNext w:val="0"/>
                    <w:keepLines w:val="0"/>
                    <w:widowControl/>
                    <w:suppressLineNumbers w:val="0"/>
                    <w:jc w:val="center"/>
                    <w:textAlignment w:val="center"/>
                    <w:rPr>
                      <w:color w:val="000000"/>
                      <w:sz w:val="18"/>
                      <w:szCs w:val="18"/>
                      <w:highlight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34.0 </w:t>
                  </w:r>
                </w:p>
              </w:tc>
              <w:tc>
                <w:tcPr>
                  <w:tcW w:w="423" w:type="pct"/>
                  <w:vMerge w:val="restart"/>
                  <w:noWrap w:val="0"/>
                  <w:vAlign w:val="center"/>
                </w:tcPr>
                <w:p w14:paraId="18019987">
                  <w:pPr>
                    <w:widowControl/>
                    <w:jc w:val="center"/>
                    <w:textAlignment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47.4</w:t>
                  </w:r>
                </w:p>
              </w:tc>
              <w:tc>
                <w:tcPr>
                  <w:tcW w:w="456" w:type="pct"/>
                  <w:vMerge w:val="restart"/>
                  <w:noWrap w:val="0"/>
                  <w:vAlign w:val="center"/>
                </w:tcPr>
                <w:p w14:paraId="4B9E2865">
                  <w:pPr>
                    <w:jc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47.4</w:t>
                  </w:r>
                </w:p>
              </w:tc>
            </w:tr>
            <w:tr w14:paraId="2C02B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5F5E3B15">
                  <w:pPr>
                    <w:widowControl/>
                    <w:jc w:val="center"/>
                    <w:rPr>
                      <w:color w:val="000000"/>
                      <w:spacing w:val="-6"/>
                      <w:sz w:val="18"/>
                      <w:szCs w:val="18"/>
                      <w:highlight w:val="none"/>
                    </w:rPr>
                  </w:pPr>
                </w:p>
              </w:tc>
              <w:tc>
                <w:tcPr>
                  <w:tcW w:w="903" w:type="pct"/>
                  <w:shd w:val="clear" w:color="auto" w:fill="auto"/>
                  <w:noWrap w:val="0"/>
                  <w:vAlign w:val="center"/>
                </w:tcPr>
                <w:p w14:paraId="446753B4">
                  <w:pPr>
                    <w:jc w:val="center"/>
                    <w:rPr>
                      <w:rFonts w:hint="default" w:ascii="Times New Roman" w:hAnsi="Times New Roman" w:eastAsia="宋体" w:cs="Times New Roman"/>
                      <w:kern w:val="2"/>
                      <w:sz w:val="18"/>
                      <w:szCs w:val="18"/>
                      <w:highlight w:val="none"/>
                      <w:lang w:val="en-US" w:eastAsia="zh-CN" w:bidi="ar-SA"/>
                    </w:rPr>
                  </w:pPr>
                  <w:r>
                    <w:rPr>
                      <w:rFonts w:hint="eastAsia" w:cs="Times New Roman"/>
                      <w:b w:val="0"/>
                      <w:bCs w:val="0"/>
                      <w:color w:val="000000"/>
                      <w:kern w:val="2"/>
                      <w:sz w:val="18"/>
                      <w:szCs w:val="18"/>
                      <w:highlight w:val="none"/>
                      <w:vertAlign w:val="baseline"/>
                      <w:lang w:val="en-US" w:eastAsia="zh-CN" w:bidi="ar-SA"/>
                    </w:rPr>
                    <w:t>回流焊</w:t>
                  </w:r>
                </w:p>
              </w:tc>
              <w:tc>
                <w:tcPr>
                  <w:tcW w:w="706" w:type="pct"/>
                  <w:shd w:val="clear" w:color="auto" w:fill="auto"/>
                  <w:noWrap w:val="0"/>
                  <w:vAlign w:val="center"/>
                </w:tcPr>
                <w:p w14:paraId="2B20C58D">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24B3A192">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4</w:t>
                  </w:r>
                </w:p>
              </w:tc>
              <w:tc>
                <w:tcPr>
                  <w:tcW w:w="570" w:type="pct"/>
                  <w:shd w:val="clear" w:color="auto" w:fill="auto"/>
                  <w:noWrap w:val="0"/>
                  <w:vAlign w:val="center"/>
                </w:tcPr>
                <w:p w14:paraId="309056E1">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81.0</w:t>
                  </w:r>
                </w:p>
              </w:tc>
              <w:tc>
                <w:tcPr>
                  <w:tcW w:w="455" w:type="pct"/>
                  <w:noWrap w:val="0"/>
                  <w:vAlign w:val="center"/>
                </w:tcPr>
                <w:p w14:paraId="56910A41">
                  <w:pPr>
                    <w:adjustRightInd w:val="0"/>
                    <w:snapToGrid w:val="0"/>
                    <w:jc w:val="center"/>
                    <w:rPr>
                      <w:color w:val="000000"/>
                      <w:sz w:val="18"/>
                      <w:szCs w:val="18"/>
                      <w:highlight w:val="none"/>
                    </w:rPr>
                  </w:pPr>
                  <w:r>
                    <w:rPr>
                      <w:rFonts w:hint="eastAsia"/>
                      <w:color w:val="000000"/>
                      <w:sz w:val="18"/>
                      <w:szCs w:val="18"/>
                      <w:highlight w:val="none"/>
                    </w:rPr>
                    <w:t>25</w:t>
                  </w:r>
                </w:p>
              </w:tc>
              <w:tc>
                <w:tcPr>
                  <w:tcW w:w="574" w:type="pct"/>
                  <w:noWrap w:val="0"/>
                  <w:vAlign w:val="center"/>
                </w:tcPr>
                <w:p w14:paraId="3D768A6C">
                  <w:pPr>
                    <w:adjustRightInd w:val="0"/>
                    <w:snapToGrid w:val="0"/>
                    <w:jc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52</w:t>
                  </w:r>
                </w:p>
              </w:tc>
              <w:tc>
                <w:tcPr>
                  <w:tcW w:w="445" w:type="pct"/>
                  <w:noWrap w:val="0"/>
                  <w:vAlign w:val="center"/>
                </w:tcPr>
                <w:p w14:paraId="3CE54614">
                  <w:pPr>
                    <w:keepNext w:val="0"/>
                    <w:keepLines w:val="0"/>
                    <w:widowControl/>
                    <w:suppressLineNumbers w:val="0"/>
                    <w:jc w:val="center"/>
                    <w:textAlignment w:val="center"/>
                    <w:rPr>
                      <w:color w:val="000000"/>
                      <w:sz w:val="18"/>
                      <w:szCs w:val="18"/>
                      <w:highlight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34.3 </w:t>
                  </w:r>
                </w:p>
              </w:tc>
              <w:tc>
                <w:tcPr>
                  <w:tcW w:w="423" w:type="pct"/>
                  <w:vMerge w:val="continue"/>
                  <w:noWrap w:val="0"/>
                  <w:vAlign w:val="center"/>
                </w:tcPr>
                <w:p w14:paraId="1F95D871">
                  <w:pPr>
                    <w:widowControl/>
                    <w:jc w:val="center"/>
                    <w:textAlignment w:val="center"/>
                    <w:rPr>
                      <w:color w:val="000000"/>
                      <w:sz w:val="18"/>
                      <w:szCs w:val="18"/>
                      <w:highlight w:val="none"/>
                    </w:rPr>
                  </w:pPr>
                </w:p>
              </w:tc>
              <w:tc>
                <w:tcPr>
                  <w:tcW w:w="456" w:type="pct"/>
                  <w:vMerge w:val="continue"/>
                  <w:noWrap w:val="0"/>
                  <w:vAlign w:val="center"/>
                </w:tcPr>
                <w:p w14:paraId="230A7F71">
                  <w:pPr>
                    <w:jc w:val="center"/>
                    <w:rPr>
                      <w:color w:val="000000"/>
                      <w:sz w:val="18"/>
                      <w:szCs w:val="18"/>
                      <w:highlight w:val="none"/>
                    </w:rPr>
                  </w:pPr>
                </w:p>
              </w:tc>
            </w:tr>
            <w:tr w14:paraId="42D6D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367E2AC8">
                  <w:pPr>
                    <w:widowControl/>
                    <w:jc w:val="center"/>
                    <w:rPr>
                      <w:color w:val="000000"/>
                      <w:spacing w:val="-6"/>
                      <w:sz w:val="18"/>
                      <w:szCs w:val="18"/>
                      <w:highlight w:val="none"/>
                    </w:rPr>
                  </w:pPr>
                </w:p>
              </w:tc>
              <w:tc>
                <w:tcPr>
                  <w:tcW w:w="903" w:type="pct"/>
                  <w:shd w:val="clear" w:color="auto" w:fill="auto"/>
                  <w:noWrap w:val="0"/>
                  <w:vAlign w:val="center"/>
                </w:tcPr>
                <w:p w14:paraId="5BF93227">
                  <w:pPr>
                    <w:jc w:val="center"/>
                    <w:rPr>
                      <w:rFonts w:hint="default" w:ascii="Times New Roman" w:hAnsi="Times New Roman" w:eastAsia="宋体" w:cs="Times New Roman"/>
                      <w:kern w:val="2"/>
                      <w:sz w:val="18"/>
                      <w:szCs w:val="18"/>
                      <w:highlight w:val="none"/>
                      <w:lang w:val="en-US" w:eastAsia="zh-CN" w:bidi="ar-SA"/>
                    </w:rPr>
                  </w:pPr>
                  <w:r>
                    <w:rPr>
                      <w:color w:val="auto"/>
                      <w:sz w:val="18"/>
                      <w:szCs w:val="18"/>
                      <w:highlight w:val="none"/>
                      <w:lang w:val="en-US" w:eastAsia="zh-CN"/>
                    </w:rPr>
                    <w:t>全自动螺丝机</w:t>
                  </w:r>
                </w:p>
              </w:tc>
              <w:tc>
                <w:tcPr>
                  <w:tcW w:w="706" w:type="pct"/>
                  <w:shd w:val="clear" w:color="auto" w:fill="auto"/>
                  <w:noWrap w:val="0"/>
                  <w:vAlign w:val="center"/>
                </w:tcPr>
                <w:p w14:paraId="458E4685">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14B4F560">
                  <w:pPr>
                    <w:jc w:val="center"/>
                    <w:rPr>
                      <w:rFonts w:hint="default" w:ascii="Times New Roman" w:hAnsi="Times New Roman" w:eastAsia="宋体" w:cs="Times New Roman"/>
                      <w:color w:val="auto"/>
                      <w:kern w:val="2"/>
                      <w:sz w:val="18"/>
                      <w:szCs w:val="18"/>
                      <w:highlight w:val="none"/>
                      <w:lang w:val="en-US" w:eastAsia="zh-CN" w:bidi="ar-SA"/>
                    </w:rPr>
                  </w:pPr>
                  <w:r>
                    <w:rPr>
                      <w:rFonts w:hint="eastAsia"/>
                      <w:color w:val="auto"/>
                      <w:sz w:val="18"/>
                      <w:szCs w:val="18"/>
                      <w:highlight w:val="none"/>
                      <w:lang w:val="en-US" w:eastAsia="zh-CN"/>
                    </w:rPr>
                    <w:t>8</w:t>
                  </w:r>
                </w:p>
              </w:tc>
              <w:tc>
                <w:tcPr>
                  <w:tcW w:w="570" w:type="pct"/>
                  <w:shd w:val="clear" w:color="auto" w:fill="auto"/>
                  <w:noWrap w:val="0"/>
                  <w:vAlign w:val="center"/>
                </w:tcPr>
                <w:p w14:paraId="2440A6F5">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84.0</w:t>
                  </w:r>
                </w:p>
              </w:tc>
              <w:tc>
                <w:tcPr>
                  <w:tcW w:w="455" w:type="pct"/>
                  <w:noWrap w:val="0"/>
                  <w:vAlign w:val="center"/>
                </w:tcPr>
                <w:p w14:paraId="1D69B22F">
                  <w:pPr>
                    <w:adjustRightInd w:val="0"/>
                    <w:snapToGrid w:val="0"/>
                    <w:jc w:val="center"/>
                    <w:rPr>
                      <w:color w:val="000000"/>
                      <w:sz w:val="18"/>
                      <w:szCs w:val="18"/>
                      <w:highlight w:val="none"/>
                    </w:rPr>
                  </w:pPr>
                  <w:r>
                    <w:rPr>
                      <w:rFonts w:hint="eastAsia"/>
                      <w:color w:val="000000"/>
                      <w:sz w:val="18"/>
                      <w:szCs w:val="18"/>
                      <w:highlight w:val="none"/>
                    </w:rPr>
                    <w:t>25</w:t>
                  </w:r>
                </w:p>
              </w:tc>
              <w:tc>
                <w:tcPr>
                  <w:tcW w:w="574" w:type="pct"/>
                  <w:noWrap w:val="0"/>
                  <w:vAlign w:val="center"/>
                </w:tcPr>
                <w:p w14:paraId="5C166FCB">
                  <w:pPr>
                    <w:adjustRightInd w:val="0"/>
                    <w:snapToGrid w:val="0"/>
                    <w:jc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42</w:t>
                  </w:r>
                </w:p>
              </w:tc>
              <w:tc>
                <w:tcPr>
                  <w:tcW w:w="445" w:type="pct"/>
                  <w:noWrap w:val="0"/>
                  <w:vAlign w:val="center"/>
                </w:tcPr>
                <w:p w14:paraId="7D7EA8F3">
                  <w:pPr>
                    <w:keepNext w:val="0"/>
                    <w:keepLines w:val="0"/>
                    <w:widowControl/>
                    <w:suppressLineNumbers w:val="0"/>
                    <w:jc w:val="center"/>
                    <w:textAlignment w:val="center"/>
                    <w:rPr>
                      <w:color w:val="000000"/>
                      <w:sz w:val="18"/>
                      <w:szCs w:val="18"/>
                      <w:highlight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32.5 </w:t>
                  </w:r>
                </w:p>
              </w:tc>
              <w:tc>
                <w:tcPr>
                  <w:tcW w:w="423" w:type="pct"/>
                  <w:vMerge w:val="continue"/>
                  <w:noWrap w:val="0"/>
                  <w:vAlign w:val="center"/>
                </w:tcPr>
                <w:p w14:paraId="7C9D19BE">
                  <w:pPr>
                    <w:widowControl/>
                    <w:jc w:val="center"/>
                    <w:textAlignment w:val="center"/>
                    <w:rPr>
                      <w:color w:val="000000"/>
                      <w:sz w:val="18"/>
                      <w:szCs w:val="18"/>
                      <w:highlight w:val="none"/>
                    </w:rPr>
                  </w:pPr>
                </w:p>
              </w:tc>
              <w:tc>
                <w:tcPr>
                  <w:tcW w:w="456" w:type="pct"/>
                  <w:vMerge w:val="continue"/>
                  <w:noWrap w:val="0"/>
                  <w:vAlign w:val="center"/>
                </w:tcPr>
                <w:p w14:paraId="352753DD">
                  <w:pPr>
                    <w:jc w:val="center"/>
                    <w:rPr>
                      <w:color w:val="000000"/>
                      <w:sz w:val="18"/>
                      <w:szCs w:val="18"/>
                      <w:highlight w:val="none"/>
                    </w:rPr>
                  </w:pPr>
                </w:p>
              </w:tc>
            </w:tr>
            <w:tr w14:paraId="0C9F7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07A055E7">
                  <w:pPr>
                    <w:widowControl/>
                    <w:jc w:val="center"/>
                    <w:rPr>
                      <w:color w:val="000000"/>
                      <w:spacing w:val="-6"/>
                      <w:sz w:val="18"/>
                      <w:szCs w:val="18"/>
                      <w:highlight w:val="none"/>
                    </w:rPr>
                  </w:pPr>
                </w:p>
              </w:tc>
              <w:tc>
                <w:tcPr>
                  <w:tcW w:w="903" w:type="pct"/>
                  <w:shd w:val="clear" w:color="auto" w:fill="auto"/>
                  <w:noWrap w:val="0"/>
                  <w:vAlign w:val="center"/>
                </w:tcPr>
                <w:p w14:paraId="1624C23E">
                  <w:pPr>
                    <w:jc w:val="center"/>
                    <w:rPr>
                      <w:rFonts w:hint="default" w:ascii="Times New Roman" w:hAnsi="Times New Roman" w:eastAsia="宋体" w:cs="Times New Roman"/>
                      <w:kern w:val="2"/>
                      <w:sz w:val="18"/>
                      <w:szCs w:val="18"/>
                      <w:highlight w:val="none"/>
                      <w:lang w:val="en-US" w:eastAsia="zh-CN" w:bidi="ar-SA"/>
                    </w:rPr>
                  </w:pPr>
                  <w:r>
                    <w:rPr>
                      <w:rFonts w:hint="eastAsia"/>
                      <w:color w:val="auto"/>
                      <w:sz w:val="18"/>
                      <w:szCs w:val="18"/>
                      <w:highlight w:val="none"/>
                      <w:lang w:val="en-US" w:eastAsia="zh-CN"/>
                    </w:rPr>
                    <w:t>打包机</w:t>
                  </w:r>
                </w:p>
              </w:tc>
              <w:tc>
                <w:tcPr>
                  <w:tcW w:w="706" w:type="pct"/>
                  <w:shd w:val="clear" w:color="auto" w:fill="auto"/>
                  <w:noWrap w:val="0"/>
                  <w:vAlign w:val="center"/>
                </w:tcPr>
                <w:p w14:paraId="085F6933">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7896464A">
                  <w:pPr>
                    <w:jc w:val="center"/>
                    <w:rPr>
                      <w:rFonts w:hint="default" w:ascii="Times New Roman" w:hAnsi="Times New Roman" w:eastAsia="宋体" w:cs="Times New Roman"/>
                      <w:color w:val="auto"/>
                      <w:kern w:val="2"/>
                      <w:sz w:val="18"/>
                      <w:szCs w:val="18"/>
                      <w:highlight w:val="none"/>
                      <w:lang w:val="en-US" w:eastAsia="zh-CN" w:bidi="ar-SA"/>
                    </w:rPr>
                  </w:pPr>
                  <w:r>
                    <w:rPr>
                      <w:rFonts w:hint="eastAsia"/>
                      <w:color w:val="auto"/>
                      <w:sz w:val="18"/>
                      <w:szCs w:val="18"/>
                      <w:highlight w:val="none"/>
                      <w:lang w:val="en-US" w:eastAsia="zh-CN"/>
                    </w:rPr>
                    <w:t>5</w:t>
                  </w:r>
                </w:p>
              </w:tc>
              <w:tc>
                <w:tcPr>
                  <w:tcW w:w="570" w:type="pct"/>
                  <w:shd w:val="clear" w:color="auto" w:fill="auto"/>
                  <w:noWrap w:val="0"/>
                  <w:vAlign w:val="center"/>
                </w:tcPr>
                <w:p w14:paraId="0708E305">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87.0</w:t>
                  </w:r>
                </w:p>
              </w:tc>
              <w:tc>
                <w:tcPr>
                  <w:tcW w:w="455" w:type="pct"/>
                  <w:noWrap w:val="0"/>
                  <w:vAlign w:val="center"/>
                </w:tcPr>
                <w:p w14:paraId="63F202E5">
                  <w:pPr>
                    <w:adjustRightInd w:val="0"/>
                    <w:snapToGrid w:val="0"/>
                    <w:jc w:val="center"/>
                    <w:rPr>
                      <w:color w:val="000000"/>
                      <w:sz w:val="18"/>
                      <w:szCs w:val="18"/>
                      <w:highlight w:val="none"/>
                    </w:rPr>
                  </w:pPr>
                  <w:r>
                    <w:rPr>
                      <w:rFonts w:hint="eastAsia"/>
                      <w:color w:val="000000"/>
                      <w:sz w:val="18"/>
                      <w:szCs w:val="18"/>
                      <w:highlight w:val="none"/>
                    </w:rPr>
                    <w:t>25</w:t>
                  </w:r>
                </w:p>
              </w:tc>
              <w:tc>
                <w:tcPr>
                  <w:tcW w:w="574" w:type="pct"/>
                  <w:noWrap w:val="0"/>
                  <w:vAlign w:val="center"/>
                </w:tcPr>
                <w:p w14:paraId="1251D031">
                  <w:pPr>
                    <w:adjustRightInd w:val="0"/>
                    <w:snapToGrid w:val="0"/>
                    <w:jc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19</w:t>
                  </w:r>
                </w:p>
              </w:tc>
              <w:tc>
                <w:tcPr>
                  <w:tcW w:w="445" w:type="pct"/>
                  <w:noWrap w:val="0"/>
                  <w:vAlign w:val="center"/>
                </w:tcPr>
                <w:p w14:paraId="483503C2">
                  <w:pPr>
                    <w:keepNext w:val="0"/>
                    <w:keepLines w:val="0"/>
                    <w:widowControl/>
                    <w:suppressLineNumbers w:val="0"/>
                    <w:jc w:val="center"/>
                    <w:textAlignment w:val="center"/>
                    <w:rPr>
                      <w:color w:val="000000"/>
                      <w:sz w:val="18"/>
                      <w:szCs w:val="18"/>
                      <w:highlight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25.6 </w:t>
                  </w:r>
                </w:p>
              </w:tc>
              <w:tc>
                <w:tcPr>
                  <w:tcW w:w="423" w:type="pct"/>
                  <w:vMerge w:val="continue"/>
                  <w:noWrap w:val="0"/>
                  <w:vAlign w:val="center"/>
                </w:tcPr>
                <w:p w14:paraId="30082A0D">
                  <w:pPr>
                    <w:widowControl/>
                    <w:jc w:val="center"/>
                    <w:textAlignment w:val="center"/>
                    <w:rPr>
                      <w:color w:val="000000"/>
                      <w:sz w:val="18"/>
                      <w:szCs w:val="18"/>
                      <w:highlight w:val="none"/>
                    </w:rPr>
                  </w:pPr>
                </w:p>
              </w:tc>
              <w:tc>
                <w:tcPr>
                  <w:tcW w:w="456" w:type="pct"/>
                  <w:vMerge w:val="continue"/>
                  <w:noWrap w:val="0"/>
                  <w:vAlign w:val="center"/>
                </w:tcPr>
                <w:p w14:paraId="1F5FA370">
                  <w:pPr>
                    <w:jc w:val="center"/>
                    <w:rPr>
                      <w:color w:val="000000"/>
                      <w:sz w:val="18"/>
                      <w:szCs w:val="18"/>
                      <w:highlight w:val="none"/>
                    </w:rPr>
                  </w:pPr>
                </w:p>
              </w:tc>
            </w:tr>
            <w:tr w14:paraId="510F8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2F6A1A29">
                  <w:pPr>
                    <w:widowControl/>
                    <w:jc w:val="center"/>
                    <w:rPr>
                      <w:color w:val="000000"/>
                      <w:spacing w:val="-6"/>
                      <w:sz w:val="18"/>
                      <w:szCs w:val="18"/>
                      <w:highlight w:val="none"/>
                    </w:rPr>
                  </w:pPr>
                </w:p>
              </w:tc>
              <w:tc>
                <w:tcPr>
                  <w:tcW w:w="903" w:type="pct"/>
                  <w:shd w:val="clear" w:color="auto" w:fill="auto"/>
                  <w:noWrap w:val="0"/>
                  <w:vAlign w:val="center"/>
                </w:tcPr>
                <w:p w14:paraId="435034C6">
                  <w:pPr>
                    <w:jc w:val="center"/>
                    <w:rPr>
                      <w:rFonts w:hint="default" w:ascii="Times New Roman" w:hAnsi="Times New Roman" w:eastAsia="宋体" w:cs="Times New Roman"/>
                      <w:kern w:val="2"/>
                      <w:sz w:val="18"/>
                      <w:szCs w:val="18"/>
                      <w:highlight w:val="none"/>
                      <w:lang w:val="en-US" w:eastAsia="zh-CN" w:bidi="ar-SA"/>
                    </w:rPr>
                  </w:pPr>
                  <w:r>
                    <w:rPr>
                      <w:rFonts w:hint="eastAsia"/>
                      <w:b w:val="0"/>
                      <w:bCs w:val="0"/>
                      <w:color w:val="000000"/>
                      <w:kern w:val="2"/>
                      <w:sz w:val="18"/>
                      <w:szCs w:val="18"/>
                      <w:highlight w:val="none"/>
                      <w:vertAlign w:val="baseline"/>
                      <w:lang w:val="en-US" w:eastAsia="zh-CN" w:bidi="ar-SA"/>
                    </w:rPr>
                    <w:t>空压机</w:t>
                  </w:r>
                </w:p>
              </w:tc>
              <w:tc>
                <w:tcPr>
                  <w:tcW w:w="706" w:type="pct"/>
                  <w:shd w:val="clear" w:color="auto" w:fill="auto"/>
                  <w:noWrap w:val="0"/>
                  <w:vAlign w:val="center"/>
                </w:tcPr>
                <w:p w14:paraId="4121A057">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90</w:t>
                  </w:r>
                </w:p>
              </w:tc>
              <w:tc>
                <w:tcPr>
                  <w:tcW w:w="280" w:type="pct"/>
                  <w:shd w:val="clear" w:color="auto" w:fill="auto"/>
                  <w:noWrap w:val="0"/>
                  <w:vAlign w:val="center"/>
                </w:tcPr>
                <w:p w14:paraId="686AA3F8">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2</w:t>
                  </w:r>
                </w:p>
              </w:tc>
              <w:tc>
                <w:tcPr>
                  <w:tcW w:w="570" w:type="pct"/>
                  <w:shd w:val="clear" w:color="auto" w:fill="auto"/>
                  <w:noWrap w:val="0"/>
                  <w:vAlign w:val="center"/>
                </w:tcPr>
                <w:p w14:paraId="619CEF37">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93.0</w:t>
                  </w:r>
                </w:p>
              </w:tc>
              <w:tc>
                <w:tcPr>
                  <w:tcW w:w="455" w:type="pct"/>
                  <w:noWrap w:val="0"/>
                  <w:vAlign w:val="center"/>
                </w:tcPr>
                <w:p w14:paraId="17204163">
                  <w:pPr>
                    <w:adjustRightInd w:val="0"/>
                    <w:snapToGrid w:val="0"/>
                    <w:jc w:val="center"/>
                    <w:rPr>
                      <w:color w:val="000000"/>
                      <w:sz w:val="18"/>
                      <w:szCs w:val="18"/>
                      <w:highlight w:val="none"/>
                    </w:rPr>
                  </w:pPr>
                  <w:r>
                    <w:rPr>
                      <w:rFonts w:hint="eastAsia"/>
                      <w:color w:val="000000"/>
                      <w:sz w:val="18"/>
                      <w:szCs w:val="18"/>
                      <w:highlight w:val="none"/>
                    </w:rPr>
                    <w:t>25</w:t>
                  </w:r>
                </w:p>
              </w:tc>
              <w:tc>
                <w:tcPr>
                  <w:tcW w:w="574" w:type="pct"/>
                  <w:noWrap w:val="0"/>
                  <w:vAlign w:val="center"/>
                </w:tcPr>
                <w:p w14:paraId="7EBACC39">
                  <w:pPr>
                    <w:adjustRightInd w:val="0"/>
                    <w:snapToGrid w:val="0"/>
                    <w:jc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15</w:t>
                  </w:r>
                </w:p>
              </w:tc>
              <w:tc>
                <w:tcPr>
                  <w:tcW w:w="445" w:type="pct"/>
                  <w:noWrap w:val="0"/>
                  <w:vAlign w:val="center"/>
                </w:tcPr>
                <w:p w14:paraId="381508BC">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23.5 </w:t>
                  </w:r>
                </w:p>
              </w:tc>
              <w:tc>
                <w:tcPr>
                  <w:tcW w:w="423" w:type="pct"/>
                  <w:vMerge w:val="continue"/>
                  <w:noWrap w:val="0"/>
                  <w:vAlign w:val="center"/>
                </w:tcPr>
                <w:p w14:paraId="1D3D4FA1">
                  <w:pPr>
                    <w:widowControl/>
                    <w:jc w:val="center"/>
                    <w:textAlignment w:val="center"/>
                    <w:rPr>
                      <w:color w:val="000000"/>
                      <w:sz w:val="18"/>
                      <w:szCs w:val="18"/>
                      <w:highlight w:val="none"/>
                    </w:rPr>
                  </w:pPr>
                </w:p>
              </w:tc>
              <w:tc>
                <w:tcPr>
                  <w:tcW w:w="456" w:type="pct"/>
                  <w:vMerge w:val="continue"/>
                  <w:noWrap w:val="0"/>
                  <w:vAlign w:val="center"/>
                </w:tcPr>
                <w:p w14:paraId="3310F333">
                  <w:pPr>
                    <w:jc w:val="center"/>
                    <w:rPr>
                      <w:color w:val="000000"/>
                      <w:sz w:val="18"/>
                      <w:szCs w:val="18"/>
                      <w:highlight w:val="none"/>
                    </w:rPr>
                  </w:pPr>
                </w:p>
              </w:tc>
            </w:tr>
            <w:tr w14:paraId="61DB1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36EE17F2">
                  <w:pPr>
                    <w:widowControl/>
                    <w:jc w:val="center"/>
                    <w:rPr>
                      <w:color w:val="000000"/>
                      <w:spacing w:val="-6"/>
                      <w:sz w:val="18"/>
                      <w:szCs w:val="18"/>
                      <w:highlight w:val="none"/>
                    </w:rPr>
                  </w:pPr>
                </w:p>
              </w:tc>
              <w:tc>
                <w:tcPr>
                  <w:tcW w:w="903" w:type="pct"/>
                  <w:shd w:val="clear" w:color="auto" w:fill="auto"/>
                  <w:noWrap w:val="0"/>
                  <w:vAlign w:val="center"/>
                </w:tcPr>
                <w:p w14:paraId="40F61791">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挤出机</w:t>
                  </w:r>
                </w:p>
              </w:tc>
              <w:tc>
                <w:tcPr>
                  <w:tcW w:w="706" w:type="pct"/>
                  <w:shd w:val="clear" w:color="auto" w:fill="auto"/>
                  <w:noWrap w:val="0"/>
                  <w:vAlign w:val="center"/>
                </w:tcPr>
                <w:p w14:paraId="7A160E6D">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7CDC1759">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7</w:t>
                  </w:r>
                </w:p>
              </w:tc>
              <w:tc>
                <w:tcPr>
                  <w:tcW w:w="570" w:type="pct"/>
                  <w:shd w:val="clear" w:color="auto" w:fill="auto"/>
                  <w:noWrap w:val="0"/>
                  <w:vAlign w:val="center"/>
                </w:tcPr>
                <w:p w14:paraId="1E3DF206">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83.5</w:t>
                  </w:r>
                </w:p>
              </w:tc>
              <w:tc>
                <w:tcPr>
                  <w:tcW w:w="455" w:type="pct"/>
                  <w:noWrap w:val="0"/>
                  <w:vAlign w:val="center"/>
                </w:tcPr>
                <w:p w14:paraId="3F445E14">
                  <w:pPr>
                    <w:adjustRightInd w:val="0"/>
                    <w:snapToGrid w:val="0"/>
                    <w:jc w:val="center"/>
                    <w:rPr>
                      <w:color w:val="000000"/>
                      <w:sz w:val="18"/>
                      <w:szCs w:val="18"/>
                      <w:highlight w:val="none"/>
                    </w:rPr>
                  </w:pPr>
                  <w:r>
                    <w:rPr>
                      <w:rFonts w:hint="eastAsia"/>
                      <w:color w:val="000000"/>
                      <w:sz w:val="18"/>
                      <w:szCs w:val="18"/>
                      <w:highlight w:val="none"/>
                    </w:rPr>
                    <w:t>25</w:t>
                  </w:r>
                </w:p>
              </w:tc>
              <w:tc>
                <w:tcPr>
                  <w:tcW w:w="574" w:type="pct"/>
                  <w:noWrap w:val="0"/>
                  <w:vAlign w:val="center"/>
                </w:tcPr>
                <w:p w14:paraId="6A490071">
                  <w:pPr>
                    <w:adjustRightInd w:val="0"/>
                    <w:snapToGrid w:val="0"/>
                    <w:jc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37</w:t>
                  </w:r>
                </w:p>
              </w:tc>
              <w:tc>
                <w:tcPr>
                  <w:tcW w:w="445" w:type="pct"/>
                  <w:noWrap w:val="0"/>
                  <w:vAlign w:val="center"/>
                </w:tcPr>
                <w:p w14:paraId="56F7EF89">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31.4 </w:t>
                  </w:r>
                </w:p>
              </w:tc>
              <w:tc>
                <w:tcPr>
                  <w:tcW w:w="423" w:type="pct"/>
                  <w:vMerge w:val="continue"/>
                  <w:noWrap w:val="0"/>
                  <w:vAlign w:val="center"/>
                </w:tcPr>
                <w:p w14:paraId="37DFFA24">
                  <w:pPr>
                    <w:widowControl/>
                    <w:jc w:val="center"/>
                    <w:textAlignment w:val="center"/>
                    <w:rPr>
                      <w:color w:val="000000"/>
                      <w:sz w:val="18"/>
                      <w:szCs w:val="18"/>
                      <w:highlight w:val="none"/>
                    </w:rPr>
                  </w:pPr>
                </w:p>
              </w:tc>
              <w:tc>
                <w:tcPr>
                  <w:tcW w:w="456" w:type="pct"/>
                  <w:vMerge w:val="continue"/>
                  <w:noWrap w:val="0"/>
                  <w:vAlign w:val="center"/>
                </w:tcPr>
                <w:p w14:paraId="111DFDAF">
                  <w:pPr>
                    <w:jc w:val="center"/>
                    <w:rPr>
                      <w:color w:val="000000"/>
                      <w:sz w:val="18"/>
                      <w:szCs w:val="18"/>
                      <w:highlight w:val="none"/>
                    </w:rPr>
                  </w:pPr>
                </w:p>
              </w:tc>
            </w:tr>
            <w:tr w14:paraId="5C1E3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0CEAC67D">
                  <w:pPr>
                    <w:widowControl/>
                    <w:jc w:val="center"/>
                    <w:rPr>
                      <w:color w:val="000000"/>
                      <w:spacing w:val="-6"/>
                      <w:sz w:val="18"/>
                      <w:szCs w:val="18"/>
                      <w:highlight w:val="none"/>
                    </w:rPr>
                  </w:pPr>
                </w:p>
              </w:tc>
              <w:tc>
                <w:tcPr>
                  <w:tcW w:w="903" w:type="pct"/>
                  <w:shd w:val="clear" w:color="auto" w:fill="auto"/>
                  <w:noWrap w:val="0"/>
                  <w:vAlign w:val="center"/>
                </w:tcPr>
                <w:p w14:paraId="0ADBA307">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成型机</w:t>
                  </w:r>
                </w:p>
              </w:tc>
              <w:tc>
                <w:tcPr>
                  <w:tcW w:w="706" w:type="pct"/>
                  <w:shd w:val="clear" w:color="auto" w:fill="auto"/>
                  <w:noWrap w:val="0"/>
                  <w:vAlign w:val="center"/>
                </w:tcPr>
                <w:p w14:paraId="29AF481A">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0CD11145">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7</w:t>
                  </w:r>
                </w:p>
              </w:tc>
              <w:tc>
                <w:tcPr>
                  <w:tcW w:w="570" w:type="pct"/>
                  <w:shd w:val="clear" w:color="auto" w:fill="auto"/>
                  <w:noWrap w:val="0"/>
                  <w:vAlign w:val="center"/>
                </w:tcPr>
                <w:p w14:paraId="232BC3FB">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83.5</w:t>
                  </w:r>
                </w:p>
              </w:tc>
              <w:tc>
                <w:tcPr>
                  <w:tcW w:w="455" w:type="pct"/>
                  <w:noWrap w:val="0"/>
                  <w:vAlign w:val="center"/>
                </w:tcPr>
                <w:p w14:paraId="1BDD5ED3">
                  <w:pPr>
                    <w:adjustRightInd w:val="0"/>
                    <w:snapToGrid w:val="0"/>
                    <w:jc w:val="center"/>
                    <w:rPr>
                      <w:color w:val="000000"/>
                      <w:sz w:val="18"/>
                      <w:szCs w:val="18"/>
                      <w:highlight w:val="none"/>
                    </w:rPr>
                  </w:pPr>
                  <w:r>
                    <w:rPr>
                      <w:rFonts w:hint="eastAsia"/>
                      <w:color w:val="000000"/>
                      <w:sz w:val="18"/>
                      <w:szCs w:val="18"/>
                      <w:highlight w:val="none"/>
                    </w:rPr>
                    <w:t>25</w:t>
                  </w:r>
                </w:p>
              </w:tc>
              <w:tc>
                <w:tcPr>
                  <w:tcW w:w="574" w:type="pct"/>
                  <w:noWrap w:val="0"/>
                  <w:vAlign w:val="center"/>
                </w:tcPr>
                <w:p w14:paraId="4EB3DAEF">
                  <w:pPr>
                    <w:adjustRightInd w:val="0"/>
                    <w:snapToGrid w:val="0"/>
                    <w:jc w:val="center"/>
                    <w:rPr>
                      <w:color w:val="000000"/>
                      <w:sz w:val="18"/>
                      <w:szCs w:val="18"/>
                      <w:highlight w:val="none"/>
                    </w:rPr>
                  </w:pPr>
                  <w:r>
                    <w:rPr>
                      <w:rFonts w:hint="eastAsia"/>
                      <w:color w:val="000000"/>
                      <w:sz w:val="18"/>
                      <w:szCs w:val="18"/>
                      <w:highlight w:val="none"/>
                      <w:lang w:val="en-US" w:eastAsia="zh-CN"/>
                    </w:rPr>
                    <w:t>37</w:t>
                  </w:r>
                </w:p>
              </w:tc>
              <w:tc>
                <w:tcPr>
                  <w:tcW w:w="445" w:type="pct"/>
                  <w:noWrap w:val="0"/>
                  <w:vAlign w:val="center"/>
                </w:tcPr>
                <w:p w14:paraId="6DF190A6">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31.4 </w:t>
                  </w:r>
                </w:p>
              </w:tc>
              <w:tc>
                <w:tcPr>
                  <w:tcW w:w="423" w:type="pct"/>
                  <w:vMerge w:val="continue"/>
                  <w:noWrap w:val="0"/>
                  <w:vAlign w:val="center"/>
                </w:tcPr>
                <w:p w14:paraId="5B9AAFDC">
                  <w:pPr>
                    <w:widowControl/>
                    <w:jc w:val="center"/>
                    <w:textAlignment w:val="center"/>
                    <w:rPr>
                      <w:color w:val="000000"/>
                      <w:sz w:val="18"/>
                      <w:szCs w:val="18"/>
                      <w:highlight w:val="none"/>
                    </w:rPr>
                  </w:pPr>
                </w:p>
              </w:tc>
              <w:tc>
                <w:tcPr>
                  <w:tcW w:w="456" w:type="pct"/>
                  <w:vMerge w:val="continue"/>
                  <w:noWrap w:val="0"/>
                  <w:vAlign w:val="center"/>
                </w:tcPr>
                <w:p w14:paraId="2E74541F">
                  <w:pPr>
                    <w:jc w:val="center"/>
                    <w:rPr>
                      <w:color w:val="000000"/>
                      <w:sz w:val="18"/>
                      <w:szCs w:val="18"/>
                      <w:highlight w:val="none"/>
                    </w:rPr>
                  </w:pPr>
                </w:p>
              </w:tc>
            </w:tr>
            <w:tr w14:paraId="779D2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0E9A96BD">
                  <w:pPr>
                    <w:widowControl/>
                    <w:jc w:val="center"/>
                    <w:rPr>
                      <w:color w:val="000000"/>
                      <w:spacing w:val="-6"/>
                      <w:sz w:val="18"/>
                      <w:szCs w:val="18"/>
                      <w:highlight w:val="none"/>
                    </w:rPr>
                  </w:pPr>
                </w:p>
              </w:tc>
              <w:tc>
                <w:tcPr>
                  <w:tcW w:w="903" w:type="pct"/>
                  <w:shd w:val="clear" w:color="auto" w:fill="auto"/>
                  <w:noWrap w:val="0"/>
                  <w:vAlign w:val="center"/>
                </w:tcPr>
                <w:p w14:paraId="39DCD0CD">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sz w:val="18"/>
                      <w:szCs w:val="18"/>
                      <w:highlight w:val="none"/>
                      <w:vertAlign w:val="baseline"/>
                      <w:lang w:val="en-US" w:eastAsia="zh-CN"/>
                    </w:rPr>
                    <w:t>打孔机</w:t>
                  </w:r>
                </w:p>
              </w:tc>
              <w:tc>
                <w:tcPr>
                  <w:tcW w:w="706" w:type="pct"/>
                  <w:shd w:val="clear" w:color="auto" w:fill="auto"/>
                  <w:noWrap w:val="0"/>
                  <w:vAlign w:val="center"/>
                </w:tcPr>
                <w:p w14:paraId="51913594">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6F195F0C">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sz w:val="18"/>
                      <w:szCs w:val="18"/>
                      <w:highlight w:val="none"/>
                      <w:vertAlign w:val="baseline"/>
                      <w:lang w:val="en-US" w:eastAsia="zh-CN"/>
                    </w:rPr>
                    <w:t>7</w:t>
                  </w:r>
                </w:p>
              </w:tc>
              <w:tc>
                <w:tcPr>
                  <w:tcW w:w="570" w:type="pct"/>
                  <w:shd w:val="clear" w:color="auto" w:fill="auto"/>
                  <w:noWrap w:val="0"/>
                  <w:vAlign w:val="center"/>
                </w:tcPr>
                <w:p w14:paraId="4DF83A82">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88.5</w:t>
                  </w:r>
                </w:p>
              </w:tc>
              <w:tc>
                <w:tcPr>
                  <w:tcW w:w="455" w:type="pct"/>
                  <w:noWrap w:val="0"/>
                  <w:vAlign w:val="center"/>
                </w:tcPr>
                <w:p w14:paraId="61B5580E">
                  <w:pPr>
                    <w:adjustRightInd w:val="0"/>
                    <w:snapToGrid w:val="0"/>
                    <w:jc w:val="center"/>
                    <w:rPr>
                      <w:color w:val="000000"/>
                      <w:sz w:val="18"/>
                      <w:szCs w:val="18"/>
                      <w:highlight w:val="none"/>
                    </w:rPr>
                  </w:pPr>
                  <w:r>
                    <w:rPr>
                      <w:rFonts w:hint="eastAsia"/>
                      <w:color w:val="000000"/>
                      <w:sz w:val="18"/>
                      <w:szCs w:val="18"/>
                      <w:highlight w:val="none"/>
                    </w:rPr>
                    <w:t>25</w:t>
                  </w:r>
                </w:p>
              </w:tc>
              <w:tc>
                <w:tcPr>
                  <w:tcW w:w="574" w:type="pct"/>
                  <w:noWrap w:val="0"/>
                  <w:vAlign w:val="center"/>
                </w:tcPr>
                <w:p w14:paraId="7236720E">
                  <w:pPr>
                    <w:adjustRightInd w:val="0"/>
                    <w:snapToGrid w:val="0"/>
                    <w:jc w:val="center"/>
                    <w:rPr>
                      <w:color w:val="000000"/>
                      <w:sz w:val="18"/>
                      <w:szCs w:val="18"/>
                      <w:highlight w:val="none"/>
                    </w:rPr>
                  </w:pPr>
                  <w:r>
                    <w:rPr>
                      <w:rFonts w:hint="eastAsia"/>
                      <w:color w:val="000000"/>
                      <w:sz w:val="18"/>
                      <w:szCs w:val="18"/>
                      <w:highlight w:val="none"/>
                      <w:lang w:val="en-US" w:eastAsia="zh-CN"/>
                    </w:rPr>
                    <w:t>37</w:t>
                  </w:r>
                </w:p>
              </w:tc>
              <w:tc>
                <w:tcPr>
                  <w:tcW w:w="445" w:type="pct"/>
                  <w:noWrap w:val="0"/>
                  <w:vAlign w:val="center"/>
                </w:tcPr>
                <w:p w14:paraId="2F04F438">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31.4 </w:t>
                  </w:r>
                </w:p>
              </w:tc>
              <w:tc>
                <w:tcPr>
                  <w:tcW w:w="423" w:type="pct"/>
                  <w:vMerge w:val="continue"/>
                  <w:noWrap w:val="0"/>
                  <w:vAlign w:val="center"/>
                </w:tcPr>
                <w:p w14:paraId="362A4622">
                  <w:pPr>
                    <w:widowControl/>
                    <w:jc w:val="center"/>
                    <w:textAlignment w:val="center"/>
                    <w:rPr>
                      <w:color w:val="000000"/>
                      <w:sz w:val="18"/>
                      <w:szCs w:val="18"/>
                      <w:highlight w:val="none"/>
                    </w:rPr>
                  </w:pPr>
                </w:p>
              </w:tc>
              <w:tc>
                <w:tcPr>
                  <w:tcW w:w="456" w:type="pct"/>
                  <w:vMerge w:val="continue"/>
                  <w:noWrap w:val="0"/>
                  <w:vAlign w:val="center"/>
                </w:tcPr>
                <w:p w14:paraId="17E74E08">
                  <w:pPr>
                    <w:jc w:val="center"/>
                    <w:rPr>
                      <w:color w:val="000000"/>
                      <w:sz w:val="18"/>
                      <w:szCs w:val="18"/>
                      <w:highlight w:val="none"/>
                    </w:rPr>
                  </w:pPr>
                </w:p>
              </w:tc>
            </w:tr>
            <w:tr w14:paraId="4A2F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4F35AB3A">
                  <w:pPr>
                    <w:widowControl/>
                    <w:jc w:val="center"/>
                    <w:rPr>
                      <w:color w:val="000000"/>
                      <w:spacing w:val="-6"/>
                      <w:sz w:val="18"/>
                      <w:szCs w:val="18"/>
                      <w:highlight w:val="none"/>
                    </w:rPr>
                  </w:pPr>
                </w:p>
              </w:tc>
              <w:tc>
                <w:tcPr>
                  <w:tcW w:w="903" w:type="pct"/>
                  <w:shd w:val="clear" w:color="auto" w:fill="auto"/>
                  <w:noWrap w:val="0"/>
                  <w:vAlign w:val="center"/>
                </w:tcPr>
                <w:p w14:paraId="67FF305E">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分切机</w:t>
                  </w:r>
                </w:p>
              </w:tc>
              <w:tc>
                <w:tcPr>
                  <w:tcW w:w="706" w:type="pct"/>
                  <w:shd w:val="clear" w:color="auto" w:fill="auto"/>
                  <w:noWrap w:val="0"/>
                  <w:vAlign w:val="center"/>
                </w:tcPr>
                <w:p w14:paraId="1D02BFD2">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59793926">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7</w:t>
                  </w:r>
                </w:p>
              </w:tc>
              <w:tc>
                <w:tcPr>
                  <w:tcW w:w="570" w:type="pct"/>
                  <w:shd w:val="clear" w:color="auto" w:fill="auto"/>
                  <w:noWrap w:val="0"/>
                  <w:vAlign w:val="center"/>
                </w:tcPr>
                <w:p w14:paraId="1258C85D">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88.5</w:t>
                  </w:r>
                </w:p>
              </w:tc>
              <w:tc>
                <w:tcPr>
                  <w:tcW w:w="455" w:type="pct"/>
                  <w:noWrap w:val="0"/>
                  <w:vAlign w:val="center"/>
                </w:tcPr>
                <w:p w14:paraId="7E777037">
                  <w:pPr>
                    <w:adjustRightInd w:val="0"/>
                    <w:snapToGrid w:val="0"/>
                    <w:jc w:val="center"/>
                    <w:rPr>
                      <w:rFonts w:hint="eastAsia"/>
                      <w:color w:val="000000"/>
                      <w:sz w:val="18"/>
                      <w:szCs w:val="18"/>
                      <w:highlight w:val="none"/>
                    </w:rPr>
                  </w:pPr>
                  <w:r>
                    <w:rPr>
                      <w:rFonts w:hint="eastAsia"/>
                      <w:color w:val="000000"/>
                      <w:sz w:val="18"/>
                      <w:szCs w:val="18"/>
                      <w:highlight w:val="none"/>
                    </w:rPr>
                    <w:t>25</w:t>
                  </w:r>
                </w:p>
              </w:tc>
              <w:tc>
                <w:tcPr>
                  <w:tcW w:w="574" w:type="pct"/>
                  <w:noWrap w:val="0"/>
                  <w:vAlign w:val="center"/>
                </w:tcPr>
                <w:p w14:paraId="154505F0">
                  <w:pPr>
                    <w:adjustRightInd w:val="0"/>
                    <w:snapToGrid w:val="0"/>
                    <w:jc w:val="center"/>
                    <w:rPr>
                      <w:rFonts w:hint="eastAsia"/>
                      <w:color w:val="000000"/>
                      <w:sz w:val="18"/>
                      <w:szCs w:val="18"/>
                      <w:highlight w:val="none"/>
                    </w:rPr>
                  </w:pPr>
                  <w:r>
                    <w:rPr>
                      <w:rFonts w:hint="eastAsia"/>
                      <w:color w:val="000000"/>
                      <w:sz w:val="18"/>
                      <w:szCs w:val="18"/>
                      <w:highlight w:val="none"/>
                      <w:lang w:val="en-US" w:eastAsia="zh-CN"/>
                    </w:rPr>
                    <w:t>37</w:t>
                  </w:r>
                </w:p>
              </w:tc>
              <w:tc>
                <w:tcPr>
                  <w:tcW w:w="445" w:type="pct"/>
                  <w:noWrap w:val="0"/>
                  <w:vAlign w:val="center"/>
                </w:tcPr>
                <w:p w14:paraId="5C1BA88D">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31.4 </w:t>
                  </w:r>
                </w:p>
              </w:tc>
              <w:tc>
                <w:tcPr>
                  <w:tcW w:w="423" w:type="pct"/>
                  <w:vMerge w:val="continue"/>
                  <w:noWrap w:val="0"/>
                  <w:vAlign w:val="center"/>
                </w:tcPr>
                <w:p w14:paraId="079094C8">
                  <w:pPr>
                    <w:widowControl/>
                    <w:jc w:val="center"/>
                    <w:textAlignment w:val="center"/>
                    <w:rPr>
                      <w:color w:val="000000"/>
                      <w:sz w:val="18"/>
                      <w:szCs w:val="18"/>
                      <w:highlight w:val="none"/>
                    </w:rPr>
                  </w:pPr>
                </w:p>
              </w:tc>
              <w:tc>
                <w:tcPr>
                  <w:tcW w:w="456" w:type="pct"/>
                  <w:vMerge w:val="continue"/>
                  <w:noWrap w:val="0"/>
                  <w:vAlign w:val="center"/>
                </w:tcPr>
                <w:p w14:paraId="571EF5DB">
                  <w:pPr>
                    <w:jc w:val="center"/>
                    <w:rPr>
                      <w:color w:val="000000"/>
                      <w:sz w:val="18"/>
                      <w:szCs w:val="18"/>
                      <w:highlight w:val="none"/>
                    </w:rPr>
                  </w:pPr>
                </w:p>
              </w:tc>
            </w:tr>
            <w:tr w14:paraId="21AAE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30830765">
                  <w:pPr>
                    <w:widowControl/>
                    <w:jc w:val="center"/>
                    <w:rPr>
                      <w:color w:val="000000"/>
                      <w:spacing w:val="-6"/>
                      <w:sz w:val="18"/>
                      <w:szCs w:val="18"/>
                      <w:highlight w:val="none"/>
                    </w:rPr>
                  </w:pPr>
                </w:p>
              </w:tc>
              <w:tc>
                <w:tcPr>
                  <w:tcW w:w="903" w:type="pct"/>
                  <w:shd w:val="clear" w:color="auto" w:fill="auto"/>
                  <w:noWrap w:val="0"/>
                  <w:vAlign w:val="center"/>
                </w:tcPr>
                <w:p w14:paraId="0D2238DE">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收卷机</w:t>
                  </w:r>
                </w:p>
              </w:tc>
              <w:tc>
                <w:tcPr>
                  <w:tcW w:w="706" w:type="pct"/>
                  <w:shd w:val="clear" w:color="auto" w:fill="auto"/>
                  <w:noWrap w:val="0"/>
                  <w:vAlign w:val="center"/>
                </w:tcPr>
                <w:p w14:paraId="6F1930FA">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58552AAD">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35</w:t>
                  </w:r>
                </w:p>
              </w:tc>
              <w:tc>
                <w:tcPr>
                  <w:tcW w:w="570" w:type="pct"/>
                  <w:shd w:val="clear" w:color="auto" w:fill="auto"/>
                  <w:noWrap w:val="0"/>
                  <w:vAlign w:val="center"/>
                </w:tcPr>
                <w:p w14:paraId="1B69DE9D">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95.4</w:t>
                  </w:r>
                </w:p>
              </w:tc>
              <w:tc>
                <w:tcPr>
                  <w:tcW w:w="455" w:type="pct"/>
                  <w:noWrap w:val="0"/>
                  <w:vAlign w:val="center"/>
                </w:tcPr>
                <w:p w14:paraId="771FF97A">
                  <w:pPr>
                    <w:adjustRightInd w:val="0"/>
                    <w:snapToGrid w:val="0"/>
                    <w:jc w:val="center"/>
                    <w:rPr>
                      <w:rFonts w:hint="eastAsia"/>
                      <w:color w:val="000000"/>
                      <w:sz w:val="18"/>
                      <w:szCs w:val="18"/>
                      <w:highlight w:val="none"/>
                    </w:rPr>
                  </w:pPr>
                  <w:r>
                    <w:rPr>
                      <w:rFonts w:hint="eastAsia"/>
                      <w:color w:val="000000"/>
                      <w:sz w:val="18"/>
                      <w:szCs w:val="18"/>
                      <w:highlight w:val="none"/>
                    </w:rPr>
                    <w:t>25</w:t>
                  </w:r>
                </w:p>
              </w:tc>
              <w:tc>
                <w:tcPr>
                  <w:tcW w:w="574" w:type="pct"/>
                  <w:noWrap w:val="0"/>
                  <w:vAlign w:val="center"/>
                </w:tcPr>
                <w:p w14:paraId="3CF2CFDA">
                  <w:pPr>
                    <w:adjustRightInd w:val="0"/>
                    <w:snapToGrid w:val="0"/>
                    <w:jc w:val="center"/>
                    <w:rPr>
                      <w:rFonts w:hint="eastAsia"/>
                      <w:color w:val="000000"/>
                      <w:sz w:val="18"/>
                      <w:szCs w:val="18"/>
                      <w:highlight w:val="none"/>
                    </w:rPr>
                  </w:pPr>
                  <w:r>
                    <w:rPr>
                      <w:rFonts w:hint="eastAsia"/>
                      <w:color w:val="000000"/>
                      <w:sz w:val="18"/>
                      <w:szCs w:val="18"/>
                      <w:highlight w:val="none"/>
                      <w:lang w:val="en-US" w:eastAsia="zh-CN"/>
                    </w:rPr>
                    <w:t>37</w:t>
                  </w:r>
                </w:p>
              </w:tc>
              <w:tc>
                <w:tcPr>
                  <w:tcW w:w="445" w:type="pct"/>
                  <w:noWrap w:val="0"/>
                  <w:vAlign w:val="center"/>
                </w:tcPr>
                <w:p w14:paraId="0431E21A">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31.4 </w:t>
                  </w:r>
                </w:p>
              </w:tc>
              <w:tc>
                <w:tcPr>
                  <w:tcW w:w="423" w:type="pct"/>
                  <w:vMerge w:val="continue"/>
                  <w:noWrap w:val="0"/>
                  <w:vAlign w:val="center"/>
                </w:tcPr>
                <w:p w14:paraId="09508326">
                  <w:pPr>
                    <w:widowControl/>
                    <w:jc w:val="center"/>
                    <w:textAlignment w:val="center"/>
                    <w:rPr>
                      <w:color w:val="000000"/>
                      <w:sz w:val="18"/>
                      <w:szCs w:val="18"/>
                      <w:highlight w:val="none"/>
                    </w:rPr>
                  </w:pPr>
                </w:p>
              </w:tc>
              <w:tc>
                <w:tcPr>
                  <w:tcW w:w="456" w:type="pct"/>
                  <w:vMerge w:val="continue"/>
                  <w:noWrap w:val="0"/>
                  <w:vAlign w:val="center"/>
                </w:tcPr>
                <w:p w14:paraId="5D8DB5FD">
                  <w:pPr>
                    <w:jc w:val="center"/>
                    <w:rPr>
                      <w:color w:val="000000"/>
                      <w:sz w:val="18"/>
                      <w:szCs w:val="18"/>
                      <w:highlight w:val="none"/>
                    </w:rPr>
                  </w:pPr>
                </w:p>
              </w:tc>
            </w:tr>
            <w:tr w14:paraId="4F403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739FD53B">
                  <w:pPr>
                    <w:widowControl/>
                    <w:jc w:val="center"/>
                    <w:rPr>
                      <w:color w:val="000000"/>
                      <w:spacing w:val="-6"/>
                      <w:sz w:val="18"/>
                      <w:szCs w:val="18"/>
                      <w:highlight w:val="none"/>
                    </w:rPr>
                  </w:pPr>
                </w:p>
              </w:tc>
              <w:tc>
                <w:tcPr>
                  <w:tcW w:w="903" w:type="pct"/>
                  <w:shd w:val="clear" w:color="auto" w:fill="auto"/>
                  <w:noWrap w:val="0"/>
                  <w:vAlign w:val="center"/>
                </w:tcPr>
                <w:p w14:paraId="01F4D347">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冷却塔</w:t>
                  </w:r>
                </w:p>
              </w:tc>
              <w:tc>
                <w:tcPr>
                  <w:tcW w:w="706" w:type="pct"/>
                  <w:shd w:val="clear" w:color="auto" w:fill="auto"/>
                  <w:noWrap w:val="0"/>
                  <w:vAlign w:val="center"/>
                </w:tcPr>
                <w:p w14:paraId="618F74AE">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90</w:t>
                  </w:r>
                </w:p>
              </w:tc>
              <w:tc>
                <w:tcPr>
                  <w:tcW w:w="280" w:type="pct"/>
                  <w:shd w:val="clear" w:color="auto" w:fill="auto"/>
                  <w:noWrap w:val="0"/>
                  <w:vAlign w:val="center"/>
                </w:tcPr>
                <w:p w14:paraId="26E0592D">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1</w:t>
                  </w:r>
                </w:p>
              </w:tc>
              <w:tc>
                <w:tcPr>
                  <w:tcW w:w="570" w:type="pct"/>
                  <w:shd w:val="clear" w:color="auto" w:fill="auto"/>
                  <w:noWrap w:val="0"/>
                  <w:vAlign w:val="center"/>
                </w:tcPr>
                <w:p w14:paraId="6F5194E7">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90.0</w:t>
                  </w:r>
                </w:p>
              </w:tc>
              <w:tc>
                <w:tcPr>
                  <w:tcW w:w="455" w:type="pct"/>
                  <w:noWrap w:val="0"/>
                  <w:vAlign w:val="center"/>
                </w:tcPr>
                <w:p w14:paraId="598426B9">
                  <w:pPr>
                    <w:adjustRightInd w:val="0"/>
                    <w:snapToGrid w:val="0"/>
                    <w:jc w:val="center"/>
                    <w:rPr>
                      <w:rFonts w:hint="eastAsia"/>
                      <w:color w:val="000000"/>
                      <w:sz w:val="18"/>
                      <w:szCs w:val="18"/>
                      <w:highlight w:val="none"/>
                    </w:rPr>
                  </w:pPr>
                  <w:r>
                    <w:rPr>
                      <w:rFonts w:hint="eastAsia"/>
                      <w:color w:val="000000"/>
                      <w:sz w:val="18"/>
                      <w:szCs w:val="18"/>
                      <w:highlight w:val="none"/>
                    </w:rPr>
                    <w:t>25</w:t>
                  </w:r>
                </w:p>
              </w:tc>
              <w:tc>
                <w:tcPr>
                  <w:tcW w:w="574" w:type="pct"/>
                  <w:noWrap w:val="0"/>
                  <w:vAlign w:val="center"/>
                </w:tcPr>
                <w:p w14:paraId="15A7951B">
                  <w:pPr>
                    <w:adjustRightInd w:val="0"/>
                    <w:snapToGrid w:val="0"/>
                    <w:jc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21</w:t>
                  </w:r>
                </w:p>
              </w:tc>
              <w:tc>
                <w:tcPr>
                  <w:tcW w:w="445" w:type="pct"/>
                  <w:noWrap w:val="0"/>
                  <w:vAlign w:val="center"/>
                </w:tcPr>
                <w:p w14:paraId="7868D95C">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26.4 </w:t>
                  </w:r>
                </w:p>
              </w:tc>
              <w:tc>
                <w:tcPr>
                  <w:tcW w:w="423" w:type="pct"/>
                  <w:vMerge w:val="continue"/>
                  <w:noWrap w:val="0"/>
                  <w:vAlign w:val="center"/>
                </w:tcPr>
                <w:p w14:paraId="6E6C7EAF">
                  <w:pPr>
                    <w:widowControl/>
                    <w:jc w:val="center"/>
                    <w:textAlignment w:val="center"/>
                    <w:rPr>
                      <w:color w:val="000000"/>
                      <w:sz w:val="18"/>
                      <w:szCs w:val="18"/>
                      <w:highlight w:val="none"/>
                    </w:rPr>
                  </w:pPr>
                </w:p>
              </w:tc>
              <w:tc>
                <w:tcPr>
                  <w:tcW w:w="456" w:type="pct"/>
                  <w:vMerge w:val="continue"/>
                  <w:noWrap w:val="0"/>
                  <w:vAlign w:val="center"/>
                </w:tcPr>
                <w:p w14:paraId="77AE9EE9">
                  <w:pPr>
                    <w:jc w:val="center"/>
                    <w:rPr>
                      <w:color w:val="000000"/>
                      <w:sz w:val="18"/>
                      <w:szCs w:val="18"/>
                      <w:highlight w:val="none"/>
                    </w:rPr>
                  </w:pPr>
                </w:p>
              </w:tc>
            </w:tr>
            <w:tr w14:paraId="6EC13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279EAB13">
                  <w:pPr>
                    <w:widowControl/>
                    <w:jc w:val="center"/>
                    <w:rPr>
                      <w:color w:val="000000"/>
                      <w:spacing w:val="-6"/>
                      <w:sz w:val="18"/>
                      <w:szCs w:val="18"/>
                      <w:highlight w:val="none"/>
                    </w:rPr>
                  </w:pPr>
                </w:p>
              </w:tc>
              <w:tc>
                <w:tcPr>
                  <w:tcW w:w="903" w:type="pct"/>
                  <w:noWrap w:val="0"/>
                  <w:vAlign w:val="center"/>
                </w:tcPr>
                <w:p w14:paraId="2378989C">
                  <w:pPr>
                    <w:adjustRightInd w:val="0"/>
                    <w:snapToGrid w:val="0"/>
                    <w:jc w:val="center"/>
                    <w:rPr>
                      <w:rFonts w:hint="eastAsia"/>
                      <w:color w:val="000000"/>
                      <w:sz w:val="18"/>
                      <w:szCs w:val="18"/>
                      <w:highlight w:val="none"/>
                    </w:rPr>
                  </w:pPr>
                  <w:r>
                    <w:rPr>
                      <w:rFonts w:hint="eastAsia" w:ascii="Times New Roman" w:hAnsi="Times New Roman" w:eastAsia="宋体" w:cs="Times New Roman"/>
                      <w:color w:val="000000"/>
                      <w:spacing w:val="-2"/>
                      <w:kern w:val="0"/>
                      <w:sz w:val="18"/>
                      <w:szCs w:val="18"/>
                      <w:highlight w:val="none"/>
                      <w:lang w:val="en-US" w:eastAsia="zh-CN"/>
                    </w:rPr>
                    <w:t>风机</w:t>
                  </w:r>
                </w:p>
              </w:tc>
              <w:tc>
                <w:tcPr>
                  <w:tcW w:w="706" w:type="pct"/>
                  <w:noWrap w:val="0"/>
                  <w:vAlign w:val="center"/>
                </w:tcPr>
                <w:p w14:paraId="732BEB54">
                  <w:pPr>
                    <w:adjustRightInd w:val="0"/>
                    <w:snapToGrid w:val="0"/>
                    <w:jc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90</w:t>
                  </w:r>
                </w:p>
              </w:tc>
              <w:tc>
                <w:tcPr>
                  <w:tcW w:w="280" w:type="pct"/>
                  <w:noWrap w:val="0"/>
                  <w:vAlign w:val="center"/>
                </w:tcPr>
                <w:p w14:paraId="6302A1DC">
                  <w:pPr>
                    <w:adjustRightInd w:val="0"/>
                    <w:snapToGrid w:val="0"/>
                    <w:jc w:val="center"/>
                    <w:rPr>
                      <w:rFonts w:hint="eastAsia" w:eastAsia="宋体"/>
                      <w:color w:val="000000"/>
                      <w:sz w:val="18"/>
                      <w:szCs w:val="18"/>
                      <w:highlight w:val="none"/>
                      <w:lang w:val="en-US" w:eastAsia="zh-CN"/>
                    </w:rPr>
                  </w:pPr>
                  <w:r>
                    <w:rPr>
                      <w:rFonts w:hint="eastAsia"/>
                      <w:color w:val="000000"/>
                      <w:sz w:val="18"/>
                      <w:szCs w:val="18"/>
                      <w:highlight w:val="none"/>
                      <w:lang w:val="en-US" w:eastAsia="zh-CN"/>
                    </w:rPr>
                    <w:t>1</w:t>
                  </w:r>
                </w:p>
              </w:tc>
              <w:tc>
                <w:tcPr>
                  <w:tcW w:w="570" w:type="pct"/>
                  <w:noWrap w:val="0"/>
                  <w:vAlign w:val="center"/>
                </w:tcPr>
                <w:p w14:paraId="77C35A94">
                  <w:pPr>
                    <w:adjustRightInd w:val="0"/>
                    <w:snapToGrid w:val="0"/>
                    <w:jc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90.0</w:t>
                  </w:r>
                </w:p>
              </w:tc>
              <w:tc>
                <w:tcPr>
                  <w:tcW w:w="455" w:type="pct"/>
                  <w:noWrap w:val="0"/>
                  <w:vAlign w:val="center"/>
                </w:tcPr>
                <w:p w14:paraId="4423CDC9">
                  <w:pPr>
                    <w:adjustRightInd w:val="0"/>
                    <w:snapToGrid w:val="0"/>
                    <w:jc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25</w:t>
                  </w:r>
                </w:p>
              </w:tc>
              <w:tc>
                <w:tcPr>
                  <w:tcW w:w="574" w:type="pct"/>
                  <w:noWrap w:val="0"/>
                  <w:vAlign w:val="center"/>
                </w:tcPr>
                <w:p w14:paraId="58690303">
                  <w:pPr>
                    <w:adjustRightInd w:val="0"/>
                    <w:snapToGrid w:val="0"/>
                    <w:jc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45</w:t>
                  </w:r>
                </w:p>
              </w:tc>
              <w:tc>
                <w:tcPr>
                  <w:tcW w:w="445" w:type="pct"/>
                  <w:noWrap w:val="0"/>
                  <w:vAlign w:val="center"/>
                </w:tcPr>
                <w:p w14:paraId="31ED146D">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33.1 </w:t>
                  </w:r>
                </w:p>
              </w:tc>
              <w:tc>
                <w:tcPr>
                  <w:tcW w:w="423" w:type="pct"/>
                  <w:vMerge w:val="continue"/>
                  <w:noWrap w:val="0"/>
                  <w:vAlign w:val="center"/>
                </w:tcPr>
                <w:p w14:paraId="44E85E8C">
                  <w:pPr>
                    <w:widowControl/>
                    <w:jc w:val="center"/>
                    <w:textAlignment w:val="center"/>
                    <w:rPr>
                      <w:color w:val="000000"/>
                      <w:sz w:val="18"/>
                      <w:szCs w:val="18"/>
                      <w:highlight w:val="none"/>
                    </w:rPr>
                  </w:pPr>
                </w:p>
              </w:tc>
              <w:tc>
                <w:tcPr>
                  <w:tcW w:w="456" w:type="pct"/>
                  <w:vMerge w:val="continue"/>
                  <w:noWrap w:val="0"/>
                  <w:vAlign w:val="center"/>
                </w:tcPr>
                <w:p w14:paraId="5654BDEC">
                  <w:pPr>
                    <w:jc w:val="center"/>
                    <w:rPr>
                      <w:color w:val="000000"/>
                      <w:sz w:val="18"/>
                      <w:szCs w:val="18"/>
                      <w:highlight w:val="none"/>
                    </w:rPr>
                  </w:pPr>
                </w:p>
              </w:tc>
            </w:tr>
            <w:tr w14:paraId="77A43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restart"/>
                  <w:noWrap w:val="0"/>
                  <w:vAlign w:val="center"/>
                </w:tcPr>
                <w:p w14:paraId="5D5C94F1">
                  <w:pPr>
                    <w:widowControl/>
                    <w:jc w:val="center"/>
                    <w:rPr>
                      <w:color w:val="000000"/>
                      <w:spacing w:val="-6"/>
                      <w:sz w:val="18"/>
                      <w:szCs w:val="18"/>
                      <w:highlight w:val="none"/>
                    </w:rPr>
                  </w:pPr>
                  <w:r>
                    <w:rPr>
                      <w:color w:val="000000"/>
                      <w:spacing w:val="-6"/>
                      <w:sz w:val="18"/>
                      <w:szCs w:val="18"/>
                      <w:highlight w:val="none"/>
                    </w:rPr>
                    <w:t>南厂界</w:t>
                  </w:r>
                </w:p>
              </w:tc>
              <w:tc>
                <w:tcPr>
                  <w:tcW w:w="903" w:type="pct"/>
                  <w:shd w:val="clear" w:color="auto" w:fill="auto"/>
                  <w:noWrap w:val="0"/>
                  <w:vAlign w:val="center"/>
                </w:tcPr>
                <w:p w14:paraId="22707111">
                  <w:pPr>
                    <w:jc w:val="center"/>
                    <w:rPr>
                      <w:rFonts w:hint="default" w:ascii="Times New Roman" w:hAnsi="Times New Roman" w:eastAsia="宋体" w:cs="Times New Roman"/>
                      <w:kern w:val="2"/>
                      <w:sz w:val="18"/>
                      <w:szCs w:val="18"/>
                      <w:highlight w:val="none"/>
                      <w:lang w:val="en-US" w:eastAsia="zh-CN" w:bidi="ar-SA"/>
                    </w:rPr>
                  </w:pPr>
                  <w:r>
                    <w:rPr>
                      <w:rFonts w:hint="default"/>
                      <w:sz w:val="18"/>
                      <w:szCs w:val="18"/>
                      <w:highlight w:val="none"/>
                    </w:rPr>
                    <w:t>印刷机</w:t>
                  </w:r>
                </w:p>
              </w:tc>
              <w:tc>
                <w:tcPr>
                  <w:tcW w:w="706" w:type="pct"/>
                  <w:shd w:val="clear" w:color="auto" w:fill="auto"/>
                  <w:noWrap w:val="0"/>
                  <w:vAlign w:val="center"/>
                </w:tcPr>
                <w:p w14:paraId="4B8A84C9">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79F98F0F">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w:t>
                  </w:r>
                </w:p>
              </w:tc>
              <w:tc>
                <w:tcPr>
                  <w:tcW w:w="570" w:type="pct"/>
                  <w:shd w:val="clear" w:color="auto" w:fill="auto"/>
                  <w:noWrap w:val="0"/>
                  <w:vAlign w:val="center"/>
                </w:tcPr>
                <w:p w14:paraId="19D967A5">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84.0</w:t>
                  </w:r>
                </w:p>
              </w:tc>
              <w:tc>
                <w:tcPr>
                  <w:tcW w:w="455" w:type="pct"/>
                  <w:shd w:val="clear" w:color="auto" w:fill="auto"/>
                  <w:noWrap w:val="0"/>
                  <w:vAlign w:val="center"/>
                </w:tcPr>
                <w:p w14:paraId="133F1073">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48918FD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21</w:t>
                  </w:r>
                </w:p>
              </w:tc>
              <w:tc>
                <w:tcPr>
                  <w:tcW w:w="445" w:type="pct"/>
                  <w:noWrap w:val="0"/>
                  <w:vAlign w:val="center"/>
                </w:tcPr>
                <w:p w14:paraId="2EC196A0">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26.4 </w:t>
                  </w:r>
                </w:p>
              </w:tc>
              <w:tc>
                <w:tcPr>
                  <w:tcW w:w="423" w:type="pct"/>
                  <w:vMerge w:val="restart"/>
                  <w:noWrap w:val="0"/>
                  <w:vAlign w:val="center"/>
                </w:tcPr>
                <w:p w14:paraId="6ACD6C66">
                  <w:pPr>
                    <w:widowControl/>
                    <w:jc w:val="center"/>
                    <w:textAlignment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49.5</w:t>
                  </w:r>
                </w:p>
              </w:tc>
              <w:tc>
                <w:tcPr>
                  <w:tcW w:w="456" w:type="pct"/>
                  <w:vMerge w:val="restart"/>
                  <w:noWrap w:val="0"/>
                  <w:vAlign w:val="center"/>
                </w:tcPr>
                <w:p w14:paraId="18FF5FEC">
                  <w:pPr>
                    <w:jc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49.5</w:t>
                  </w:r>
                </w:p>
              </w:tc>
            </w:tr>
            <w:tr w14:paraId="2B740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1F0E6025">
                  <w:pPr>
                    <w:widowControl/>
                    <w:jc w:val="center"/>
                    <w:rPr>
                      <w:color w:val="000000"/>
                      <w:spacing w:val="-6"/>
                      <w:sz w:val="18"/>
                      <w:szCs w:val="18"/>
                      <w:highlight w:val="none"/>
                    </w:rPr>
                  </w:pPr>
                </w:p>
              </w:tc>
              <w:tc>
                <w:tcPr>
                  <w:tcW w:w="903" w:type="pct"/>
                  <w:shd w:val="clear" w:color="auto" w:fill="auto"/>
                  <w:noWrap w:val="0"/>
                  <w:vAlign w:val="center"/>
                </w:tcPr>
                <w:p w14:paraId="255263C8">
                  <w:pPr>
                    <w:jc w:val="center"/>
                    <w:rPr>
                      <w:rFonts w:hint="default" w:ascii="Times New Roman" w:hAnsi="Times New Roman" w:eastAsia="宋体" w:cs="Times New Roman"/>
                      <w:kern w:val="2"/>
                      <w:sz w:val="18"/>
                      <w:szCs w:val="18"/>
                      <w:highlight w:val="none"/>
                      <w:lang w:val="en-US" w:eastAsia="zh-CN" w:bidi="ar-SA"/>
                    </w:rPr>
                  </w:pPr>
                  <w:r>
                    <w:rPr>
                      <w:rFonts w:hint="eastAsia" w:cs="Times New Roman"/>
                      <w:b w:val="0"/>
                      <w:bCs w:val="0"/>
                      <w:color w:val="000000"/>
                      <w:kern w:val="2"/>
                      <w:sz w:val="18"/>
                      <w:szCs w:val="18"/>
                      <w:highlight w:val="none"/>
                      <w:vertAlign w:val="baseline"/>
                      <w:lang w:val="en-US" w:eastAsia="zh-CN" w:bidi="ar-SA"/>
                    </w:rPr>
                    <w:t>回流焊</w:t>
                  </w:r>
                </w:p>
              </w:tc>
              <w:tc>
                <w:tcPr>
                  <w:tcW w:w="706" w:type="pct"/>
                  <w:shd w:val="clear" w:color="auto" w:fill="auto"/>
                  <w:noWrap w:val="0"/>
                  <w:vAlign w:val="center"/>
                </w:tcPr>
                <w:p w14:paraId="1DAF29C9">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51D3BB45">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4</w:t>
                  </w:r>
                </w:p>
              </w:tc>
              <w:tc>
                <w:tcPr>
                  <w:tcW w:w="570" w:type="pct"/>
                  <w:shd w:val="clear" w:color="auto" w:fill="auto"/>
                  <w:noWrap w:val="0"/>
                  <w:vAlign w:val="center"/>
                </w:tcPr>
                <w:p w14:paraId="2DF0BC88">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81.0</w:t>
                  </w:r>
                </w:p>
              </w:tc>
              <w:tc>
                <w:tcPr>
                  <w:tcW w:w="455" w:type="pct"/>
                  <w:shd w:val="clear" w:color="auto" w:fill="auto"/>
                  <w:noWrap w:val="0"/>
                  <w:vAlign w:val="center"/>
                </w:tcPr>
                <w:p w14:paraId="3D7E187D">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0708B36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23</w:t>
                  </w:r>
                </w:p>
              </w:tc>
              <w:tc>
                <w:tcPr>
                  <w:tcW w:w="445" w:type="pct"/>
                  <w:noWrap w:val="0"/>
                  <w:vAlign w:val="center"/>
                </w:tcPr>
                <w:p w14:paraId="20E74370">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27.2 </w:t>
                  </w:r>
                </w:p>
              </w:tc>
              <w:tc>
                <w:tcPr>
                  <w:tcW w:w="423" w:type="pct"/>
                  <w:vMerge w:val="continue"/>
                  <w:noWrap w:val="0"/>
                  <w:vAlign w:val="center"/>
                </w:tcPr>
                <w:p w14:paraId="36785306">
                  <w:pPr>
                    <w:widowControl/>
                    <w:jc w:val="center"/>
                    <w:textAlignment w:val="center"/>
                    <w:rPr>
                      <w:color w:val="000000"/>
                      <w:sz w:val="18"/>
                      <w:szCs w:val="18"/>
                      <w:highlight w:val="none"/>
                    </w:rPr>
                  </w:pPr>
                </w:p>
              </w:tc>
              <w:tc>
                <w:tcPr>
                  <w:tcW w:w="456" w:type="pct"/>
                  <w:vMerge w:val="continue"/>
                  <w:noWrap w:val="0"/>
                  <w:vAlign w:val="center"/>
                </w:tcPr>
                <w:p w14:paraId="25CF0F10">
                  <w:pPr>
                    <w:jc w:val="center"/>
                    <w:rPr>
                      <w:color w:val="000000"/>
                      <w:sz w:val="18"/>
                      <w:szCs w:val="18"/>
                      <w:highlight w:val="none"/>
                    </w:rPr>
                  </w:pPr>
                </w:p>
              </w:tc>
            </w:tr>
            <w:tr w14:paraId="0237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32962EA3">
                  <w:pPr>
                    <w:widowControl/>
                    <w:jc w:val="center"/>
                    <w:rPr>
                      <w:color w:val="000000"/>
                      <w:spacing w:val="-6"/>
                      <w:sz w:val="18"/>
                      <w:szCs w:val="18"/>
                      <w:highlight w:val="none"/>
                    </w:rPr>
                  </w:pPr>
                </w:p>
              </w:tc>
              <w:tc>
                <w:tcPr>
                  <w:tcW w:w="903" w:type="pct"/>
                  <w:shd w:val="clear" w:color="auto" w:fill="auto"/>
                  <w:noWrap w:val="0"/>
                  <w:vAlign w:val="center"/>
                </w:tcPr>
                <w:p w14:paraId="00925E4B">
                  <w:pPr>
                    <w:jc w:val="center"/>
                    <w:rPr>
                      <w:rFonts w:hint="default" w:ascii="Times New Roman" w:hAnsi="Times New Roman" w:eastAsia="宋体" w:cs="Times New Roman"/>
                      <w:kern w:val="2"/>
                      <w:sz w:val="18"/>
                      <w:szCs w:val="18"/>
                      <w:highlight w:val="none"/>
                      <w:lang w:val="en-US" w:eastAsia="zh-CN" w:bidi="ar-SA"/>
                    </w:rPr>
                  </w:pPr>
                  <w:r>
                    <w:rPr>
                      <w:color w:val="auto"/>
                      <w:sz w:val="18"/>
                      <w:szCs w:val="18"/>
                      <w:highlight w:val="none"/>
                      <w:lang w:val="en-US" w:eastAsia="zh-CN"/>
                    </w:rPr>
                    <w:t>全自动螺丝机</w:t>
                  </w:r>
                </w:p>
              </w:tc>
              <w:tc>
                <w:tcPr>
                  <w:tcW w:w="706" w:type="pct"/>
                  <w:shd w:val="clear" w:color="auto" w:fill="auto"/>
                  <w:noWrap w:val="0"/>
                  <w:vAlign w:val="center"/>
                </w:tcPr>
                <w:p w14:paraId="00C0F9B5">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2751E4F5">
                  <w:pPr>
                    <w:jc w:val="center"/>
                    <w:rPr>
                      <w:rFonts w:hint="default" w:ascii="Times New Roman" w:hAnsi="Times New Roman" w:eastAsia="宋体" w:cs="Times New Roman"/>
                      <w:color w:val="auto"/>
                      <w:kern w:val="2"/>
                      <w:sz w:val="18"/>
                      <w:szCs w:val="18"/>
                      <w:highlight w:val="none"/>
                      <w:lang w:val="en-US" w:eastAsia="zh-CN" w:bidi="ar-SA"/>
                    </w:rPr>
                  </w:pPr>
                  <w:r>
                    <w:rPr>
                      <w:rFonts w:hint="eastAsia"/>
                      <w:color w:val="auto"/>
                      <w:sz w:val="18"/>
                      <w:szCs w:val="18"/>
                      <w:highlight w:val="none"/>
                      <w:lang w:val="en-US" w:eastAsia="zh-CN"/>
                    </w:rPr>
                    <w:t>8</w:t>
                  </w:r>
                </w:p>
              </w:tc>
              <w:tc>
                <w:tcPr>
                  <w:tcW w:w="570" w:type="pct"/>
                  <w:shd w:val="clear" w:color="auto" w:fill="auto"/>
                  <w:noWrap w:val="0"/>
                  <w:vAlign w:val="center"/>
                </w:tcPr>
                <w:p w14:paraId="0A3840B4">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84.0</w:t>
                  </w:r>
                </w:p>
              </w:tc>
              <w:tc>
                <w:tcPr>
                  <w:tcW w:w="455" w:type="pct"/>
                  <w:shd w:val="clear" w:color="auto" w:fill="auto"/>
                  <w:noWrap w:val="0"/>
                  <w:vAlign w:val="center"/>
                </w:tcPr>
                <w:p w14:paraId="48A5BB34">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2F5C6E3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30</w:t>
                  </w:r>
                </w:p>
              </w:tc>
              <w:tc>
                <w:tcPr>
                  <w:tcW w:w="445" w:type="pct"/>
                  <w:noWrap w:val="0"/>
                  <w:vAlign w:val="center"/>
                </w:tcPr>
                <w:p w14:paraId="73E7599A">
                  <w:pPr>
                    <w:keepNext w:val="0"/>
                    <w:keepLines w:val="0"/>
                    <w:widowControl/>
                    <w:suppressLineNumbers w:val="0"/>
                    <w:jc w:val="center"/>
                    <w:textAlignment w:val="center"/>
                    <w:rPr>
                      <w:color w:val="000000"/>
                      <w:sz w:val="18"/>
                      <w:szCs w:val="18"/>
                      <w:highlight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29.5 </w:t>
                  </w:r>
                </w:p>
              </w:tc>
              <w:tc>
                <w:tcPr>
                  <w:tcW w:w="423" w:type="pct"/>
                  <w:vMerge w:val="continue"/>
                  <w:noWrap w:val="0"/>
                  <w:vAlign w:val="center"/>
                </w:tcPr>
                <w:p w14:paraId="1ECBE7B7">
                  <w:pPr>
                    <w:widowControl/>
                    <w:jc w:val="center"/>
                    <w:textAlignment w:val="center"/>
                    <w:rPr>
                      <w:color w:val="000000"/>
                      <w:sz w:val="18"/>
                      <w:szCs w:val="18"/>
                      <w:highlight w:val="none"/>
                    </w:rPr>
                  </w:pPr>
                </w:p>
              </w:tc>
              <w:tc>
                <w:tcPr>
                  <w:tcW w:w="456" w:type="pct"/>
                  <w:vMerge w:val="continue"/>
                  <w:noWrap w:val="0"/>
                  <w:vAlign w:val="center"/>
                </w:tcPr>
                <w:p w14:paraId="12168AB4">
                  <w:pPr>
                    <w:jc w:val="center"/>
                    <w:rPr>
                      <w:color w:val="000000"/>
                      <w:sz w:val="18"/>
                      <w:szCs w:val="18"/>
                      <w:highlight w:val="none"/>
                    </w:rPr>
                  </w:pPr>
                </w:p>
              </w:tc>
            </w:tr>
            <w:tr w14:paraId="2545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159E2D50">
                  <w:pPr>
                    <w:widowControl/>
                    <w:jc w:val="center"/>
                    <w:rPr>
                      <w:color w:val="000000"/>
                      <w:spacing w:val="-6"/>
                      <w:sz w:val="18"/>
                      <w:szCs w:val="18"/>
                      <w:highlight w:val="none"/>
                    </w:rPr>
                  </w:pPr>
                </w:p>
              </w:tc>
              <w:tc>
                <w:tcPr>
                  <w:tcW w:w="903" w:type="pct"/>
                  <w:shd w:val="clear" w:color="auto" w:fill="auto"/>
                  <w:noWrap w:val="0"/>
                  <w:vAlign w:val="center"/>
                </w:tcPr>
                <w:p w14:paraId="1F6366EC">
                  <w:pPr>
                    <w:jc w:val="center"/>
                    <w:rPr>
                      <w:rFonts w:hint="default" w:ascii="Times New Roman" w:hAnsi="Times New Roman" w:eastAsia="宋体" w:cs="Times New Roman"/>
                      <w:kern w:val="2"/>
                      <w:sz w:val="18"/>
                      <w:szCs w:val="18"/>
                      <w:highlight w:val="none"/>
                      <w:lang w:val="en-US" w:eastAsia="zh-CN" w:bidi="ar-SA"/>
                    </w:rPr>
                  </w:pPr>
                  <w:r>
                    <w:rPr>
                      <w:rFonts w:hint="eastAsia"/>
                      <w:color w:val="auto"/>
                      <w:sz w:val="18"/>
                      <w:szCs w:val="18"/>
                      <w:highlight w:val="none"/>
                      <w:lang w:val="en-US" w:eastAsia="zh-CN"/>
                    </w:rPr>
                    <w:t>打包机</w:t>
                  </w:r>
                </w:p>
              </w:tc>
              <w:tc>
                <w:tcPr>
                  <w:tcW w:w="706" w:type="pct"/>
                  <w:shd w:val="clear" w:color="auto" w:fill="auto"/>
                  <w:noWrap w:val="0"/>
                  <w:vAlign w:val="center"/>
                </w:tcPr>
                <w:p w14:paraId="62B63059">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08FD69A0">
                  <w:pPr>
                    <w:jc w:val="center"/>
                    <w:rPr>
                      <w:rFonts w:hint="default" w:ascii="Times New Roman" w:hAnsi="Times New Roman" w:eastAsia="宋体" w:cs="Times New Roman"/>
                      <w:color w:val="auto"/>
                      <w:kern w:val="2"/>
                      <w:sz w:val="18"/>
                      <w:szCs w:val="18"/>
                      <w:highlight w:val="none"/>
                      <w:lang w:val="en-US" w:eastAsia="zh-CN" w:bidi="ar-SA"/>
                    </w:rPr>
                  </w:pPr>
                  <w:r>
                    <w:rPr>
                      <w:rFonts w:hint="eastAsia"/>
                      <w:color w:val="auto"/>
                      <w:sz w:val="18"/>
                      <w:szCs w:val="18"/>
                      <w:highlight w:val="none"/>
                      <w:lang w:val="en-US" w:eastAsia="zh-CN"/>
                    </w:rPr>
                    <w:t>5</w:t>
                  </w:r>
                </w:p>
              </w:tc>
              <w:tc>
                <w:tcPr>
                  <w:tcW w:w="570" w:type="pct"/>
                  <w:shd w:val="clear" w:color="auto" w:fill="auto"/>
                  <w:noWrap w:val="0"/>
                  <w:vAlign w:val="center"/>
                </w:tcPr>
                <w:p w14:paraId="5C0BD8C8">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87.0</w:t>
                  </w:r>
                </w:p>
              </w:tc>
              <w:tc>
                <w:tcPr>
                  <w:tcW w:w="455" w:type="pct"/>
                  <w:shd w:val="clear" w:color="auto" w:fill="auto"/>
                  <w:noWrap w:val="0"/>
                  <w:vAlign w:val="center"/>
                </w:tcPr>
                <w:p w14:paraId="4815A96D">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6674EEE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26</w:t>
                  </w:r>
                </w:p>
              </w:tc>
              <w:tc>
                <w:tcPr>
                  <w:tcW w:w="445" w:type="pct"/>
                  <w:noWrap w:val="0"/>
                  <w:vAlign w:val="center"/>
                </w:tcPr>
                <w:p w14:paraId="08CFEA58">
                  <w:pPr>
                    <w:keepNext w:val="0"/>
                    <w:keepLines w:val="0"/>
                    <w:widowControl/>
                    <w:suppressLineNumbers w:val="0"/>
                    <w:jc w:val="center"/>
                    <w:textAlignment w:val="center"/>
                    <w:rPr>
                      <w:color w:val="000000"/>
                      <w:sz w:val="18"/>
                      <w:szCs w:val="18"/>
                      <w:highlight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28.3 </w:t>
                  </w:r>
                </w:p>
              </w:tc>
              <w:tc>
                <w:tcPr>
                  <w:tcW w:w="423" w:type="pct"/>
                  <w:vMerge w:val="continue"/>
                  <w:noWrap w:val="0"/>
                  <w:vAlign w:val="center"/>
                </w:tcPr>
                <w:p w14:paraId="28007D25">
                  <w:pPr>
                    <w:widowControl/>
                    <w:jc w:val="center"/>
                    <w:textAlignment w:val="center"/>
                    <w:rPr>
                      <w:color w:val="000000"/>
                      <w:sz w:val="18"/>
                      <w:szCs w:val="18"/>
                      <w:highlight w:val="none"/>
                    </w:rPr>
                  </w:pPr>
                </w:p>
              </w:tc>
              <w:tc>
                <w:tcPr>
                  <w:tcW w:w="456" w:type="pct"/>
                  <w:vMerge w:val="continue"/>
                  <w:noWrap w:val="0"/>
                  <w:vAlign w:val="center"/>
                </w:tcPr>
                <w:p w14:paraId="28ADBA93">
                  <w:pPr>
                    <w:jc w:val="center"/>
                    <w:rPr>
                      <w:color w:val="000000"/>
                      <w:sz w:val="18"/>
                      <w:szCs w:val="18"/>
                      <w:highlight w:val="none"/>
                    </w:rPr>
                  </w:pPr>
                </w:p>
              </w:tc>
            </w:tr>
            <w:tr w14:paraId="168B4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7E7E26A3">
                  <w:pPr>
                    <w:widowControl/>
                    <w:jc w:val="center"/>
                    <w:rPr>
                      <w:color w:val="000000"/>
                      <w:spacing w:val="-6"/>
                      <w:sz w:val="18"/>
                      <w:szCs w:val="18"/>
                      <w:highlight w:val="none"/>
                    </w:rPr>
                  </w:pPr>
                </w:p>
              </w:tc>
              <w:tc>
                <w:tcPr>
                  <w:tcW w:w="903" w:type="pct"/>
                  <w:shd w:val="clear" w:color="auto" w:fill="auto"/>
                  <w:noWrap w:val="0"/>
                  <w:vAlign w:val="center"/>
                </w:tcPr>
                <w:p w14:paraId="277CC7D0">
                  <w:pPr>
                    <w:jc w:val="center"/>
                    <w:rPr>
                      <w:rFonts w:hint="default" w:ascii="Times New Roman" w:hAnsi="Times New Roman" w:eastAsia="宋体" w:cs="Times New Roman"/>
                      <w:kern w:val="2"/>
                      <w:sz w:val="18"/>
                      <w:szCs w:val="18"/>
                      <w:highlight w:val="none"/>
                      <w:lang w:val="en-US" w:eastAsia="zh-CN" w:bidi="ar-SA"/>
                    </w:rPr>
                  </w:pPr>
                  <w:r>
                    <w:rPr>
                      <w:rFonts w:hint="eastAsia"/>
                      <w:b w:val="0"/>
                      <w:bCs w:val="0"/>
                      <w:color w:val="000000"/>
                      <w:kern w:val="2"/>
                      <w:sz w:val="18"/>
                      <w:szCs w:val="18"/>
                      <w:highlight w:val="none"/>
                      <w:vertAlign w:val="baseline"/>
                      <w:lang w:val="en-US" w:eastAsia="zh-CN" w:bidi="ar-SA"/>
                    </w:rPr>
                    <w:t>空压机</w:t>
                  </w:r>
                </w:p>
              </w:tc>
              <w:tc>
                <w:tcPr>
                  <w:tcW w:w="706" w:type="pct"/>
                  <w:shd w:val="clear" w:color="auto" w:fill="auto"/>
                  <w:noWrap w:val="0"/>
                  <w:vAlign w:val="center"/>
                </w:tcPr>
                <w:p w14:paraId="498F939A">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90</w:t>
                  </w:r>
                </w:p>
              </w:tc>
              <w:tc>
                <w:tcPr>
                  <w:tcW w:w="280" w:type="pct"/>
                  <w:shd w:val="clear" w:color="auto" w:fill="auto"/>
                  <w:noWrap w:val="0"/>
                  <w:vAlign w:val="center"/>
                </w:tcPr>
                <w:p w14:paraId="6951CB22">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2</w:t>
                  </w:r>
                </w:p>
              </w:tc>
              <w:tc>
                <w:tcPr>
                  <w:tcW w:w="570" w:type="pct"/>
                  <w:shd w:val="clear" w:color="auto" w:fill="auto"/>
                  <w:noWrap w:val="0"/>
                  <w:vAlign w:val="center"/>
                </w:tcPr>
                <w:p w14:paraId="391E927D">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93.0</w:t>
                  </w:r>
                </w:p>
              </w:tc>
              <w:tc>
                <w:tcPr>
                  <w:tcW w:w="455" w:type="pct"/>
                  <w:shd w:val="clear" w:color="auto" w:fill="auto"/>
                  <w:noWrap w:val="0"/>
                  <w:vAlign w:val="center"/>
                </w:tcPr>
                <w:p w14:paraId="7A6D1526">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54C91BE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26</w:t>
                  </w:r>
                </w:p>
              </w:tc>
              <w:tc>
                <w:tcPr>
                  <w:tcW w:w="445" w:type="pct"/>
                  <w:noWrap w:val="0"/>
                  <w:vAlign w:val="center"/>
                </w:tcPr>
                <w:p w14:paraId="5C617587">
                  <w:pPr>
                    <w:keepNext w:val="0"/>
                    <w:keepLines w:val="0"/>
                    <w:widowControl/>
                    <w:suppressLineNumbers w:val="0"/>
                    <w:jc w:val="center"/>
                    <w:textAlignment w:val="center"/>
                    <w:rPr>
                      <w:color w:val="000000"/>
                      <w:sz w:val="18"/>
                      <w:szCs w:val="18"/>
                      <w:highlight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28.3 </w:t>
                  </w:r>
                </w:p>
              </w:tc>
              <w:tc>
                <w:tcPr>
                  <w:tcW w:w="423" w:type="pct"/>
                  <w:vMerge w:val="continue"/>
                  <w:noWrap w:val="0"/>
                  <w:vAlign w:val="center"/>
                </w:tcPr>
                <w:p w14:paraId="7FF017A4">
                  <w:pPr>
                    <w:widowControl/>
                    <w:jc w:val="center"/>
                    <w:textAlignment w:val="center"/>
                    <w:rPr>
                      <w:color w:val="000000"/>
                      <w:sz w:val="18"/>
                      <w:szCs w:val="18"/>
                      <w:highlight w:val="none"/>
                    </w:rPr>
                  </w:pPr>
                </w:p>
              </w:tc>
              <w:tc>
                <w:tcPr>
                  <w:tcW w:w="456" w:type="pct"/>
                  <w:vMerge w:val="continue"/>
                  <w:noWrap w:val="0"/>
                  <w:vAlign w:val="center"/>
                </w:tcPr>
                <w:p w14:paraId="56FD7A38">
                  <w:pPr>
                    <w:jc w:val="center"/>
                    <w:rPr>
                      <w:color w:val="000000"/>
                      <w:sz w:val="18"/>
                      <w:szCs w:val="18"/>
                      <w:highlight w:val="none"/>
                    </w:rPr>
                  </w:pPr>
                </w:p>
              </w:tc>
            </w:tr>
            <w:tr w14:paraId="25C2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2DBE950C">
                  <w:pPr>
                    <w:widowControl/>
                    <w:jc w:val="center"/>
                    <w:rPr>
                      <w:color w:val="000000"/>
                      <w:spacing w:val="-6"/>
                      <w:sz w:val="18"/>
                      <w:szCs w:val="18"/>
                      <w:highlight w:val="none"/>
                    </w:rPr>
                  </w:pPr>
                </w:p>
              </w:tc>
              <w:tc>
                <w:tcPr>
                  <w:tcW w:w="903" w:type="pct"/>
                  <w:shd w:val="clear" w:color="auto" w:fill="auto"/>
                  <w:noWrap w:val="0"/>
                  <w:vAlign w:val="center"/>
                </w:tcPr>
                <w:p w14:paraId="1A8C09C5">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挤出机</w:t>
                  </w:r>
                </w:p>
              </w:tc>
              <w:tc>
                <w:tcPr>
                  <w:tcW w:w="706" w:type="pct"/>
                  <w:shd w:val="clear" w:color="auto" w:fill="auto"/>
                  <w:noWrap w:val="0"/>
                  <w:vAlign w:val="center"/>
                </w:tcPr>
                <w:p w14:paraId="3ADDF6D1">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4AC065BD">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7</w:t>
                  </w:r>
                </w:p>
              </w:tc>
              <w:tc>
                <w:tcPr>
                  <w:tcW w:w="570" w:type="pct"/>
                  <w:shd w:val="clear" w:color="auto" w:fill="auto"/>
                  <w:noWrap w:val="0"/>
                  <w:vAlign w:val="center"/>
                </w:tcPr>
                <w:p w14:paraId="1CCD3665">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83.5</w:t>
                  </w:r>
                </w:p>
              </w:tc>
              <w:tc>
                <w:tcPr>
                  <w:tcW w:w="455" w:type="pct"/>
                  <w:shd w:val="clear" w:color="auto" w:fill="auto"/>
                  <w:noWrap w:val="0"/>
                  <w:vAlign w:val="center"/>
                </w:tcPr>
                <w:p w14:paraId="6DF04279">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61F45B7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26</w:t>
                  </w:r>
                </w:p>
              </w:tc>
              <w:tc>
                <w:tcPr>
                  <w:tcW w:w="445" w:type="pct"/>
                  <w:noWrap w:val="0"/>
                  <w:vAlign w:val="center"/>
                </w:tcPr>
                <w:p w14:paraId="1A280F96">
                  <w:pPr>
                    <w:keepNext w:val="0"/>
                    <w:keepLines w:val="0"/>
                    <w:widowControl/>
                    <w:suppressLineNumbers w:val="0"/>
                    <w:jc w:val="center"/>
                    <w:textAlignment w:val="center"/>
                    <w:rPr>
                      <w:color w:val="000000"/>
                      <w:sz w:val="18"/>
                      <w:szCs w:val="18"/>
                      <w:highlight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28.3 </w:t>
                  </w:r>
                </w:p>
              </w:tc>
              <w:tc>
                <w:tcPr>
                  <w:tcW w:w="423" w:type="pct"/>
                  <w:vMerge w:val="continue"/>
                  <w:noWrap w:val="0"/>
                  <w:vAlign w:val="center"/>
                </w:tcPr>
                <w:p w14:paraId="02A97F5F">
                  <w:pPr>
                    <w:widowControl/>
                    <w:jc w:val="center"/>
                    <w:textAlignment w:val="center"/>
                    <w:rPr>
                      <w:color w:val="000000"/>
                      <w:sz w:val="18"/>
                      <w:szCs w:val="18"/>
                      <w:highlight w:val="none"/>
                    </w:rPr>
                  </w:pPr>
                </w:p>
              </w:tc>
              <w:tc>
                <w:tcPr>
                  <w:tcW w:w="456" w:type="pct"/>
                  <w:vMerge w:val="continue"/>
                  <w:noWrap w:val="0"/>
                  <w:vAlign w:val="center"/>
                </w:tcPr>
                <w:p w14:paraId="42AE6A29">
                  <w:pPr>
                    <w:jc w:val="center"/>
                    <w:rPr>
                      <w:color w:val="000000"/>
                      <w:sz w:val="18"/>
                      <w:szCs w:val="18"/>
                      <w:highlight w:val="none"/>
                    </w:rPr>
                  </w:pPr>
                </w:p>
              </w:tc>
            </w:tr>
            <w:tr w14:paraId="72E0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45EA5023">
                  <w:pPr>
                    <w:widowControl/>
                    <w:jc w:val="center"/>
                    <w:rPr>
                      <w:color w:val="000000"/>
                      <w:spacing w:val="-6"/>
                      <w:sz w:val="18"/>
                      <w:szCs w:val="18"/>
                      <w:highlight w:val="none"/>
                    </w:rPr>
                  </w:pPr>
                </w:p>
              </w:tc>
              <w:tc>
                <w:tcPr>
                  <w:tcW w:w="903" w:type="pct"/>
                  <w:shd w:val="clear" w:color="auto" w:fill="auto"/>
                  <w:noWrap w:val="0"/>
                  <w:vAlign w:val="center"/>
                </w:tcPr>
                <w:p w14:paraId="017BE46B">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成型机</w:t>
                  </w:r>
                </w:p>
              </w:tc>
              <w:tc>
                <w:tcPr>
                  <w:tcW w:w="706" w:type="pct"/>
                  <w:shd w:val="clear" w:color="auto" w:fill="auto"/>
                  <w:noWrap w:val="0"/>
                  <w:vAlign w:val="center"/>
                </w:tcPr>
                <w:p w14:paraId="2D2A6FD2">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244FC20D">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7</w:t>
                  </w:r>
                </w:p>
              </w:tc>
              <w:tc>
                <w:tcPr>
                  <w:tcW w:w="570" w:type="pct"/>
                  <w:shd w:val="clear" w:color="auto" w:fill="auto"/>
                  <w:noWrap w:val="0"/>
                  <w:vAlign w:val="center"/>
                </w:tcPr>
                <w:p w14:paraId="43D1575F">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83.5</w:t>
                  </w:r>
                </w:p>
              </w:tc>
              <w:tc>
                <w:tcPr>
                  <w:tcW w:w="455" w:type="pct"/>
                  <w:shd w:val="clear" w:color="auto" w:fill="auto"/>
                  <w:noWrap w:val="0"/>
                  <w:vAlign w:val="center"/>
                </w:tcPr>
                <w:p w14:paraId="43D3587A">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5FA3F97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23</w:t>
                  </w:r>
                </w:p>
              </w:tc>
              <w:tc>
                <w:tcPr>
                  <w:tcW w:w="445" w:type="pct"/>
                  <w:noWrap w:val="0"/>
                  <w:vAlign w:val="center"/>
                </w:tcPr>
                <w:p w14:paraId="1E157D6D">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27.2 </w:t>
                  </w:r>
                </w:p>
              </w:tc>
              <w:tc>
                <w:tcPr>
                  <w:tcW w:w="423" w:type="pct"/>
                  <w:vMerge w:val="continue"/>
                  <w:noWrap w:val="0"/>
                  <w:vAlign w:val="center"/>
                </w:tcPr>
                <w:p w14:paraId="0E1A17EA">
                  <w:pPr>
                    <w:widowControl/>
                    <w:jc w:val="center"/>
                    <w:textAlignment w:val="center"/>
                    <w:rPr>
                      <w:color w:val="000000"/>
                      <w:sz w:val="18"/>
                      <w:szCs w:val="18"/>
                      <w:highlight w:val="none"/>
                    </w:rPr>
                  </w:pPr>
                </w:p>
              </w:tc>
              <w:tc>
                <w:tcPr>
                  <w:tcW w:w="456" w:type="pct"/>
                  <w:vMerge w:val="continue"/>
                  <w:noWrap w:val="0"/>
                  <w:vAlign w:val="center"/>
                </w:tcPr>
                <w:p w14:paraId="3DB09BD1">
                  <w:pPr>
                    <w:jc w:val="center"/>
                    <w:rPr>
                      <w:color w:val="000000"/>
                      <w:sz w:val="18"/>
                      <w:szCs w:val="18"/>
                      <w:highlight w:val="none"/>
                    </w:rPr>
                  </w:pPr>
                </w:p>
              </w:tc>
            </w:tr>
            <w:tr w14:paraId="5071F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644B5F72">
                  <w:pPr>
                    <w:widowControl/>
                    <w:jc w:val="center"/>
                    <w:rPr>
                      <w:color w:val="000000"/>
                      <w:spacing w:val="-6"/>
                      <w:sz w:val="18"/>
                      <w:szCs w:val="18"/>
                      <w:highlight w:val="none"/>
                    </w:rPr>
                  </w:pPr>
                </w:p>
              </w:tc>
              <w:tc>
                <w:tcPr>
                  <w:tcW w:w="903" w:type="pct"/>
                  <w:shd w:val="clear" w:color="auto" w:fill="auto"/>
                  <w:noWrap w:val="0"/>
                  <w:vAlign w:val="center"/>
                </w:tcPr>
                <w:p w14:paraId="451F024E">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sz w:val="18"/>
                      <w:szCs w:val="18"/>
                      <w:highlight w:val="none"/>
                      <w:vertAlign w:val="baseline"/>
                      <w:lang w:val="en-US" w:eastAsia="zh-CN"/>
                    </w:rPr>
                    <w:t>打孔机</w:t>
                  </w:r>
                </w:p>
              </w:tc>
              <w:tc>
                <w:tcPr>
                  <w:tcW w:w="706" w:type="pct"/>
                  <w:shd w:val="clear" w:color="auto" w:fill="auto"/>
                  <w:noWrap w:val="0"/>
                  <w:vAlign w:val="center"/>
                </w:tcPr>
                <w:p w14:paraId="3851B78C">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132D627D">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sz w:val="18"/>
                      <w:szCs w:val="18"/>
                      <w:highlight w:val="none"/>
                      <w:vertAlign w:val="baseline"/>
                      <w:lang w:val="en-US" w:eastAsia="zh-CN"/>
                    </w:rPr>
                    <w:t>7</w:t>
                  </w:r>
                </w:p>
              </w:tc>
              <w:tc>
                <w:tcPr>
                  <w:tcW w:w="570" w:type="pct"/>
                  <w:shd w:val="clear" w:color="auto" w:fill="auto"/>
                  <w:noWrap w:val="0"/>
                  <w:vAlign w:val="center"/>
                </w:tcPr>
                <w:p w14:paraId="3BEC0256">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88.5</w:t>
                  </w:r>
                </w:p>
              </w:tc>
              <w:tc>
                <w:tcPr>
                  <w:tcW w:w="455" w:type="pct"/>
                  <w:shd w:val="clear" w:color="auto" w:fill="auto"/>
                  <w:noWrap w:val="0"/>
                  <w:vAlign w:val="center"/>
                </w:tcPr>
                <w:p w14:paraId="06D6F514">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3FB7F81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20</w:t>
                  </w:r>
                </w:p>
              </w:tc>
              <w:tc>
                <w:tcPr>
                  <w:tcW w:w="445" w:type="pct"/>
                  <w:noWrap w:val="0"/>
                  <w:vAlign w:val="center"/>
                </w:tcPr>
                <w:p w14:paraId="0D96103A">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26.0 </w:t>
                  </w:r>
                </w:p>
              </w:tc>
              <w:tc>
                <w:tcPr>
                  <w:tcW w:w="423" w:type="pct"/>
                  <w:vMerge w:val="continue"/>
                  <w:noWrap w:val="0"/>
                  <w:vAlign w:val="center"/>
                </w:tcPr>
                <w:p w14:paraId="5D201A25">
                  <w:pPr>
                    <w:widowControl/>
                    <w:jc w:val="center"/>
                    <w:textAlignment w:val="center"/>
                    <w:rPr>
                      <w:color w:val="000000"/>
                      <w:sz w:val="18"/>
                      <w:szCs w:val="18"/>
                      <w:highlight w:val="none"/>
                    </w:rPr>
                  </w:pPr>
                </w:p>
              </w:tc>
              <w:tc>
                <w:tcPr>
                  <w:tcW w:w="456" w:type="pct"/>
                  <w:vMerge w:val="continue"/>
                  <w:noWrap w:val="0"/>
                  <w:vAlign w:val="center"/>
                </w:tcPr>
                <w:p w14:paraId="3E85F522">
                  <w:pPr>
                    <w:jc w:val="center"/>
                    <w:rPr>
                      <w:color w:val="000000"/>
                      <w:sz w:val="18"/>
                      <w:szCs w:val="18"/>
                      <w:highlight w:val="none"/>
                    </w:rPr>
                  </w:pPr>
                </w:p>
              </w:tc>
            </w:tr>
            <w:tr w14:paraId="6439C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685139CF">
                  <w:pPr>
                    <w:widowControl/>
                    <w:jc w:val="center"/>
                    <w:rPr>
                      <w:color w:val="000000"/>
                      <w:spacing w:val="-6"/>
                      <w:sz w:val="18"/>
                      <w:szCs w:val="18"/>
                      <w:highlight w:val="none"/>
                    </w:rPr>
                  </w:pPr>
                </w:p>
              </w:tc>
              <w:tc>
                <w:tcPr>
                  <w:tcW w:w="903" w:type="pct"/>
                  <w:shd w:val="clear" w:color="auto" w:fill="auto"/>
                  <w:noWrap w:val="0"/>
                  <w:vAlign w:val="center"/>
                </w:tcPr>
                <w:p w14:paraId="5F7709E4">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分切机</w:t>
                  </w:r>
                </w:p>
              </w:tc>
              <w:tc>
                <w:tcPr>
                  <w:tcW w:w="706" w:type="pct"/>
                  <w:shd w:val="clear" w:color="auto" w:fill="auto"/>
                  <w:noWrap w:val="0"/>
                  <w:vAlign w:val="center"/>
                </w:tcPr>
                <w:p w14:paraId="6EC0E0D2">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109474CB">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7</w:t>
                  </w:r>
                </w:p>
              </w:tc>
              <w:tc>
                <w:tcPr>
                  <w:tcW w:w="570" w:type="pct"/>
                  <w:shd w:val="clear" w:color="auto" w:fill="auto"/>
                  <w:noWrap w:val="0"/>
                  <w:vAlign w:val="center"/>
                </w:tcPr>
                <w:p w14:paraId="5D2ECF6D">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88.5</w:t>
                  </w:r>
                </w:p>
              </w:tc>
              <w:tc>
                <w:tcPr>
                  <w:tcW w:w="455" w:type="pct"/>
                  <w:shd w:val="clear" w:color="auto" w:fill="auto"/>
                  <w:noWrap w:val="0"/>
                  <w:vAlign w:val="center"/>
                </w:tcPr>
                <w:p w14:paraId="03A4143C">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2F0182C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17</w:t>
                  </w:r>
                </w:p>
              </w:tc>
              <w:tc>
                <w:tcPr>
                  <w:tcW w:w="445" w:type="pct"/>
                  <w:noWrap w:val="0"/>
                  <w:vAlign w:val="center"/>
                </w:tcPr>
                <w:p w14:paraId="4659668F">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24.6 </w:t>
                  </w:r>
                </w:p>
              </w:tc>
              <w:tc>
                <w:tcPr>
                  <w:tcW w:w="423" w:type="pct"/>
                  <w:vMerge w:val="continue"/>
                  <w:noWrap w:val="0"/>
                  <w:vAlign w:val="center"/>
                </w:tcPr>
                <w:p w14:paraId="52AD0195">
                  <w:pPr>
                    <w:widowControl/>
                    <w:jc w:val="center"/>
                    <w:textAlignment w:val="center"/>
                    <w:rPr>
                      <w:color w:val="000000"/>
                      <w:sz w:val="18"/>
                      <w:szCs w:val="18"/>
                      <w:highlight w:val="none"/>
                    </w:rPr>
                  </w:pPr>
                </w:p>
              </w:tc>
              <w:tc>
                <w:tcPr>
                  <w:tcW w:w="456" w:type="pct"/>
                  <w:vMerge w:val="continue"/>
                  <w:noWrap w:val="0"/>
                  <w:vAlign w:val="center"/>
                </w:tcPr>
                <w:p w14:paraId="1B632DE1">
                  <w:pPr>
                    <w:jc w:val="center"/>
                    <w:rPr>
                      <w:color w:val="000000"/>
                      <w:sz w:val="18"/>
                      <w:szCs w:val="18"/>
                      <w:highlight w:val="none"/>
                    </w:rPr>
                  </w:pPr>
                </w:p>
              </w:tc>
            </w:tr>
            <w:tr w14:paraId="73926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20B1B2A9">
                  <w:pPr>
                    <w:widowControl/>
                    <w:jc w:val="center"/>
                    <w:rPr>
                      <w:color w:val="000000"/>
                      <w:spacing w:val="-6"/>
                      <w:sz w:val="18"/>
                      <w:szCs w:val="18"/>
                      <w:highlight w:val="none"/>
                    </w:rPr>
                  </w:pPr>
                </w:p>
              </w:tc>
              <w:tc>
                <w:tcPr>
                  <w:tcW w:w="903" w:type="pct"/>
                  <w:shd w:val="clear" w:color="auto" w:fill="auto"/>
                  <w:noWrap w:val="0"/>
                  <w:vAlign w:val="center"/>
                </w:tcPr>
                <w:p w14:paraId="102F6847">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收卷机</w:t>
                  </w:r>
                </w:p>
              </w:tc>
              <w:tc>
                <w:tcPr>
                  <w:tcW w:w="706" w:type="pct"/>
                  <w:shd w:val="clear" w:color="auto" w:fill="auto"/>
                  <w:noWrap w:val="0"/>
                  <w:vAlign w:val="center"/>
                </w:tcPr>
                <w:p w14:paraId="7561C282">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5DD39556">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35</w:t>
                  </w:r>
                </w:p>
              </w:tc>
              <w:tc>
                <w:tcPr>
                  <w:tcW w:w="570" w:type="pct"/>
                  <w:shd w:val="clear" w:color="auto" w:fill="auto"/>
                  <w:noWrap w:val="0"/>
                  <w:vAlign w:val="center"/>
                </w:tcPr>
                <w:p w14:paraId="6185ED11">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95.4</w:t>
                  </w:r>
                </w:p>
              </w:tc>
              <w:tc>
                <w:tcPr>
                  <w:tcW w:w="455" w:type="pct"/>
                  <w:shd w:val="clear" w:color="auto" w:fill="auto"/>
                  <w:noWrap w:val="0"/>
                  <w:vAlign w:val="center"/>
                </w:tcPr>
                <w:p w14:paraId="11A7CE02">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506AE04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15</w:t>
                  </w:r>
                </w:p>
              </w:tc>
              <w:tc>
                <w:tcPr>
                  <w:tcW w:w="445" w:type="pct"/>
                  <w:noWrap w:val="0"/>
                  <w:vAlign w:val="center"/>
                </w:tcPr>
                <w:p w14:paraId="63028EF4">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23.5 </w:t>
                  </w:r>
                </w:p>
              </w:tc>
              <w:tc>
                <w:tcPr>
                  <w:tcW w:w="423" w:type="pct"/>
                  <w:vMerge w:val="continue"/>
                  <w:noWrap w:val="0"/>
                  <w:vAlign w:val="center"/>
                </w:tcPr>
                <w:p w14:paraId="5B11CDE5">
                  <w:pPr>
                    <w:widowControl/>
                    <w:jc w:val="center"/>
                    <w:textAlignment w:val="center"/>
                    <w:rPr>
                      <w:color w:val="000000"/>
                      <w:sz w:val="18"/>
                      <w:szCs w:val="18"/>
                      <w:highlight w:val="none"/>
                    </w:rPr>
                  </w:pPr>
                </w:p>
              </w:tc>
              <w:tc>
                <w:tcPr>
                  <w:tcW w:w="456" w:type="pct"/>
                  <w:vMerge w:val="continue"/>
                  <w:noWrap w:val="0"/>
                  <w:vAlign w:val="center"/>
                </w:tcPr>
                <w:p w14:paraId="4A456AF0">
                  <w:pPr>
                    <w:jc w:val="center"/>
                    <w:rPr>
                      <w:color w:val="000000"/>
                      <w:sz w:val="18"/>
                      <w:szCs w:val="18"/>
                      <w:highlight w:val="none"/>
                    </w:rPr>
                  </w:pPr>
                </w:p>
              </w:tc>
            </w:tr>
            <w:tr w14:paraId="50CA8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0377C4DA">
                  <w:pPr>
                    <w:widowControl/>
                    <w:jc w:val="center"/>
                    <w:rPr>
                      <w:color w:val="000000"/>
                      <w:spacing w:val="-6"/>
                      <w:sz w:val="18"/>
                      <w:szCs w:val="18"/>
                      <w:highlight w:val="none"/>
                    </w:rPr>
                  </w:pPr>
                </w:p>
              </w:tc>
              <w:tc>
                <w:tcPr>
                  <w:tcW w:w="903" w:type="pct"/>
                  <w:shd w:val="clear" w:color="auto" w:fill="auto"/>
                  <w:noWrap w:val="0"/>
                  <w:vAlign w:val="center"/>
                </w:tcPr>
                <w:p w14:paraId="66EADA77">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冷却塔</w:t>
                  </w:r>
                </w:p>
              </w:tc>
              <w:tc>
                <w:tcPr>
                  <w:tcW w:w="706" w:type="pct"/>
                  <w:shd w:val="clear" w:color="auto" w:fill="auto"/>
                  <w:noWrap w:val="0"/>
                  <w:vAlign w:val="center"/>
                </w:tcPr>
                <w:p w14:paraId="670E209F">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90</w:t>
                  </w:r>
                </w:p>
              </w:tc>
              <w:tc>
                <w:tcPr>
                  <w:tcW w:w="280" w:type="pct"/>
                  <w:shd w:val="clear" w:color="auto" w:fill="auto"/>
                  <w:noWrap w:val="0"/>
                  <w:vAlign w:val="center"/>
                </w:tcPr>
                <w:p w14:paraId="0EEAAE16">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1</w:t>
                  </w:r>
                </w:p>
              </w:tc>
              <w:tc>
                <w:tcPr>
                  <w:tcW w:w="570" w:type="pct"/>
                  <w:shd w:val="clear" w:color="auto" w:fill="auto"/>
                  <w:noWrap w:val="0"/>
                  <w:vAlign w:val="center"/>
                </w:tcPr>
                <w:p w14:paraId="25B8BDF5">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90.0</w:t>
                  </w:r>
                </w:p>
              </w:tc>
              <w:tc>
                <w:tcPr>
                  <w:tcW w:w="455" w:type="pct"/>
                  <w:shd w:val="clear" w:color="auto" w:fill="auto"/>
                  <w:noWrap w:val="0"/>
                  <w:vAlign w:val="center"/>
                </w:tcPr>
                <w:p w14:paraId="054AB55E">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5D0F532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28</w:t>
                  </w:r>
                </w:p>
              </w:tc>
              <w:tc>
                <w:tcPr>
                  <w:tcW w:w="445" w:type="pct"/>
                  <w:noWrap w:val="0"/>
                  <w:vAlign w:val="center"/>
                </w:tcPr>
                <w:p w14:paraId="41DEE62C">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28.9 </w:t>
                  </w:r>
                </w:p>
              </w:tc>
              <w:tc>
                <w:tcPr>
                  <w:tcW w:w="423" w:type="pct"/>
                  <w:vMerge w:val="continue"/>
                  <w:noWrap w:val="0"/>
                  <w:vAlign w:val="center"/>
                </w:tcPr>
                <w:p w14:paraId="3CFCDD05">
                  <w:pPr>
                    <w:widowControl/>
                    <w:jc w:val="center"/>
                    <w:textAlignment w:val="center"/>
                    <w:rPr>
                      <w:color w:val="000000"/>
                      <w:sz w:val="18"/>
                      <w:szCs w:val="18"/>
                      <w:highlight w:val="none"/>
                    </w:rPr>
                  </w:pPr>
                </w:p>
              </w:tc>
              <w:tc>
                <w:tcPr>
                  <w:tcW w:w="456" w:type="pct"/>
                  <w:vMerge w:val="continue"/>
                  <w:noWrap w:val="0"/>
                  <w:vAlign w:val="center"/>
                </w:tcPr>
                <w:p w14:paraId="5D251336">
                  <w:pPr>
                    <w:jc w:val="center"/>
                    <w:rPr>
                      <w:color w:val="000000"/>
                      <w:sz w:val="18"/>
                      <w:szCs w:val="18"/>
                      <w:highlight w:val="none"/>
                    </w:rPr>
                  </w:pPr>
                </w:p>
              </w:tc>
            </w:tr>
            <w:tr w14:paraId="5B751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3B23DBB9">
                  <w:pPr>
                    <w:widowControl/>
                    <w:jc w:val="center"/>
                    <w:rPr>
                      <w:color w:val="000000"/>
                      <w:spacing w:val="-6"/>
                      <w:sz w:val="18"/>
                      <w:szCs w:val="18"/>
                      <w:highlight w:val="none"/>
                    </w:rPr>
                  </w:pPr>
                </w:p>
              </w:tc>
              <w:tc>
                <w:tcPr>
                  <w:tcW w:w="903" w:type="pct"/>
                  <w:shd w:val="clear" w:color="auto" w:fill="auto"/>
                  <w:noWrap w:val="0"/>
                  <w:vAlign w:val="center"/>
                </w:tcPr>
                <w:p w14:paraId="1258C77A">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ascii="Times New Roman" w:hAnsi="Times New Roman" w:eastAsia="宋体" w:cs="Times New Roman"/>
                      <w:color w:val="000000"/>
                      <w:spacing w:val="-2"/>
                      <w:kern w:val="0"/>
                      <w:sz w:val="18"/>
                      <w:szCs w:val="18"/>
                      <w:highlight w:val="none"/>
                      <w:lang w:val="en-US" w:eastAsia="zh-CN"/>
                    </w:rPr>
                    <w:t>风机</w:t>
                  </w:r>
                </w:p>
              </w:tc>
              <w:tc>
                <w:tcPr>
                  <w:tcW w:w="706" w:type="pct"/>
                  <w:shd w:val="clear" w:color="auto" w:fill="auto"/>
                  <w:noWrap w:val="0"/>
                  <w:vAlign w:val="center"/>
                </w:tcPr>
                <w:p w14:paraId="5E8F6CE0">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lang w:val="en-US" w:eastAsia="zh-CN"/>
                    </w:rPr>
                    <w:t>90</w:t>
                  </w:r>
                </w:p>
              </w:tc>
              <w:tc>
                <w:tcPr>
                  <w:tcW w:w="280" w:type="pct"/>
                  <w:shd w:val="clear" w:color="auto" w:fill="auto"/>
                  <w:noWrap w:val="0"/>
                  <w:vAlign w:val="center"/>
                </w:tcPr>
                <w:p w14:paraId="130E5888">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lang w:val="en-US" w:eastAsia="zh-CN"/>
                    </w:rPr>
                    <w:t>1</w:t>
                  </w:r>
                </w:p>
              </w:tc>
              <w:tc>
                <w:tcPr>
                  <w:tcW w:w="570" w:type="pct"/>
                  <w:shd w:val="clear" w:color="auto" w:fill="auto"/>
                  <w:noWrap w:val="0"/>
                  <w:vAlign w:val="center"/>
                </w:tcPr>
                <w:p w14:paraId="218CD983">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lang w:val="en-US" w:eastAsia="zh-CN"/>
                    </w:rPr>
                    <w:t>90.0</w:t>
                  </w:r>
                </w:p>
              </w:tc>
              <w:tc>
                <w:tcPr>
                  <w:tcW w:w="455" w:type="pct"/>
                  <w:shd w:val="clear" w:color="auto" w:fill="auto"/>
                  <w:noWrap w:val="0"/>
                  <w:vAlign w:val="center"/>
                </w:tcPr>
                <w:p w14:paraId="57E1877B">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lang w:val="en-US" w:eastAsia="zh-CN"/>
                    </w:rPr>
                    <w:t>25</w:t>
                  </w:r>
                </w:p>
              </w:tc>
              <w:tc>
                <w:tcPr>
                  <w:tcW w:w="574" w:type="pct"/>
                  <w:noWrap w:val="0"/>
                  <w:vAlign w:val="center"/>
                </w:tcPr>
                <w:p w14:paraId="701253A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kern w:val="0"/>
                      <w:sz w:val="20"/>
                      <w:szCs w:val="20"/>
                      <w:highlight w:val="none"/>
                      <w:u w:val="none"/>
                      <w:lang w:val="en-US" w:eastAsia="zh-CN" w:bidi="ar"/>
                    </w:rPr>
                    <w:t>26</w:t>
                  </w:r>
                </w:p>
              </w:tc>
              <w:tc>
                <w:tcPr>
                  <w:tcW w:w="445" w:type="pct"/>
                  <w:noWrap w:val="0"/>
                  <w:vAlign w:val="center"/>
                </w:tcPr>
                <w:p w14:paraId="7365A034">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28.3 </w:t>
                  </w:r>
                </w:p>
              </w:tc>
              <w:tc>
                <w:tcPr>
                  <w:tcW w:w="423" w:type="pct"/>
                  <w:vMerge w:val="continue"/>
                  <w:noWrap w:val="0"/>
                  <w:vAlign w:val="center"/>
                </w:tcPr>
                <w:p w14:paraId="1CA32A34">
                  <w:pPr>
                    <w:widowControl/>
                    <w:jc w:val="center"/>
                    <w:textAlignment w:val="center"/>
                    <w:rPr>
                      <w:color w:val="000000"/>
                      <w:sz w:val="18"/>
                      <w:szCs w:val="18"/>
                      <w:highlight w:val="none"/>
                    </w:rPr>
                  </w:pPr>
                </w:p>
              </w:tc>
              <w:tc>
                <w:tcPr>
                  <w:tcW w:w="456" w:type="pct"/>
                  <w:vMerge w:val="continue"/>
                  <w:noWrap w:val="0"/>
                  <w:vAlign w:val="center"/>
                </w:tcPr>
                <w:p w14:paraId="6620C568">
                  <w:pPr>
                    <w:jc w:val="center"/>
                    <w:rPr>
                      <w:color w:val="000000"/>
                      <w:sz w:val="18"/>
                      <w:szCs w:val="18"/>
                      <w:highlight w:val="none"/>
                    </w:rPr>
                  </w:pPr>
                </w:p>
              </w:tc>
            </w:tr>
            <w:tr w14:paraId="09B60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restart"/>
                  <w:noWrap w:val="0"/>
                  <w:vAlign w:val="center"/>
                </w:tcPr>
                <w:p w14:paraId="2FCDD1ED">
                  <w:pPr>
                    <w:widowControl/>
                    <w:jc w:val="center"/>
                    <w:rPr>
                      <w:color w:val="000000"/>
                      <w:spacing w:val="-6"/>
                      <w:sz w:val="18"/>
                      <w:szCs w:val="18"/>
                      <w:highlight w:val="none"/>
                    </w:rPr>
                  </w:pPr>
                  <w:r>
                    <w:rPr>
                      <w:color w:val="000000"/>
                      <w:spacing w:val="-6"/>
                      <w:sz w:val="18"/>
                      <w:szCs w:val="18"/>
                      <w:highlight w:val="none"/>
                    </w:rPr>
                    <w:t>西厂界</w:t>
                  </w:r>
                </w:p>
              </w:tc>
              <w:tc>
                <w:tcPr>
                  <w:tcW w:w="903" w:type="pct"/>
                  <w:shd w:val="clear" w:color="auto" w:fill="auto"/>
                  <w:noWrap w:val="0"/>
                  <w:vAlign w:val="center"/>
                </w:tcPr>
                <w:p w14:paraId="50FB1220">
                  <w:pPr>
                    <w:jc w:val="center"/>
                    <w:rPr>
                      <w:rFonts w:hint="default" w:ascii="Times New Roman" w:hAnsi="Times New Roman" w:eastAsia="宋体" w:cs="Times New Roman"/>
                      <w:kern w:val="2"/>
                      <w:sz w:val="18"/>
                      <w:szCs w:val="18"/>
                      <w:highlight w:val="none"/>
                      <w:lang w:val="en-US" w:eastAsia="zh-CN" w:bidi="ar-SA"/>
                    </w:rPr>
                  </w:pPr>
                  <w:r>
                    <w:rPr>
                      <w:rFonts w:hint="default"/>
                      <w:sz w:val="18"/>
                      <w:szCs w:val="18"/>
                      <w:highlight w:val="none"/>
                    </w:rPr>
                    <w:t>印刷机</w:t>
                  </w:r>
                </w:p>
              </w:tc>
              <w:tc>
                <w:tcPr>
                  <w:tcW w:w="706" w:type="pct"/>
                  <w:shd w:val="clear" w:color="auto" w:fill="auto"/>
                  <w:noWrap w:val="0"/>
                  <w:vAlign w:val="center"/>
                </w:tcPr>
                <w:p w14:paraId="0796127C">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0B9277F6">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w:t>
                  </w:r>
                </w:p>
              </w:tc>
              <w:tc>
                <w:tcPr>
                  <w:tcW w:w="570" w:type="pct"/>
                  <w:shd w:val="clear" w:color="auto" w:fill="auto"/>
                  <w:noWrap w:val="0"/>
                  <w:vAlign w:val="center"/>
                </w:tcPr>
                <w:p w14:paraId="138AC7F2">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84.0</w:t>
                  </w:r>
                </w:p>
              </w:tc>
              <w:tc>
                <w:tcPr>
                  <w:tcW w:w="455" w:type="pct"/>
                  <w:shd w:val="clear" w:color="auto" w:fill="auto"/>
                  <w:noWrap w:val="0"/>
                  <w:vAlign w:val="center"/>
                </w:tcPr>
                <w:p w14:paraId="3A5998E1">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7D836033">
                  <w:pPr>
                    <w:adjustRightInd w:val="0"/>
                    <w:snapToGrid w:val="0"/>
                    <w:jc w:val="center"/>
                    <w:rPr>
                      <w:rFonts w:hint="default" w:ascii="Times New Roman" w:hAnsi="Times New Roman"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21</w:t>
                  </w:r>
                </w:p>
              </w:tc>
              <w:tc>
                <w:tcPr>
                  <w:tcW w:w="445" w:type="pct"/>
                  <w:noWrap w:val="0"/>
                  <w:vAlign w:val="center"/>
                </w:tcPr>
                <w:p w14:paraId="2D4F3604">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26.4 </w:t>
                  </w:r>
                </w:p>
              </w:tc>
              <w:tc>
                <w:tcPr>
                  <w:tcW w:w="423" w:type="pct"/>
                  <w:vMerge w:val="restart"/>
                  <w:noWrap w:val="0"/>
                  <w:vAlign w:val="center"/>
                </w:tcPr>
                <w:p w14:paraId="1C619524">
                  <w:pPr>
                    <w:widowControl/>
                    <w:jc w:val="center"/>
                    <w:textAlignment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44.3</w:t>
                  </w:r>
                </w:p>
              </w:tc>
              <w:tc>
                <w:tcPr>
                  <w:tcW w:w="456" w:type="pct"/>
                  <w:vMerge w:val="restart"/>
                  <w:noWrap w:val="0"/>
                  <w:vAlign w:val="center"/>
                </w:tcPr>
                <w:p w14:paraId="5B248772">
                  <w:pPr>
                    <w:jc w:val="center"/>
                    <w:rPr>
                      <w:color w:val="000000"/>
                      <w:sz w:val="18"/>
                      <w:szCs w:val="18"/>
                      <w:highlight w:val="none"/>
                    </w:rPr>
                  </w:pPr>
                  <w:r>
                    <w:rPr>
                      <w:rFonts w:hint="eastAsia"/>
                      <w:color w:val="000000"/>
                      <w:sz w:val="18"/>
                      <w:szCs w:val="18"/>
                      <w:highlight w:val="none"/>
                      <w:lang w:val="en-US" w:eastAsia="zh-CN"/>
                    </w:rPr>
                    <w:t>44.3</w:t>
                  </w:r>
                </w:p>
              </w:tc>
            </w:tr>
            <w:tr w14:paraId="0F985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67ECCFFD">
                  <w:pPr>
                    <w:widowControl/>
                    <w:jc w:val="center"/>
                    <w:rPr>
                      <w:color w:val="000000"/>
                      <w:spacing w:val="-6"/>
                      <w:sz w:val="18"/>
                      <w:szCs w:val="18"/>
                      <w:highlight w:val="none"/>
                    </w:rPr>
                  </w:pPr>
                </w:p>
              </w:tc>
              <w:tc>
                <w:tcPr>
                  <w:tcW w:w="903" w:type="pct"/>
                  <w:shd w:val="clear" w:color="auto" w:fill="auto"/>
                  <w:noWrap w:val="0"/>
                  <w:vAlign w:val="center"/>
                </w:tcPr>
                <w:p w14:paraId="79A99965">
                  <w:pPr>
                    <w:jc w:val="center"/>
                    <w:rPr>
                      <w:rFonts w:hint="default" w:ascii="Times New Roman" w:hAnsi="Times New Roman" w:eastAsia="宋体" w:cs="Times New Roman"/>
                      <w:kern w:val="2"/>
                      <w:sz w:val="18"/>
                      <w:szCs w:val="18"/>
                      <w:highlight w:val="none"/>
                      <w:lang w:val="en-US" w:eastAsia="zh-CN" w:bidi="ar-SA"/>
                    </w:rPr>
                  </w:pPr>
                  <w:r>
                    <w:rPr>
                      <w:rFonts w:hint="eastAsia" w:cs="Times New Roman"/>
                      <w:b w:val="0"/>
                      <w:bCs w:val="0"/>
                      <w:color w:val="000000"/>
                      <w:kern w:val="2"/>
                      <w:sz w:val="18"/>
                      <w:szCs w:val="18"/>
                      <w:highlight w:val="none"/>
                      <w:vertAlign w:val="baseline"/>
                      <w:lang w:val="en-US" w:eastAsia="zh-CN" w:bidi="ar-SA"/>
                    </w:rPr>
                    <w:t>回流焊</w:t>
                  </w:r>
                </w:p>
              </w:tc>
              <w:tc>
                <w:tcPr>
                  <w:tcW w:w="706" w:type="pct"/>
                  <w:shd w:val="clear" w:color="auto" w:fill="auto"/>
                  <w:noWrap w:val="0"/>
                  <w:vAlign w:val="center"/>
                </w:tcPr>
                <w:p w14:paraId="6ADA4A49">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5732E5C7">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4</w:t>
                  </w:r>
                </w:p>
              </w:tc>
              <w:tc>
                <w:tcPr>
                  <w:tcW w:w="570" w:type="pct"/>
                  <w:shd w:val="clear" w:color="auto" w:fill="auto"/>
                  <w:noWrap w:val="0"/>
                  <w:vAlign w:val="center"/>
                </w:tcPr>
                <w:p w14:paraId="71E57AB4">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81.0</w:t>
                  </w:r>
                </w:p>
              </w:tc>
              <w:tc>
                <w:tcPr>
                  <w:tcW w:w="455" w:type="pct"/>
                  <w:shd w:val="clear" w:color="auto" w:fill="auto"/>
                  <w:noWrap w:val="0"/>
                  <w:vAlign w:val="center"/>
                </w:tcPr>
                <w:p w14:paraId="2CFCB90F">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5C4173A3">
                  <w:pPr>
                    <w:adjustRightInd w:val="0"/>
                    <w:snapToGrid w:val="0"/>
                    <w:jc w:val="center"/>
                    <w:rPr>
                      <w:rFonts w:hint="eastAsia" w:ascii="Times New Roman" w:hAnsi="Times New Roman" w:cs="Times New Roman"/>
                      <w:color w:val="000000"/>
                      <w:sz w:val="18"/>
                      <w:szCs w:val="18"/>
                      <w:highlight w:val="none"/>
                    </w:rPr>
                  </w:pPr>
                  <w:r>
                    <w:rPr>
                      <w:rFonts w:hint="eastAsia" w:ascii="Times New Roman" w:hAnsi="Times New Roman" w:cs="Times New Roman"/>
                      <w:color w:val="000000"/>
                      <w:sz w:val="18"/>
                      <w:szCs w:val="18"/>
                      <w:highlight w:val="none"/>
                      <w:lang w:val="en-US" w:eastAsia="zh-CN"/>
                    </w:rPr>
                    <w:t>19</w:t>
                  </w:r>
                </w:p>
              </w:tc>
              <w:tc>
                <w:tcPr>
                  <w:tcW w:w="445" w:type="pct"/>
                  <w:noWrap w:val="0"/>
                  <w:vAlign w:val="center"/>
                </w:tcPr>
                <w:p w14:paraId="54B1CEE8">
                  <w:pPr>
                    <w:keepNext w:val="0"/>
                    <w:keepLines w:val="0"/>
                    <w:widowControl/>
                    <w:suppressLineNumbers w:val="0"/>
                    <w:jc w:val="center"/>
                    <w:textAlignment w:val="center"/>
                    <w:rPr>
                      <w:color w:val="000000"/>
                      <w:sz w:val="18"/>
                      <w:szCs w:val="18"/>
                      <w:highlight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25.6 </w:t>
                  </w:r>
                </w:p>
              </w:tc>
              <w:tc>
                <w:tcPr>
                  <w:tcW w:w="423" w:type="pct"/>
                  <w:vMerge w:val="continue"/>
                  <w:noWrap w:val="0"/>
                  <w:vAlign w:val="center"/>
                </w:tcPr>
                <w:p w14:paraId="446F011E">
                  <w:pPr>
                    <w:widowControl/>
                    <w:jc w:val="center"/>
                    <w:textAlignment w:val="center"/>
                    <w:rPr>
                      <w:color w:val="000000"/>
                      <w:sz w:val="18"/>
                      <w:szCs w:val="18"/>
                      <w:highlight w:val="none"/>
                    </w:rPr>
                  </w:pPr>
                </w:p>
              </w:tc>
              <w:tc>
                <w:tcPr>
                  <w:tcW w:w="456" w:type="pct"/>
                  <w:vMerge w:val="continue"/>
                  <w:noWrap w:val="0"/>
                  <w:vAlign w:val="center"/>
                </w:tcPr>
                <w:p w14:paraId="2C97909D">
                  <w:pPr>
                    <w:jc w:val="center"/>
                    <w:rPr>
                      <w:color w:val="000000"/>
                      <w:sz w:val="18"/>
                      <w:szCs w:val="18"/>
                      <w:highlight w:val="none"/>
                    </w:rPr>
                  </w:pPr>
                </w:p>
              </w:tc>
            </w:tr>
            <w:tr w14:paraId="1DE7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52865400">
                  <w:pPr>
                    <w:widowControl/>
                    <w:jc w:val="center"/>
                    <w:rPr>
                      <w:color w:val="000000"/>
                      <w:spacing w:val="-6"/>
                      <w:sz w:val="18"/>
                      <w:szCs w:val="18"/>
                      <w:highlight w:val="none"/>
                    </w:rPr>
                  </w:pPr>
                </w:p>
              </w:tc>
              <w:tc>
                <w:tcPr>
                  <w:tcW w:w="903" w:type="pct"/>
                  <w:shd w:val="clear" w:color="auto" w:fill="auto"/>
                  <w:noWrap w:val="0"/>
                  <w:vAlign w:val="center"/>
                </w:tcPr>
                <w:p w14:paraId="052808E0">
                  <w:pPr>
                    <w:jc w:val="center"/>
                    <w:rPr>
                      <w:rFonts w:hint="default" w:ascii="Times New Roman" w:hAnsi="Times New Roman" w:eastAsia="宋体" w:cs="Times New Roman"/>
                      <w:kern w:val="2"/>
                      <w:sz w:val="18"/>
                      <w:szCs w:val="18"/>
                      <w:highlight w:val="none"/>
                      <w:lang w:val="en-US" w:eastAsia="zh-CN" w:bidi="ar-SA"/>
                    </w:rPr>
                  </w:pPr>
                  <w:r>
                    <w:rPr>
                      <w:color w:val="auto"/>
                      <w:sz w:val="18"/>
                      <w:szCs w:val="18"/>
                      <w:highlight w:val="none"/>
                      <w:lang w:val="en-US" w:eastAsia="zh-CN"/>
                    </w:rPr>
                    <w:t>全自动螺丝机</w:t>
                  </w:r>
                </w:p>
              </w:tc>
              <w:tc>
                <w:tcPr>
                  <w:tcW w:w="706" w:type="pct"/>
                  <w:shd w:val="clear" w:color="auto" w:fill="auto"/>
                  <w:noWrap w:val="0"/>
                  <w:vAlign w:val="center"/>
                </w:tcPr>
                <w:p w14:paraId="7CC11E1D">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7A2577A9">
                  <w:pPr>
                    <w:jc w:val="center"/>
                    <w:rPr>
                      <w:rFonts w:hint="default" w:ascii="Times New Roman" w:hAnsi="Times New Roman" w:eastAsia="宋体" w:cs="Times New Roman"/>
                      <w:color w:val="auto"/>
                      <w:kern w:val="2"/>
                      <w:sz w:val="18"/>
                      <w:szCs w:val="18"/>
                      <w:highlight w:val="none"/>
                      <w:lang w:val="en-US" w:eastAsia="zh-CN" w:bidi="ar-SA"/>
                    </w:rPr>
                  </w:pPr>
                  <w:r>
                    <w:rPr>
                      <w:rFonts w:hint="eastAsia"/>
                      <w:color w:val="auto"/>
                      <w:sz w:val="18"/>
                      <w:szCs w:val="18"/>
                      <w:highlight w:val="none"/>
                      <w:lang w:val="en-US" w:eastAsia="zh-CN"/>
                    </w:rPr>
                    <w:t>8</w:t>
                  </w:r>
                </w:p>
              </w:tc>
              <w:tc>
                <w:tcPr>
                  <w:tcW w:w="570" w:type="pct"/>
                  <w:shd w:val="clear" w:color="auto" w:fill="auto"/>
                  <w:noWrap w:val="0"/>
                  <w:vAlign w:val="center"/>
                </w:tcPr>
                <w:p w14:paraId="1672943A">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84.0</w:t>
                  </w:r>
                </w:p>
              </w:tc>
              <w:tc>
                <w:tcPr>
                  <w:tcW w:w="455" w:type="pct"/>
                  <w:shd w:val="clear" w:color="auto" w:fill="auto"/>
                  <w:noWrap w:val="0"/>
                  <w:vAlign w:val="center"/>
                </w:tcPr>
                <w:p w14:paraId="312C30BE">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1E38C166">
                  <w:pPr>
                    <w:adjustRightInd w:val="0"/>
                    <w:snapToGrid w:val="0"/>
                    <w:jc w:val="center"/>
                    <w:rPr>
                      <w:rFonts w:hint="eastAsia" w:ascii="Times New Roman" w:hAnsi="Times New Roman" w:cs="Times New Roman"/>
                      <w:color w:val="000000"/>
                      <w:sz w:val="18"/>
                      <w:szCs w:val="18"/>
                      <w:highlight w:val="none"/>
                    </w:rPr>
                  </w:pPr>
                  <w:r>
                    <w:rPr>
                      <w:rFonts w:hint="eastAsia" w:ascii="Times New Roman" w:hAnsi="Times New Roman" w:cs="Times New Roman"/>
                      <w:color w:val="000000"/>
                      <w:sz w:val="18"/>
                      <w:szCs w:val="18"/>
                      <w:highlight w:val="none"/>
                      <w:lang w:val="en-US" w:eastAsia="zh-CN"/>
                    </w:rPr>
                    <w:t>29</w:t>
                  </w:r>
                </w:p>
              </w:tc>
              <w:tc>
                <w:tcPr>
                  <w:tcW w:w="445" w:type="pct"/>
                  <w:noWrap w:val="0"/>
                  <w:vAlign w:val="center"/>
                </w:tcPr>
                <w:p w14:paraId="0E47B730">
                  <w:pPr>
                    <w:keepNext w:val="0"/>
                    <w:keepLines w:val="0"/>
                    <w:widowControl/>
                    <w:suppressLineNumbers w:val="0"/>
                    <w:jc w:val="center"/>
                    <w:textAlignment w:val="center"/>
                    <w:rPr>
                      <w:color w:val="000000"/>
                      <w:sz w:val="18"/>
                      <w:szCs w:val="18"/>
                      <w:highlight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29.2 </w:t>
                  </w:r>
                </w:p>
              </w:tc>
              <w:tc>
                <w:tcPr>
                  <w:tcW w:w="423" w:type="pct"/>
                  <w:vMerge w:val="continue"/>
                  <w:noWrap w:val="0"/>
                  <w:vAlign w:val="center"/>
                </w:tcPr>
                <w:p w14:paraId="7DA6EE19">
                  <w:pPr>
                    <w:widowControl/>
                    <w:jc w:val="center"/>
                    <w:textAlignment w:val="center"/>
                    <w:rPr>
                      <w:color w:val="000000"/>
                      <w:sz w:val="18"/>
                      <w:szCs w:val="18"/>
                      <w:highlight w:val="none"/>
                    </w:rPr>
                  </w:pPr>
                </w:p>
              </w:tc>
              <w:tc>
                <w:tcPr>
                  <w:tcW w:w="456" w:type="pct"/>
                  <w:vMerge w:val="continue"/>
                  <w:noWrap w:val="0"/>
                  <w:vAlign w:val="center"/>
                </w:tcPr>
                <w:p w14:paraId="6488D515">
                  <w:pPr>
                    <w:jc w:val="center"/>
                    <w:rPr>
                      <w:color w:val="000000"/>
                      <w:sz w:val="18"/>
                      <w:szCs w:val="18"/>
                      <w:highlight w:val="none"/>
                    </w:rPr>
                  </w:pPr>
                </w:p>
              </w:tc>
            </w:tr>
            <w:tr w14:paraId="065E8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 w:hRule="atLeast"/>
                <w:jc w:val="center"/>
              </w:trPr>
              <w:tc>
                <w:tcPr>
                  <w:tcW w:w="184" w:type="pct"/>
                  <w:vMerge w:val="continue"/>
                  <w:noWrap w:val="0"/>
                  <w:vAlign w:val="center"/>
                </w:tcPr>
                <w:p w14:paraId="619AA033">
                  <w:pPr>
                    <w:widowControl/>
                    <w:jc w:val="center"/>
                    <w:rPr>
                      <w:color w:val="000000"/>
                      <w:spacing w:val="-6"/>
                      <w:sz w:val="18"/>
                      <w:szCs w:val="18"/>
                      <w:highlight w:val="none"/>
                    </w:rPr>
                  </w:pPr>
                </w:p>
              </w:tc>
              <w:tc>
                <w:tcPr>
                  <w:tcW w:w="903" w:type="pct"/>
                  <w:shd w:val="clear" w:color="auto" w:fill="auto"/>
                  <w:noWrap w:val="0"/>
                  <w:vAlign w:val="center"/>
                </w:tcPr>
                <w:p w14:paraId="2B5328C3">
                  <w:pPr>
                    <w:jc w:val="center"/>
                    <w:rPr>
                      <w:rFonts w:hint="default" w:ascii="Times New Roman" w:hAnsi="Times New Roman" w:eastAsia="宋体" w:cs="Times New Roman"/>
                      <w:kern w:val="2"/>
                      <w:sz w:val="18"/>
                      <w:szCs w:val="18"/>
                      <w:highlight w:val="none"/>
                      <w:lang w:val="en-US" w:eastAsia="zh-CN" w:bidi="ar-SA"/>
                    </w:rPr>
                  </w:pPr>
                  <w:r>
                    <w:rPr>
                      <w:rFonts w:hint="eastAsia"/>
                      <w:color w:val="auto"/>
                      <w:sz w:val="18"/>
                      <w:szCs w:val="18"/>
                      <w:highlight w:val="none"/>
                      <w:lang w:val="en-US" w:eastAsia="zh-CN"/>
                    </w:rPr>
                    <w:t>打包机</w:t>
                  </w:r>
                </w:p>
              </w:tc>
              <w:tc>
                <w:tcPr>
                  <w:tcW w:w="706" w:type="pct"/>
                  <w:shd w:val="clear" w:color="auto" w:fill="auto"/>
                  <w:noWrap w:val="0"/>
                  <w:vAlign w:val="center"/>
                </w:tcPr>
                <w:p w14:paraId="641EB5AA">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6066CCB5">
                  <w:pPr>
                    <w:jc w:val="center"/>
                    <w:rPr>
                      <w:rFonts w:hint="default" w:ascii="Times New Roman" w:hAnsi="Times New Roman" w:eastAsia="宋体" w:cs="Times New Roman"/>
                      <w:color w:val="auto"/>
                      <w:kern w:val="2"/>
                      <w:sz w:val="18"/>
                      <w:szCs w:val="18"/>
                      <w:highlight w:val="none"/>
                      <w:lang w:val="en-US" w:eastAsia="zh-CN" w:bidi="ar-SA"/>
                    </w:rPr>
                  </w:pPr>
                  <w:r>
                    <w:rPr>
                      <w:rFonts w:hint="eastAsia"/>
                      <w:color w:val="auto"/>
                      <w:sz w:val="18"/>
                      <w:szCs w:val="18"/>
                      <w:highlight w:val="none"/>
                      <w:lang w:val="en-US" w:eastAsia="zh-CN"/>
                    </w:rPr>
                    <w:t>5</w:t>
                  </w:r>
                </w:p>
              </w:tc>
              <w:tc>
                <w:tcPr>
                  <w:tcW w:w="570" w:type="pct"/>
                  <w:shd w:val="clear" w:color="auto" w:fill="auto"/>
                  <w:noWrap w:val="0"/>
                  <w:vAlign w:val="center"/>
                </w:tcPr>
                <w:p w14:paraId="72BAE20A">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87.0</w:t>
                  </w:r>
                </w:p>
              </w:tc>
              <w:tc>
                <w:tcPr>
                  <w:tcW w:w="455" w:type="pct"/>
                  <w:shd w:val="clear" w:color="auto" w:fill="auto"/>
                  <w:noWrap w:val="0"/>
                  <w:vAlign w:val="center"/>
                </w:tcPr>
                <w:p w14:paraId="269F55FF">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70AA87A5">
                  <w:pPr>
                    <w:adjustRightInd w:val="0"/>
                    <w:snapToGrid w:val="0"/>
                    <w:jc w:val="center"/>
                    <w:rPr>
                      <w:rFonts w:hint="eastAsia" w:ascii="Times New Roman" w:hAnsi="Times New Roman" w:cs="Times New Roman"/>
                      <w:color w:val="000000"/>
                      <w:sz w:val="18"/>
                      <w:szCs w:val="18"/>
                      <w:highlight w:val="none"/>
                    </w:rPr>
                  </w:pPr>
                  <w:r>
                    <w:rPr>
                      <w:rFonts w:hint="eastAsia" w:ascii="Times New Roman" w:hAnsi="Times New Roman" w:cs="Times New Roman"/>
                      <w:color w:val="000000"/>
                      <w:sz w:val="18"/>
                      <w:szCs w:val="18"/>
                      <w:highlight w:val="none"/>
                      <w:lang w:val="en-US" w:eastAsia="zh-CN"/>
                    </w:rPr>
                    <w:t>52</w:t>
                  </w:r>
                </w:p>
              </w:tc>
              <w:tc>
                <w:tcPr>
                  <w:tcW w:w="445" w:type="pct"/>
                  <w:noWrap w:val="0"/>
                  <w:vAlign w:val="center"/>
                </w:tcPr>
                <w:p w14:paraId="59A6B206">
                  <w:pPr>
                    <w:keepNext w:val="0"/>
                    <w:keepLines w:val="0"/>
                    <w:widowControl/>
                    <w:suppressLineNumbers w:val="0"/>
                    <w:jc w:val="center"/>
                    <w:textAlignment w:val="center"/>
                    <w:rPr>
                      <w:color w:val="000000"/>
                      <w:sz w:val="18"/>
                      <w:szCs w:val="18"/>
                      <w:highlight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34.3 </w:t>
                  </w:r>
                </w:p>
              </w:tc>
              <w:tc>
                <w:tcPr>
                  <w:tcW w:w="423" w:type="pct"/>
                  <w:vMerge w:val="continue"/>
                  <w:noWrap w:val="0"/>
                  <w:vAlign w:val="center"/>
                </w:tcPr>
                <w:p w14:paraId="364A8E89">
                  <w:pPr>
                    <w:widowControl/>
                    <w:jc w:val="center"/>
                    <w:textAlignment w:val="center"/>
                    <w:rPr>
                      <w:color w:val="000000"/>
                      <w:sz w:val="18"/>
                      <w:szCs w:val="18"/>
                      <w:highlight w:val="none"/>
                    </w:rPr>
                  </w:pPr>
                </w:p>
              </w:tc>
              <w:tc>
                <w:tcPr>
                  <w:tcW w:w="456" w:type="pct"/>
                  <w:vMerge w:val="continue"/>
                  <w:noWrap w:val="0"/>
                  <w:vAlign w:val="center"/>
                </w:tcPr>
                <w:p w14:paraId="73B8CC40">
                  <w:pPr>
                    <w:jc w:val="center"/>
                    <w:rPr>
                      <w:color w:val="000000"/>
                      <w:sz w:val="18"/>
                      <w:szCs w:val="18"/>
                      <w:highlight w:val="none"/>
                    </w:rPr>
                  </w:pPr>
                </w:p>
              </w:tc>
            </w:tr>
            <w:tr w14:paraId="5ACEB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7C770F9B">
                  <w:pPr>
                    <w:widowControl/>
                    <w:jc w:val="center"/>
                    <w:rPr>
                      <w:color w:val="000000"/>
                      <w:spacing w:val="-6"/>
                      <w:sz w:val="18"/>
                      <w:szCs w:val="18"/>
                      <w:highlight w:val="none"/>
                    </w:rPr>
                  </w:pPr>
                </w:p>
              </w:tc>
              <w:tc>
                <w:tcPr>
                  <w:tcW w:w="903" w:type="pct"/>
                  <w:shd w:val="clear" w:color="auto" w:fill="auto"/>
                  <w:noWrap w:val="0"/>
                  <w:vAlign w:val="center"/>
                </w:tcPr>
                <w:p w14:paraId="5E3CE574">
                  <w:pPr>
                    <w:jc w:val="center"/>
                    <w:rPr>
                      <w:rFonts w:hint="default" w:ascii="Times New Roman" w:hAnsi="Times New Roman" w:eastAsia="宋体" w:cs="Times New Roman"/>
                      <w:kern w:val="2"/>
                      <w:sz w:val="18"/>
                      <w:szCs w:val="18"/>
                      <w:highlight w:val="none"/>
                      <w:lang w:val="en-US" w:eastAsia="zh-CN" w:bidi="ar-SA"/>
                    </w:rPr>
                  </w:pPr>
                  <w:r>
                    <w:rPr>
                      <w:rFonts w:hint="eastAsia"/>
                      <w:b w:val="0"/>
                      <w:bCs w:val="0"/>
                      <w:color w:val="000000"/>
                      <w:kern w:val="2"/>
                      <w:sz w:val="18"/>
                      <w:szCs w:val="18"/>
                      <w:highlight w:val="none"/>
                      <w:vertAlign w:val="baseline"/>
                      <w:lang w:val="en-US" w:eastAsia="zh-CN" w:bidi="ar-SA"/>
                    </w:rPr>
                    <w:t>空压机</w:t>
                  </w:r>
                </w:p>
              </w:tc>
              <w:tc>
                <w:tcPr>
                  <w:tcW w:w="706" w:type="pct"/>
                  <w:shd w:val="clear" w:color="auto" w:fill="auto"/>
                  <w:noWrap w:val="0"/>
                  <w:vAlign w:val="center"/>
                </w:tcPr>
                <w:p w14:paraId="13BF4182">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90</w:t>
                  </w:r>
                </w:p>
              </w:tc>
              <w:tc>
                <w:tcPr>
                  <w:tcW w:w="280" w:type="pct"/>
                  <w:shd w:val="clear" w:color="auto" w:fill="auto"/>
                  <w:noWrap w:val="0"/>
                  <w:vAlign w:val="center"/>
                </w:tcPr>
                <w:p w14:paraId="0F33BE9D">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2</w:t>
                  </w:r>
                </w:p>
              </w:tc>
              <w:tc>
                <w:tcPr>
                  <w:tcW w:w="570" w:type="pct"/>
                  <w:shd w:val="clear" w:color="auto" w:fill="auto"/>
                  <w:noWrap w:val="0"/>
                  <w:vAlign w:val="center"/>
                </w:tcPr>
                <w:p w14:paraId="77E6B685">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93.0</w:t>
                  </w:r>
                </w:p>
              </w:tc>
              <w:tc>
                <w:tcPr>
                  <w:tcW w:w="455" w:type="pct"/>
                  <w:shd w:val="clear" w:color="auto" w:fill="auto"/>
                  <w:noWrap w:val="0"/>
                  <w:vAlign w:val="center"/>
                </w:tcPr>
                <w:p w14:paraId="4317CE15">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7815EF3A">
                  <w:pPr>
                    <w:adjustRightInd w:val="0"/>
                    <w:snapToGrid w:val="0"/>
                    <w:jc w:val="center"/>
                    <w:rPr>
                      <w:rFonts w:hint="eastAsia" w:ascii="Times New Roman" w:hAnsi="Times New Roman" w:cs="Times New Roman"/>
                      <w:color w:val="000000"/>
                      <w:sz w:val="18"/>
                      <w:szCs w:val="18"/>
                      <w:highlight w:val="none"/>
                    </w:rPr>
                  </w:pPr>
                  <w:r>
                    <w:rPr>
                      <w:rFonts w:hint="eastAsia" w:ascii="Times New Roman" w:hAnsi="Times New Roman" w:cs="Times New Roman"/>
                      <w:color w:val="000000"/>
                      <w:sz w:val="18"/>
                      <w:szCs w:val="18"/>
                      <w:highlight w:val="none"/>
                      <w:lang w:val="en-US" w:eastAsia="zh-CN"/>
                    </w:rPr>
                    <w:t>56</w:t>
                  </w:r>
                </w:p>
              </w:tc>
              <w:tc>
                <w:tcPr>
                  <w:tcW w:w="445" w:type="pct"/>
                  <w:noWrap w:val="0"/>
                  <w:vAlign w:val="center"/>
                </w:tcPr>
                <w:p w14:paraId="003F9260">
                  <w:pPr>
                    <w:keepNext w:val="0"/>
                    <w:keepLines w:val="0"/>
                    <w:widowControl/>
                    <w:suppressLineNumbers w:val="0"/>
                    <w:jc w:val="center"/>
                    <w:textAlignment w:val="center"/>
                    <w:rPr>
                      <w:color w:val="000000"/>
                      <w:sz w:val="18"/>
                      <w:szCs w:val="18"/>
                      <w:highlight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35.0 </w:t>
                  </w:r>
                </w:p>
              </w:tc>
              <w:tc>
                <w:tcPr>
                  <w:tcW w:w="423" w:type="pct"/>
                  <w:vMerge w:val="continue"/>
                  <w:noWrap w:val="0"/>
                  <w:vAlign w:val="center"/>
                </w:tcPr>
                <w:p w14:paraId="6FF15C2F">
                  <w:pPr>
                    <w:widowControl/>
                    <w:jc w:val="center"/>
                    <w:textAlignment w:val="center"/>
                    <w:rPr>
                      <w:color w:val="000000"/>
                      <w:sz w:val="18"/>
                      <w:szCs w:val="18"/>
                      <w:highlight w:val="none"/>
                    </w:rPr>
                  </w:pPr>
                </w:p>
              </w:tc>
              <w:tc>
                <w:tcPr>
                  <w:tcW w:w="456" w:type="pct"/>
                  <w:vMerge w:val="continue"/>
                  <w:noWrap w:val="0"/>
                  <w:vAlign w:val="center"/>
                </w:tcPr>
                <w:p w14:paraId="66D3FD8E">
                  <w:pPr>
                    <w:jc w:val="center"/>
                    <w:rPr>
                      <w:color w:val="000000"/>
                      <w:sz w:val="18"/>
                      <w:szCs w:val="18"/>
                      <w:highlight w:val="none"/>
                    </w:rPr>
                  </w:pPr>
                </w:p>
              </w:tc>
            </w:tr>
            <w:tr w14:paraId="1BAC0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7C3E276C">
                  <w:pPr>
                    <w:widowControl/>
                    <w:jc w:val="center"/>
                    <w:rPr>
                      <w:color w:val="000000"/>
                      <w:spacing w:val="-6"/>
                      <w:sz w:val="18"/>
                      <w:szCs w:val="18"/>
                      <w:highlight w:val="none"/>
                    </w:rPr>
                  </w:pPr>
                </w:p>
              </w:tc>
              <w:tc>
                <w:tcPr>
                  <w:tcW w:w="903" w:type="pct"/>
                  <w:shd w:val="clear" w:color="auto" w:fill="auto"/>
                  <w:noWrap w:val="0"/>
                  <w:vAlign w:val="center"/>
                </w:tcPr>
                <w:p w14:paraId="614992D3">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挤出机</w:t>
                  </w:r>
                </w:p>
              </w:tc>
              <w:tc>
                <w:tcPr>
                  <w:tcW w:w="706" w:type="pct"/>
                  <w:shd w:val="clear" w:color="auto" w:fill="auto"/>
                  <w:noWrap w:val="0"/>
                  <w:vAlign w:val="center"/>
                </w:tcPr>
                <w:p w14:paraId="444F10E3">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3E12A913">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7</w:t>
                  </w:r>
                </w:p>
              </w:tc>
              <w:tc>
                <w:tcPr>
                  <w:tcW w:w="570" w:type="pct"/>
                  <w:shd w:val="clear" w:color="auto" w:fill="auto"/>
                  <w:noWrap w:val="0"/>
                  <w:vAlign w:val="center"/>
                </w:tcPr>
                <w:p w14:paraId="228A0E85">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83.5</w:t>
                  </w:r>
                </w:p>
              </w:tc>
              <w:tc>
                <w:tcPr>
                  <w:tcW w:w="455" w:type="pct"/>
                  <w:shd w:val="clear" w:color="auto" w:fill="auto"/>
                  <w:noWrap w:val="0"/>
                  <w:vAlign w:val="center"/>
                </w:tcPr>
                <w:p w14:paraId="04A438E8">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79344E7C">
                  <w:pPr>
                    <w:adjustRightInd w:val="0"/>
                    <w:snapToGrid w:val="0"/>
                    <w:jc w:val="center"/>
                    <w:rPr>
                      <w:rFonts w:hint="eastAsia" w:ascii="Times New Roman" w:hAnsi="Times New Roman" w:cs="Times New Roman"/>
                      <w:color w:val="000000"/>
                      <w:sz w:val="18"/>
                      <w:szCs w:val="18"/>
                      <w:highlight w:val="none"/>
                    </w:rPr>
                  </w:pPr>
                  <w:r>
                    <w:rPr>
                      <w:rFonts w:hint="eastAsia" w:ascii="Times New Roman" w:hAnsi="Times New Roman" w:cs="Times New Roman"/>
                      <w:color w:val="000000"/>
                      <w:sz w:val="18"/>
                      <w:szCs w:val="18"/>
                      <w:highlight w:val="none"/>
                      <w:lang w:val="en-US" w:eastAsia="zh-CN"/>
                    </w:rPr>
                    <w:t>34</w:t>
                  </w:r>
                </w:p>
              </w:tc>
              <w:tc>
                <w:tcPr>
                  <w:tcW w:w="445" w:type="pct"/>
                  <w:noWrap w:val="0"/>
                  <w:vAlign w:val="center"/>
                </w:tcPr>
                <w:p w14:paraId="07A3166F">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30.6 </w:t>
                  </w:r>
                </w:p>
              </w:tc>
              <w:tc>
                <w:tcPr>
                  <w:tcW w:w="423" w:type="pct"/>
                  <w:vMerge w:val="continue"/>
                  <w:noWrap w:val="0"/>
                  <w:vAlign w:val="center"/>
                </w:tcPr>
                <w:p w14:paraId="5BF316AF">
                  <w:pPr>
                    <w:widowControl/>
                    <w:jc w:val="center"/>
                    <w:textAlignment w:val="center"/>
                    <w:rPr>
                      <w:color w:val="000000"/>
                      <w:sz w:val="18"/>
                      <w:szCs w:val="18"/>
                      <w:highlight w:val="none"/>
                    </w:rPr>
                  </w:pPr>
                </w:p>
              </w:tc>
              <w:tc>
                <w:tcPr>
                  <w:tcW w:w="456" w:type="pct"/>
                  <w:vMerge w:val="continue"/>
                  <w:noWrap w:val="0"/>
                  <w:vAlign w:val="center"/>
                </w:tcPr>
                <w:p w14:paraId="2552CC5F">
                  <w:pPr>
                    <w:jc w:val="center"/>
                    <w:rPr>
                      <w:color w:val="000000"/>
                      <w:sz w:val="18"/>
                      <w:szCs w:val="18"/>
                      <w:highlight w:val="none"/>
                    </w:rPr>
                  </w:pPr>
                </w:p>
              </w:tc>
            </w:tr>
            <w:tr w14:paraId="41D74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1BE2D693">
                  <w:pPr>
                    <w:widowControl/>
                    <w:jc w:val="center"/>
                    <w:rPr>
                      <w:color w:val="000000"/>
                      <w:spacing w:val="-6"/>
                      <w:sz w:val="18"/>
                      <w:szCs w:val="18"/>
                      <w:highlight w:val="none"/>
                    </w:rPr>
                  </w:pPr>
                </w:p>
              </w:tc>
              <w:tc>
                <w:tcPr>
                  <w:tcW w:w="903" w:type="pct"/>
                  <w:shd w:val="clear" w:color="auto" w:fill="auto"/>
                  <w:noWrap w:val="0"/>
                  <w:vAlign w:val="center"/>
                </w:tcPr>
                <w:p w14:paraId="4B8F9218">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成型机</w:t>
                  </w:r>
                </w:p>
              </w:tc>
              <w:tc>
                <w:tcPr>
                  <w:tcW w:w="706" w:type="pct"/>
                  <w:shd w:val="clear" w:color="auto" w:fill="auto"/>
                  <w:noWrap w:val="0"/>
                  <w:vAlign w:val="center"/>
                </w:tcPr>
                <w:p w14:paraId="2076C513">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17DA0179">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7</w:t>
                  </w:r>
                </w:p>
              </w:tc>
              <w:tc>
                <w:tcPr>
                  <w:tcW w:w="570" w:type="pct"/>
                  <w:shd w:val="clear" w:color="auto" w:fill="auto"/>
                  <w:noWrap w:val="0"/>
                  <w:vAlign w:val="center"/>
                </w:tcPr>
                <w:p w14:paraId="07A1408C">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83.5</w:t>
                  </w:r>
                </w:p>
              </w:tc>
              <w:tc>
                <w:tcPr>
                  <w:tcW w:w="455" w:type="pct"/>
                  <w:shd w:val="clear" w:color="auto" w:fill="auto"/>
                  <w:noWrap w:val="0"/>
                  <w:vAlign w:val="center"/>
                </w:tcPr>
                <w:p w14:paraId="4CB42110">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742EDAA5">
                  <w:pPr>
                    <w:adjustRightInd w:val="0"/>
                    <w:snapToGrid w:val="0"/>
                    <w:jc w:val="center"/>
                    <w:rPr>
                      <w:rFonts w:hint="eastAsia" w:ascii="Times New Roman" w:hAnsi="Times New Roman" w:cs="Times New Roman"/>
                      <w:color w:val="000000"/>
                      <w:sz w:val="18"/>
                      <w:szCs w:val="18"/>
                      <w:highlight w:val="none"/>
                    </w:rPr>
                  </w:pPr>
                  <w:r>
                    <w:rPr>
                      <w:rFonts w:hint="eastAsia" w:ascii="Times New Roman" w:hAnsi="Times New Roman" w:cs="Times New Roman"/>
                      <w:color w:val="000000"/>
                      <w:sz w:val="18"/>
                      <w:szCs w:val="18"/>
                      <w:highlight w:val="none"/>
                      <w:lang w:val="en-US" w:eastAsia="zh-CN"/>
                    </w:rPr>
                    <w:t>34</w:t>
                  </w:r>
                </w:p>
              </w:tc>
              <w:tc>
                <w:tcPr>
                  <w:tcW w:w="445" w:type="pct"/>
                  <w:noWrap w:val="0"/>
                  <w:vAlign w:val="center"/>
                </w:tcPr>
                <w:p w14:paraId="2675D288">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30.6 </w:t>
                  </w:r>
                </w:p>
              </w:tc>
              <w:tc>
                <w:tcPr>
                  <w:tcW w:w="423" w:type="pct"/>
                  <w:vMerge w:val="continue"/>
                  <w:noWrap w:val="0"/>
                  <w:vAlign w:val="center"/>
                </w:tcPr>
                <w:p w14:paraId="526F79DA">
                  <w:pPr>
                    <w:widowControl/>
                    <w:jc w:val="center"/>
                    <w:textAlignment w:val="center"/>
                    <w:rPr>
                      <w:color w:val="000000"/>
                      <w:sz w:val="18"/>
                      <w:szCs w:val="18"/>
                      <w:highlight w:val="none"/>
                    </w:rPr>
                  </w:pPr>
                </w:p>
              </w:tc>
              <w:tc>
                <w:tcPr>
                  <w:tcW w:w="456" w:type="pct"/>
                  <w:vMerge w:val="continue"/>
                  <w:noWrap w:val="0"/>
                  <w:vAlign w:val="center"/>
                </w:tcPr>
                <w:p w14:paraId="1706D928">
                  <w:pPr>
                    <w:jc w:val="center"/>
                    <w:rPr>
                      <w:color w:val="000000"/>
                      <w:sz w:val="18"/>
                      <w:szCs w:val="18"/>
                      <w:highlight w:val="none"/>
                    </w:rPr>
                  </w:pPr>
                </w:p>
              </w:tc>
            </w:tr>
            <w:tr w14:paraId="65371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68516A87">
                  <w:pPr>
                    <w:widowControl/>
                    <w:jc w:val="center"/>
                    <w:rPr>
                      <w:color w:val="000000"/>
                      <w:spacing w:val="-6"/>
                      <w:sz w:val="18"/>
                      <w:szCs w:val="18"/>
                      <w:highlight w:val="none"/>
                    </w:rPr>
                  </w:pPr>
                </w:p>
              </w:tc>
              <w:tc>
                <w:tcPr>
                  <w:tcW w:w="903" w:type="pct"/>
                  <w:shd w:val="clear" w:color="auto" w:fill="auto"/>
                  <w:noWrap w:val="0"/>
                  <w:vAlign w:val="center"/>
                </w:tcPr>
                <w:p w14:paraId="0740744A">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sz w:val="18"/>
                      <w:szCs w:val="18"/>
                      <w:highlight w:val="none"/>
                      <w:vertAlign w:val="baseline"/>
                      <w:lang w:val="en-US" w:eastAsia="zh-CN"/>
                    </w:rPr>
                    <w:t>打孔机</w:t>
                  </w:r>
                </w:p>
              </w:tc>
              <w:tc>
                <w:tcPr>
                  <w:tcW w:w="706" w:type="pct"/>
                  <w:shd w:val="clear" w:color="auto" w:fill="auto"/>
                  <w:noWrap w:val="0"/>
                  <w:vAlign w:val="center"/>
                </w:tcPr>
                <w:p w14:paraId="665A6E1A">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138AC2F4">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sz w:val="18"/>
                      <w:szCs w:val="18"/>
                      <w:highlight w:val="none"/>
                      <w:vertAlign w:val="baseline"/>
                      <w:lang w:val="en-US" w:eastAsia="zh-CN"/>
                    </w:rPr>
                    <w:t>7</w:t>
                  </w:r>
                </w:p>
              </w:tc>
              <w:tc>
                <w:tcPr>
                  <w:tcW w:w="570" w:type="pct"/>
                  <w:shd w:val="clear" w:color="auto" w:fill="auto"/>
                  <w:noWrap w:val="0"/>
                  <w:vAlign w:val="center"/>
                </w:tcPr>
                <w:p w14:paraId="3E53945E">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88.5</w:t>
                  </w:r>
                </w:p>
              </w:tc>
              <w:tc>
                <w:tcPr>
                  <w:tcW w:w="455" w:type="pct"/>
                  <w:shd w:val="clear" w:color="auto" w:fill="auto"/>
                  <w:noWrap w:val="0"/>
                  <w:vAlign w:val="center"/>
                </w:tcPr>
                <w:p w14:paraId="00135C9D">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5B760596">
                  <w:pPr>
                    <w:adjustRightInd w:val="0"/>
                    <w:snapToGrid w:val="0"/>
                    <w:jc w:val="center"/>
                    <w:rPr>
                      <w:rFonts w:hint="eastAsia" w:ascii="Times New Roman" w:hAnsi="Times New Roman" w:cs="Times New Roman"/>
                      <w:color w:val="000000"/>
                      <w:sz w:val="18"/>
                      <w:szCs w:val="18"/>
                      <w:highlight w:val="none"/>
                    </w:rPr>
                  </w:pPr>
                  <w:r>
                    <w:rPr>
                      <w:rFonts w:hint="eastAsia" w:ascii="Times New Roman" w:hAnsi="Times New Roman" w:cs="Times New Roman"/>
                      <w:color w:val="000000"/>
                      <w:sz w:val="18"/>
                      <w:szCs w:val="18"/>
                      <w:highlight w:val="none"/>
                      <w:lang w:val="en-US" w:eastAsia="zh-CN"/>
                    </w:rPr>
                    <w:t>34</w:t>
                  </w:r>
                </w:p>
              </w:tc>
              <w:tc>
                <w:tcPr>
                  <w:tcW w:w="445" w:type="pct"/>
                  <w:noWrap w:val="0"/>
                  <w:vAlign w:val="center"/>
                </w:tcPr>
                <w:p w14:paraId="1776A2C3">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30.6 </w:t>
                  </w:r>
                </w:p>
              </w:tc>
              <w:tc>
                <w:tcPr>
                  <w:tcW w:w="423" w:type="pct"/>
                  <w:vMerge w:val="continue"/>
                  <w:noWrap w:val="0"/>
                  <w:vAlign w:val="center"/>
                </w:tcPr>
                <w:p w14:paraId="06CD2673">
                  <w:pPr>
                    <w:widowControl/>
                    <w:jc w:val="center"/>
                    <w:textAlignment w:val="center"/>
                    <w:rPr>
                      <w:color w:val="000000"/>
                      <w:sz w:val="18"/>
                      <w:szCs w:val="18"/>
                      <w:highlight w:val="none"/>
                    </w:rPr>
                  </w:pPr>
                </w:p>
              </w:tc>
              <w:tc>
                <w:tcPr>
                  <w:tcW w:w="456" w:type="pct"/>
                  <w:vMerge w:val="continue"/>
                  <w:noWrap w:val="0"/>
                  <w:vAlign w:val="center"/>
                </w:tcPr>
                <w:p w14:paraId="6B84DED4">
                  <w:pPr>
                    <w:jc w:val="center"/>
                    <w:rPr>
                      <w:color w:val="000000"/>
                      <w:sz w:val="18"/>
                      <w:szCs w:val="18"/>
                      <w:highlight w:val="none"/>
                    </w:rPr>
                  </w:pPr>
                </w:p>
              </w:tc>
            </w:tr>
            <w:tr w14:paraId="70482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7152C8F3">
                  <w:pPr>
                    <w:widowControl/>
                    <w:jc w:val="center"/>
                    <w:rPr>
                      <w:color w:val="000000"/>
                      <w:spacing w:val="-6"/>
                      <w:sz w:val="18"/>
                      <w:szCs w:val="18"/>
                      <w:highlight w:val="none"/>
                    </w:rPr>
                  </w:pPr>
                </w:p>
              </w:tc>
              <w:tc>
                <w:tcPr>
                  <w:tcW w:w="903" w:type="pct"/>
                  <w:shd w:val="clear" w:color="auto" w:fill="auto"/>
                  <w:noWrap w:val="0"/>
                  <w:vAlign w:val="center"/>
                </w:tcPr>
                <w:p w14:paraId="1C49171C">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分切机</w:t>
                  </w:r>
                </w:p>
              </w:tc>
              <w:tc>
                <w:tcPr>
                  <w:tcW w:w="706" w:type="pct"/>
                  <w:shd w:val="clear" w:color="auto" w:fill="auto"/>
                  <w:noWrap w:val="0"/>
                  <w:vAlign w:val="center"/>
                </w:tcPr>
                <w:p w14:paraId="6EB8F665">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2BEBB41A">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7</w:t>
                  </w:r>
                </w:p>
              </w:tc>
              <w:tc>
                <w:tcPr>
                  <w:tcW w:w="570" w:type="pct"/>
                  <w:shd w:val="clear" w:color="auto" w:fill="auto"/>
                  <w:noWrap w:val="0"/>
                  <w:vAlign w:val="center"/>
                </w:tcPr>
                <w:p w14:paraId="0CF5D34B">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88.5</w:t>
                  </w:r>
                </w:p>
              </w:tc>
              <w:tc>
                <w:tcPr>
                  <w:tcW w:w="455" w:type="pct"/>
                  <w:shd w:val="clear" w:color="auto" w:fill="auto"/>
                  <w:noWrap w:val="0"/>
                  <w:vAlign w:val="center"/>
                </w:tcPr>
                <w:p w14:paraId="7E29C9C8">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53ACB864">
                  <w:pPr>
                    <w:adjustRightInd w:val="0"/>
                    <w:snapToGrid w:val="0"/>
                    <w:jc w:val="center"/>
                    <w:rPr>
                      <w:rFonts w:hint="eastAsia" w:ascii="Times New Roman" w:hAnsi="Times New Roman" w:cs="Times New Roman"/>
                      <w:color w:val="000000"/>
                      <w:sz w:val="18"/>
                      <w:szCs w:val="18"/>
                      <w:highlight w:val="none"/>
                    </w:rPr>
                  </w:pPr>
                  <w:r>
                    <w:rPr>
                      <w:rFonts w:hint="eastAsia" w:ascii="Times New Roman" w:hAnsi="Times New Roman" w:cs="Times New Roman"/>
                      <w:color w:val="000000"/>
                      <w:sz w:val="18"/>
                      <w:szCs w:val="18"/>
                      <w:highlight w:val="none"/>
                      <w:lang w:val="en-US" w:eastAsia="zh-CN"/>
                    </w:rPr>
                    <w:t>34</w:t>
                  </w:r>
                </w:p>
              </w:tc>
              <w:tc>
                <w:tcPr>
                  <w:tcW w:w="445" w:type="pct"/>
                  <w:noWrap w:val="0"/>
                  <w:vAlign w:val="center"/>
                </w:tcPr>
                <w:p w14:paraId="0950065B">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30.6 </w:t>
                  </w:r>
                </w:p>
              </w:tc>
              <w:tc>
                <w:tcPr>
                  <w:tcW w:w="423" w:type="pct"/>
                  <w:vMerge w:val="continue"/>
                  <w:noWrap w:val="0"/>
                  <w:vAlign w:val="center"/>
                </w:tcPr>
                <w:p w14:paraId="27CA4655">
                  <w:pPr>
                    <w:widowControl/>
                    <w:jc w:val="center"/>
                    <w:textAlignment w:val="center"/>
                    <w:rPr>
                      <w:color w:val="000000"/>
                      <w:sz w:val="18"/>
                      <w:szCs w:val="18"/>
                      <w:highlight w:val="none"/>
                    </w:rPr>
                  </w:pPr>
                </w:p>
              </w:tc>
              <w:tc>
                <w:tcPr>
                  <w:tcW w:w="456" w:type="pct"/>
                  <w:vMerge w:val="continue"/>
                  <w:noWrap w:val="0"/>
                  <w:vAlign w:val="center"/>
                </w:tcPr>
                <w:p w14:paraId="58294AEE">
                  <w:pPr>
                    <w:jc w:val="center"/>
                    <w:rPr>
                      <w:color w:val="000000"/>
                      <w:sz w:val="18"/>
                      <w:szCs w:val="18"/>
                      <w:highlight w:val="none"/>
                    </w:rPr>
                  </w:pPr>
                </w:p>
              </w:tc>
            </w:tr>
            <w:tr w14:paraId="33974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112ACF25">
                  <w:pPr>
                    <w:widowControl/>
                    <w:jc w:val="center"/>
                    <w:rPr>
                      <w:color w:val="000000"/>
                      <w:spacing w:val="-6"/>
                      <w:sz w:val="18"/>
                      <w:szCs w:val="18"/>
                      <w:highlight w:val="none"/>
                    </w:rPr>
                  </w:pPr>
                </w:p>
              </w:tc>
              <w:tc>
                <w:tcPr>
                  <w:tcW w:w="903" w:type="pct"/>
                  <w:shd w:val="clear" w:color="auto" w:fill="auto"/>
                  <w:noWrap w:val="0"/>
                  <w:vAlign w:val="center"/>
                </w:tcPr>
                <w:p w14:paraId="5520D44E">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收卷机</w:t>
                  </w:r>
                </w:p>
              </w:tc>
              <w:tc>
                <w:tcPr>
                  <w:tcW w:w="706" w:type="pct"/>
                  <w:shd w:val="clear" w:color="auto" w:fill="auto"/>
                  <w:noWrap w:val="0"/>
                  <w:vAlign w:val="center"/>
                </w:tcPr>
                <w:p w14:paraId="69CCEF45">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3E0126DF">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35</w:t>
                  </w:r>
                </w:p>
              </w:tc>
              <w:tc>
                <w:tcPr>
                  <w:tcW w:w="570" w:type="pct"/>
                  <w:shd w:val="clear" w:color="auto" w:fill="auto"/>
                  <w:noWrap w:val="0"/>
                  <w:vAlign w:val="center"/>
                </w:tcPr>
                <w:p w14:paraId="45053845">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95.4</w:t>
                  </w:r>
                </w:p>
              </w:tc>
              <w:tc>
                <w:tcPr>
                  <w:tcW w:w="455" w:type="pct"/>
                  <w:shd w:val="clear" w:color="auto" w:fill="auto"/>
                  <w:noWrap w:val="0"/>
                  <w:vAlign w:val="center"/>
                </w:tcPr>
                <w:p w14:paraId="541268FA">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73398175">
                  <w:pPr>
                    <w:adjustRightInd w:val="0"/>
                    <w:snapToGrid w:val="0"/>
                    <w:jc w:val="center"/>
                    <w:rPr>
                      <w:rFonts w:hint="eastAsia" w:ascii="Times New Roman" w:hAnsi="Times New Roman" w:cs="Times New Roman"/>
                      <w:color w:val="000000"/>
                      <w:sz w:val="18"/>
                      <w:szCs w:val="18"/>
                      <w:highlight w:val="none"/>
                    </w:rPr>
                  </w:pPr>
                  <w:r>
                    <w:rPr>
                      <w:rFonts w:hint="eastAsia" w:ascii="Times New Roman" w:hAnsi="Times New Roman" w:cs="Times New Roman"/>
                      <w:color w:val="000000"/>
                      <w:sz w:val="18"/>
                      <w:szCs w:val="18"/>
                      <w:highlight w:val="none"/>
                      <w:lang w:val="en-US" w:eastAsia="zh-CN"/>
                    </w:rPr>
                    <w:t>34</w:t>
                  </w:r>
                </w:p>
              </w:tc>
              <w:tc>
                <w:tcPr>
                  <w:tcW w:w="445" w:type="pct"/>
                  <w:noWrap w:val="0"/>
                  <w:vAlign w:val="center"/>
                </w:tcPr>
                <w:p w14:paraId="39360FEC">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30.6 </w:t>
                  </w:r>
                </w:p>
              </w:tc>
              <w:tc>
                <w:tcPr>
                  <w:tcW w:w="423" w:type="pct"/>
                  <w:vMerge w:val="continue"/>
                  <w:noWrap w:val="0"/>
                  <w:vAlign w:val="center"/>
                </w:tcPr>
                <w:p w14:paraId="2C58A653">
                  <w:pPr>
                    <w:widowControl/>
                    <w:jc w:val="center"/>
                    <w:textAlignment w:val="center"/>
                    <w:rPr>
                      <w:color w:val="000000"/>
                      <w:sz w:val="18"/>
                      <w:szCs w:val="18"/>
                      <w:highlight w:val="none"/>
                    </w:rPr>
                  </w:pPr>
                </w:p>
              </w:tc>
              <w:tc>
                <w:tcPr>
                  <w:tcW w:w="456" w:type="pct"/>
                  <w:vMerge w:val="continue"/>
                  <w:noWrap w:val="0"/>
                  <w:vAlign w:val="center"/>
                </w:tcPr>
                <w:p w14:paraId="2F9725A9">
                  <w:pPr>
                    <w:jc w:val="center"/>
                    <w:rPr>
                      <w:color w:val="000000"/>
                      <w:sz w:val="18"/>
                      <w:szCs w:val="18"/>
                      <w:highlight w:val="none"/>
                    </w:rPr>
                  </w:pPr>
                </w:p>
              </w:tc>
            </w:tr>
            <w:tr w14:paraId="6A9D2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2FACD2AE">
                  <w:pPr>
                    <w:widowControl/>
                    <w:jc w:val="center"/>
                    <w:rPr>
                      <w:color w:val="000000"/>
                      <w:spacing w:val="-6"/>
                      <w:sz w:val="18"/>
                      <w:szCs w:val="18"/>
                      <w:highlight w:val="none"/>
                    </w:rPr>
                  </w:pPr>
                </w:p>
              </w:tc>
              <w:tc>
                <w:tcPr>
                  <w:tcW w:w="903" w:type="pct"/>
                  <w:shd w:val="clear" w:color="auto" w:fill="auto"/>
                  <w:noWrap w:val="0"/>
                  <w:vAlign w:val="center"/>
                </w:tcPr>
                <w:p w14:paraId="54F2960F">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冷却塔</w:t>
                  </w:r>
                </w:p>
              </w:tc>
              <w:tc>
                <w:tcPr>
                  <w:tcW w:w="706" w:type="pct"/>
                  <w:shd w:val="clear" w:color="auto" w:fill="auto"/>
                  <w:noWrap w:val="0"/>
                  <w:vAlign w:val="center"/>
                </w:tcPr>
                <w:p w14:paraId="4FB0A739">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90</w:t>
                  </w:r>
                </w:p>
              </w:tc>
              <w:tc>
                <w:tcPr>
                  <w:tcW w:w="280" w:type="pct"/>
                  <w:shd w:val="clear" w:color="auto" w:fill="auto"/>
                  <w:noWrap w:val="0"/>
                  <w:vAlign w:val="center"/>
                </w:tcPr>
                <w:p w14:paraId="0F01C0D0">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1</w:t>
                  </w:r>
                </w:p>
              </w:tc>
              <w:tc>
                <w:tcPr>
                  <w:tcW w:w="570" w:type="pct"/>
                  <w:shd w:val="clear" w:color="auto" w:fill="auto"/>
                  <w:noWrap w:val="0"/>
                  <w:vAlign w:val="center"/>
                </w:tcPr>
                <w:p w14:paraId="66173C35">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90.0</w:t>
                  </w:r>
                </w:p>
              </w:tc>
              <w:tc>
                <w:tcPr>
                  <w:tcW w:w="455" w:type="pct"/>
                  <w:shd w:val="clear" w:color="auto" w:fill="auto"/>
                  <w:noWrap w:val="0"/>
                  <w:vAlign w:val="center"/>
                </w:tcPr>
                <w:p w14:paraId="3E3D7AF2">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71AA12A8">
                  <w:pPr>
                    <w:adjustRightInd w:val="0"/>
                    <w:snapToGrid w:val="0"/>
                    <w:jc w:val="center"/>
                    <w:rPr>
                      <w:rFonts w:hint="eastAsia" w:ascii="Times New Roman" w:hAnsi="Times New Roman" w:cs="Times New Roman"/>
                      <w:color w:val="000000"/>
                      <w:sz w:val="18"/>
                      <w:szCs w:val="18"/>
                      <w:highlight w:val="none"/>
                    </w:rPr>
                  </w:pPr>
                  <w:r>
                    <w:rPr>
                      <w:rFonts w:hint="eastAsia" w:ascii="Times New Roman" w:hAnsi="Times New Roman" w:cs="Times New Roman"/>
                      <w:color w:val="000000"/>
                      <w:sz w:val="18"/>
                      <w:szCs w:val="18"/>
                      <w:highlight w:val="none"/>
                      <w:lang w:val="en-US" w:eastAsia="zh-CN"/>
                    </w:rPr>
                    <w:t>50</w:t>
                  </w:r>
                </w:p>
              </w:tc>
              <w:tc>
                <w:tcPr>
                  <w:tcW w:w="445" w:type="pct"/>
                  <w:noWrap w:val="0"/>
                  <w:vAlign w:val="center"/>
                </w:tcPr>
                <w:p w14:paraId="3104AC27">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34.0 </w:t>
                  </w:r>
                </w:p>
              </w:tc>
              <w:tc>
                <w:tcPr>
                  <w:tcW w:w="423" w:type="pct"/>
                  <w:vMerge w:val="continue"/>
                  <w:noWrap w:val="0"/>
                  <w:vAlign w:val="center"/>
                </w:tcPr>
                <w:p w14:paraId="578167D6">
                  <w:pPr>
                    <w:widowControl/>
                    <w:jc w:val="center"/>
                    <w:textAlignment w:val="center"/>
                    <w:rPr>
                      <w:color w:val="000000"/>
                      <w:sz w:val="18"/>
                      <w:szCs w:val="18"/>
                      <w:highlight w:val="none"/>
                    </w:rPr>
                  </w:pPr>
                </w:p>
              </w:tc>
              <w:tc>
                <w:tcPr>
                  <w:tcW w:w="456" w:type="pct"/>
                  <w:vMerge w:val="continue"/>
                  <w:noWrap w:val="0"/>
                  <w:vAlign w:val="center"/>
                </w:tcPr>
                <w:p w14:paraId="1326B3BE">
                  <w:pPr>
                    <w:jc w:val="center"/>
                    <w:rPr>
                      <w:color w:val="000000"/>
                      <w:sz w:val="18"/>
                      <w:szCs w:val="18"/>
                      <w:highlight w:val="none"/>
                    </w:rPr>
                  </w:pPr>
                </w:p>
              </w:tc>
            </w:tr>
            <w:tr w14:paraId="7291F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7D982FBA">
                  <w:pPr>
                    <w:widowControl/>
                    <w:jc w:val="center"/>
                    <w:rPr>
                      <w:color w:val="000000"/>
                      <w:spacing w:val="-6"/>
                      <w:sz w:val="18"/>
                      <w:szCs w:val="18"/>
                      <w:highlight w:val="none"/>
                    </w:rPr>
                  </w:pPr>
                </w:p>
              </w:tc>
              <w:tc>
                <w:tcPr>
                  <w:tcW w:w="903" w:type="pct"/>
                  <w:shd w:val="clear" w:color="auto" w:fill="auto"/>
                  <w:noWrap w:val="0"/>
                  <w:vAlign w:val="center"/>
                </w:tcPr>
                <w:p w14:paraId="399C0D16">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ascii="Times New Roman" w:hAnsi="Times New Roman" w:eastAsia="宋体" w:cs="Times New Roman"/>
                      <w:color w:val="000000"/>
                      <w:spacing w:val="-2"/>
                      <w:kern w:val="0"/>
                      <w:sz w:val="18"/>
                      <w:szCs w:val="18"/>
                      <w:highlight w:val="none"/>
                      <w:lang w:val="en-US" w:eastAsia="zh-CN"/>
                    </w:rPr>
                    <w:t>风机</w:t>
                  </w:r>
                </w:p>
              </w:tc>
              <w:tc>
                <w:tcPr>
                  <w:tcW w:w="706" w:type="pct"/>
                  <w:shd w:val="clear" w:color="auto" w:fill="auto"/>
                  <w:noWrap w:val="0"/>
                  <w:vAlign w:val="center"/>
                </w:tcPr>
                <w:p w14:paraId="31538F99">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lang w:val="en-US" w:eastAsia="zh-CN"/>
                    </w:rPr>
                    <w:t>90</w:t>
                  </w:r>
                </w:p>
              </w:tc>
              <w:tc>
                <w:tcPr>
                  <w:tcW w:w="280" w:type="pct"/>
                  <w:shd w:val="clear" w:color="auto" w:fill="auto"/>
                  <w:noWrap w:val="0"/>
                  <w:vAlign w:val="center"/>
                </w:tcPr>
                <w:p w14:paraId="03BE496E">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lang w:val="en-US" w:eastAsia="zh-CN"/>
                    </w:rPr>
                    <w:t>1</w:t>
                  </w:r>
                </w:p>
              </w:tc>
              <w:tc>
                <w:tcPr>
                  <w:tcW w:w="570" w:type="pct"/>
                  <w:shd w:val="clear" w:color="auto" w:fill="auto"/>
                  <w:noWrap w:val="0"/>
                  <w:vAlign w:val="center"/>
                </w:tcPr>
                <w:p w14:paraId="4E4FFDDE">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lang w:val="en-US" w:eastAsia="zh-CN"/>
                    </w:rPr>
                    <w:t>90.0</w:t>
                  </w:r>
                </w:p>
              </w:tc>
              <w:tc>
                <w:tcPr>
                  <w:tcW w:w="455" w:type="pct"/>
                  <w:shd w:val="clear" w:color="auto" w:fill="auto"/>
                  <w:noWrap w:val="0"/>
                  <w:vAlign w:val="center"/>
                </w:tcPr>
                <w:p w14:paraId="1D181EE2">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lang w:val="en-US" w:eastAsia="zh-CN"/>
                    </w:rPr>
                    <w:t>25</w:t>
                  </w:r>
                </w:p>
              </w:tc>
              <w:tc>
                <w:tcPr>
                  <w:tcW w:w="574" w:type="pct"/>
                  <w:noWrap w:val="0"/>
                  <w:vAlign w:val="center"/>
                </w:tcPr>
                <w:p w14:paraId="64B6D951">
                  <w:pPr>
                    <w:adjustRightInd w:val="0"/>
                    <w:snapToGrid w:val="0"/>
                    <w:jc w:val="center"/>
                    <w:rPr>
                      <w:rFonts w:hint="eastAsia" w:ascii="Times New Roman" w:hAnsi="Times New Roman" w:cs="Times New Roman"/>
                      <w:color w:val="000000"/>
                      <w:sz w:val="18"/>
                      <w:szCs w:val="18"/>
                      <w:highlight w:val="none"/>
                    </w:rPr>
                  </w:pPr>
                  <w:r>
                    <w:rPr>
                      <w:rFonts w:hint="eastAsia" w:ascii="Times New Roman" w:hAnsi="Times New Roman" w:cs="Times New Roman"/>
                      <w:color w:val="000000"/>
                      <w:sz w:val="18"/>
                      <w:szCs w:val="18"/>
                      <w:highlight w:val="none"/>
                      <w:lang w:val="en-US" w:eastAsia="zh-CN"/>
                    </w:rPr>
                    <w:t>26</w:t>
                  </w:r>
                </w:p>
              </w:tc>
              <w:tc>
                <w:tcPr>
                  <w:tcW w:w="445" w:type="pct"/>
                  <w:noWrap w:val="0"/>
                  <w:vAlign w:val="center"/>
                </w:tcPr>
                <w:p w14:paraId="302D40D9">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28.3 </w:t>
                  </w:r>
                </w:p>
              </w:tc>
              <w:tc>
                <w:tcPr>
                  <w:tcW w:w="423" w:type="pct"/>
                  <w:vMerge w:val="continue"/>
                  <w:noWrap w:val="0"/>
                  <w:vAlign w:val="center"/>
                </w:tcPr>
                <w:p w14:paraId="26A7B89E">
                  <w:pPr>
                    <w:widowControl/>
                    <w:jc w:val="center"/>
                    <w:textAlignment w:val="center"/>
                    <w:rPr>
                      <w:color w:val="000000"/>
                      <w:sz w:val="18"/>
                      <w:szCs w:val="18"/>
                      <w:highlight w:val="none"/>
                    </w:rPr>
                  </w:pPr>
                </w:p>
              </w:tc>
              <w:tc>
                <w:tcPr>
                  <w:tcW w:w="456" w:type="pct"/>
                  <w:vMerge w:val="continue"/>
                  <w:noWrap w:val="0"/>
                  <w:vAlign w:val="center"/>
                </w:tcPr>
                <w:p w14:paraId="17988273">
                  <w:pPr>
                    <w:jc w:val="center"/>
                    <w:rPr>
                      <w:color w:val="000000"/>
                      <w:sz w:val="18"/>
                      <w:szCs w:val="18"/>
                      <w:highlight w:val="none"/>
                    </w:rPr>
                  </w:pPr>
                </w:p>
              </w:tc>
            </w:tr>
            <w:tr w14:paraId="232A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restart"/>
                  <w:noWrap w:val="0"/>
                  <w:vAlign w:val="center"/>
                </w:tcPr>
                <w:p w14:paraId="3AF2E29B">
                  <w:pPr>
                    <w:widowControl/>
                    <w:jc w:val="center"/>
                    <w:rPr>
                      <w:color w:val="000000"/>
                      <w:spacing w:val="-6"/>
                      <w:sz w:val="18"/>
                      <w:szCs w:val="18"/>
                      <w:highlight w:val="none"/>
                    </w:rPr>
                  </w:pPr>
                  <w:r>
                    <w:rPr>
                      <w:color w:val="000000"/>
                      <w:spacing w:val="-6"/>
                      <w:sz w:val="18"/>
                      <w:szCs w:val="18"/>
                      <w:highlight w:val="none"/>
                    </w:rPr>
                    <w:t>北厂界</w:t>
                  </w:r>
                </w:p>
              </w:tc>
              <w:tc>
                <w:tcPr>
                  <w:tcW w:w="903" w:type="pct"/>
                  <w:shd w:val="clear" w:color="auto" w:fill="auto"/>
                  <w:noWrap w:val="0"/>
                  <w:vAlign w:val="center"/>
                </w:tcPr>
                <w:p w14:paraId="30E3CADB">
                  <w:pPr>
                    <w:jc w:val="center"/>
                    <w:rPr>
                      <w:rFonts w:hint="default" w:ascii="Times New Roman" w:hAnsi="Times New Roman" w:eastAsia="宋体" w:cs="Times New Roman"/>
                      <w:kern w:val="2"/>
                      <w:sz w:val="18"/>
                      <w:szCs w:val="18"/>
                      <w:highlight w:val="none"/>
                      <w:lang w:val="en-US" w:eastAsia="zh-CN" w:bidi="ar-SA"/>
                    </w:rPr>
                  </w:pPr>
                  <w:r>
                    <w:rPr>
                      <w:rFonts w:hint="default"/>
                      <w:sz w:val="18"/>
                      <w:szCs w:val="18"/>
                      <w:highlight w:val="none"/>
                    </w:rPr>
                    <w:t>印刷机</w:t>
                  </w:r>
                </w:p>
              </w:tc>
              <w:tc>
                <w:tcPr>
                  <w:tcW w:w="706" w:type="pct"/>
                  <w:shd w:val="clear" w:color="auto" w:fill="auto"/>
                  <w:noWrap w:val="0"/>
                  <w:vAlign w:val="center"/>
                </w:tcPr>
                <w:p w14:paraId="7F16F51A">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26AF112D">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w:t>
                  </w:r>
                </w:p>
              </w:tc>
              <w:tc>
                <w:tcPr>
                  <w:tcW w:w="570" w:type="pct"/>
                  <w:shd w:val="clear" w:color="auto" w:fill="auto"/>
                  <w:noWrap w:val="0"/>
                  <w:vAlign w:val="center"/>
                </w:tcPr>
                <w:p w14:paraId="65257E4F">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84.0</w:t>
                  </w:r>
                </w:p>
              </w:tc>
              <w:tc>
                <w:tcPr>
                  <w:tcW w:w="455" w:type="pct"/>
                  <w:shd w:val="clear" w:color="auto" w:fill="auto"/>
                  <w:noWrap w:val="0"/>
                  <w:vAlign w:val="center"/>
                </w:tcPr>
                <w:p w14:paraId="14F985C1">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1B4A8F7A">
                  <w:pPr>
                    <w:adjustRightInd w:val="0"/>
                    <w:snapToGrid w:val="0"/>
                    <w:jc w:val="center"/>
                    <w:rPr>
                      <w:rFonts w:hint="default" w:ascii="Times New Roman" w:hAnsi="Times New Roman"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15</w:t>
                  </w:r>
                </w:p>
              </w:tc>
              <w:tc>
                <w:tcPr>
                  <w:tcW w:w="445" w:type="pct"/>
                  <w:noWrap w:val="0"/>
                  <w:vAlign w:val="center"/>
                </w:tcPr>
                <w:p w14:paraId="59181DFC">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23.5 </w:t>
                  </w:r>
                </w:p>
              </w:tc>
              <w:tc>
                <w:tcPr>
                  <w:tcW w:w="423" w:type="pct"/>
                  <w:vMerge w:val="restart"/>
                  <w:noWrap w:val="0"/>
                  <w:vAlign w:val="center"/>
                </w:tcPr>
                <w:p w14:paraId="25C41E43">
                  <w:pPr>
                    <w:widowControl/>
                    <w:jc w:val="center"/>
                    <w:textAlignment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53.8</w:t>
                  </w:r>
                </w:p>
              </w:tc>
              <w:tc>
                <w:tcPr>
                  <w:tcW w:w="456" w:type="pct"/>
                  <w:vMerge w:val="restart"/>
                  <w:noWrap w:val="0"/>
                  <w:vAlign w:val="center"/>
                </w:tcPr>
                <w:p w14:paraId="517A3EEB">
                  <w:pPr>
                    <w:jc w:val="center"/>
                    <w:rPr>
                      <w:rFonts w:hint="default" w:eastAsia="宋体"/>
                      <w:color w:val="000000"/>
                      <w:sz w:val="18"/>
                      <w:szCs w:val="18"/>
                      <w:highlight w:val="none"/>
                      <w:lang w:val="en-US" w:eastAsia="zh-CN"/>
                    </w:rPr>
                  </w:pPr>
                  <w:r>
                    <w:rPr>
                      <w:rFonts w:hint="eastAsia"/>
                      <w:color w:val="000000"/>
                      <w:sz w:val="18"/>
                      <w:szCs w:val="18"/>
                      <w:highlight w:val="none"/>
                      <w:lang w:val="en-US" w:eastAsia="zh-CN"/>
                    </w:rPr>
                    <w:t>53.8</w:t>
                  </w:r>
                </w:p>
              </w:tc>
            </w:tr>
            <w:tr w14:paraId="3931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1D2A2CE4">
                  <w:pPr>
                    <w:widowControl/>
                    <w:jc w:val="center"/>
                    <w:rPr>
                      <w:color w:val="000000"/>
                      <w:spacing w:val="-6"/>
                      <w:sz w:val="18"/>
                      <w:szCs w:val="18"/>
                      <w:highlight w:val="none"/>
                    </w:rPr>
                  </w:pPr>
                </w:p>
              </w:tc>
              <w:tc>
                <w:tcPr>
                  <w:tcW w:w="903" w:type="pct"/>
                  <w:shd w:val="clear" w:color="auto" w:fill="auto"/>
                  <w:noWrap w:val="0"/>
                  <w:vAlign w:val="center"/>
                </w:tcPr>
                <w:p w14:paraId="491887DA">
                  <w:pPr>
                    <w:jc w:val="center"/>
                    <w:rPr>
                      <w:rFonts w:hint="default" w:ascii="Times New Roman" w:hAnsi="Times New Roman" w:eastAsia="宋体" w:cs="Times New Roman"/>
                      <w:kern w:val="2"/>
                      <w:sz w:val="18"/>
                      <w:szCs w:val="18"/>
                      <w:highlight w:val="none"/>
                      <w:lang w:val="en-US" w:eastAsia="zh-CN" w:bidi="ar-SA"/>
                    </w:rPr>
                  </w:pPr>
                  <w:r>
                    <w:rPr>
                      <w:rFonts w:hint="eastAsia" w:cs="Times New Roman"/>
                      <w:b w:val="0"/>
                      <w:bCs w:val="0"/>
                      <w:color w:val="000000"/>
                      <w:kern w:val="2"/>
                      <w:sz w:val="18"/>
                      <w:szCs w:val="18"/>
                      <w:highlight w:val="none"/>
                      <w:vertAlign w:val="baseline"/>
                      <w:lang w:val="en-US" w:eastAsia="zh-CN" w:bidi="ar-SA"/>
                    </w:rPr>
                    <w:t>回流焊</w:t>
                  </w:r>
                </w:p>
              </w:tc>
              <w:tc>
                <w:tcPr>
                  <w:tcW w:w="706" w:type="pct"/>
                  <w:shd w:val="clear" w:color="auto" w:fill="auto"/>
                  <w:noWrap w:val="0"/>
                  <w:vAlign w:val="center"/>
                </w:tcPr>
                <w:p w14:paraId="64BC6120">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36448AC3">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4</w:t>
                  </w:r>
                </w:p>
              </w:tc>
              <w:tc>
                <w:tcPr>
                  <w:tcW w:w="570" w:type="pct"/>
                  <w:shd w:val="clear" w:color="auto" w:fill="auto"/>
                  <w:noWrap w:val="0"/>
                  <w:vAlign w:val="center"/>
                </w:tcPr>
                <w:p w14:paraId="6BC72E25">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81.0</w:t>
                  </w:r>
                </w:p>
              </w:tc>
              <w:tc>
                <w:tcPr>
                  <w:tcW w:w="455" w:type="pct"/>
                  <w:shd w:val="clear" w:color="auto" w:fill="auto"/>
                  <w:noWrap w:val="0"/>
                  <w:vAlign w:val="center"/>
                </w:tcPr>
                <w:p w14:paraId="3294928E">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7AE9F651">
                  <w:pPr>
                    <w:adjustRightInd w:val="0"/>
                    <w:snapToGrid w:val="0"/>
                    <w:jc w:val="center"/>
                    <w:rPr>
                      <w:rFonts w:hint="eastAsia" w:ascii="Times New Roman" w:hAnsi="Times New Roman"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13</w:t>
                  </w:r>
                </w:p>
              </w:tc>
              <w:tc>
                <w:tcPr>
                  <w:tcW w:w="445" w:type="pct"/>
                  <w:noWrap w:val="0"/>
                  <w:vAlign w:val="center"/>
                </w:tcPr>
                <w:p w14:paraId="575B061B">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22.3 </w:t>
                  </w:r>
                </w:p>
              </w:tc>
              <w:tc>
                <w:tcPr>
                  <w:tcW w:w="423" w:type="pct"/>
                  <w:vMerge w:val="continue"/>
                  <w:noWrap w:val="0"/>
                  <w:vAlign w:val="center"/>
                </w:tcPr>
                <w:p w14:paraId="5CDD21E6">
                  <w:pPr>
                    <w:widowControl/>
                    <w:jc w:val="center"/>
                    <w:textAlignment w:val="center"/>
                    <w:rPr>
                      <w:color w:val="000000"/>
                      <w:sz w:val="18"/>
                      <w:szCs w:val="18"/>
                      <w:highlight w:val="none"/>
                    </w:rPr>
                  </w:pPr>
                </w:p>
              </w:tc>
              <w:tc>
                <w:tcPr>
                  <w:tcW w:w="456" w:type="pct"/>
                  <w:vMerge w:val="continue"/>
                  <w:noWrap w:val="0"/>
                  <w:vAlign w:val="center"/>
                </w:tcPr>
                <w:p w14:paraId="6166700D">
                  <w:pPr>
                    <w:jc w:val="center"/>
                    <w:rPr>
                      <w:color w:val="000000"/>
                      <w:sz w:val="18"/>
                      <w:szCs w:val="18"/>
                      <w:highlight w:val="none"/>
                    </w:rPr>
                  </w:pPr>
                </w:p>
              </w:tc>
            </w:tr>
            <w:tr w14:paraId="703F6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746F48E8">
                  <w:pPr>
                    <w:widowControl/>
                    <w:jc w:val="center"/>
                    <w:rPr>
                      <w:color w:val="000000"/>
                      <w:spacing w:val="-6"/>
                      <w:sz w:val="18"/>
                      <w:szCs w:val="18"/>
                      <w:highlight w:val="none"/>
                    </w:rPr>
                  </w:pPr>
                </w:p>
              </w:tc>
              <w:tc>
                <w:tcPr>
                  <w:tcW w:w="903" w:type="pct"/>
                  <w:shd w:val="clear" w:color="auto" w:fill="auto"/>
                  <w:noWrap w:val="0"/>
                  <w:vAlign w:val="center"/>
                </w:tcPr>
                <w:p w14:paraId="762E31B8">
                  <w:pPr>
                    <w:jc w:val="center"/>
                    <w:rPr>
                      <w:rFonts w:hint="default" w:ascii="Times New Roman" w:hAnsi="Times New Roman" w:eastAsia="宋体" w:cs="Times New Roman"/>
                      <w:kern w:val="2"/>
                      <w:sz w:val="18"/>
                      <w:szCs w:val="18"/>
                      <w:highlight w:val="none"/>
                      <w:lang w:val="en-US" w:eastAsia="zh-CN" w:bidi="ar-SA"/>
                    </w:rPr>
                  </w:pPr>
                  <w:r>
                    <w:rPr>
                      <w:color w:val="auto"/>
                      <w:sz w:val="18"/>
                      <w:szCs w:val="18"/>
                      <w:highlight w:val="none"/>
                      <w:lang w:val="en-US" w:eastAsia="zh-CN"/>
                    </w:rPr>
                    <w:t>全自动螺丝机</w:t>
                  </w:r>
                </w:p>
              </w:tc>
              <w:tc>
                <w:tcPr>
                  <w:tcW w:w="706" w:type="pct"/>
                  <w:shd w:val="clear" w:color="auto" w:fill="auto"/>
                  <w:noWrap w:val="0"/>
                  <w:vAlign w:val="center"/>
                </w:tcPr>
                <w:p w14:paraId="77D3CBB8">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00E1D2F0">
                  <w:pPr>
                    <w:jc w:val="center"/>
                    <w:rPr>
                      <w:rFonts w:hint="default" w:ascii="Times New Roman" w:hAnsi="Times New Roman" w:eastAsia="宋体" w:cs="Times New Roman"/>
                      <w:color w:val="auto"/>
                      <w:kern w:val="2"/>
                      <w:sz w:val="18"/>
                      <w:szCs w:val="18"/>
                      <w:highlight w:val="none"/>
                      <w:lang w:val="en-US" w:eastAsia="zh-CN" w:bidi="ar-SA"/>
                    </w:rPr>
                  </w:pPr>
                  <w:r>
                    <w:rPr>
                      <w:rFonts w:hint="eastAsia"/>
                      <w:color w:val="auto"/>
                      <w:sz w:val="18"/>
                      <w:szCs w:val="18"/>
                      <w:highlight w:val="none"/>
                      <w:lang w:val="en-US" w:eastAsia="zh-CN"/>
                    </w:rPr>
                    <w:t>8</w:t>
                  </w:r>
                </w:p>
              </w:tc>
              <w:tc>
                <w:tcPr>
                  <w:tcW w:w="570" w:type="pct"/>
                  <w:shd w:val="clear" w:color="auto" w:fill="auto"/>
                  <w:noWrap w:val="0"/>
                  <w:vAlign w:val="center"/>
                </w:tcPr>
                <w:p w14:paraId="5E94B16C">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84.0</w:t>
                  </w:r>
                </w:p>
              </w:tc>
              <w:tc>
                <w:tcPr>
                  <w:tcW w:w="455" w:type="pct"/>
                  <w:shd w:val="clear" w:color="auto" w:fill="auto"/>
                  <w:noWrap w:val="0"/>
                  <w:vAlign w:val="center"/>
                </w:tcPr>
                <w:p w14:paraId="1C20954E">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3369FDF5">
                  <w:pPr>
                    <w:adjustRightInd w:val="0"/>
                    <w:snapToGrid w:val="0"/>
                    <w:jc w:val="center"/>
                    <w:rPr>
                      <w:rFonts w:hint="eastAsia" w:ascii="Times New Roman" w:hAnsi="Times New Roman"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6</w:t>
                  </w:r>
                </w:p>
              </w:tc>
              <w:tc>
                <w:tcPr>
                  <w:tcW w:w="445" w:type="pct"/>
                  <w:noWrap w:val="0"/>
                  <w:vAlign w:val="center"/>
                </w:tcPr>
                <w:p w14:paraId="6DD4AC5C">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15.6 </w:t>
                  </w:r>
                </w:p>
              </w:tc>
              <w:tc>
                <w:tcPr>
                  <w:tcW w:w="423" w:type="pct"/>
                  <w:vMerge w:val="continue"/>
                  <w:noWrap w:val="0"/>
                  <w:vAlign w:val="center"/>
                </w:tcPr>
                <w:p w14:paraId="263B92A5">
                  <w:pPr>
                    <w:widowControl/>
                    <w:jc w:val="center"/>
                    <w:textAlignment w:val="center"/>
                    <w:rPr>
                      <w:color w:val="000000"/>
                      <w:sz w:val="18"/>
                      <w:szCs w:val="18"/>
                      <w:highlight w:val="none"/>
                    </w:rPr>
                  </w:pPr>
                </w:p>
              </w:tc>
              <w:tc>
                <w:tcPr>
                  <w:tcW w:w="456" w:type="pct"/>
                  <w:vMerge w:val="continue"/>
                  <w:noWrap w:val="0"/>
                  <w:vAlign w:val="center"/>
                </w:tcPr>
                <w:p w14:paraId="13379120">
                  <w:pPr>
                    <w:jc w:val="center"/>
                    <w:rPr>
                      <w:color w:val="000000"/>
                      <w:sz w:val="18"/>
                      <w:szCs w:val="18"/>
                      <w:highlight w:val="none"/>
                    </w:rPr>
                  </w:pPr>
                </w:p>
              </w:tc>
            </w:tr>
            <w:tr w14:paraId="164BD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5617C119">
                  <w:pPr>
                    <w:widowControl/>
                    <w:jc w:val="center"/>
                    <w:rPr>
                      <w:color w:val="000000"/>
                      <w:spacing w:val="-6"/>
                      <w:sz w:val="18"/>
                      <w:szCs w:val="18"/>
                      <w:highlight w:val="none"/>
                    </w:rPr>
                  </w:pPr>
                </w:p>
              </w:tc>
              <w:tc>
                <w:tcPr>
                  <w:tcW w:w="903" w:type="pct"/>
                  <w:shd w:val="clear" w:color="auto" w:fill="auto"/>
                  <w:noWrap w:val="0"/>
                  <w:vAlign w:val="center"/>
                </w:tcPr>
                <w:p w14:paraId="2E74C40C">
                  <w:pPr>
                    <w:jc w:val="center"/>
                    <w:rPr>
                      <w:rFonts w:hint="default" w:ascii="Times New Roman" w:hAnsi="Times New Roman" w:eastAsia="宋体" w:cs="Times New Roman"/>
                      <w:kern w:val="2"/>
                      <w:sz w:val="18"/>
                      <w:szCs w:val="18"/>
                      <w:highlight w:val="none"/>
                      <w:lang w:val="en-US" w:eastAsia="zh-CN" w:bidi="ar-SA"/>
                    </w:rPr>
                  </w:pPr>
                  <w:r>
                    <w:rPr>
                      <w:rFonts w:hint="eastAsia"/>
                      <w:color w:val="auto"/>
                      <w:sz w:val="18"/>
                      <w:szCs w:val="18"/>
                      <w:highlight w:val="none"/>
                      <w:lang w:val="en-US" w:eastAsia="zh-CN"/>
                    </w:rPr>
                    <w:t>打包机</w:t>
                  </w:r>
                </w:p>
              </w:tc>
              <w:tc>
                <w:tcPr>
                  <w:tcW w:w="706" w:type="pct"/>
                  <w:shd w:val="clear" w:color="auto" w:fill="auto"/>
                  <w:noWrap w:val="0"/>
                  <w:vAlign w:val="center"/>
                </w:tcPr>
                <w:p w14:paraId="2DA5E1FE">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6E78E272">
                  <w:pPr>
                    <w:jc w:val="center"/>
                    <w:rPr>
                      <w:rFonts w:hint="default" w:ascii="Times New Roman" w:hAnsi="Times New Roman" w:eastAsia="宋体" w:cs="Times New Roman"/>
                      <w:color w:val="auto"/>
                      <w:kern w:val="2"/>
                      <w:sz w:val="18"/>
                      <w:szCs w:val="18"/>
                      <w:highlight w:val="none"/>
                      <w:lang w:val="en-US" w:eastAsia="zh-CN" w:bidi="ar-SA"/>
                    </w:rPr>
                  </w:pPr>
                  <w:r>
                    <w:rPr>
                      <w:rFonts w:hint="eastAsia"/>
                      <w:color w:val="auto"/>
                      <w:sz w:val="18"/>
                      <w:szCs w:val="18"/>
                      <w:highlight w:val="none"/>
                      <w:lang w:val="en-US" w:eastAsia="zh-CN"/>
                    </w:rPr>
                    <w:t>5</w:t>
                  </w:r>
                </w:p>
              </w:tc>
              <w:tc>
                <w:tcPr>
                  <w:tcW w:w="570" w:type="pct"/>
                  <w:shd w:val="clear" w:color="auto" w:fill="auto"/>
                  <w:noWrap w:val="0"/>
                  <w:vAlign w:val="center"/>
                </w:tcPr>
                <w:p w14:paraId="0745BEEE">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87.0</w:t>
                  </w:r>
                </w:p>
              </w:tc>
              <w:tc>
                <w:tcPr>
                  <w:tcW w:w="455" w:type="pct"/>
                  <w:shd w:val="clear" w:color="auto" w:fill="auto"/>
                  <w:noWrap w:val="0"/>
                  <w:vAlign w:val="center"/>
                </w:tcPr>
                <w:p w14:paraId="755167A1">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17CF28FE">
                  <w:pPr>
                    <w:adjustRightInd w:val="0"/>
                    <w:snapToGrid w:val="0"/>
                    <w:jc w:val="center"/>
                    <w:rPr>
                      <w:rFonts w:hint="eastAsia" w:ascii="Times New Roman" w:hAnsi="Times New Roman"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10</w:t>
                  </w:r>
                </w:p>
              </w:tc>
              <w:tc>
                <w:tcPr>
                  <w:tcW w:w="445" w:type="pct"/>
                  <w:noWrap w:val="0"/>
                  <w:vAlign w:val="center"/>
                </w:tcPr>
                <w:p w14:paraId="7A0B4D11">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423" w:type="pct"/>
                  <w:vMerge w:val="continue"/>
                  <w:noWrap w:val="0"/>
                  <w:vAlign w:val="center"/>
                </w:tcPr>
                <w:p w14:paraId="5BC24458">
                  <w:pPr>
                    <w:widowControl/>
                    <w:jc w:val="center"/>
                    <w:textAlignment w:val="center"/>
                    <w:rPr>
                      <w:color w:val="000000"/>
                      <w:sz w:val="18"/>
                      <w:szCs w:val="18"/>
                      <w:highlight w:val="none"/>
                    </w:rPr>
                  </w:pPr>
                </w:p>
              </w:tc>
              <w:tc>
                <w:tcPr>
                  <w:tcW w:w="456" w:type="pct"/>
                  <w:vMerge w:val="continue"/>
                  <w:noWrap w:val="0"/>
                  <w:vAlign w:val="center"/>
                </w:tcPr>
                <w:p w14:paraId="7C34B616">
                  <w:pPr>
                    <w:jc w:val="center"/>
                    <w:rPr>
                      <w:color w:val="000000"/>
                      <w:sz w:val="18"/>
                      <w:szCs w:val="18"/>
                      <w:highlight w:val="none"/>
                    </w:rPr>
                  </w:pPr>
                </w:p>
              </w:tc>
            </w:tr>
            <w:tr w14:paraId="2A22A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32610A3B">
                  <w:pPr>
                    <w:widowControl/>
                    <w:jc w:val="center"/>
                    <w:rPr>
                      <w:color w:val="000000"/>
                      <w:spacing w:val="-6"/>
                      <w:sz w:val="18"/>
                      <w:szCs w:val="18"/>
                      <w:highlight w:val="none"/>
                    </w:rPr>
                  </w:pPr>
                </w:p>
              </w:tc>
              <w:tc>
                <w:tcPr>
                  <w:tcW w:w="903" w:type="pct"/>
                  <w:shd w:val="clear" w:color="auto" w:fill="auto"/>
                  <w:noWrap w:val="0"/>
                  <w:vAlign w:val="center"/>
                </w:tcPr>
                <w:p w14:paraId="05FA0F78">
                  <w:pPr>
                    <w:jc w:val="center"/>
                    <w:rPr>
                      <w:rFonts w:hint="default" w:ascii="Times New Roman" w:hAnsi="Times New Roman" w:eastAsia="宋体" w:cs="Times New Roman"/>
                      <w:kern w:val="2"/>
                      <w:sz w:val="18"/>
                      <w:szCs w:val="18"/>
                      <w:highlight w:val="none"/>
                      <w:lang w:val="en-US" w:eastAsia="zh-CN" w:bidi="ar-SA"/>
                    </w:rPr>
                  </w:pPr>
                  <w:r>
                    <w:rPr>
                      <w:rFonts w:hint="eastAsia"/>
                      <w:b w:val="0"/>
                      <w:bCs w:val="0"/>
                      <w:color w:val="000000"/>
                      <w:kern w:val="2"/>
                      <w:sz w:val="18"/>
                      <w:szCs w:val="18"/>
                      <w:highlight w:val="none"/>
                      <w:vertAlign w:val="baseline"/>
                      <w:lang w:val="en-US" w:eastAsia="zh-CN" w:bidi="ar-SA"/>
                    </w:rPr>
                    <w:t>空压机</w:t>
                  </w:r>
                </w:p>
              </w:tc>
              <w:tc>
                <w:tcPr>
                  <w:tcW w:w="706" w:type="pct"/>
                  <w:shd w:val="clear" w:color="auto" w:fill="auto"/>
                  <w:noWrap w:val="0"/>
                  <w:vAlign w:val="center"/>
                </w:tcPr>
                <w:p w14:paraId="548DED62">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90</w:t>
                  </w:r>
                </w:p>
              </w:tc>
              <w:tc>
                <w:tcPr>
                  <w:tcW w:w="280" w:type="pct"/>
                  <w:shd w:val="clear" w:color="auto" w:fill="auto"/>
                  <w:noWrap w:val="0"/>
                  <w:vAlign w:val="center"/>
                </w:tcPr>
                <w:p w14:paraId="2661C144">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2</w:t>
                  </w:r>
                </w:p>
              </w:tc>
              <w:tc>
                <w:tcPr>
                  <w:tcW w:w="570" w:type="pct"/>
                  <w:shd w:val="clear" w:color="auto" w:fill="auto"/>
                  <w:noWrap w:val="0"/>
                  <w:vAlign w:val="center"/>
                </w:tcPr>
                <w:p w14:paraId="483BB646">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93.0</w:t>
                  </w:r>
                </w:p>
              </w:tc>
              <w:tc>
                <w:tcPr>
                  <w:tcW w:w="455" w:type="pct"/>
                  <w:shd w:val="clear" w:color="auto" w:fill="auto"/>
                  <w:noWrap w:val="0"/>
                  <w:vAlign w:val="center"/>
                </w:tcPr>
                <w:p w14:paraId="0DCE1A6B">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6363A9BD">
                  <w:pPr>
                    <w:adjustRightInd w:val="0"/>
                    <w:snapToGrid w:val="0"/>
                    <w:jc w:val="center"/>
                    <w:rPr>
                      <w:rFonts w:hint="eastAsia" w:ascii="Times New Roman" w:hAnsi="Times New Roman"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10</w:t>
                  </w:r>
                </w:p>
              </w:tc>
              <w:tc>
                <w:tcPr>
                  <w:tcW w:w="445" w:type="pct"/>
                  <w:noWrap w:val="0"/>
                  <w:vAlign w:val="center"/>
                </w:tcPr>
                <w:p w14:paraId="0FECCE63">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423" w:type="pct"/>
                  <w:vMerge w:val="continue"/>
                  <w:noWrap w:val="0"/>
                  <w:vAlign w:val="center"/>
                </w:tcPr>
                <w:p w14:paraId="64D75E28">
                  <w:pPr>
                    <w:widowControl/>
                    <w:jc w:val="center"/>
                    <w:textAlignment w:val="center"/>
                    <w:rPr>
                      <w:color w:val="000000"/>
                      <w:sz w:val="18"/>
                      <w:szCs w:val="18"/>
                      <w:highlight w:val="none"/>
                    </w:rPr>
                  </w:pPr>
                </w:p>
              </w:tc>
              <w:tc>
                <w:tcPr>
                  <w:tcW w:w="456" w:type="pct"/>
                  <w:vMerge w:val="continue"/>
                  <w:noWrap w:val="0"/>
                  <w:vAlign w:val="center"/>
                </w:tcPr>
                <w:p w14:paraId="1DD37FBC">
                  <w:pPr>
                    <w:jc w:val="center"/>
                    <w:rPr>
                      <w:color w:val="000000"/>
                      <w:sz w:val="18"/>
                      <w:szCs w:val="18"/>
                      <w:highlight w:val="none"/>
                    </w:rPr>
                  </w:pPr>
                </w:p>
              </w:tc>
            </w:tr>
            <w:tr w14:paraId="1FBFE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55CC56A6">
                  <w:pPr>
                    <w:widowControl/>
                    <w:jc w:val="center"/>
                    <w:rPr>
                      <w:color w:val="000000"/>
                      <w:spacing w:val="-6"/>
                      <w:sz w:val="18"/>
                      <w:szCs w:val="18"/>
                      <w:highlight w:val="none"/>
                    </w:rPr>
                  </w:pPr>
                </w:p>
              </w:tc>
              <w:tc>
                <w:tcPr>
                  <w:tcW w:w="903" w:type="pct"/>
                  <w:shd w:val="clear" w:color="auto" w:fill="auto"/>
                  <w:noWrap w:val="0"/>
                  <w:vAlign w:val="center"/>
                </w:tcPr>
                <w:p w14:paraId="6E4001B3">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挤出机</w:t>
                  </w:r>
                </w:p>
              </w:tc>
              <w:tc>
                <w:tcPr>
                  <w:tcW w:w="706" w:type="pct"/>
                  <w:shd w:val="clear" w:color="auto" w:fill="auto"/>
                  <w:noWrap w:val="0"/>
                  <w:vAlign w:val="center"/>
                </w:tcPr>
                <w:p w14:paraId="4273076C">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13A67446">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7</w:t>
                  </w:r>
                </w:p>
              </w:tc>
              <w:tc>
                <w:tcPr>
                  <w:tcW w:w="570" w:type="pct"/>
                  <w:shd w:val="clear" w:color="auto" w:fill="auto"/>
                  <w:noWrap w:val="0"/>
                  <w:vAlign w:val="center"/>
                </w:tcPr>
                <w:p w14:paraId="4B98360E">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83.5</w:t>
                  </w:r>
                </w:p>
              </w:tc>
              <w:tc>
                <w:tcPr>
                  <w:tcW w:w="455" w:type="pct"/>
                  <w:shd w:val="clear" w:color="auto" w:fill="auto"/>
                  <w:noWrap w:val="0"/>
                  <w:vAlign w:val="center"/>
                </w:tcPr>
                <w:p w14:paraId="640E3916">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1CA931B9">
                  <w:pPr>
                    <w:adjustRightInd w:val="0"/>
                    <w:snapToGrid w:val="0"/>
                    <w:jc w:val="center"/>
                    <w:rPr>
                      <w:rFonts w:hint="eastAsia" w:ascii="Times New Roman" w:hAnsi="Times New Roman"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10</w:t>
                  </w:r>
                </w:p>
              </w:tc>
              <w:tc>
                <w:tcPr>
                  <w:tcW w:w="445" w:type="pct"/>
                  <w:noWrap w:val="0"/>
                  <w:vAlign w:val="center"/>
                </w:tcPr>
                <w:p w14:paraId="5200FD1E">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423" w:type="pct"/>
                  <w:vMerge w:val="continue"/>
                  <w:noWrap w:val="0"/>
                  <w:vAlign w:val="center"/>
                </w:tcPr>
                <w:p w14:paraId="6053B921">
                  <w:pPr>
                    <w:widowControl/>
                    <w:jc w:val="center"/>
                    <w:textAlignment w:val="center"/>
                    <w:rPr>
                      <w:color w:val="000000"/>
                      <w:sz w:val="18"/>
                      <w:szCs w:val="18"/>
                      <w:highlight w:val="none"/>
                    </w:rPr>
                  </w:pPr>
                </w:p>
              </w:tc>
              <w:tc>
                <w:tcPr>
                  <w:tcW w:w="456" w:type="pct"/>
                  <w:vMerge w:val="continue"/>
                  <w:noWrap w:val="0"/>
                  <w:vAlign w:val="center"/>
                </w:tcPr>
                <w:p w14:paraId="63C49BCC">
                  <w:pPr>
                    <w:jc w:val="center"/>
                    <w:rPr>
                      <w:color w:val="000000"/>
                      <w:sz w:val="18"/>
                      <w:szCs w:val="18"/>
                      <w:highlight w:val="none"/>
                    </w:rPr>
                  </w:pPr>
                </w:p>
              </w:tc>
            </w:tr>
            <w:tr w14:paraId="05A94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5C1A299B">
                  <w:pPr>
                    <w:widowControl/>
                    <w:jc w:val="center"/>
                    <w:rPr>
                      <w:color w:val="000000"/>
                      <w:spacing w:val="-6"/>
                      <w:sz w:val="18"/>
                      <w:szCs w:val="18"/>
                      <w:highlight w:val="none"/>
                    </w:rPr>
                  </w:pPr>
                </w:p>
              </w:tc>
              <w:tc>
                <w:tcPr>
                  <w:tcW w:w="903" w:type="pct"/>
                  <w:shd w:val="clear" w:color="auto" w:fill="auto"/>
                  <w:noWrap w:val="0"/>
                  <w:vAlign w:val="center"/>
                </w:tcPr>
                <w:p w14:paraId="0F0D87D3">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成型机</w:t>
                  </w:r>
                </w:p>
              </w:tc>
              <w:tc>
                <w:tcPr>
                  <w:tcW w:w="706" w:type="pct"/>
                  <w:shd w:val="clear" w:color="auto" w:fill="auto"/>
                  <w:noWrap w:val="0"/>
                  <w:vAlign w:val="center"/>
                </w:tcPr>
                <w:p w14:paraId="2057DD65">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75</w:t>
                  </w:r>
                </w:p>
              </w:tc>
              <w:tc>
                <w:tcPr>
                  <w:tcW w:w="280" w:type="pct"/>
                  <w:shd w:val="clear" w:color="auto" w:fill="auto"/>
                  <w:noWrap w:val="0"/>
                  <w:vAlign w:val="center"/>
                </w:tcPr>
                <w:p w14:paraId="3045D5DA">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kern w:val="2"/>
                      <w:sz w:val="18"/>
                      <w:szCs w:val="18"/>
                      <w:highlight w:val="none"/>
                      <w:vertAlign w:val="baseline"/>
                      <w:lang w:val="en-US" w:eastAsia="zh-CN" w:bidi="ar-SA"/>
                    </w:rPr>
                    <w:t>7</w:t>
                  </w:r>
                </w:p>
              </w:tc>
              <w:tc>
                <w:tcPr>
                  <w:tcW w:w="570" w:type="pct"/>
                  <w:shd w:val="clear" w:color="auto" w:fill="auto"/>
                  <w:noWrap w:val="0"/>
                  <w:vAlign w:val="center"/>
                </w:tcPr>
                <w:p w14:paraId="2DAE5031">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83.5</w:t>
                  </w:r>
                </w:p>
              </w:tc>
              <w:tc>
                <w:tcPr>
                  <w:tcW w:w="455" w:type="pct"/>
                  <w:shd w:val="clear" w:color="auto" w:fill="auto"/>
                  <w:noWrap w:val="0"/>
                  <w:vAlign w:val="center"/>
                </w:tcPr>
                <w:p w14:paraId="6DD08912">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1F4056D4">
                  <w:pPr>
                    <w:adjustRightInd w:val="0"/>
                    <w:snapToGrid w:val="0"/>
                    <w:jc w:val="center"/>
                    <w:rPr>
                      <w:rFonts w:hint="eastAsia" w:ascii="Times New Roman" w:hAnsi="Times New Roman"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13</w:t>
                  </w:r>
                </w:p>
              </w:tc>
              <w:tc>
                <w:tcPr>
                  <w:tcW w:w="445" w:type="pct"/>
                  <w:noWrap w:val="0"/>
                  <w:vAlign w:val="center"/>
                </w:tcPr>
                <w:p w14:paraId="69B386F8">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22.3 </w:t>
                  </w:r>
                </w:p>
              </w:tc>
              <w:tc>
                <w:tcPr>
                  <w:tcW w:w="423" w:type="pct"/>
                  <w:vMerge w:val="continue"/>
                  <w:noWrap w:val="0"/>
                  <w:vAlign w:val="center"/>
                </w:tcPr>
                <w:p w14:paraId="5E8BCABC">
                  <w:pPr>
                    <w:widowControl/>
                    <w:jc w:val="center"/>
                    <w:textAlignment w:val="center"/>
                    <w:rPr>
                      <w:color w:val="000000"/>
                      <w:sz w:val="18"/>
                      <w:szCs w:val="18"/>
                      <w:highlight w:val="none"/>
                    </w:rPr>
                  </w:pPr>
                </w:p>
              </w:tc>
              <w:tc>
                <w:tcPr>
                  <w:tcW w:w="456" w:type="pct"/>
                  <w:vMerge w:val="continue"/>
                  <w:noWrap w:val="0"/>
                  <w:vAlign w:val="center"/>
                </w:tcPr>
                <w:p w14:paraId="4F07020A">
                  <w:pPr>
                    <w:jc w:val="center"/>
                    <w:rPr>
                      <w:color w:val="000000"/>
                      <w:sz w:val="18"/>
                      <w:szCs w:val="18"/>
                      <w:highlight w:val="none"/>
                    </w:rPr>
                  </w:pPr>
                </w:p>
              </w:tc>
            </w:tr>
            <w:tr w14:paraId="74139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1CA6EE80">
                  <w:pPr>
                    <w:widowControl/>
                    <w:jc w:val="center"/>
                    <w:rPr>
                      <w:color w:val="000000"/>
                      <w:spacing w:val="-6"/>
                      <w:sz w:val="18"/>
                      <w:szCs w:val="18"/>
                      <w:highlight w:val="none"/>
                    </w:rPr>
                  </w:pPr>
                </w:p>
              </w:tc>
              <w:tc>
                <w:tcPr>
                  <w:tcW w:w="903" w:type="pct"/>
                  <w:shd w:val="clear" w:color="auto" w:fill="auto"/>
                  <w:noWrap w:val="0"/>
                  <w:vAlign w:val="center"/>
                </w:tcPr>
                <w:p w14:paraId="7884DCE4">
                  <w:pPr>
                    <w:jc w:val="center"/>
                    <w:rPr>
                      <w:rFonts w:hint="default"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sz w:val="18"/>
                      <w:szCs w:val="18"/>
                      <w:highlight w:val="none"/>
                      <w:vertAlign w:val="baseline"/>
                      <w:lang w:val="en-US" w:eastAsia="zh-CN"/>
                    </w:rPr>
                    <w:t>打孔机</w:t>
                  </w:r>
                </w:p>
              </w:tc>
              <w:tc>
                <w:tcPr>
                  <w:tcW w:w="706" w:type="pct"/>
                  <w:shd w:val="clear" w:color="auto" w:fill="auto"/>
                  <w:noWrap w:val="0"/>
                  <w:vAlign w:val="center"/>
                </w:tcPr>
                <w:p w14:paraId="1377557D">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4CEB3F3D">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b w:val="0"/>
                      <w:bCs w:val="0"/>
                      <w:color w:val="000000"/>
                      <w:sz w:val="18"/>
                      <w:szCs w:val="18"/>
                      <w:highlight w:val="none"/>
                      <w:vertAlign w:val="baseline"/>
                      <w:lang w:val="en-US" w:eastAsia="zh-CN"/>
                    </w:rPr>
                    <w:t>7</w:t>
                  </w:r>
                </w:p>
              </w:tc>
              <w:tc>
                <w:tcPr>
                  <w:tcW w:w="570" w:type="pct"/>
                  <w:shd w:val="clear" w:color="auto" w:fill="auto"/>
                  <w:noWrap w:val="0"/>
                  <w:vAlign w:val="center"/>
                </w:tcPr>
                <w:p w14:paraId="39AED0E5">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88.5</w:t>
                  </w:r>
                </w:p>
              </w:tc>
              <w:tc>
                <w:tcPr>
                  <w:tcW w:w="455" w:type="pct"/>
                  <w:shd w:val="clear" w:color="auto" w:fill="auto"/>
                  <w:noWrap w:val="0"/>
                  <w:vAlign w:val="center"/>
                </w:tcPr>
                <w:p w14:paraId="60D7517C">
                  <w:pPr>
                    <w:adjustRightInd w:val="0"/>
                    <w:snapToGrid w:val="0"/>
                    <w:jc w:val="center"/>
                    <w:rPr>
                      <w:rFonts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4F1BD2A9">
                  <w:pPr>
                    <w:adjustRightInd w:val="0"/>
                    <w:snapToGrid w:val="0"/>
                    <w:jc w:val="center"/>
                    <w:rPr>
                      <w:rFonts w:hint="eastAsia" w:ascii="Times New Roman" w:hAnsi="Times New Roman"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16</w:t>
                  </w:r>
                </w:p>
              </w:tc>
              <w:tc>
                <w:tcPr>
                  <w:tcW w:w="445" w:type="pct"/>
                  <w:noWrap w:val="0"/>
                  <w:vAlign w:val="center"/>
                </w:tcPr>
                <w:p w14:paraId="28A6421B">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24.1 </w:t>
                  </w:r>
                </w:p>
              </w:tc>
              <w:tc>
                <w:tcPr>
                  <w:tcW w:w="423" w:type="pct"/>
                  <w:vMerge w:val="continue"/>
                  <w:noWrap w:val="0"/>
                  <w:vAlign w:val="center"/>
                </w:tcPr>
                <w:p w14:paraId="115F1292">
                  <w:pPr>
                    <w:widowControl/>
                    <w:jc w:val="center"/>
                    <w:textAlignment w:val="center"/>
                    <w:rPr>
                      <w:color w:val="000000"/>
                      <w:sz w:val="18"/>
                      <w:szCs w:val="18"/>
                      <w:highlight w:val="none"/>
                    </w:rPr>
                  </w:pPr>
                </w:p>
              </w:tc>
              <w:tc>
                <w:tcPr>
                  <w:tcW w:w="456" w:type="pct"/>
                  <w:vMerge w:val="continue"/>
                  <w:noWrap w:val="0"/>
                  <w:vAlign w:val="center"/>
                </w:tcPr>
                <w:p w14:paraId="58BA9317">
                  <w:pPr>
                    <w:jc w:val="center"/>
                    <w:rPr>
                      <w:color w:val="000000"/>
                      <w:sz w:val="18"/>
                      <w:szCs w:val="18"/>
                      <w:highlight w:val="none"/>
                    </w:rPr>
                  </w:pPr>
                </w:p>
              </w:tc>
            </w:tr>
            <w:tr w14:paraId="7CFCF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235D1C3D">
                  <w:pPr>
                    <w:widowControl/>
                    <w:jc w:val="center"/>
                    <w:rPr>
                      <w:color w:val="000000"/>
                      <w:spacing w:val="-6"/>
                      <w:sz w:val="18"/>
                      <w:szCs w:val="18"/>
                      <w:highlight w:val="none"/>
                    </w:rPr>
                  </w:pPr>
                </w:p>
              </w:tc>
              <w:tc>
                <w:tcPr>
                  <w:tcW w:w="903" w:type="pct"/>
                  <w:shd w:val="clear" w:color="auto" w:fill="auto"/>
                  <w:noWrap w:val="0"/>
                  <w:vAlign w:val="center"/>
                </w:tcPr>
                <w:p w14:paraId="75E8B6FA">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分切机</w:t>
                  </w:r>
                </w:p>
              </w:tc>
              <w:tc>
                <w:tcPr>
                  <w:tcW w:w="706" w:type="pct"/>
                  <w:shd w:val="clear" w:color="auto" w:fill="auto"/>
                  <w:noWrap w:val="0"/>
                  <w:vAlign w:val="center"/>
                </w:tcPr>
                <w:p w14:paraId="528E210A">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15B6B488">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7</w:t>
                  </w:r>
                </w:p>
              </w:tc>
              <w:tc>
                <w:tcPr>
                  <w:tcW w:w="570" w:type="pct"/>
                  <w:shd w:val="clear" w:color="auto" w:fill="auto"/>
                  <w:noWrap w:val="0"/>
                  <w:vAlign w:val="center"/>
                </w:tcPr>
                <w:p w14:paraId="5F0C180C">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88.5</w:t>
                  </w:r>
                </w:p>
              </w:tc>
              <w:tc>
                <w:tcPr>
                  <w:tcW w:w="455" w:type="pct"/>
                  <w:shd w:val="clear" w:color="auto" w:fill="auto"/>
                  <w:noWrap w:val="0"/>
                  <w:vAlign w:val="center"/>
                </w:tcPr>
                <w:p w14:paraId="73416750">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7604E0DC">
                  <w:pPr>
                    <w:adjustRightInd w:val="0"/>
                    <w:snapToGrid w:val="0"/>
                    <w:jc w:val="center"/>
                    <w:rPr>
                      <w:rFonts w:hint="eastAsia" w:ascii="Times New Roman" w:hAnsi="Times New Roman"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19</w:t>
                  </w:r>
                </w:p>
              </w:tc>
              <w:tc>
                <w:tcPr>
                  <w:tcW w:w="445" w:type="pct"/>
                  <w:noWrap w:val="0"/>
                  <w:vAlign w:val="center"/>
                </w:tcPr>
                <w:p w14:paraId="1773CC74">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25.6 </w:t>
                  </w:r>
                </w:p>
              </w:tc>
              <w:tc>
                <w:tcPr>
                  <w:tcW w:w="423" w:type="pct"/>
                  <w:vMerge w:val="continue"/>
                  <w:noWrap w:val="0"/>
                  <w:vAlign w:val="center"/>
                </w:tcPr>
                <w:p w14:paraId="4A065BB5">
                  <w:pPr>
                    <w:widowControl/>
                    <w:jc w:val="center"/>
                    <w:textAlignment w:val="center"/>
                    <w:rPr>
                      <w:color w:val="000000"/>
                      <w:sz w:val="18"/>
                      <w:szCs w:val="18"/>
                      <w:highlight w:val="none"/>
                    </w:rPr>
                  </w:pPr>
                </w:p>
              </w:tc>
              <w:tc>
                <w:tcPr>
                  <w:tcW w:w="456" w:type="pct"/>
                  <w:vMerge w:val="continue"/>
                  <w:noWrap w:val="0"/>
                  <w:vAlign w:val="center"/>
                </w:tcPr>
                <w:p w14:paraId="3C170E53">
                  <w:pPr>
                    <w:jc w:val="center"/>
                    <w:rPr>
                      <w:color w:val="000000"/>
                      <w:sz w:val="18"/>
                      <w:szCs w:val="18"/>
                      <w:highlight w:val="none"/>
                    </w:rPr>
                  </w:pPr>
                </w:p>
              </w:tc>
            </w:tr>
            <w:tr w14:paraId="2FDD3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2B59732A">
                  <w:pPr>
                    <w:widowControl/>
                    <w:jc w:val="center"/>
                    <w:rPr>
                      <w:color w:val="000000"/>
                      <w:spacing w:val="-6"/>
                      <w:sz w:val="18"/>
                      <w:szCs w:val="18"/>
                      <w:highlight w:val="none"/>
                    </w:rPr>
                  </w:pPr>
                </w:p>
              </w:tc>
              <w:tc>
                <w:tcPr>
                  <w:tcW w:w="903" w:type="pct"/>
                  <w:shd w:val="clear" w:color="auto" w:fill="auto"/>
                  <w:noWrap w:val="0"/>
                  <w:vAlign w:val="center"/>
                </w:tcPr>
                <w:p w14:paraId="30A5D416">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收卷机</w:t>
                  </w:r>
                </w:p>
              </w:tc>
              <w:tc>
                <w:tcPr>
                  <w:tcW w:w="706" w:type="pct"/>
                  <w:shd w:val="clear" w:color="auto" w:fill="auto"/>
                  <w:noWrap w:val="0"/>
                  <w:vAlign w:val="center"/>
                </w:tcPr>
                <w:p w14:paraId="39F2E681">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80</w:t>
                  </w:r>
                </w:p>
              </w:tc>
              <w:tc>
                <w:tcPr>
                  <w:tcW w:w="280" w:type="pct"/>
                  <w:shd w:val="clear" w:color="auto" w:fill="auto"/>
                  <w:noWrap w:val="0"/>
                  <w:vAlign w:val="center"/>
                </w:tcPr>
                <w:p w14:paraId="260C7D0A">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35</w:t>
                  </w:r>
                </w:p>
              </w:tc>
              <w:tc>
                <w:tcPr>
                  <w:tcW w:w="570" w:type="pct"/>
                  <w:shd w:val="clear" w:color="auto" w:fill="auto"/>
                  <w:noWrap w:val="0"/>
                  <w:vAlign w:val="center"/>
                </w:tcPr>
                <w:p w14:paraId="13AA3B7B">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95.4</w:t>
                  </w:r>
                </w:p>
              </w:tc>
              <w:tc>
                <w:tcPr>
                  <w:tcW w:w="455" w:type="pct"/>
                  <w:shd w:val="clear" w:color="auto" w:fill="auto"/>
                  <w:noWrap w:val="0"/>
                  <w:vAlign w:val="center"/>
                </w:tcPr>
                <w:p w14:paraId="0E28A194">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2BD2784B">
                  <w:pPr>
                    <w:adjustRightInd w:val="0"/>
                    <w:snapToGrid w:val="0"/>
                    <w:jc w:val="center"/>
                    <w:rPr>
                      <w:rFonts w:hint="eastAsia" w:ascii="Times New Roman" w:hAnsi="Times New Roman"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21</w:t>
                  </w:r>
                </w:p>
              </w:tc>
              <w:tc>
                <w:tcPr>
                  <w:tcW w:w="445" w:type="pct"/>
                  <w:noWrap w:val="0"/>
                  <w:vAlign w:val="center"/>
                </w:tcPr>
                <w:p w14:paraId="02FE2DA0">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26.4 </w:t>
                  </w:r>
                </w:p>
              </w:tc>
              <w:tc>
                <w:tcPr>
                  <w:tcW w:w="423" w:type="pct"/>
                  <w:vMerge w:val="continue"/>
                  <w:noWrap w:val="0"/>
                  <w:vAlign w:val="center"/>
                </w:tcPr>
                <w:p w14:paraId="3A16915B">
                  <w:pPr>
                    <w:widowControl/>
                    <w:jc w:val="center"/>
                    <w:textAlignment w:val="center"/>
                    <w:rPr>
                      <w:color w:val="000000"/>
                      <w:sz w:val="18"/>
                      <w:szCs w:val="18"/>
                      <w:highlight w:val="none"/>
                    </w:rPr>
                  </w:pPr>
                </w:p>
              </w:tc>
              <w:tc>
                <w:tcPr>
                  <w:tcW w:w="456" w:type="pct"/>
                  <w:vMerge w:val="continue"/>
                  <w:noWrap w:val="0"/>
                  <w:vAlign w:val="center"/>
                </w:tcPr>
                <w:p w14:paraId="30125507">
                  <w:pPr>
                    <w:jc w:val="center"/>
                    <w:rPr>
                      <w:color w:val="000000"/>
                      <w:sz w:val="18"/>
                      <w:szCs w:val="18"/>
                      <w:highlight w:val="none"/>
                    </w:rPr>
                  </w:pPr>
                </w:p>
              </w:tc>
            </w:tr>
            <w:tr w14:paraId="49391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11FB57D1">
                  <w:pPr>
                    <w:widowControl/>
                    <w:jc w:val="center"/>
                    <w:rPr>
                      <w:color w:val="000000"/>
                      <w:spacing w:val="-6"/>
                      <w:sz w:val="18"/>
                      <w:szCs w:val="18"/>
                      <w:highlight w:val="none"/>
                    </w:rPr>
                  </w:pPr>
                </w:p>
              </w:tc>
              <w:tc>
                <w:tcPr>
                  <w:tcW w:w="903" w:type="pct"/>
                  <w:shd w:val="clear" w:color="auto" w:fill="auto"/>
                  <w:noWrap w:val="0"/>
                  <w:vAlign w:val="center"/>
                </w:tcPr>
                <w:p w14:paraId="7FA2A2BD">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冷却塔</w:t>
                  </w:r>
                </w:p>
              </w:tc>
              <w:tc>
                <w:tcPr>
                  <w:tcW w:w="706" w:type="pct"/>
                  <w:shd w:val="clear" w:color="auto" w:fill="auto"/>
                  <w:noWrap w:val="0"/>
                  <w:vAlign w:val="center"/>
                </w:tcPr>
                <w:p w14:paraId="2EFF3DCB">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90</w:t>
                  </w:r>
                </w:p>
              </w:tc>
              <w:tc>
                <w:tcPr>
                  <w:tcW w:w="280" w:type="pct"/>
                  <w:shd w:val="clear" w:color="auto" w:fill="auto"/>
                  <w:noWrap w:val="0"/>
                  <w:vAlign w:val="center"/>
                </w:tcPr>
                <w:p w14:paraId="4EB2B1D6">
                  <w:pPr>
                    <w:jc w:val="center"/>
                    <w:rPr>
                      <w:rFonts w:hint="eastAsia" w:ascii="Times New Roman" w:hAnsi="Times New Roman" w:eastAsia="宋体" w:cs="Times New Roman"/>
                      <w:b w:val="0"/>
                      <w:bCs w:val="0"/>
                      <w:color w:val="000000"/>
                      <w:kern w:val="2"/>
                      <w:sz w:val="18"/>
                      <w:szCs w:val="18"/>
                      <w:highlight w:val="none"/>
                      <w:vertAlign w:val="baseline"/>
                      <w:lang w:val="en-US" w:eastAsia="zh-CN" w:bidi="ar-SA"/>
                    </w:rPr>
                  </w:pPr>
                  <w:r>
                    <w:rPr>
                      <w:rFonts w:hint="eastAsia" w:cs="Times New Roman"/>
                      <w:b w:val="0"/>
                      <w:bCs w:val="0"/>
                      <w:color w:val="000000"/>
                      <w:kern w:val="2"/>
                      <w:sz w:val="18"/>
                      <w:szCs w:val="18"/>
                      <w:highlight w:val="none"/>
                      <w:vertAlign w:val="baseline"/>
                      <w:lang w:val="en-US" w:eastAsia="zh-CN" w:bidi="ar-SA"/>
                    </w:rPr>
                    <w:t>1</w:t>
                  </w:r>
                </w:p>
              </w:tc>
              <w:tc>
                <w:tcPr>
                  <w:tcW w:w="570" w:type="pct"/>
                  <w:shd w:val="clear" w:color="auto" w:fill="auto"/>
                  <w:noWrap w:val="0"/>
                  <w:vAlign w:val="center"/>
                </w:tcPr>
                <w:p w14:paraId="2C361890">
                  <w:pPr>
                    <w:jc w:val="center"/>
                    <w:rPr>
                      <w:rFonts w:hint="eastAsia"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90.0</w:t>
                  </w:r>
                </w:p>
              </w:tc>
              <w:tc>
                <w:tcPr>
                  <w:tcW w:w="455" w:type="pct"/>
                  <w:shd w:val="clear" w:color="auto" w:fill="auto"/>
                  <w:noWrap w:val="0"/>
                  <w:vAlign w:val="center"/>
                </w:tcPr>
                <w:p w14:paraId="7C76CE92">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rPr>
                    <w:t>25</w:t>
                  </w:r>
                </w:p>
              </w:tc>
              <w:tc>
                <w:tcPr>
                  <w:tcW w:w="574" w:type="pct"/>
                  <w:noWrap w:val="0"/>
                  <w:vAlign w:val="center"/>
                </w:tcPr>
                <w:p w14:paraId="4E452280">
                  <w:pPr>
                    <w:adjustRightInd w:val="0"/>
                    <w:snapToGrid w:val="0"/>
                    <w:jc w:val="center"/>
                    <w:rPr>
                      <w:rFonts w:hint="eastAsia" w:ascii="Times New Roman" w:hAnsi="Times New Roman"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8</w:t>
                  </w:r>
                </w:p>
              </w:tc>
              <w:tc>
                <w:tcPr>
                  <w:tcW w:w="445" w:type="pct"/>
                  <w:noWrap w:val="0"/>
                  <w:vAlign w:val="center"/>
                </w:tcPr>
                <w:p w14:paraId="0E636CB7">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18.1 </w:t>
                  </w:r>
                </w:p>
              </w:tc>
              <w:tc>
                <w:tcPr>
                  <w:tcW w:w="423" w:type="pct"/>
                  <w:vMerge w:val="continue"/>
                  <w:noWrap w:val="0"/>
                  <w:vAlign w:val="center"/>
                </w:tcPr>
                <w:p w14:paraId="5BA50BAA">
                  <w:pPr>
                    <w:widowControl/>
                    <w:jc w:val="center"/>
                    <w:textAlignment w:val="center"/>
                    <w:rPr>
                      <w:color w:val="000000"/>
                      <w:sz w:val="18"/>
                      <w:szCs w:val="18"/>
                      <w:highlight w:val="none"/>
                    </w:rPr>
                  </w:pPr>
                </w:p>
              </w:tc>
              <w:tc>
                <w:tcPr>
                  <w:tcW w:w="456" w:type="pct"/>
                  <w:vMerge w:val="continue"/>
                  <w:noWrap w:val="0"/>
                  <w:vAlign w:val="center"/>
                </w:tcPr>
                <w:p w14:paraId="41A1C134">
                  <w:pPr>
                    <w:jc w:val="center"/>
                    <w:rPr>
                      <w:color w:val="000000"/>
                      <w:sz w:val="18"/>
                      <w:szCs w:val="18"/>
                      <w:highlight w:val="none"/>
                    </w:rPr>
                  </w:pPr>
                </w:p>
              </w:tc>
            </w:tr>
            <w:tr w14:paraId="310F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 w:hRule="atLeast"/>
                <w:jc w:val="center"/>
              </w:trPr>
              <w:tc>
                <w:tcPr>
                  <w:tcW w:w="184" w:type="pct"/>
                  <w:vMerge w:val="continue"/>
                  <w:noWrap w:val="0"/>
                  <w:vAlign w:val="center"/>
                </w:tcPr>
                <w:p w14:paraId="6B059163">
                  <w:pPr>
                    <w:widowControl/>
                    <w:jc w:val="center"/>
                    <w:rPr>
                      <w:color w:val="000000"/>
                      <w:spacing w:val="-6"/>
                      <w:sz w:val="18"/>
                      <w:szCs w:val="18"/>
                      <w:highlight w:val="none"/>
                    </w:rPr>
                  </w:pPr>
                </w:p>
              </w:tc>
              <w:tc>
                <w:tcPr>
                  <w:tcW w:w="903" w:type="pct"/>
                  <w:shd w:val="clear" w:color="auto" w:fill="auto"/>
                  <w:noWrap w:val="0"/>
                  <w:vAlign w:val="center"/>
                </w:tcPr>
                <w:p w14:paraId="2D496B8B">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ascii="Times New Roman" w:hAnsi="Times New Roman" w:eastAsia="宋体" w:cs="Times New Roman"/>
                      <w:color w:val="000000"/>
                      <w:spacing w:val="-2"/>
                      <w:kern w:val="0"/>
                      <w:sz w:val="18"/>
                      <w:szCs w:val="18"/>
                      <w:highlight w:val="none"/>
                      <w:lang w:val="en-US" w:eastAsia="zh-CN"/>
                    </w:rPr>
                    <w:t>风机</w:t>
                  </w:r>
                </w:p>
              </w:tc>
              <w:tc>
                <w:tcPr>
                  <w:tcW w:w="706" w:type="pct"/>
                  <w:shd w:val="clear" w:color="auto" w:fill="auto"/>
                  <w:noWrap w:val="0"/>
                  <w:vAlign w:val="center"/>
                </w:tcPr>
                <w:p w14:paraId="3E69DDBC">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lang w:val="en-US" w:eastAsia="zh-CN"/>
                    </w:rPr>
                    <w:t>90</w:t>
                  </w:r>
                </w:p>
              </w:tc>
              <w:tc>
                <w:tcPr>
                  <w:tcW w:w="280" w:type="pct"/>
                  <w:shd w:val="clear" w:color="auto" w:fill="auto"/>
                  <w:noWrap w:val="0"/>
                  <w:vAlign w:val="center"/>
                </w:tcPr>
                <w:p w14:paraId="1FFFCC7B">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lang w:val="en-US" w:eastAsia="zh-CN"/>
                    </w:rPr>
                    <w:t>1</w:t>
                  </w:r>
                </w:p>
              </w:tc>
              <w:tc>
                <w:tcPr>
                  <w:tcW w:w="570" w:type="pct"/>
                  <w:shd w:val="clear" w:color="auto" w:fill="auto"/>
                  <w:noWrap w:val="0"/>
                  <w:vAlign w:val="center"/>
                </w:tcPr>
                <w:p w14:paraId="4181A980">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lang w:val="en-US" w:eastAsia="zh-CN"/>
                    </w:rPr>
                    <w:t>90.0</w:t>
                  </w:r>
                </w:p>
              </w:tc>
              <w:tc>
                <w:tcPr>
                  <w:tcW w:w="455" w:type="pct"/>
                  <w:shd w:val="clear" w:color="auto" w:fill="auto"/>
                  <w:noWrap w:val="0"/>
                  <w:vAlign w:val="center"/>
                </w:tcPr>
                <w:p w14:paraId="6C53E657">
                  <w:pPr>
                    <w:adjustRightInd w:val="0"/>
                    <w:snapToGrid w:val="0"/>
                    <w:jc w:val="center"/>
                    <w:rPr>
                      <w:rFonts w:hint="eastAsia" w:ascii="Times New Roman" w:hAnsi="Times New Roman" w:eastAsia="宋体" w:cs="Times New Roman"/>
                      <w:color w:val="000000"/>
                      <w:kern w:val="2"/>
                      <w:sz w:val="18"/>
                      <w:szCs w:val="18"/>
                      <w:highlight w:val="none"/>
                      <w:lang w:val="en-US" w:eastAsia="zh-CN" w:bidi="ar-SA"/>
                    </w:rPr>
                  </w:pPr>
                  <w:r>
                    <w:rPr>
                      <w:rFonts w:hint="eastAsia"/>
                      <w:color w:val="000000"/>
                      <w:sz w:val="18"/>
                      <w:szCs w:val="18"/>
                      <w:highlight w:val="none"/>
                      <w:lang w:val="en-US" w:eastAsia="zh-CN"/>
                    </w:rPr>
                    <w:t>25</w:t>
                  </w:r>
                </w:p>
              </w:tc>
              <w:tc>
                <w:tcPr>
                  <w:tcW w:w="574" w:type="pct"/>
                  <w:noWrap w:val="0"/>
                  <w:vAlign w:val="center"/>
                </w:tcPr>
                <w:p w14:paraId="51E117E0">
                  <w:pPr>
                    <w:adjustRightInd w:val="0"/>
                    <w:snapToGrid w:val="0"/>
                    <w:jc w:val="center"/>
                    <w:rPr>
                      <w:rFonts w:hint="eastAsia" w:ascii="Times New Roman" w:hAnsi="Times New Roman" w:cs="Times New Roman"/>
                      <w:color w:val="000000"/>
                      <w:sz w:val="18"/>
                      <w:szCs w:val="18"/>
                      <w:highlight w:val="none"/>
                      <w:lang w:val="en-US" w:eastAsia="zh-CN"/>
                    </w:rPr>
                  </w:pPr>
                  <w:r>
                    <w:rPr>
                      <w:rFonts w:hint="eastAsia" w:ascii="Times New Roman" w:hAnsi="Times New Roman" w:cs="Times New Roman"/>
                      <w:color w:val="000000"/>
                      <w:sz w:val="18"/>
                      <w:szCs w:val="18"/>
                      <w:highlight w:val="none"/>
                      <w:lang w:val="en-US" w:eastAsia="zh-CN"/>
                    </w:rPr>
                    <w:t>10</w:t>
                  </w:r>
                </w:p>
              </w:tc>
              <w:tc>
                <w:tcPr>
                  <w:tcW w:w="445" w:type="pct"/>
                  <w:noWrap w:val="0"/>
                  <w:vAlign w:val="center"/>
                </w:tcPr>
                <w:p w14:paraId="6D9BAB35">
                  <w:pPr>
                    <w:keepNext w:val="0"/>
                    <w:keepLines w:val="0"/>
                    <w:widowControl/>
                    <w:suppressLineNumbers w:val="0"/>
                    <w:jc w:val="center"/>
                    <w:textAlignment w:val="center"/>
                    <w:rPr>
                      <w:color w:val="000000"/>
                      <w:kern w:val="0"/>
                      <w:sz w:val="18"/>
                      <w:szCs w:val="18"/>
                      <w:highlight w:val="none"/>
                      <w:lang w:bidi="ar"/>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20.0 </w:t>
                  </w:r>
                </w:p>
              </w:tc>
              <w:tc>
                <w:tcPr>
                  <w:tcW w:w="423" w:type="pct"/>
                  <w:vMerge w:val="continue"/>
                  <w:noWrap w:val="0"/>
                  <w:vAlign w:val="center"/>
                </w:tcPr>
                <w:p w14:paraId="54702392">
                  <w:pPr>
                    <w:widowControl/>
                    <w:jc w:val="center"/>
                    <w:textAlignment w:val="center"/>
                    <w:rPr>
                      <w:color w:val="000000"/>
                      <w:sz w:val="18"/>
                      <w:szCs w:val="18"/>
                      <w:highlight w:val="none"/>
                    </w:rPr>
                  </w:pPr>
                </w:p>
              </w:tc>
              <w:tc>
                <w:tcPr>
                  <w:tcW w:w="456" w:type="pct"/>
                  <w:vMerge w:val="continue"/>
                  <w:noWrap w:val="0"/>
                  <w:vAlign w:val="center"/>
                </w:tcPr>
                <w:p w14:paraId="68BFBA2D">
                  <w:pPr>
                    <w:jc w:val="center"/>
                    <w:rPr>
                      <w:color w:val="000000"/>
                      <w:sz w:val="18"/>
                      <w:szCs w:val="18"/>
                      <w:highlight w:val="none"/>
                    </w:rPr>
                  </w:pPr>
                </w:p>
              </w:tc>
            </w:tr>
          </w:tbl>
          <w:p w14:paraId="707443EB">
            <w:pPr>
              <w:spacing w:line="360" w:lineRule="auto"/>
              <w:ind w:firstLine="480" w:firstLineChars="200"/>
              <w:rPr>
                <w:rFonts w:hint="default" w:ascii="Times New Roman" w:hAnsi="Times New Roman" w:eastAsia="宋体" w:cs="Times New Roman"/>
                <w:color w:val="000000"/>
                <w:kern w:val="2"/>
                <w:sz w:val="24"/>
                <w:szCs w:val="24"/>
                <w:highlight w:val="none"/>
                <w:lang w:val="en-US" w:eastAsia="zh-CN" w:bidi="ar-SA"/>
              </w:rPr>
            </w:pPr>
            <w:r>
              <w:rPr>
                <w:rFonts w:hint="default" w:ascii="Times New Roman" w:hAnsi="Times New Roman" w:cs="Times New Roman"/>
                <w:color w:val="000000"/>
                <w:sz w:val="24"/>
                <w:szCs w:val="24"/>
                <w:highlight w:val="none"/>
              </w:rPr>
              <w:t>由上表可见，采取以上措施后，项目区</w:t>
            </w:r>
            <w:r>
              <w:rPr>
                <w:rFonts w:hint="default" w:ascii="Times New Roman" w:hAnsi="Times New Roman" w:cs="Times New Roman"/>
                <w:b w:val="0"/>
                <w:bCs w:val="0"/>
                <w:color w:val="000000"/>
                <w:spacing w:val="0"/>
                <w:position w:val="0"/>
                <w:sz w:val="24"/>
                <w:szCs w:val="24"/>
                <w:highlight w:val="none"/>
                <w:lang w:eastAsia="zh-CN"/>
              </w:rPr>
              <w:t>厂</w:t>
            </w:r>
            <w:r>
              <w:rPr>
                <w:rFonts w:hint="default" w:ascii="Times New Roman" w:hAnsi="Times New Roman" w:cs="Times New Roman"/>
                <w:color w:val="000000"/>
                <w:sz w:val="24"/>
                <w:szCs w:val="24"/>
                <w:highlight w:val="none"/>
              </w:rPr>
              <w:t>界噪声可以达到《工业企业厂界环境噪声排放标准》</w:t>
            </w:r>
            <w:r>
              <w:rPr>
                <w:rFonts w:hint="default" w:ascii="Times New Roman" w:hAnsi="Times New Roman" w:cs="Times New Roman"/>
                <w:color w:val="000000"/>
                <w:sz w:val="24"/>
                <w:szCs w:val="24"/>
                <w:highlight w:val="none"/>
                <w:lang w:eastAsia="zh-CN"/>
              </w:rPr>
              <w:t>（</w:t>
            </w:r>
            <w:r>
              <w:rPr>
                <w:rFonts w:hint="default" w:ascii="Times New Roman" w:hAnsi="Times New Roman" w:cs="Times New Roman"/>
                <w:color w:val="000000"/>
                <w:sz w:val="24"/>
                <w:szCs w:val="24"/>
                <w:highlight w:val="none"/>
              </w:rPr>
              <w:t>GB12348-2008</w:t>
            </w:r>
            <w:r>
              <w:rPr>
                <w:rFonts w:hint="default" w:ascii="Times New Roman" w:hAnsi="Times New Roman" w:cs="Times New Roman"/>
                <w:color w:val="000000"/>
                <w:sz w:val="24"/>
                <w:szCs w:val="24"/>
                <w:highlight w:val="none"/>
                <w:lang w:eastAsia="zh-CN"/>
              </w:rPr>
              <w:t>）</w:t>
            </w:r>
            <w:r>
              <w:rPr>
                <w:rFonts w:hint="default" w:ascii="Times New Roman" w:hAnsi="Times New Roman" w:cs="Times New Roman"/>
                <w:color w:val="000000"/>
                <w:sz w:val="24"/>
                <w:szCs w:val="24"/>
                <w:highlight w:val="none"/>
              </w:rPr>
              <w:t>中</w:t>
            </w:r>
            <w:r>
              <w:rPr>
                <w:rFonts w:hint="default" w:ascii="Times New Roman" w:hAnsi="Times New Roman" w:cs="Times New Roman"/>
                <w:color w:val="000000"/>
                <w:sz w:val="24"/>
                <w:szCs w:val="24"/>
                <w:highlight w:val="none"/>
                <w:lang w:val="en-US" w:eastAsia="zh-CN"/>
              </w:rPr>
              <w:t>3</w:t>
            </w:r>
            <w:r>
              <w:rPr>
                <w:rFonts w:hint="default" w:ascii="Times New Roman" w:hAnsi="Times New Roman" w:cs="Times New Roman"/>
                <w:color w:val="000000"/>
                <w:sz w:val="24"/>
                <w:szCs w:val="24"/>
                <w:highlight w:val="none"/>
              </w:rPr>
              <w:t>类标准要求。</w:t>
            </w:r>
          </w:p>
          <w:p w14:paraId="3D08C8DE">
            <w:pPr>
              <w:spacing w:line="360" w:lineRule="auto"/>
              <w:ind w:firstLine="482" w:firstLineChars="200"/>
              <w:rPr>
                <w:rFonts w:hint="default" w:eastAsia="宋体"/>
                <w:color w:val="auto"/>
                <w:highlight w:val="none"/>
                <w:lang w:val="en-US" w:eastAsia="zh-CN"/>
              </w:rPr>
            </w:pPr>
            <w:r>
              <w:rPr>
                <w:rFonts w:hint="eastAsia"/>
                <w:b/>
                <w:bCs/>
                <w:color w:val="auto"/>
                <w:sz w:val="24"/>
                <w:szCs w:val="24"/>
                <w:highlight w:val="none"/>
                <w:lang w:val="en-US" w:eastAsia="zh-CN"/>
              </w:rPr>
              <w:t>4、固体废物</w:t>
            </w:r>
          </w:p>
          <w:p w14:paraId="757E61B5">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cs="Times New Roman"/>
                <w:b/>
                <w:color w:val="auto"/>
                <w:sz w:val="24"/>
                <w:szCs w:val="24"/>
                <w:highlight w:val="none"/>
                <w:lang w:val="en-US"/>
              </w:rPr>
            </w:pPr>
            <w:r>
              <w:rPr>
                <w:rFonts w:hint="default" w:ascii="Times New Roman" w:hAnsi="Times New Roman" w:cs="Times New Roman"/>
                <w:color w:val="auto"/>
                <w:sz w:val="24"/>
                <w:szCs w:val="24"/>
                <w:highlight w:val="none"/>
                <w:lang w:val="en-US" w:eastAsia="zh-CN"/>
              </w:rPr>
              <w:t>本项目固废主要为生活垃圾、一般固体废物和危险废物。</w:t>
            </w:r>
            <w:r>
              <w:rPr>
                <w:rFonts w:hint="eastAsia" w:ascii="Times New Roman" w:hAnsi="Times New Roman" w:cs="Times New Roman"/>
                <w:color w:val="auto"/>
                <w:sz w:val="24"/>
                <w:szCs w:val="24"/>
                <w:highlight w:val="none"/>
                <w:lang w:val="en-US" w:eastAsia="zh-CN"/>
              </w:rPr>
              <w:t>其中一般固废主要为锡焊焊渣、不合格品（显示屏模组器件）、废边角料、废包装箱，危险废物主要为废包装材料、擦拭废纸、不合格品（LED显示屏模组）、</w:t>
            </w:r>
            <w:r>
              <w:rPr>
                <w:rFonts w:hint="eastAsia" w:cs="Times New Roman"/>
                <w:color w:val="auto"/>
                <w:sz w:val="24"/>
                <w:szCs w:val="24"/>
                <w:highlight w:val="none"/>
                <w:lang w:val="en-US" w:eastAsia="zh-CN"/>
              </w:rPr>
              <w:t>废机油及油桶</w:t>
            </w:r>
            <w:r>
              <w:rPr>
                <w:rFonts w:hint="eastAsia" w:ascii="Times New Roman" w:hAnsi="Times New Roman" w:cs="Times New Roman"/>
                <w:color w:val="auto"/>
                <w:sz w:val="24"/>
                <w:szCs w:val="24"/>
                <w:highlight w:val="none"/>
                <w:lang w:val="en-US" w:eastAsia="zh-CN"/>
              </w:rPr>
              <w:t>、废油抹布及手套、废活性炭及废滤料。</w:t>
            </w:r>
          </w:p>
          <w:p w14:paraId="2C88D388">
            <w:pPr>
              <w:spacing w:line="360" w:lineRule="auto"/>
              <w:ind w:firstLine="480" w:firstLineChars="200"/>
              <w:rPr>
                <w:rFonts w:hint="default" w:eastAsia="宋体"/>
                <w:color w:val="auto"/>
                <w:sz w:val="24"/>
                <w:szCs w:val="24"/>
                <w:highlight w:val="none"/>
                <w:lang w:val="en-US" w:eastAsia="zh-CN"/>
              </w:rPr>
            </w:pPr>
            <w:r>
              <w:rPr>
                <w:rFonts w:hint="eastAsia"/>
                <w:color w:val="auto"/>
                <w:sz w:val="24"/>
                <w:szCs w:val="24"/>
                <w:highlight w:val="none"/>
                <w:lang w:eastAsia="zh-CN"/>
              </w:rPr>
              <w:t>（</w:t>
            </w:r>
            <w:r>
              <w:rPr>
                <w:rFonts w:hint="eastAsia"/>
                <w:color w:val="auto"/>
                <w:sz w:val="24"/>
                <w:szCs w:val="24"/>
                <w:highlight w:val="none"/>
                <w:lang w:val="en-US" w:eastAsia="zh-CN"/>
              </w:rPr>
              <w:t>1</w:t>
            </w:r>
            <w:r>
              <w:rPr>
                <w:rFonts w:hint="eastAsia"/>
                <w:color w:val="auto"/>
                <w:sz w:val="24"/>
                <w:szCs w:val="24"/>
                <w:highlight w:val="none"/>
                <w:lang w:eastAsia="zh-CN"/>
              </w:rPr>
              <w:t>）</w:t>
            </w:r>
            <w:r>
              <w:rPr>
                <w:rFonts w:hint="eastAsia"/>
                <w:color w:val="auto"/>
                <w:sz w:val="24"/>
                <w:szCs w:val="24"/>
                <w:highlight w:val="none"/>
                <w:lang w:val="en-US" w:eastAsia="zh-CN"/>
              </w:rPr>
              <w:t>生活垃圾</w:t>
            </w:r>
          </w:p>
          <w:p w14:paraId="59D43911">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eastAsia" w:ascii="Times New Roman" w:hAnsi="Times New Roman" w:cs="Times New Roman"/>
                <w:color w:val="auto"/>
                <w:sz w:val="24"/>
                <w:szCs w:val="24"/>
                <w:highlight w:val="none"/>
                <w:lang w:eastAsia="zh-CN"/>
              </w:rPr>
            </w:pPr>
            <w:r>
              <w:rPr>
                <w:rFonts w:hint="eastAsia"/>
                <w:color w:val="auto"/>
                <w:sz w:val="24"/>
                <w:szCs w:val="24"/>
                <w:highlight w:val="none"/>
                <w:lang w:val="en-US" w:eastAsia="zh-CN"/>
              </w:rPr>
              <w:t>项目劳动定员150人，</w:t>
            </w:r>
            <w:r>
              <w:rPr>
                <w:rFonts w:hint="default" w:ascii="Times New Roman" w:hAnsi="Times New Roman" w:cs="Times New Roman"/>
                <w:color w:val="auto"/>
                <w:sz w:val="24"/>
                <w:szCs w:val="24"/>
                <w:highlight w:val="none"/>
              </w:rPr>
              <w:t>年工作</w:t>
            </w:r>
            <w:r>
              <w:rPr>
                <w:rFonts w:hint="eastAsia" w:cs="Times New Roman"/>
                <w:color w:val="auto"/>
                <w:sz w:val="24"/>
                <w:szCs w:val="24"/>
                <w:highlight w:val="none"/>
                <w:lang w:val="en-US" w:eastAsia="zh-CN"/>
              </w:rPr>
              <w:t>30</w:t>
            </w:r>
            <w:r>
              <w:rPr>
                <w:rFonts w:hint="eastAsia" w:ascii="Times New Roman" w:hAnsi="Times New Roman" w:cs="Times New Roman"/>
                <w:color w:val="auto"/>
                <w:sz w:val="24"/>
                <w:szCs w:val="24"/>
                <w:highlight w:val="none"/>
                <w:lang w:val="en-US" w:eastAsia="zh-CN"/>
              </w:rPr>
              <w:t>0</w:t>
            </w:r>
            <w:r>
              <w:rPr>
                <w:rFonts w:hint="default" w:ascii="Times New Roman" w:hAnsi="Times New Roman" w:cs="Times New Roman"/>
                <w:color w:val="auto"/>
                <w:sz w:val="24"/>
                <w:szCs w:val="24"/>
                <w:highlight w:val="none"/>
              </w:rPr>
              <w:t>天</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每个员工生活垃圾产生量按0.5kg/d计，</w:t>
            </w:r>
            <w:r>
              <w:rPr>
                <w:rFonts w:hint="eastAsia" w:cs="Times New Roman"/>
                <w:color w:val="auto"/>
                <w:sz w:val="24"/>
                <w:szCs w:val="24"/>
                <w:highlight w:val="none"/>
                <w:lang w:eastAsia="zh-CN"/>
              </w:rPr>
              <w:t>则</w:t>
            </w:r>
            <w:r>
              <w:rPr>
                <w:rFonts w:hint="default" w:ascii="Times New Roman" w:hAnsi="Times New Roman" w:cs="Times New Roman"/>
                <w:color w:val="auto"/>
                <w:sz w:val="24"/>
                <w:szCs w:val="24"/>
                <w:highlight w:val="none"/>
              </w:rPr>
              <w:t>预计产生量为</w:t>
            </w:r>
            <w:r>
              <w:rPr>
                <w:rFonts w:hint="eastAsia" w:cs="Times New Roman"/>
                <w:color w:val="auto"/>
                <w:sz w:val="24"/>
                <w:szCs w:val="24"/>
                <w:highlight w:val="none"/>
                <w:lang w:val="en-US" w:eastAsia="zh-CN"/>
              </w:rPr>
              <w:t>22.5</w:t>
            </w:r>
            <w:r>
              <w:rPr>
                <w:rFonts w:hint="default" w:ascii="Times New Roman" w:hAnsi="Times New Roman" w:cs="Times New Roman"/>
                <w:color w:val="auto"/>
                <w:sz w:val="24"/>
                <w:szCs w:val="24"/>
                <w:highlight w:val="none"/>
              </w:rPr>
              <w:t>t/a</w:t>
            </w:r>
            <w:r>
              <w:rPr>
                <w:rFonts w:hint="eastAsia" w:cs="Times New Roman"/>
                <w:color w:val="auto"/>
                <w:sz w:val="24"/>
                <w:szCs w:val="24"/>
                <w:highlight w:val="none"/>
                <w:lang w:val="en-US" w:eastAsia="zh-CN"/>
              </w:rPr>
              <w:t>。生活垃圾</w:t>
            </w:r>
            <w:r>
              <w:rPr>
                <w:rFonts w:hint="eastAsia" w:cs="Times New Roman"/>
                <w:color w:val="auto"/>
                <w:sz w:val="24"/>
                <w:szCs w:val="24"/>
                <w:highlight w:val="none"/>
                <w:lang w:eastAsia="zh-CN"/>
              </w:rPr>
              <w:t>集中</w:t>
            </w:r>
            <w:r>
              <w:rPr>
                <w:rFonts w:hint="default" w:ascii="Times New Roman" w:hAnsi="Times New Roman" w:cs="Times New Roman"/>
                <w:color w:val="auto"/>
                <w:sz w:val="24"/>
                <w:szCs w:val="24"/>
                <w:highlight w:val="none"/>
              </w:rPr>
              <w:t>收集后委托</w:t>
            </w:r>
            <w:r>
              <w:rPr>
                <w:rFonts w:hint="eastAsia" w:ascii="Times New Roman" w:hAnsi="Times New Roman" w:cs="Times New Roman"/>
                <w:color w:val="auto"/>
                <w:sz w:val="24"/>
                <w:szCs w:val="24"/>
                <w:highlight w:val="none"/>
                <w:lang w:eastAsia="zh-CN"/>
              </w:rPr>
              <w:t>市政</w:t>
            </w:r>
            <w:r>
              <w:rPr>
                <w:rFonts w:hint="default" w:ascii="Times New Roman" w:hAnsi="Times New Roman" w:cs="Times New Roman"/>
                <w:color w:val="auto"/>
                <w:sz w:val="24"/>
                <w:szCs w:val="24"/>
                <w:highlight w:val="none"/>
              </w:rPr>
              <w:t>环卫部门清运</w:t>
            </w:r>
            <w:r>
              <w:rPr>
                <w:rFonts w:hint="eastAsia" w:ascii="Times New Roman" w:hAnsi="Times New Roman" w:cs="Times New Roman"/>
                <w:color w:val="auto"/>
                <w:sz w:val="24"/>
                <w:szCs w:val="24"/>
                <w:highlight w:val="none"/>
                <w:lang w:eastAsia="zh-CN"/>
              </w:rPr>
              <w:t>。</w:t>
            </w:r>
          </w:p>
          <w:p w14:paraId="392F44DC">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（2）一般固废</w:t>
            </w:r>
          </w:p>
          <w:p w14:paraId="2FA669DF">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①锡焊焊渣</w:t>
            </w:r>
          </w:p>
          <w:p w14:paraId="784787C2">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ascii="Times New Roman" w:hAnsi="Times New Roman" w:cs="Times New Roman"/>
                <w:color w:val="auto"/>
                <w:sz w:val="24"/>
                <w:szCs w:val="24"/>
                <w:highlight w:val="none"/>
                <w:lang w:eastAsia="zh-CN"/>
              </w:rPr>
              <w:t>生产过程中回流焊、手工焊工序产生锡渣，锡渣</w:t>
            </w:r>
            <w:r>
              <w:rPr>
                <w:rFonts w:hint="default" w:ascii="Times New Roman" w:hAnsi="Times New Roman" w:cs="Times New Roman"/>
                <w:color w:val="auto"/>
                <w:sz w:val="24"/>
                <w:szCs w:val="24"/>
                <w:highlight w:val="none"/>
                <w:lang w:eastAsia="zh-CN"/>
              </w:rPr>
              <w:t>产生量</w:t>
            </w:r>
            <w:r>
              <w:rPr>
                <w:rFonts w:hint="eastAsia" w:ascii="Times New Roman" w:hAnsi="Times New Roman" w:cs="Times New Roman"/>
                <w:color w:val="auto"/>
                <w:sz w:val="24"/>
                <w:szCs w:val="24"/>
                <w:highlight w:val="none"/>
                <w:lang w:eastAsia="zh-CN"/>
              </w:rPr>
              <w:t>按原料使用量的</w:t>
            </w:r>
            <w:r>
              <w:rPr>
                <w:rFonts w:hint="eastAsia" w:ascii="Times New Roman" w:hAnsi="Times New Roman" w:cs="Times New Roman"/>
                <w:color w:val="auto"/>
                <w:sz w:val="24"/>
                <w:szCs w:val="24"/>
                <w:highlight w:val="none"/>
                <w:lang w:val="en-US" w:eastAsia="zh-CN"/>
              </w:rPr>
              <w:t>1%计算，</w:t>
            </w:r>
            <w:r>
              <w:rPr>
                <w:rFonts w:hint="eastAsia" w:ascii="Times New Roman" w:hAnsi="Times New Roman" w:cs="Times New Roman"/>
                <w:color w:val="auto"/>
                <w:sz w:val="24"/>
                <w:szCs w:val="24"/>
                <w:highlight w:val="none"/>
                <w:lang w:eastAsia="zh-CN"/>
              </w:rPr>
              <w:t>无铅锡膏丝总</w:t>
            </w:r>
            <w:r>
              <w:rPr>
                <w:rFonts w:hint="default" w:ascii="Times New Roman" w:hAnsi="Times New Roman" w:cs="Times New Roman"/>
                <w:color w:val="auto"/>
                <w:sz w:val="24"/>
                <w:szCs w:val="24"/>
                <w:highlight w:val="none"/>
                <w:lang w:eastAsia="zh-CN"/>
              </w:rPr>
              <w:t>用量为</w:t>
            </w:r>
            <w:r>
              <w:rPr>
                <w:rFonts w:hint="eastAsia" w:ascii="Times New Roman" w:hAnsi="Times New Roman" w:cs="Times New Roman"/>
                <w:color w:val="auto"/>
                <w:sz w:val="24"/>
                <w:szCs w:val="24"/>
                <w:highlight w:val="none"/>
                <w:lang w:val="en-US" w:eastAsia="zh-CN"/>
              </w:rPr>
              <w:t>160</w:t>
            </w:r>
            <w:r>
              <w:rPr>
                <w:rFonts w:hint="default" w:ascii="Times New Roman" w:hAnsi="Times New Roman" w:cs="Times New Roman"/>
                <w:color w:val="auto"/>
                <w:sz w:val="24"/>
                <w:szCs w:val="24"/>
                <w:highlight w:val="none"/>
                <w:lang w:eastAsia="zh-CN"/>
              </w:rPr>
              <w:t>t/a</w:t>
            </w:r>
            <w:r>
              <w:rPr>
                <w:rFonts w:hint="eastAsia" w:ascii="Times New Roman" w:hAnsi="Times New Roman" w:cs="Times New Roman"/>
                <w:color w:val="auto"/>
                <w:sz w:val="24"/>
                <w:szCs w:val="24"/>
                <w:highlight w:val="none"/>
                <w:lang w:eastAsia="zh-CN"/>
              </w:rPr>
              <w:t>，无铅锡丝总</w:t>
            </w:r>
            <w:r>
              <w:rPr>
                <w:rFonts w:hint="default" w:ascii="Times New Roman" w:hAnsi="Times New Roman" w:cs="Times New Roman"/>
                <w:color w:val="auto"/>
                <w:sz w:val="24"/>
                <w:szCs w:val="24"/>
                <w:highlight w:val="none"/>
                <w:lang w:eastAsia="zh-CN"/>
              </w:rPr>
              <w:t>用量为</w:t>
            </w:r>
            <w:r>
              <w:rPr>
                <w:rFonts w:hint="eastAsia" w:ascii="Times New Roman" w:hAnsi="Times New Roman" w:cs="Times New Roman"/>
                <w:color w:val="auto"/>
                <w:sz w:val="24"/>
                <w:szCs w:val="24"/>
                <w:highlight w:val="none"/>
                <w:lang w:val="en-US" w:eastAsia="zh-CN"/>
              </w:rPr>
              <w:t>0.15t</w:t>
            </w:r>
            <w:r>
              <w:rPr>
                <w:rFonts w:hint="default" w:ascii="Times New Roman" w:hAnsi="Times New Roman" w:cs="Times New Roman"/>
                <w:color w:val="auto"/>
                <w:sz w:val="24"/>
                <w:szCs w:val="24"/>
                <w:highlight w:val="none"/>
                <w:lang w:eastAsia="zh-CN"/>
              </w:rPr>
              <w:t>/a</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eastAsia="zh-CN"/>
              </w:rPr>
              <w:t>则</w:t>
            </w:r>
            <w:r>
              <w:rPr>
                <w:rFonts w:hint="eastAsia" w:ascii="Times New Roman" w:hAnsi="Times New Roman" w:cs="Times New Roman"/>
                <w:color w:val="auto"/>
                <w:sz w:val="24"/>
                <w:szCs w:val="24"/>
                <w:highlight w:val="none"/>
                <w:lang w:eastAsia="zh-CN"/>
              </w:rPr>
              <w:t>焊接锡渣</w:t>
            </w:r>
            <w:r>
              <w:rPr>
                <w:rFonts w:hint="default" w:ascii="Times New Roman" w:hAnsi="Times New Roman" w:cs="Times New Roman"/>
                <w:color w:val="auto"/>
                <w:sz w:val="24"/>
                <w:szCs w:val="24"/>
                <w:highlight w:val="none"/>
                <w:lang w:eastAsia="zh-CN"/>
              </w:rPr>
              <w:t>产生量</w:t>
            </w:r>
            <w:r>
              <w:rPr>
                <w:rFonts w:hint="eastAsia" w:ascii="Times New Roman" w:hAnsi="Times New Roman" w:cs="Times New Roman"/>
                <w:color w:val="auto"/>
                <w:sz w:val="24"/>
                <w:szCs w:val="24"/>
                <w:highlight w:val="none"/>
                <w:lang w:val="en-US" w:eastAsia="zh-CN"/>
              </w:rPr>
              <w:t>约</w:t>
            </w:r>
            <w:r>
              <w:rPr>
                <w:rFonts w:hint="default" w:ascii="Times New Roman" w:hAnsi="Times New Roman" w:cs="Times New Roman"/>
                <w:color w:val="auto"/>
                <w:sz w:val="24"/>
                <w:szCs w:val="24"/>
                <w:highlight w:val="none"/>
                <w:lang w:eastAsia="zh-CN"/>
              </w:rPr>
              <w:t>为</w:t>
            </w:r>
            <w:r>
              <w:rPr>
                <w:rFonts w:hint="eastAsia" w:ascii="Times New Roman" w:hAnsi="Times New Roman" w:cs="Times New Roman"/>
                <w:color w:val="auto"/>
                <w:sz w:val="24"/>
                <w:szCs w:val="24"/>
                <w:highlight w:val="none"/>
                <w:lang w:val="en-US" w:eastAsia="zh-CN"/>
              </w:rPr>
              <w:t>1.602</w:t>
            </w:r>
            <w:r>
              <w:rPr>
                <w:rFonts w:hint="default" w:ascii="Times New Roman" w:hAnsi="Times New Roman" w:cs="Times New Roman"/>
                <w:color w:val="auto"/>
                <w:sz w:val="24"/>
                <w:szCs w:val="24"/>
                <w:highlight w:val="none"/>
                <w:lang w:eastAsia="zh-CN"/>
              </w:rPr>
              <w:t>t/a</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val="en-US" w:eastAsia="zh-CN"/>
              </w:rPr>
              <w:t>锡焊焊渣</w:t>
            </w:r>
            <w:r>
              <w:rPr>
                <w:rFonts w:hint="eastAsia" w:ascii="Times New Roman" w:hAnsi="Times New Roman" w:cs="Times New Roman"/>
                <w:color w:val="auto"/>
                <w:sz w:val="24"/>
                <w:szCs w:val="24"/>
                <w:highlight w:val="none"/>
                <w:lang w:eastAsia="zh-CN"/>
              </w:rPr>
              <w:t>集中</w:t>
            </w:r>
            <w:r>
              <w:rPr>
                <w:rFonts w:hint="default" w:ascii="Times New Roman" w:hAnsi="Times New Roman" w:cs="Times New Roman"/>
                <w:color w:val="auto"/>
                <w:sz w:val="24"/>
                <w:szCs w:val="24"/>
                <w:highlight w:val="none"/>
              </w:rPr>
              <w:t>收集后外</w:t>
            </w:r>
            <w:r>
              <w:rPr>
                <w:rFonts w:hint="eastAsia" w:ascii="Times New Roman" w:hAnsi="Times New Roman" w:cs="Times New Roman"/>
                <w:color w:val="auto"/>
                <w:sz w:val="24"/>
                <w:szCs w:val="24"/>
                <w:highlight w:val="none"/>
                <w:lang w:val="en-US" w:eastAsia="zh-CN"/>
              </w:rPr>
              <w:t>售</w:t>
            </w:r>
            <w:r>
              <w:rPr>
                <w:rFonts w:hint="default" w:ascii="Times New Roman" w:hAnsi="Times New Roman" w:cs="Times New Roman"/>
                <w:color w:val="auto"/>
                <w:sz w:val="24"/>
                <w:szCs w:val="24"/>
                <w:highlight w:val="none"/>
              </w:rPr>
              <w:t>综合利用。</w:t>
            </w:r>
          </w:p>
          <w:p w14:paraId="1B01BEC0">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ascii="Times New Roman" w:hAnsi="Times New Roman" w:cs="Times New Roman"/>
                <w:b w:val="0"/>
                <w:bCs/>
                <w:color w:val="000000"/>
                <w:sz w:val="24"/>
                <w:szCs w:val="24"/>
                <w:highlight w:val="none"/>
                <w:lang w:val="en-US" w:eastAsia="zh-CN"/>
              </w:rPr>
              <w:t>②</w:t>
            </w:r>
            <w:r>
              <w:rPr>
                <w:rFonts w:hint="eastAsia" w:ascii="Times New Roman" w:hAnsi="Times New Roman" w:cs="Times New Roman"/>
                <w:color w:val="auto"/>
                <w:sz w:val="24"/>
                <w:szCs w:val="24"/>
                <w:highlight w:val="none"/>
                <w:lang w:val="en-US" w:eastAsia="zh-CN"/>
              </w:rPr>
              <w:t>不合格品（显示屏模组器件）</w:t>
            </w:r>
          </w:p>
          <w:p w14:paraId="5E022B62">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显示屏模组器件</w:t>
            </w:r>
            <w:r>
              <w:rPr>
                <w:rFonts w:hint="eastAsia" w:cs="Times New Roman"/>
                <w:b w:val="0"/>
                <w:bCs/>
                <w:color w:val="000000"/>
                <w:sz w:val="24"/>
                <w:szCs w:val="24"/>
                <w:highlight w:val="none"/>
                <w:lang w:val="en-US" w:eastAsia="zh-CN"/>
              </w:rPr>
              <w:t>成品检验工序会产生不合格品</w:t>
            </w:r>
            <w:r>
              <w:rPr>
                <w:rFonts w:hint="eastAsia" w:ascii="Times New Roman" w:hAnsi="Times New Roman" w:cs="Times New Roman"/>
                <w:color w:val="auto"/>
                <w:sz w:val="24"/>
                <w:szCs w:val="24"/>
                <w:highlight w:val="none"/>
                <w:lang w:val="en-US" w:eastAsia="zh-CN"/>
              </w:rPr>
              <w:t>（显示屏模组器件）</w:t>
            </w:r>
            <w:r>
              <w:rPr>
                <w:rFonts w:hint="eastAsia" w:cs="Times New Roman"/>
                <w:color w:val="auto"/>
                <w:sz w:val="24"/>
                <w:szCs w:val="24"/>
                <w:highlight w:val="none"/>
                <w:lang w:val="en-US" w:eastAsia="zh-CN"/>
              </w:rPr>
              <w:t>，根据建设单位提供的资料，产品不合格品约占产品总量的</w:t>
            </w:r>
            <w:r>
              <w:rPr>
                <w:rFonts w:hint="default" w:ascii="Times New Roman" w:hAnsi="Times New Roman" w:cs="Times New Roman"/>
                <w:color w:val="auto"/>
                <w:sz w:val="24"/>
                <w:szCs w:val="24"/>
                <w:highlight w:val="none"/>
                <w:lang w:val="en-US" w:eastAsia="zh-CN"/>
              </w:rPr>
              <w:t>0.3‰</w:t>
            </w:r>
            <w:r>
              <w:rPr>
                <w:rFonts w:hint="eastAsia" w:ascii="Times New Roman" w:hAnsi="Times New Roman" w:cs="Times New Roman"/>
                <w:color w:val="auto"/>
                <w:sz w:val="24"/>
                <w:szCs w:val="24"/>
                <w:highlight w:val="none"/>
                <w:lang w:val="en-US" w:eastAsia="zh-CN"/>
              </w:rPr>
              <w:t>，故不合格品（显示屏模组器件）产生量约为600个/a。不合格品（显示屏模组器件）集中</w:t>
            </w:r>
            <w:r>
              <w:rPr>
                <w:rFonts w:hint="eastAsia" w:cs="Times New Roman"/>
                <w:b w:val="0"/>
                <w:bCs/>
                <w:color w:val="000000"/>
                <w:sz w:val="24"/>
                <w:szCs w:val="24"/>
                <w:highlight w:val="none"/>
                <w:lang w:val="en-US" w:eastAsia="zh-CN"/>
              </w:rPr>
              <w:t>收集后外售综合利用。</w:t>
            </w:r>
          </w:p>
          <w:p w14:paraId="0FAA61A5">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cs="Times New Roman"/>
                <w:b w:val="0"/>
                <w:bCs/>
                <w:color w:val="000000"/>
                <w:sz w:val="24"/>
                <w:szCs w:val="24"/>
                <w:highlight w:val="none"/>
                <w:lang w:val="en-US" w:eastAsia="zh-CN"/>
              </w:rPr>
              <w:t>③废边角料</w:t>
            </w:r>
          </w:p>
          <w:p w14:paraId="0B3B0F6D">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显示屏模组器件</w:t>
            </w:r>
            <w:r>
              <w:rPr>
                <w:rFonts w:hint="eastAsia" w:ascii="Times New Roman" w:hAnsi="Times New Roman" w:eastAsia="宋体" w:cs="Times New Roman"/>
                <w:b w:val="0"/>
                <w:bCs/>
                <w:color w:val="000000"/>
                <w:sz w:val="24"/>
                <w:szCs w:val="24"/>
                <w:highlight w:val="none"/>
                <w:lang w:val="en-US" w:eastAsia="zh-CN"/>
              </w:rPr>
              <w:t>分切工序会产生废边角料，根据建设单位提供的资料，废边角料产生量约为产品的0.1</w:t>
            </w:r>
            <w:r>
              <w:rPr>
                <w:rFonts w:hint="eastAsia" w:ascii="宋体" w:hAnsi="宋体" w:eastAsia="宋体" w:cs="宋体"/>
                <w:b w:val="0"/>
                <w:bCs/>
                <w:color w:val="000000"/>
                <w:sz w:val="24"/>
                <w:szCs w:val="24"/>
                <w:highlight w:val="none"/>
                <w:lang w:val="en-US" w:eastAsia="zh-CN"/>
              </w:rPr>
              <w:t>％</w:t>
            </w:r>
            <w:r>
              <w:rPr>
                <w:rFonts w:hint="eastAsia" w:ascii="Times New Roman" w:hAnsi="Times New Roman" w:cs="Times New Roman"/>
                <w:color w:val="auto"/>
                <w:sz w:val="24"/>
                <w:szCs w:val="24"/>
                <w:highlight w:val="none"/>
                <w:lang w:val="en-US" w:eastAsia="zh-CN"/>
              </w:rPr>
              <w:t>，</w:t>
            </w:r>
            <w:r>
              <w:rPr>
                <w:rFonts w:hint="default" w:ascii="Times New Roman" w:hAnsi="Times New Roman" w:eastAsia="宋体" w:cs="Times New Roman"/>
                <w:b w:val="0"/>
                <w:bCs/>
                <w:color w:val="000000"/>
                <w:sz w:val="24"/>
                <w:szCs w:val="24"/>
                <w:highlight w:val="none"/>
                <w:lang w:val="en-US" w:eastAsia="zh-CN"/>
              </w:rPr>
              <w:t>显示屏模组器件</w:t>
            </w:r>
            <w:r>
              <w:rPr>
                <w:rFonts w:hint="eastAsia" w:ascii="Times New Roman" w:hAnsi="Times New Roman" w:eastAsia="宋体" w:cs="Times New Roman"/>
                <w:b w:val="0"/>
                <w:bCs/>
                <w:color w:val="000000"/>
                <w:sz w:val="24"/>
                <w:szCs w:val="24"/>
                <w:highlight w:val="none"/>
                <w:lang w:val="en-US" w:eastAsia="zh-CN"/>
              </w:rPr>
              <w:t>产品重量折合约为54t/a，故废边角料产生量约为0.054t/a。废边角料集中收集后外售综合利用。</w:t>
            </w:r>
          </w:p>
          <w:p w14:paraId="3B3B2363">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cs="Times New Roman"/>
                <w:b w:val="0"/>
                <w:bCs/>
                <w:color w:val="000000"/>
                <w:sz w:val="24"/>
                <w:szCs w:val="24"/>
                <w:highlight w:val="none"/>
                <w:lang w:val="en-US" w:eastAsia="zh-CN"/>
              </w:rPr>
              <w:t>④废包装箱</w:t>
            </w:r>
          </w:p>
          <w:p w14:paraId="0164EF53">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cs="Times New Roman"/>
                <w:b w:val="0"/>
                <w:bCs/>
                <w:color w:val="000000"/>
                <w:sz w:val="24"/>
                <w:szCs w:val="24"/>
                <w:highlight w:val="none"/>
                <w:lang w:val="en-US" w:eastAsia="zh-CN"/>
              </w:rPr>
              <w:t>项目产品包装过程会产生废包装箱，根据建设单位提供的资料，废包装箱产生量约为2t/a。废包装箱集中收集后外售综合利用。</w:t>
            </w:r>
          </w:p>
          <w:p w14:paraId="7A2D0335">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cs="Times New Roman"/>
                <w:b w:val="0"/>
                <w:bCs/>
                <w:color w:val="000000"/>
                <w:sz w:val="24"/>
                <w:szCs w:val="24"/>
                <w:highlight w:val="none"/>
                <w:lang w:val="en-US" w:eastAsia="zh-CN"/>
              </w:rPr>
              <w:t>（3）危险废物</w:t>
            </w:r>
          </w:p>
          <w:p w14:paraId="53903B75">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cs="Times New Roman"/>
                <w:b w:val="0"/>
                <w:bCs/>
                <w:color w:val="000000"/>
                <w:sz w:val="24"/>
                <w:szCs w:val="24"/>
                <w:highlight w:val="none"/>
                <w:lang w:val="en-US" w:eastAsia="zh-CN"/>
              </w:rPr>
              <w:t>①废包装材料</w:t>
            </w:r>
          </w:p>
          <w:p w14:paraId="53DAF05D">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cs="Times New Roman"/>
                <w:b w:val="0"/>
                <w:bCs/>
                <w:color w:val="000000"/>
                <w:sz w:val="24"/>
                <w:szCs w:val="24"/>
                <w:highlight w:val="none"/>
                <w:lang w:val="en-US" w:eastAsia="zh-CN"/>
              </w:rPr>
              <w:t>项目无铅锡膏及酒精原料使用会产生废包装材料，无铅锡膏包装规格为500g/罐，酒精包装规格为5kg/桶，单个无铅锡膏包装重量约30g/个，单个酒精包装重量约100g/个，项目无铅锡膏年用量为160t（折合320000罐），酒精年用量为800kg（折合160桶），故废无铅锡膏包装材料产生量约9.6t/a，酒精包装材料产生量约0.016t/a，则废包装材料产生量约为9.616t/a，废包装材料集中收集定期送资质单位安全处置。</w:t>
            </w:r>
          </w:p>
          <w:p w14:paraId="6BB4282F">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cs="Times New Roman"/>
                <w:b w:val="0"/>
                <w:bCs/>
                <w:color w:val="000000"/>
                <w:sz w:val="24"/>
                <w:szCs w:val="24"/>
                <w:highlight w:val="none"/>
                <w:lang w:val="en-US" w:eastAsia="zh-CN"/>
              </w:rPr>
              <w:t>②擦拭废纸</w:t>
            </w:r>
          </w:p>
          <w:p w14:paraId="61E8CDBA">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cs="Times New Roman"/>
                <w:b w:val="0"/>
                <w:bCs/>
                <w:color w:val="000000"/>
                <w:sz w:val="24"/>
                <w:szCs w:val="24"/>
                <w:highlight w:val="none"/>
                <w:lang w:val="en-US" w:eastAsia="zh-CN"/>
              </w:rPr>
              <w:t>项目需使用无尘擦拭纸对</w:t>
            </w:r>
            <w:r>
              <w:rPr>
                <w:rFonts w:hint="default" w:ascii="Times New Roman" w:hAnsi="Times New Roman" w:cs="Times New Roman"/>
                <w:color w:val="auto"/>
                <w:sz w:val="24"/>
                <w:szCs w:val="24"/>
                <w:highlight w:val="none"/>
                <w:lang w:val="en-US" w:eastAsia="zh-CN"/>
              </w:rPr>
              <w:t>自动印刷机里的钢网进行擦拭</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eastAsia="zh-CN"/>
              </w:rPr>
              <w:t>此过程产生擦拭废纸。</w:t>
            </w:r>
            <w:r>
              <w:rPr>
                <w:rFonts w:hint="eastAsia" w:cs="Times New Roman"/>
                <w:color w:val="auto"/>
                <w:sz w:val="24"/>
                <w:szCs w:val="24"/>
                <w:highlight w:val="none"/>
                <w:lang w:val="en-US" w:eastAsia="zh-CN"/>
              </w:rPr>
              <w:t>根据建设单位提供的资料，项目</w:t>
            </w:r>
            <w:r>
              <w:rPr>
                <w:rFonts w:hint="eastAsia" w:cs="Times New Roman"/>
                <w:b w:val="0"/>
                <w:bCs/>
                <w:color w:val="000000"/>
                <w:sz w:val="24"/>
                <w:szCs w:val="24"/>
                <w:highlight w:val="none"/>
                <w:lang w:val="en-US" w:eastAsia="zh-CN"/>
              </w:rPr>
              <w:t>无尘擦拭纸年用量为10万张，</w:t>
            </w:r>
            <w:r>
              <w:rPr>
                <w:rFonts w:hint="eastAsia" w:cs="Times New Roman"/>
                <w:color w:val="auto"/>
                <w:sz w:val="24"/>
                <w:szCs w:val="24"/>
                <w:highlight w:val="none"/>
                <w:lang w:val="en-US" w:eastAsia="zh-CN"/>
              </w:rPr>
              <w:t>单</w:t>
            </w:r>
            <w:r>
              <w:rPr>
                <w:rFonts w:hint="eastAsia" w:cs="Times New Roman"/>
                <w:color w:val="auto"/>
                <w:sz w:val="24"/>
                <w:szCs w:val="24"/>
                <w:highlight w:val="none"/>
                <w:lang w:eastAsia="zh-CN"/>
              </w:rPr>
              <w:t>张擦拭废纸重量约</w:t>
            </w:r>
            <w:r>
              <w:rPr>
                <w:rFonts w:hint="eastAsia" w:cs="Times New Roman"/>
                <w:color w:val="auto"/>
                <w:sz w:val="24"/>
                <w:szCs w:val="24"/>
                <w:highlight w:val="none"/>
                <w:lang w:val="en-US" w:eastAsia="zh-CN"/>
              </w:rPr>
              <w:t>10g，故擦拭废纸产生量约1t/a。擦拭废纸集中收集定期送资质单位安全处置。</w:t>
            </w:r>
          </w:p>
          <w:p w14:paraId="379CA346">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cs="Times New Roman"/>
                <w:b w:val="0"/>
                <w:bCs/>
                <w:color w:val="000000"/>
                <w:sz w:val="24"/>
                <w:szCs w:val="24"/>
                <w:highlight w:val="none"/>
                <w:lang w:val="en-US" w:eastAsia="zh-CN"/>
              </w:rPr>
              <w:t>③</w:t>
            </w:r>
            <w:r>
              <w:rPr>
                <w:rFonts w:hint="eastAsia" w:ascii="Times New Roman" w:hAnsi="Times New Roman" w:cs="Times New Roman"/>
                <w:color w:val="auto"/>
                <w:sz w:val="24"/>
                <w:szCs w:val="24"/>
                <w:highlight w:val="none"/>
                <w:lang w:val="en-US" w:eastAsia="zh-CN"/>
              </w:rPr>
              <w:t>不合格品（LED显示屏模组）</w:t>
            </w:r>
          </w:p>
          <w:p w14:paraId="784B814C">
            <w:pPr>
              <w:spacing w:line="36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    项目</w:t>
            </w:r>
            <w:r>
              <w:rPr>
                <w:rFonts w:hint="eastAsia" w:ascii="Times New Roman" w:hAnsi="Times New Roman" w:cs="Times New Roman"/>
                <w:color w:val="auto"/>
                <w:sz w:val="24"/>
                <w:szCs w:val="24"/>
                <w:highlight w:val="none"/>
                <w:lang w:val="en-US" w:eastAsia="zh-CN"/>
              </w:rPr>
              <w:t>LED显示屏模组测试过程中会产生不合格品（LED显示屏模组），</w:t>
            </w:r>
            <w:r>
              <w:rPr>
                <w:rFonts w:hint="eastAsia" w:cs="Times New Roman"/>
                <w:color w:val="auto"/>
                <w:sz w:val="24"/>
                <w:szCs w:val="24"/>
                <w:highlight w:val="none"/>
                <w:lang w:val="en-US" w:eastAsia="zh-CN"/>
              </w:rPr>
              <w:t>根据建设单位提供的资料，产品不合格品约占产品总量的</w:t>
            </w:r>
            <w:r>
              <w:rPr>
                <w:rFonts w:hint="default" w:ascii="Times New Roman" w:hAnsi="Times New Roman" w:cs="Times New Roman"/>
                <w:color w:val="auto"/>
                <w:sz w:val="24"/>
                <w:szCs w:val="24"/>
                <w:highlight w:val="none"/>
                <w:lang w:val="en-US" w:eastAsia="zh-CN"/>
              </w:rPr>
              <w:t>0.3‰</w:t>
            </w:r>
            <w:r>
              <w:rPr>
                <w:rFonts w:hint="eastAsia" w:ascii="Times New Roman" w:hAnsi="Times New Roman" w:cs="Times New Roman"/>
                <w:color w:val="auto"/>
                <w:sz w:val="24"/>
                <w:szCs w:val="24"/>
                <w:highlight w:val="none"/>
                <w:lang w:val="en-US" w:eastAsia="zh-CN"/>
              </w:rPr>
              <w:t>，故不合格品（LED显示屏模组）产生量约为2100件/a。不合格品（LED显示屏模组）</w:t>
            </w:r>
            <w:r>
              <w:rPr>
                <w:rFonts w:hint="eastAsia" w:cs="Times New Roman"/>
                <w:color w:val="auto"/>
                <w:sz w:val="24"/>
                <w:szCs w:val="24"/>
                <w:highlight w:val="none"/>
                <w:lang w:val="en-US" w:eastAsia="zh-CN"/>
              </w:rPr>
              <w:t>集中收集定期送资质单位安全处置。</w:t>
            </w:r>
          </w:p>
          <w:p w14:paraId="07D00B5E">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④废机油及油桶</w:t>
            </w:r>
          </w:p>
          <w:p w14:paraId="33329977">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项目使用机油进行设备维修保养过程中会产生废机油及油桶，根据建设单位提供的资料，项目机油包装规格为25kg/桶，机油年用量为1.2t（折合48桶），单个包装桶重量约500g/个，机油使用过程中损耗量约为20%，故废机油产生量约0.96t/a，废油桶产生量约0.024t/a，故机油及油桶产生量约0.984t/a。废机油及油桶集中收集定期送资质单位安全处置。</w:t>
            </w:r>
          </w:p>
          <w:p w14:paraId="2097A32C">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⑤废油抹布及手套</w:t>
            </w:r>
          </w:p>
          <w:p w14:paraId="4B0D23D3">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项目设备维修保养过程中会产生废油抹布及手套，根据建设单位提供的资料，废油抹布及手套产生量约0.5t/a。废油抹布及手套集中收集定期送资质单位安全处置。</w:t>
            </w:r>
          </w:p>
          <w:p w14:paraId="55DA6DC3">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⑥</w:t>
            </w:r>
            <w:r>
              <w:rPr>
                <w:rFonts w:hint="eastAsia" w:ascii="Times New Roman" w:hAnsi="Times New Roman" w:cs="Times New Roman"/>
                <w:color w:val="auto"/>
                <w:sz w:val="24"/>
                <w:szCs w:val="24"/>
                <w:highlight w:val="none"/>
                <w:lang w:val="en-US" w:eastAsia="zh-CN"/>
              </w:rPr>
              <w:t>废活性炭</w:t>
            </w:r>
          </w:p>
          <w:p w14:paraId="4C23E064">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项目废气经干式过滤器+二级活性炭吸附装置处理，活性炭吸附装置定期更换活性炭产生废活性炭。</w:t>
            </w:r>
            <w:r>
              <w:rPr>
                <w:rFonts w:hint="eastAsia"/>
                <w:color w:val="auto"/>
                <w:sz w:val="24"/>
                <w:szCs w:val="24"/>
                <w:highlight w:val="none"/>
                <w:lang w:val="en-US" w:eastAsia="zh-CN"/>
              </w:rPr>
              <w:t>活性炭吸附比例按3:1计算，即3吨活性炭吸附1吨有机废气，</w:t>
            </w:r>
            <w:r>
              <w:rPr>
                <w:rFonts w:hint="eastAsia" w:ascii="Times New Roman" w:hAnsi="Times New Roman" w:cs="Times New Roman"/>
                <w:color w:val="auto"/>
                <w:sz w:val="24"/>
                <w:szCs w:val="24"/>
                <w:highlight w:val="none"/>
                <w:lang w:val="en-US" w:eastAsia="zh-CN"/>
              </w:rPr>
              <w:t>根据工程分析，项目有机废气的处理量为20.891t/a，</w:t>
            </w:r>
            <w:r>
              <w:rPr>
                <w:rFonts w:hint="eastAsia" w:ascii="Times New Roman" w:hAnsi="Times New Roman" w:cs="Times New Roman"/>
                <w:color w:val="auto"/>
                <w:sz w:val="24"/>
                <w:szCs w:val="24"/>
                <w:highlight w:val="none"/>
                <w:shd w:val="clear" w:color="auto" w:fill="auto"/>
                <w:lang w:val="en-US" w:eastAsia="zh-CN"/>
              </w:rPr>
              <w:t>则活性炭吸附装置使用活性炭的量为</w:t>
            </w:r>
            <w:r>
              <w:rPr>
                <w:rFonts w:hint="eastAsia" w:cs="Times New Roman"/>
                <w:color w:val="auto"/>
                <w:sz w:val="24"/>
                <w:szCs w:val="24"/>
                <w:highlight w:val="none"/>
                <w:shd w:val="clear" w:color="auto" w:fill="auto"/>
                <w:lang w:val="en-US" w:eastAsia="zh-CN"/>
              </w:rPr>
              <w:t>62.673</w:t>
            </w:r>
            <w:r>
              <w:rPr>
                <w:rFonts w:hint="eastAsia" w:ascii="Times New Roman" w:hAnsi="Times New Roman" w:cs="Times New Roman"/>
                <w:color w:val="auto"/>
                <w:sz w:val="24"/>
                <w:szCs w:val="24"/>
                <w:highlight w:val="none"/>
                <w:shd w:val="clear" w:color="auto" w:fill="auto"/>
                <w:lang w:val="en-US" w:eastAsia="zh-CN"/>
              </w:rPr>
              <w:t>t/a，废活性炭（含吸附废气）的产生量约为</w:t>
            </w:r>
            <w:r>
              <w:rPr>
                <w:rFonts w:hint="eastAsia" w:cs="Times New Roman"/>
                <w:color w:val="auto"/>
                <w:sz w:val="24"/>
                <w:szCs w:val="24"/>
                <w:highlight w:val="none"/>
                <w:shd w:val="clear" w:color="auto" w:fill="auto"/>
                <w:lang w:val="en-US" w:eastAsia="zh-CN"/>
              </w:rPr>
              <w:t>83.564</w:t>
            </w:r>
            <w:r>
              <w:rPr>
                <w:rFonts w:hint="eastAsia" w:ascii="Times New Roman" w:hAnsi="Times New Roman" w:cs="Times New Roman"/>
                <w:color w:val="auto"/>
                <w:sz w:val="24"/>
                <w:szCs w:val="24"/>
                <w:highlight w:val="none"/>
                <w:shd w:val="clear" w:color="auto" w:fill="auto"/>
                <w:lang w:val="en-US" w:eastAsia="zh-CN"/>
              </w:rPr>
              <w:t>t/a。废活性炭集中收集定期送资质单位安全处置。</w:t>
            </w:r>
          </w:p>
          <w:p w14:paraId="026B19CC">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⑦废滤料</w:t>
            </w:r>
          </w:p>
          <w:p w14:paraId="651D23E7">
            <w:pPr>
              <w:pStyle w:val="54"/>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sz w:val="24"/>
                <w:szCs w:val="24"/>
                <w:highlight w:val="none"/>
                <w:lang w:val="en-US" w:eastAsia="zh-CN"/>
              </w:rPr>
            </w:pPr>
            <w:r>
              <w:rPr>
                <w:rFonts w:hint="eastAsia" w:cs="Times New Roman"/>
                <w:color w:val="auto"/>
                <w:sz w:val="24"/>
                <w:szCs w:val="24"/>
                <w:highlight w:val="none"/>
                <w:lang w:val="en-US" w:eastAsia="zh-CN"/>
              </w:rPr>
              <w:t>项目颗粒物使用干式过滤器去除，滤料定期更换产生废滤料。根据建设单位提供的资料，干式过滤器滤料填充量约为0.1t，约每半年更换一次；则项目生产过程滤料使用量约为0.2t/a；根据工程分析，本项目滤料吸附的颗粒物约为0.086t/a；则废滤料产生量为0.286t/a。废滤料集中收集定期送资质单位安全处置。</w:t>
            </w:r>
          </w:p>
          <w:p w14:paraId="094A2492">
            <w:pPr>
              <w:widowControl w:val="0"/>
              <w:numPr>
                <w:ilvl w:val="0"/>
                <w:numId w:val="0"/>
              </w:numPr>
              <w:spacing w:line="360" w:lineRule="auto"/>
              <w:ind w:firstLine="480" w:firstLineChars="200"/>
              <w:jc w:val="both"/>
              <w:rPr>
                <w:rFonts w:hint="default"/>
                <w:color w:val="000000"/>
                <w:sz w:val="24"/>
                <w:szCs w:val="24"/>
                <w:highlight w:val="none"/>
                <w:lang w:val="en-US" w:eastAsia="zh-CN"/>
              </w:rPr>
            </w:pPr>
            <w:r>
              <w:rPr>
                <w:rFonts w:hint="default"/>
                <w:color w:val="000000"/>
                <w:sz w:val="24"/>
                <w:szCs w:val="24"/>
                <w:highlight w:val="none"/>
                <w:lang w:val="en-US" w:eastAsia="zh-CN"/>
              </w:rPr>
              <w:t>项目固体废物产生情况具体见下表。</w:t>
            </w:r>
          </w:p>
          <w:p w14:paraId="72341C15">
            <w:pPr>
              <w:adjustRightInd w:val="0"/>
              <w:snapToGrid w:val="0"/>
              <w:spacing w:line="360" w:lineRule="auto"/>
              <w:jc w:val="center"/>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t>表4-</w:t>
            </w:r>
            <w:r>
              <w:rPr>
                <w:rFonts w:hint="eastAsia" w:ascii="Times New Roman" w:hAnsi="Times New Roman" w:cs="Times New Roman"/>
                <w:b/>
                <w:color w:val="000000"/>
                <w:szCs w:val="21"/>
                <w:highlight w:val="none"/>
                <w:lang w:val="en-US" w:eastAsia="zh-CN"/>
              </w:rPr>
              <w:t>1</w:t>
            </w:r>
            <w:r>
              <w:rPr>
                <w:rFonts w:hint="eastAsia" w:cs="Times New Roman"/>
                <w:b/>
                <w:color w:val="000000"/>
                <w:szCs w:val="21"/>
                <w:highlight w:val="none"/>
                <w:lang w:val="en-US" w:eastAsia="zh-CN"/>
              </w:rPr>
              <w:t>7</w:t>
            </w:r>
            <w:r>
              <w:rPr>
                <w:rFonts w:hint="default" w:ascii="Times New Roman" w:hAnsi="Times New Roman" w:cs="Times New Roman"/>
                <w:b/>
                <w:color w:val="000000"/>
                <w:szCs w:val="21"/>
                <w:highlight w:val="none"/>
              </w:rPr>
              <w:t xml:space="preserve">  项目固体废物产生情况一览表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7"/>
              <w:gridCol w:w="1903"/>
              <w:gridCol w:w="1217"/>
              <w:gridCol w:w="3756"/>
            </w:tblGrid>
            <w:tr w14:paraId="6DF5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noWrap w:val="0"/>
                  <w:vAlign w:val="center"/>
                </w:tcPr>
                <w:p w14:paraId="24A40D9F">
                  <w:pPr>
                    <w:adjustRightInd w:val="0"/>
                    <w:snapToGrid w:val="0"/>
                    <w:jc w:val="center"/>
                    <w:rPr>
                      <w:rFonts w:hint="default" w:ascii="Times New Roman" w:hAnsi="Times New Roman" w:cs="Times New Roman"/>
                      <w:b/>
                      <w:bCs/>
                      <w:color w:val="000000"/>
                      <w:sz w:val="21"/>
                      <w:szCs w:val="21"/>
                      <w:highlight w:val="none"/>
                    </w:rPr>
                  </w:pPr>
                  <w:r>
                    <w:rPr>
                      <w:rFonts w:hint="default" w:ascii="Times New Roman" w:hAnsi="Times New Roman" w:cs="Times New Roman"/>
                      <w:b/>
                      <w:bCs/>
                      <w:color w:val="000000"/>
                      <w:sz w:val="21"/>
                      <w:szCs w:val="21"/>
                      <w:highlight w:val="none"/>
                    </w:rPr>
                    <w:t>种类</w:t>
                  </w:r>
                </w:p>
              </w:tc>
              <w:tc>
                <w:tcPr>
                  <w:tcW w:w="1196" w:type="pct"/>
                  <w:noWrap w:val="0"/>
                  <w:vAlign w:val="center"/>
                </w:tcPr>
                <w:p w14:paraId="6CF3F1A8">
                  <w:pPr>
                    <w:adjustRightInd w:val="0"/>
                    <w:snapToGrid w:val="0"/>
                    <w:jc w:val="center"/>
                    <w:rPr>
                      <w:rFonts w:hint="default" w:ascii="Times New Roman" w:hAnsi="Times New Roman" w:cs="Times New Roman"/>
                      <w:b/>
                      <w:bCs/>
                      <w:color w:val="000000"/>
                      <w:sz w:val="21"/>
                      <w:szCs w:val="21"/>
                      <w:highlight w:val="none"/>
                    </w:rPr>
                  </w:pPr>
                  <w:r>
                    <w:rPr>
                      <w:rFonts w:hint="default" w:ascii="Times New Roman" w:hAnsi="Times New Roman" w:cs="Times New Roman"/>
                      <w:b/>
                      <w:bCs/>
                      <w:color w:val="000000"/>
                      <w:sz w:val="21"/>
                      <w:szCs w:val="21"/>
                      <w:highlight w:val="none"/>
                    </w:rPr>
                    <w:t>名称</w:t>
                  </w:r>
                </w:p>
              </w:tc>
              <w:tc>
                <w:tcPr>
                  <w:tcW w:w="765" w:type="pct"/>
                  <w:noWrap w:val="0"/>
                  <w:vAlign w:val="center"/>
                </w:tcPr>
                <w:p w14:paraId="7468C584">
                  <w:pPr>
                    <w:adjustRightInd w:val="0"/>
                    <w:snapToGrid w:val="0"/>
                    <w:jc w:val="center"/>
                    <w:rPr>
                      <w:rFonts w:hint="default" w:ascii="Times New Roman" w:hAnsi="Times New Roman" w:cs="Times New Roman"/>
                      <w:b/>
                      <w:bCs/>
                      <w:color w:val="000000"/>
                      <w:sz w:val="21"/>
                      <w:szCs w:val="21"/>
                      <w:highlight w:val="none"/>
                    </w:rPr>
                  </w:pPr>
                  <w:r>
                    <w:rPr>
                      <w:rFonts w:hint="default" w:ascii="Times New Roman" w:hAnsi="Times New Roman" w:cs="Times New Roman"/>
                      <w:b/>
                      <w:bCs/>
                      <w:color w:val="000000"/>
                      <w:sz w:val="21"/>
                      <w:szCs w:val="21"/>
                      <w:highlight w:val="none"/>
                    </w:rPr>
                    <w:t>产生量（t/a）</w:t>
                  </w:r>
                </w:p>
              </w:tc>
              <w:tc>
                <w:tcPr>
                  <w:tcW w:w="2361" w:type="pct"/>
                  <w:noWrap w:val="0"/>
                  <w:vAlign w:val="center"/>
                </w:tcPr>
                <w:p w14:paraId="5C62FC92">
                  <w:pPr>
                    <w:adjustRightInd w:val="0"/>
                    <w:snapToGrid w:val="0"/>
                    <w:jc w:val="center"/>
                    <w:rPr>
                      <w:rFonts w:hint="default" w:ascii="Times New Roman" w:hAnsi="Times New Roman" w:cs="Times New Roman"/>
                      <w:b/>
                      <w:bCs/>
                      <w:color w:val="000000"/>
                      <w:sz w:val="21"/>
                      <w:szCs w:val="21"/>
                      <w:highlight w:val="none"/>
                    </w:rPr>
                  </w:pPr>
                  <w:r>
                    <w:rPr>
                      <w:rFonts w:hint="default" w:ascii="Times New Roman" w:hAnsi="Times New Roman" w:cs="Times New Roman"/>
                      <w:b/>
                      <w:bCs/>
                      <w:color w:val="000000"/>
                      <w:sz w:val="21"/>
                      <w:szCs w:val="21"/>
                      <w:highlight w:val="none"/>
                    </w:rPr>
                    <w:t>处置措施</w:t>
                  </w:r>
                </w:p>
              </w:tc>
            </w:tr>
            <w:tr w14:paraId="6241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noWrap w:val="0"/>
                  <w:vAlign w:val="center"/>
                </w:tcPr>
                <w:p w14:paraId="58D69A20">
                  <w:pPr>
                    <w:pStyle w:val="62"/>
                    <w:spacing w:line="240" w:lineRule="auto"/>
                    <w:ind w:firstLine="0" w:firstLineChars="0"/>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生活垃圾</w:t>
                  </w:r>
                </w:p>
              </w:tc>
              <w:tc>
                <w:tcPr>
                  <w:tcW w:w="1196" w:type="pct"/>
                  <w:noWrap w:val="0"/>
                  <w:vAlign w:val="center"/>
                </w:tcPr>
                <w:p w14:paraId="1401D08D">
                  <w:pPr>
                    <w:pStyle w:val="62"/>
                    <w:spacing w:line="240" w:lineRule="auto"/>
                    <w:ind w:firstLine="0" w:firstLineChars="0"/>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生活垃圾</w:t>
                  </w:r>
                </w:p>
              </w:tc>
              <w:tc>
                <w:tcPr>
                  <w:tcW w:w="765" w:type="pct"/>
                  <w:noWrap w:val="0"/>
                  <w:vAlign w:val="center"/>
                </w:tcPr>
                <w:p w14:paraId="6E6B4925">
                  <w:pPr>
                    <w:pStyle w:val="62"/>
                    <w:spacing w:line="240" w:lineRule="auto"/>
                    <w:ind w:firstLine="0" w:firstLineChars="0"/>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22.5</w:t>
                  </w:r>
                </w:p>
              </w:tc>
              <w:tc>
                <w:tcPr>
                  <w:tcW w:w="2361" w:type="pct"/>
                  <w:noWrap w:val="0"/>
                  <w:vAlign w:val="center"/>
                </w:tcPr>
                <w:p w14:paraId="39E5E73B">
                  <w:pPr>
                    <w:adjustRightInd w:val="0"/>
                    <w:snapToGrid w:val="0"/>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集中收集后委托市政环卫部门清运</w:t>
                  </w:r>
                </w:p>
              </w:tc>
            </w:tr>
            <w:tr w14:paraId="0F872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restart"/>
                  <w:noWrap w:val="0"/>
                  <w:vAlign w:val="center"/>
                </w:tcPr>
                <w:p w14:paraId="30DA4781">
                  <w:pPr>
                    <w:pStyle w:val="62"/>
                    <w:spacing w:line="240" w:lineRule="auto"/>
                    <w:ind w:firstLine="0" w:firstLineChars="0"/>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一般固废</w:t>
                  </w:r>
                </w:p>
              </w:tc>
              <w:tc>
                <w:tcPr>
                  <w:tcW w:w="1196" w:type="pct"/>
                  <w:noWrap w:val="0"/>
                  <w:vAlign w:val="center"/>
                </w:tcPr>
                <w:p w14:paraId="5B8396B3">
                  <w:pPr>
                    <w:pStyle w:val="62"/>
                    <w:spacing w:line="240" w:lineRule="auto"/>
                    <w:ind w:firstLine="0" w:firstLineChars="0"/>
                    <w:jc w:val="center"/>
                    <w:rPr>
                      <w:rFonts w:hint="default" w:eastAsia="宋体" w:cs="Times New Roman"/>
                      <w:color w:val="000000"/>
                      <w:sz w:val="21"/>
                      <w:szCs w:val="21"/>
                      <w:highlight w:val="none"/>
                      <w:lang w:val="en-US" w:eastAsia="zh-CN"/>
                    </w:rPr>
                  </w:pPr>
                  <w:r>
                    <w:rPr>
                      <w:rFonts w:hint="default" w:eastAsia="宋体" w:cs="Times New Roman"/>
                      <w:color w:val="000000"/>
                      <w:sz w:val="21"/>
                      <w:szCs w:val="21"/>
                      <w:highlight w:val="none"/>
                      <w:lang w:val="en-US" w:eastAsia="zh-CN"/>
                    </w:rPr>
                    <w:t>锡焊焊渣</w:t>
                  </w:r>
                </w:p>
              </w:tc>
              <w:tc>
                <w:tcPr>
                  <w:tcW w:w="765" w:type="pct"/>
                  <w:noWrap w:val="0"/>
                  <w:vAlign w:val="center"/>
                </w:tcPr>
                <w:p w14:paraId="15087540">
                  <w:pPr>
                    <w:pStyle w:val="62"/>
                    <w:spacing w:line="240" w:lineRule="auto"/>
                    <w:ind w:firstLine="0" w:firstLineChars="0"/>
                    <w:jc w:val="center"/>
                    <w:rPr>
                      <w:rFonts w:hint="default" w:eastAsia="宋体" w:cs="Times New Roman"/>
                      <w:color w:val="000000"/>
                      <w:sz w:val="21"/>
                      <w:szCs w:val="21"/>
                      <w:highlight w:val="none"/>
                      <w:lang w:val="en-US" w:eastAsia="zh-CN"/>
                    </w:rPr>
                  </w:pPr>
                  <w:r>
                    <w:rPr>
                      <w:rFonts w:hint="default" w:eastAsia="宋体" w:cs="Times New Roman"/>
                      <w:color w:val="000000"/>
                      <w:sz w:val="21"/>
                      <w:szCs w:val="21"/>
                      <w:highlight w:val="none"/>
                      <w:lang w:val="en-US" w:eastAsia="zh-CN"/>
                    </w:rPr>
                    <w:t>1.602</w:t>
                  </w:r>
                </w:p>
              </w:tc>
              <w:tc>
                <w:tcPr>
                  <w:tcW w:w="2361" w:type="pct"/>
                  <w:vMerge w:val="restart"/>
                  <w:noWrap w:val="0"/>
                  <w:vAlign w:val="center"/>
                </w:tcPr>
                <w:p w14:paraId="3102E707">
                  <w:pPr>
                    <w:adjustRightInd w:val="0"/>
                    <w:snapToGrid w:val="0"/>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集中收集后外售综合利用</w:t>
                  </w:r>
                </w:p>
              </w:tc>
            </w:tr>
            <w:tr w14:paraId="1BC44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5E2FE562">
                  <w:pPr>
                    <w:pStyle w:val="62"/>
                    <w:spacing w:line="240" w:lineRule="auto"/>
                    <w:ind w:firstLine="0" w:firstLineChars="0"/>
                    <w:jc w:val="center"/>
                    <w:rPr>
                      <w:rFonts w:hint="default" w:ascii="Times New Roman" w:hAnsi="Times New Roman" w:eastAsia="宋体" w:cs="Times New Roman"/>
                      <w:color w:val="000000"/>
                      <w:sz w:val="21"/>
                      <w:szCs w:val="21"/>
                      <w:highlight w:val="none"/>
                    </w:rPr>
                  </w:pPr>
                </w:p>
              </w:tc>
              <w:tc>
                <w:tcPr>
                  <w:tcW w:w="1196" w:type="pct"/>
                  <w:noWrap w:val="0"/>
                  <w:vAlign w:val="center"/>
                </w:tcPr>
                <w:p w14:paraId="46F86389">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不合格品（显示屏模组器件）</w:t>
                  </w:r>
                </w:p>
              </w:tc>
              <w:tc>
                <w:tcPr>
                  <w:tcW w:w="765" w:type="pct"/>
                  <w:noWrap w:val="0"/>
                  <w:vAlign w:val="center"/>
                </w:tcPr>
                <w:p w14:paraId="5173E918">
                  <w:pPr>
                    <w:pStyle w:val="62"/>
                    <w:spacing w:line="240" w:lineRule="auto"/>
                    <w:ind w:firstLine="0" w:firstLineChars="0"/>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600个/a</w:t>
                  </w:r>
                </w:p>
              </w:tc>
              <w:tc>
                <w:tcPr>
                  <w:tcW w:w="2361" w:type="pct"/>
                  <w:vMerge w:val="continue"/>
                  <w:noWrap w:val="0"/>
                  <w:vAlign w:val="center"/>
                </w:tcPr>
                <w:p w14:paraId="6E8B7A9E">
                  <w:pPr>
                    <w:adjustRightInd w:val="0"/>
                    <w:snapToGrid w:val="0"/>
                    <w:jc w:val="center"/>
                    <w:rPr>
                      <w:rFonts w:hint="default" w:ascii="Times New Roman" w:hAnsi="Times New Roman" w:cs="Times New Roman"/>
                      <w:color w:val="000000"/>
                      <w:sz w:val="21"/>
                      <w:szCs w:val="21"/>
                      <w:highlight w:val="none"/>
                    </w:rPr>
                  </w:pPr>
                </w:p>
              </w:tc>
            </w:tr>
            <w:tr w14:paraId="7578A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0EE93E14">
                  <w:pPr>
                    <w:pStyle w:val="62"/>
                    <w:spacing w:line="240" w:lineRule="auto"/>
                    <w:ind w:firstLine="0" w:firstLineChars="0"/>
                    <w:jc w:val="center"/>
                    <w:rPr>
                      <w:rFonts w:hint="default" w:ascii="Times New Roman" w:hAnsi="Times New Roman" w:eastAsia="宋体" w:cs="Times New Roman"/>
                      <w:color w:val="000000"/>
                      <w:sz w:val="21"/>
                      <w:szCs w:val="21"/>
                      <w:highlight w:val="none"/>
                    </w:rPr>
                  </w:pPr>
                </w:p>
              </w:tc>
              <w:tc>
                <w:tcPr>
                  <w:tcW w:w="1196" w:type="pct"/>
                  <w:noWrap w:val="0"/>
                  <w:vAlign w:val="center"/>
                </w:tcPr>
                <w:p w14:paraId="20A706F0">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废边角料</w:t>
                  </w:r>
                </w:p>
              </w:tc>
              <w:tc>
                <w:tcPr>
                  <w:tcW w:w="765" w:type="pct"/>
                  <w:noWrap w:val="0"/>
                  <w:vAlign w:val="center"/>
                </w:tcPr>
                <w:p w14:paraId="304132EE">
                  <w:pPr>
                    <w:pStyle w:val="62"/>
                    <w:spacing w:line="240" w:lineRule="auto"/>
                    <w:ind w:firstLine="0" w:firstLineChars="0"/>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0.054</w:t>
                  </w:r>
                </w:p>
              </w:tc>
              <w:tc>
                <w:tcPr>
                  <w:tcW w:w="2361" w:type="pct"/>
                  <w:vMerge w:val="continue"/>
                  <w:noWrap w:val="0"/>
                  <w:vAlign w:val="center"/>
                </w:tcPr>
                <w:p w14:paraId="3978AB10">
                  <w:pPr>
                    <w:adjustRightInd w:val="0"/>
                    <w:snapToGrid w:val="0"/>
                    <w:jc w:val="center"/>
                    <w:rPr>
                      <w:rFonts w:hint="default" w:ascii="Times New Roman" w:hAnsi="Times New Roman" w:cs="Times New Roman"/>
                      <w:color w:val="000000"/>
                      <w:sz w:val="21"/>
                      <w:szCs w:val="21"/>
                      <w:highlight w:val="none"/>
                    </w:rPr>
                  </w:pPr>
                </w:p>
              </w:tc>
            </w:tr>
            <w:tr w14:paraId="4DF3C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46097940">
                  <w:pPr>
                    <w:pStyle w:val="62"/>
                    <w:spacing w:line="240" w:lineRule="auto"/>
                    <w:ind w:firstLine="0" w:firstLineChars="0"/>
                    <w:jc w:val="center"/>
                    <w:rPr>
                      <w:rFonts w:hint="default" w:ascii="Times New Roman" w:hAnsi="Times New Roman" w:eastAsia="宋体" w:cs="Times New Roman"/>
                      <w:color w:val="000000"/>
                      <w:sz w:val="21"/>
                      <w:szCs w:val="21"/>
                      <w:highlight w:val="none"/>
                    </w:rPr>
                  </w:pPr>
                </w:p>
              </w:tc>
              <w:tc>
                <w:tcPr>
                  <w:tcW w:w="1196" w:type="pct"/>
                  <w:noWrap w:val="0"/>
                  <w:vAlign w:val="center"/>
                </w:tcPr>
                <w:p w14:paraId="41523BB6">
                  <w:pPr>
                    <w:pStyle w:val="62"/>
                    <w:spacing w:line="240" w:lineRule="auto"/>
                    <w:ind w:firstLine="0" w:firstLineChars="0"/>
                    <w:jc w:val="center"/>
                    <w:rPr>
                      <w:rFonts w:hint="default" w:eastAsia="宋体" w:cs="Times New Roman"/>
                      <w:color w:val="000000"/>
                      <w:sz w:val="21"/>
                      <w:szCs w:val="21"/>
                      <w:highlight w:val="none"/>
                      <w:lang w:val="en-US" w:eastAsia="zh-CN"/>
                    </w:rPr>
                  </w:pPr>
                  <w:r>
                    <w:rPr>
                      <w:rFonts w:hint="default" w:eastAsia="宋体" w:cs="Times New Roman"/>
                      <w:color w:val="000000"/>
                      <w:sz w:val="21"/>
                      <w:szCs w:val="21"/>
                      <w:highlight w:val="none"/>
                      <w:lang w:val="en-US" w:eastAsia="zh-CN"/>
                    </w:rPr>
                    <w:t>废包装箱</w:t>
                  </w:r>
                </w:p>
              </w:tc>
              <w:tc>
                <w:tcPr>
                  <w:tcW w:w="765" w:type="pct"/>
                  <w:noWrap w:val="0"/>
                  <w:vAlign w:val="center"/>
                </w:tcPr>
                <w:p w14:paraId="08322DE0">
                  <w:pPr>
                    <w:pStyle w:val="62"/>
                    <w:spacing w:line="240" w:lineRule="auto"/>
                    <w:ind w:firstLine="0" w:firstLineChars="0"/>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2</w:t>
                  </w:r>
                </w:p>
              </w:tc>
              <w:tc>
                <w:tcPr>
                  <w:tcW w:w="2361" w:type="pct"/>
                  <w:vMerge w:val="continue"/>
                  <w:noWrap w:val="0"/>
                  <w:vAlign w:val="center"/>
                </w:tcPr>
                <w:p w14:paraId="5E430C84">
                  <w:pPr>
                    <w:adjustRightInd w:val="0"/>
                    <w:snapToGrid w:val="0"/>
                    <w:jc w:val="center"/>
                    <w:rPr>
                      <w:rFonts w:hint="default" w:ascii="Times New Roman" w:hAnsi="Times New Roman" w:eastAsia="宋体" w:cs="Times New Roman"/>
                      <w:color w:val="000000"/>
                      <w:sz w:val="21"/>
                      <w:szCs w:val="21"/>
                      <w:highlight w:val="none"/>
                      <w:lang w:val="en-US" w:eastAsia="zh-CN"/>
                    </w:rPr>
                  </w:pPr>
                </w:p>
              </w:tc>
            </w:tr>
            <w:tr w14:paraId="20883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restart"/>
                  <w:noWrap w:val="0"/>
                  <w:vAlign w:val="center"/>
                </w:tcPr>
                <w:p w14:paraId="67FDA686">
                  <w:pPr>
                    <w:pStyle w:val="62"/>
                    <w:spacing w:line="240" w:lineRule="auto"/>
                    <w:ind w:firstLine="0" w:firstLineChars="0"/>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危险废物</w:t>
                  </w:r>
                </w:p>
              </w:tc>
              <w:tc>
                <w:tcPr>
                  <w:tcW w:w="1196" w:type="pct"/>
                  <w:noWrap w:val="0"/>
                  <w:vAlign w:val="center"/>
                </w:tcPr>
                <w:p w14:paraId="3874369C">
                  <w:pPr>
                    <w:pStyle w:val="62"/>
                    <w:spacing w:line="240" w:lineRule="auto"/>
                    <w:ind w:firstLine="0" w:firstLineChars="0"/>
                    <w:jc w:val="center"/>
                    <w:rPr>
                      <w:rFonts w:hint="default" w:eastAsia="宋体" w:cs="Times New Roman"/>
                      <w:color w:val="000000"/>
                      <w:sz w:val="21"/>
                      <w:szCs w:val="21"/>
                      <w:highlight w:val="none"/>
                      <w:lang w:val="en-US" w:eastAsia="zh-CN"/>
                    </w:rPr>
                  </w:pPr>
                  <w:r>
                    <w:rPr>
                      <w:rFonts w:hint="default" w:eastAsia="宋体" w:cs="Times New Roman"/>
                      <w:color w:val="000000"/>
                      <w:sz w:val="21"/>
                      <w:szCs w:val="21"/>
                      <w:highlight w:val="none"/>
                      <w:lang w:val="en-US" w:eastAsia="zh-CN"/>
                    </w:rPr>
                    <w:t>废包装材料</w:t>
                  </w:r>
                </w:p>
              </w:tc>
              <w:tc>
                <w:tcPr>
                  <w:tcW w:w="765" w:type="pct"/>
                  <w:noWrap w:val="0"/>
                  <w:vAlign w:val="center"/>
                </w:tcPr>
                <w:p w14:paraId="54BFEAE6">
                  <w:pPr>
                    <w:pStyle w:val="62"/>
                    <w:spacing w:line="240" w:lineRule="auto"/>
                    <w:ind w:firstLine="0" w:firstLineChars="0"/>
                    <w:jc w:val="center"/>
                    <w:rPr>
                      <w:rFonts w:hint="default" w:eastAsia="宋体" w:cs="Times New Roman"/>
                      <w:color w:val="000000"/>
                      <w:sz w:val="21"/>
                      <w:szCs w:val="21"/>
                      <w:highlight w:val="none"/>
                      <w:lang w:val="en-US" w:eastAsia="zh-CN"/>
                    </w:rPr>
                  </w:pPr>
                  <w:r>
                    <w:rPr>
                      <w:rFonts w:hint="default" w:eastAsia="宋体" w:cs="Times New Roman"/>
                      <w:color w:val="000000"/>
                      <w:sz w:val="21"/>
                      <w:szCs w:val="21"/>
                      <w:highlight w:val="none"/>
                      <w:lang w:val="en-US" w:eastAsia="zh-CN"/>
                    </w:rPr>
                    <w:t>9.616</w:t>
                  </w:r>
                </w:p>
              </w:tc>
              <w:tc>
                <w:tcPr>
                  <w:tcW w:w="2361" w:type="pct"/>
                  <w:vMerge w:val="restart"/>
                  <w:noWrap w:val="0"/>
                  <w:vAlign w:val="center"/>
                </w:tcPr>
                <w:p w14:paraId="2A0EA5F5">
                  <w:pPr>
                    <w:adjustRightInd w:val="0"/>
                    <w:snapToGrid w:val="0"/>
                    <w:jc w:val="center"/>
                    <w:rPr>
                      <w:rFonts w:hint="eastAsia"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集中收集定期送资质单位安全处置</w:t>
                  </w:r>
                </w:p>
              </w:tc>
            </w:tr>
            <w:tr w14:paraId="55D7E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5B2B363D">
                  <w:pPr>
                    <w:pStyle w:val="62"/>
                    <w:spacing w:line="240" w:lineRule="auto"/>
                    <w:ind w:firstLine="0" w:firstLineChars="0"/>
                    <w:jc w:val="center"/>
                    <w:rPr>
                      <w:rFonts w:hint="default" w:ascii="Times New Roman" w:hAnsi="Times New Roman" w:eastAsia="宋体" w:cs="Times New Roman"/>
                      <w:color w:val="000000"/>
                      <w:sz w:val="21"/>
                      <w:szCs w:val="21"/>
                      <w:highlight w:val="none"/>
                    </w:rPr>
                  </w:pPr>
                </w:p>
              </w:tc>
              <w:tc>
                <w:tcPr>
                  <w:tcW w:w="1196" w:type="pct"/>
                  <w:noWrap w:val="0"/>
                  <w:vAlign w:val="center"/>
                </w:tcPr>
                <w:p w14:paraId="77653449">
                  <w:pPr>
                    <w:pStyle w:val="62"/>
                    <w:spacing w:line="240" w:lineRule="auto"/>
                    <w:ind w:firstLine="0" w:firstLineChars="0"/>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擦拭废纸</w:t>
                  </w:r>
                </w:p>
              </w:tc>
              <w:tc>
                <w:tcPr>
                  <w:tcW w:w="765" w:type="pct"/>
                  <w:noWrap w:val="0"/>
                  <w:vAlign w:val="center"/>
                </w:tcPr>
                <w:p w14:paraId="26B8664E">
                  <w:pPr>
                    <w:pStyle w:val="62"/>
                    <w:spacing w:line="240" w:lineRule="auto"/>
                    <w:ind w:firstLine="0" w:firstLineChars="0"/>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1</w:t>
                  </w:r>
                </w:p>
              </w:tc>
              <w:tc>
                <w:tcPr>
                  <w:tcW w:w="2361" w:type="pct"/>
                  <w:vMerge w:val="continue"/>
                  <w:noWrap w:val="0"/>
                  <w:vAlign w:val="center"/>
                </w:tcPr>
                <w:p w14:paraId="39F4A2F3">
                  <w:pPr>
                    <w:adjustRightInd w:val="0"/>
                    <w:snapToGrid w:val="0"/>
                    <w:jc w:val="center"/>
                    <w:rPr>
                      <w:rFonts w:hint="default" w:ascii="Times New Roman" w:hAnsi="Times New Roman" w:eastAsia="宋体" w:cs="Times New Roman"/>
                      <w:color w:val="000000"/>
                      <w:sz w:val="21"/>
                      <w:szCs w:val="21"/>
                      <w:highlight w:val="none"/>
                      <w:lang w:val="en-US" w:eastAsia="zh-CN"/>
                    </w:rPr>
                  </w:pPr>
                </w:p>
              </w:tc>
            </w:tr>
            <w:tr w14:paraId="5E15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7304F3CF">
                  <w:pPr>
                    <w:pStyle w:val="62"/>
                    <w:spacing w:line="240" w:lineRule="auto"/>
                    <w:ind w:firstLine="0" w:firstLineChars="0"/>
                    <w:jc w:val="center"/>
                    <w:rPr>
                      <w:rFonts w:hint="default" w:ascii="Times New Roman" w:hAnsi="Times New Roman" w:eastAsia="宋体" w:cs="Times New Roman"/>
                      <w:color w:val="000000"/>
                      <w:sz w:val="21"/>
                      <w:szCs w:val="21"/>
                      <w:highlight w:val="none"/>
                    </w:rPr>
                  </w:pPr>
                </w:p>
              </w:tc>
              <w:tc>
                <w:tcPr>
                  <w:tcW w:w="1196" w:type="pct"/>
                  <w:noWrap w:val="0"/>
                  <w:vAlign w:val="center"/>
                </w:tcPr>
                <w:p w14:paraId="6D4B2A9C">
                  <w:pPr>
                    <w:pStyle w:val="62"/>
                    <w:spacing w:line="240" w:lineRule="auto"/>
                    <w:ind w:firstLine="0" w:firstLineChars="0"/>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不合格品（LED显示屏模组）</w:t>
                  </w:r>
                </w:p>
              </w:tc>
              <w:tc>
                <w:tcPr>
                  <w:tcW w:w="765" w:type="pct"/>
                  <w:noWrap w:val="0"/>
                  <w:vAlign w:val="center"/>
                </w:tcPr>
                <w:p w14:paraId="7687DF6E">
                  <w:pPr>
                    <w:pStyle w:val="62"/>
                    <w:spacing w:line="240" w:lineRule="auto"/>
                    <w:ind w:firstLine="0" w:firstLineChars="0"/>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2100件/a</w:t>
                  </w:r>
                </w:p>
              </w:tc>
              <w:tc>
                <w:tcPr>
                  <w:tcW w:w="2361" w:type="pct"/>
                  <w:vMerge w:val="continue"/>
                  <w:noWrap w:val="0"/>
                  <w:vAlign w:val="center"/>
                </w:tcPr>
                <w:p w14:paraId="0C040263">
                  <w:pPr>
                    <w:adjustRightInd w:val="0"/>
                    <w:snapToGrid w:val="0"/>
                    <w:jc w:val="center"/>
                    <w:rPr>
                      <w:rFonts w:hint="default" w:ascii="Times New Roman" w:hAnsi="Times New Roman" w:eastAsia="宋体" w:cs="Times New Roman"/>
                      <w:color w:val="000000"/>
                      <w:sz w:val="21"/>
                      <w:szCs w:val="21"/>
                      <w:highlight w:val="none"/>
                      <w:lang w:val="en-US" w:eastAsia="zh-CN"/>
                    </w:rPr>
                  </w:pPr>
                </w:p>
              </w:tc>
            </w:tr>
            <w:tr w14:paraId="31613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34F98DAE">
                  <w:pPr>
                    <w:pStyle w:val="62"/>
                    <w:spacing w:line="240" w:lineRule="auto"/>
                    <w:ind w:firstLine="0" w:firstLineChars="0"/>
                    <w:jc w:val="center"/>
                    <w:rPr>
                      <w:rFonts w:hint="default" w:ascii="Times New Roman" w:hAnsi="Times New Roman" w:eastAsia="宋体" w:cs="Times New Roman"/>
                      <w:color w:val="000000"/>
                      <w:sz w:val="21"/>
                      <w:szCs w:val="21"/>
                      <w:highlight w:val="none"/>
                    </w:rPr>
                  </w:pPr>
                </w:p>
              </w:tc>
              <w:tc>
                <w:tcPr>
                  <w:tcW w:w="1196" w:type="pct"/>
                  <w:noWrap w:val="0"/>
                  <w:vAlign w:val="center"/>
                </w:tcPr>
                <w:p w14:paraId="45D0400A">
                  <w:pPr>
                    <w:pStyle w:val="62"/>
                    <w:spacing w:line="240" w:lineRule="auto"/>
                    <w:ind w:firstLine="0" w:firstLineChars="0"/>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废机油及油桶</w:t>
                  </w:r>
                </w:p>
              </w:tc>
              <w:tc>
                <w:tcPr>
                  <w:tcW w:w="765" w:type="pct"/>
                  <w:noWrap w:val="0"/>
                  <w:vAlign w:val="center"/>
                </w:tcPr>
                <w:p w14:paraId="3326DFCD">
                  <w:pPr>
                    <w:pStyle w:val="62"/>
                    <w:spacing w:line="240" w:lineRule="auto"/>
                    <w:ind w:firstLine="0" w:firstLineChars="0"/>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0.984</w:t>
                  </w:r>
                </w:p>
              </w:tc>
              <w:tc>
                <w:tcPr>
                  <w:tcW w:w="2361" w:type="pct"/>
                  <w:vMerge w:val="continue"/>
                  <w:noWrap w:val="0"/>
                  <w:vAlign w:val="center"/>
                </w:tcPr>
                <w:p w14:paraId="48515B99">
                  <w:pPr>
                    <w:adjustRightInd w:val="0"/>
                    <w:snapToGrid w:val="0"/>
                    <w:jc w:val="center"/>
                    <w:rPr>
                      <w:rFonts w:hint="default" w:ascii="Times New Roman" w:hAnsi="Times New Roman" w:cs="Times New Roman"/>
                      <w:color w:val="000000"/>
                      <w:sz w:val="21"/>
                      <w:szCs w:val="21"/>
                      <w:highlight w:val="none"/>
                    </w:rPr>
                  </w:pPr>
                </w:p>
              </w:tc>
            </w:tr>
            <w:tr w14:paraId="4315C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1E5FD051">
                  <w:pPr>
                    <w:pStyle w:val="62"/>
                    <w:spacing w:line="240" w:lineRule="auto"/>
                    <w:ind w:firstLine="0" w:firstLineChars="0"/>
                    <w:jc w:val="center"/>
                    <w:rPr>
                      <w:rFonts w:hint="default" w:ascii="Times New Roman" w:hAnsi="Times New Roman" w:eastAsia="宋体" w:cs="Times New Roman"/>
                      <w:color w:val="000000"/>
                      <w:sz w:val="21"/>
                      <w:szCs w:val="21"/>
                      <w:highlight w:val="none"/>
                    </w:rPr>
                  </w:pPr>
                </w:p>
              </w:tc>
              <w:tc>
                <w:tcPr>
                  <w:tcW w:w="1196" w:type="pct"/>
                  <w:noWrap w:val="0"/>
                  <w:vAlign w:val="center"/>
                </w:tcPr>
                <w:p w14:paraId="383DF560">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废油抹布及手套</w:t>
                  </w:r>
                </w:p>
              </w:tc>
              <w:tc>
                <w:tcPr>
                  <w:tcW w:w="765" w:type="pct"/>
                  <w:noWrap w:val="0"/>
                  <w:vAlign w:val="center"/>
                </w:tcPr>
                <w:p w14:paraId="1698FD1D">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0.5</w:t>
                  </w:r>
                </w:p>
              </w:tc>
              <w:tc>
                <w:tcPr>
                  <w:tcW w:w="2361" w:type="pct"/>
                  <w:vMerge w:val="continue"/>
                  <w:noWrap w:val="0"/>
                  <w:vAlign w:val="center"/>
                </w:tcPr>
                <w:p w14:paraId="13744949">
                  <w:pPr>
                    <w:adjustRightInd w:val="0"/>
                    <w:snapToGrid w:val="0"/>
                    <w:jc w:val="center"/>
                    <w:rPr>
                      <w:rFonts w:hint="default" w:ascii="Times New Roman" w:hAnsi="Times New Roman" w:cs="Times New Roman"/>
                      <w:color w:val="000000"/>
                      <w:sz w:val="21"/>
                      <w:szCs w:val="21"/>
                      <w:highlight w:val="none"/>
                    </w:rPr>
                  </w:pPr>
                </w:p>
              </w:tc>
            </w:tr>
            <w:tr w14:paraId="2EE33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0F54F335">
                  <w:pPr>
                    <w:pStyle w:val="62"/>
                    <w:spacing w:line="240" w:lineRule="auto"/>
                    <w:ind w:firstLine="0" w:firstLineChars="0"/>
                    <w:jc w:val="center"/>
                    <w:rPr>
                      <w:rFonts w:hint="default" w:ascii="Times New Roman" w:hAnsi="Times New Roman" w:eastAsia="宋体" w:cs="Times New Roman"/>
                      <w:color w:val="000000"/>
                      <w:sz w:val="21"/>
                      <w:szCs w:val="21"/>
                      <w:highlight w:val="none"/>
                    </w:rPr>
                  </w:pPr>
                </w:p>
              </w:tc>
              <w:tc>
                <w:tcPr>
                  <w:tcW w:w="1196" w:type="pct"/>
                  <w:noWrap w:val="0"/>
                  <w:vAlign w:val="center"/>
                </w:tcPr>
                <w:p w14:paraId="7B8DF0DA">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废活性炭</w:t>
                  </w:r>
                </w:p>
              </w:tc>
              <w:tc>
                <w:tcPr>
                  <w:tcW w:w="765" w:type="pct"/>
                  <w:noWrap w:val="0"/>
                  <w:vAlign w:val="center"/>
                </w:tcPr>
                <w:p w14:paraId="6C5749C7">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83.564</w:t>
                  </w:r>
                </w:p>
              </w:tc>
              <w:tc>
                <w:tcPr>
                  <w:tcW w:w="2361" w:type="pct"/>
                  <w:vMerge w:val="continue"/>
                  <w:noWrap w:val="0"/>
                  <w:vAlign w:val="center"/>
                </w:tcPr>
                <w:p w14:paraId="63136832">
                  <w:pPr>
                    <w:adjustRightInd w:val="0"/>
                    <w:snapToGrid w:val="0"/>
                    <w:jc w:val="center"/>
                    <w:rPr>
                      <w:rFonts w:hint="default" w:ascii="Times New Roman" w:hAnsi="Times New Roman" w:cs="Times New Roman"/>
                      <w:color w:val="000000"/>
                      <w:sz w:val="21"/>
                      <w:szCs w:val="21"/>
                      <w:highlight w:val="none"/>
                    </w:rPr>
                  </w:pPr>
                </w:p>
              </w:tc>
            </w:tr>
            <w:tr w14:paraId="03E08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34A7AD37">
                  <w:pPr>
                    <w:pStyle w:val="62"/>
                    <w:spacing w:line="240" w:lineRule="auto"/>
                    <w:ind w:firstLine="0" w:firstLineChars="0"/>
                    <w:jc w:val="center"/>
                    <w:rPr>
                      <w:rFonts w:hint="default" w:ascii="Times New Roman" w:hAnsi="Times New Roman" w:eastAsia="宋体" w:cs="Times New Roman"/>
                      <w:color w:val="000000"/>
                      <w:sz w:val="21"/>
                      <w:szCs w:val="21"/>
                      <w:highlight w:val="none"/>
                    </w:rPr>
                  </w:pPr>
                </w:p>
              </w:tc>
              <w:tc>
                <w:tcPr>
                  <w:tcW w:w="1196" w:type="pct"/>
                  <w:noWrap w:val="0"/>
                  <w:vAlign w:val="center"/>
                </w:tcPr>
                <w:p w14:paraId="17EC1AAD">
                  <w:pPr>
                    <w:pStyle w:val="62"/>
                    <w:spacing w:line="240" w:lineRule="auto"/>
                    <w:ind w:firstLine="0" w:firstLineChars="0"/>
                    <w:jc w:val="center"/>
                    <w:rPr>
                      <w:rFonts w:hint="default" w:eastAsia="宋体" w:cs="Times New Roman"/>
                      <w:color w:val="000000"/>
                      <w:sz w:val="21"/>
                      <w:szCs w:val="21"/>
                      <w:highlight w:val="none"/>
                      <w:lang w:val="en-US" w:eastAsia="zh-CN"/>
                    </w:rPr>
                  </w:pPr>
                  <w:r>
                    <w:rPr>
                      <w:rFonts w:hint="default" w:eastAsia="宋体" w:cs="Times New Roman"/>
                      <w:color w:val="000000"/>
                      <w:sz w:val="21"/>
                      <w:szCs w:val="21"/>
                      <w:highlight w:val="none"/>
                      <w:lang w:val="en-US" w:eastAsia="zh-CN"/>
                    </w:rPr>
                    <w:t>废滤料</w:t>
                  </w:r>
                </w:p>
              </w:tc>
              <w:tc>
                <w:tcPr>
                  <w:tcW w:w="765" w:type="pct"/>
                  <w:noWrap w:val="0"/>
                  <w:vAlign w:val="center"/>
                </w:tcPr>
                <w:p w14:paraId="6ED64197">
                  <w:pPr>
                    <w:pStyle w:val="62"/>
                    <w:spacing w:line="240" w:lineRule="auto"/>
                    <w:ind w:firstLine="0" w:firstLineChars="0"/>
                    <w:jc w:val="center"/>
                    <w:rPr>
                      <w:rFonts w:hint="default" w:eastAsia="宋体" w:cs="Times New Roman"/>
                      <w:color w:val="000000"/>
                      <w:sz w:val="21"/>
                      <w:szCs w:val="21"/>
                      <w:highlight w:val="none"/>
                      <w:lang w:val="en-US" w:eastAsia="zh-CN"/>
                    </w:rPr>
                  </w:pPr>
                  <w:r>
                    <w:rPr>
                      <w:rFonts w:hint="default" w:eastAsia="宋体" w:cs="Times New Roman"/>
                      <w:color w:val="000000"/>
                      <w:sz w:val="21"/>
                      <w:szCs w:val="21"/>
                      <w:highlight w:val="none"/>
                      <w:lang w:val="en-US" w:eastAsia="zh-CN"/>
                    </w:rPr>
                    <w:t>0.286</w:t>
                  </w:r>
                </w:p>
              </w:tc>
              <w:tc>
                <w:tcPr>
                  <w:tcW w:w="2361" w:type="pct"/>
                  <w:vMerge w:val="continue"/>
                  <w:noWrap w:val="0"/>
                  <w:vAlign w:val="center"/>
                </w:tcPr>
                <w:p w14:paraId="15D11606">
                  <w:pPr>
                    <w:adjustRightInd w:val="0"/>
                    <w:snapToGrid w:val="0"/>
                    <w:jc w:val="center"/>
                    <w:rPr>
                      <w:rFonts w:hint="default" w:ascii="Times New Roman" w:hAnsi="Times New Roman" w:cs="Times New Roman"/>
                      <w:color w:val="000000"/>
                      <w:sz w:val="21"/>
                      <w:szCs w:val="21"/>
                      <w:highlight w:val="none"/>
                    </w:rPr>
                  </w:pPr>
                </w:p>
              </w:tc>
            </w:tr>
          </w:tbl>
          <w:p w14:paraId="501811EC">
            <w:pPr>
              <w:adjustRightInd w:val="0"/>
              <w:snapToGrid w:val="0"/>
              <w:spacing w:line="360" w:lineRule="auto"/>
              <w:jc w:val="center"/>
              <w:rPr>
                <w:rFonts w:hint="default" w:ascii="Times New Roman" w:hAnsi="Times New Roman" w:cs="Times New Roman"/>
                <w:b/>
                <w:color w:val="000000"/>
                <w:szCs w:val="21"/>
                <w:highlight w:val="none"/>
              </w:rPr>
            </w:pPr>
          </w:p>
          <w:p w14:paraId="4C00F8A7">
            <w:pPr>
              <w:adjustRightInd w:val="0"/>
              <w:snapToGrid w:val="0"/>
              <w:spacing w:line="360" w:lineRule="auto"/>
              <w:jc w:val="center"/>
              <w:rPr>
                <w:rFonts w:hint="default" w:ascii="Times New Roman" w:hAnsi="Times New Roman" w:cs="Times New Roman"/>
                <w:b/>
                <w:color w:val="000000"/>
                <w:szCs w:val="21"/>
                <w:highlight w:val="none"/>
              </w:rPr>
            </w:pPr>
          </w:p>
          <w:p w14:paraId="402FCF1B">
            <w:pPr>
              <w:adjustRightInd w:val="0"/>
              <w:snapToGrid w:val="0"/>
              <w:spacing w:line="360" w:lineRule="auto"/>
              <w:jc w:val="center"/>
              <w:rPr>
                <w:rFonts w:hint="default" w:ascii="Times New Roman" w:hAnsi="Times New Roman" w:cs="Times New Roman"/>
                <w:b/>
                <w:color w:val="000000"/>
                <w:szCs w:val="21"/>
                <w:highlight w:val="none"/>
              </w:rPr>
            </w:pPr>
          </w:p>
          <w:p w14:paraId="216A4BB6">
            <w:pPr>
              <w:adjustRightInd w:val="0"/>
              <w:snapToGrid w:val="0"/>
              <w:spacing w:line="360" w:lineRule="auto"/>
              <w:jc w:val="center"/>
              <w:rPr>
                <w:rFonts w:hint="default" w:ascii="Times New Roman" w:hAnsi="Times New Roman" w:cs="Times New Roman"/>
                <w:b/>
                <w:color w:val="000000"/>
                <w:szCs w:val="21"/>
                <w:highlight w:val="none"/>
              </w:rPr>
            </w:pPr>
          </w:p>
          <w:p w14:paraId="4A32BD54">
            <w:pPr>
              <w:adjustRightInd w:val="0"/>
              <w:snapToGrid w:val="0"/>
              <w:spacing w:line="360" w:lineRule="auto"/>
              <w:jc w:val="center"/>
              <w:rPr>
                <w:rFonts w:hint="default" w:ascii="Times New Roman" w:hAnsi="Times New Roman" w:cs="Times New Roman"/>
                <w:b/>
                <w:color w:val="000000"/>
                <w:szCs w:val="21"/>
                <w:highlight w:val="none"/>
              </w:rPr>
            </w:pPr>
          </w:p>
          <w:p w14:paraId="3EA9CB4E">
            <w:pPr>
              <w:adjustRightInd w:val="0"/>
              <w:snapToGrid w:val="0"/>
              <w:spacing w:line="360" w:lineRule="auto"/>
              <w:jc w:val="center"/>
              <w:rPr>
                <w:rFonts w:hint="default" w:ascii="Times New Roman" w:hAnsi="Times New Roman" w:cs="Times New Roman"/>
                <w:b/>
                <w:color w:val="000000"/>
                <w:szCs w:val="21"/>
                <w:highlight w:val="none"/>
              </w:rPr>
            </w:pPr>
          </w:p>
          <w:p w14:paraId="474AB7AD">
            <w:pPr>
              <w:adjustRightInd w:val="0"/>
              <w:snapToGrid w:val="0"/>
              <w:spacing w:line="360" w:lineRule="auto"/>
              <w:jc w:val="center"/>
              <w:rPr>
                <w:rFonts w:hint="default" w:ascii="Times New Roman" w:hAnsi="Times New Roman" w:cs="Times New Roman"/>
                <w:b/>
                <w:color w:val="000000"/>
                <w:szCs w:val="21"/>
                <w:highlight w:val="none"/>
              </w:rPr>
            </w:pPr>
          </w:p>
          <w:p w14:paraId="4D27872B">
            <w:pPr>
              <w:adjustRightInd w:val="0"/>
              <w:snapToGrid w:val="0"/>
              <w:spacing w:line="360" w:lineRule="auto"/>
              <w:jc w:val="center"/>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t>表4-</w:t>
            </w:r>
            <w:r>
              <w:rPr>
                <w:rFonts w:hint="eastAsia" w:ascii="Times New Roman" w:hAnsi="Times New Roman" w:cs="Times New Roman"/>
                <w:b/>
                <w:color w:val="000000"/>
                <w:szCs w:val="21"/>
                <w:highlight w:val="none"/>
                <w:lang w:val="en-US" w:eastAsia="zh-CN"/>
              </w:rPr>
              <w:t>1</w:t>
            </w:r>
            <w:r>
              <w:rPr>
                <w:rFonts w:hint="eastAsia" w:cs="Times New Roman"/>
                <w:b/>
                <w:color w:val="000000"/>
                <w:szCs w:val="21"/>
                <w:highlight w:val="none"/>
                <w:lang w:val="en-US" w:eastAsia="zh-CN"/>
              </w:rPr>
              <w:t>8</w:t>
            </w:r>
            <w:r>
              <w:rPr>
                <w:rFonts w:hint="default" w:ascii="Times New Roman" w:hAnsi="Times New Roman" w:cs="Times New Roman"/>
                <w:b/>
                <w:color w:val="000000"/>
                <w:szCs w:val="21"/>
                <w:highlight w:val="none"/>
              </w:rPr>
              <w:t xml:space="preserve">  项目危险废物汇总一览表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13"/>
              <w:gridCol w:w="1308"/>
              <w:gridCol w:w="1392"/>
              <w:gridCol w:w="866"/>
              <w:gridCol w:w="872"/>
              <w:gridCol w:w="508"/>
              <w:gridCol w:w="735"/>
              <w:gridCol w:w="759"/>
            </w:tblGrid>
            <w:tr w14:paraId="56588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951" w:type="pct"/>
                  <w:noWrap w:val="0"/>
                  <w:vAlign w:val="center"/>
                </w:tcPr>
                <w:p w14:paraId="5EE07A57">
                  <w:pPr>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危险废物名称</w:t>
                  </w:r>
                </w:p>
              </w:tc>
              <w:tc>
                <w:tcPr>
                  <w:tcW w:w="822" w:type="pct"/>
                  <w:noWrap w:val="0"/>
                  <w:vAlign w:val="center"/>
                </w:tcPr>
                <w:p w14:paraId="31FB3451">
                  <w:pPr>
                    <w:adjustRightInd w:val="0"/>
                    <w:snapToGrid w:val="0"/>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危险废物类别</w:t>
                  </w:r>
                </w:p>
              </w:tc>
              <w:tc>
                <w:tcPr>
                  <w:tcW w:w="875" w:type="pct"/>
                  <w:noWrap w:val="0"/>
                  <w:vAlign w:val="center"/>
                </w:tcPr>
                <w:p w14:paraId="5BEDB0E8">
                  <w:pPr>
                    <w:adjustRightInd w:val="0"/>
                    <w:snapToGrid w:val="0"/>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危险废物代码</w:t>
                  </w:r>
                </w:p>
              </w:tc>
              <w:tc>
                <w:tcPr>
                  <w:tcW w:w="544" w:type="pct"/>
                  <w:noWrap w:val="0"/>
                  <w:vAlign w:val="center"/>
                </w:tcPr>
                <w:p w14:paraId="7E0FB362">
                  <w:pPr>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产生量（t/a）</w:t>
                  </w:r>
                </w:p>
              </w:tc>
              <w:tc>
                <w:tcPr>
                  <w:tcW w:w="548" w:type="pct"/>
                  <w:noWrap w:val="0"/>
                  <w:vAlign w:val="center"/>
                </w:tcPr>
                <w:p w14:paraId="34A4BCE4">
                  <w:pPr>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产生工序及装置</w:t>
                  </w:r>
                </w:p>
              </w:tc>
              <w:tc>
                <w:tcPr>
                  <w:tcW w:w="319" w:type="pct"/>
                  <w:noWrap w:val="0"/>
                  <w:vAlign w:val="center"/>
                </w:tcPr>
                <w:p w14:paraId="59DE5C44">
                  <w:pPr>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形态</w:t>
                  </w:r>
                </w:p>
              </w:tc>
              <w:tc>
                <w:tcPr>
                  <w:tcW w:w="462" w:type="pct"/>
                  <w:noWrap w:val="0"/>
                  <w:vAlign w:val="center"/>
                </w:tcPr>
                <w:p w14:paraId="507251D6">
                  <w:pPr>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环境危险特性</w:t>
                  </w:r>
                </w:p>
              </w:tc>
              <w:tc>
                <w:tcPr>
                  <w:tcW w:w="477" w:type="pct"/>
                  <w:noWrap w:val="0"/>
                  <w:vAlign w:val="center"/>
                </w:tcPr>
                <w:p w14:paraId="2DCADCE1">
                  <w:pPr>
                    <w:jc w:val="center"/>
                    <w:rPr>
                      <w:rFonts w:hint="default" w:ascii="Times New Roman" w:hAnsi="Times New Roman" w:cs="Times New Roman"/>
                      <w:b/>
                      <w:color w:val="000000"/>
                      <w:sz w:val="21"/>
                      <w:szCs w:val="21"/>
                      <w:highlight w:val="none"/>
                    </w:rPr>
                  </w:pPr>
                  <w:r>
                    <w:rPr>
                      <w:rFonts w:hint="default" w:ascii="Times New Roman" w:hAnsi="Times New Roman" w:cs="Times New Roman"/>
                      <w:b/>
                      <w:color w:val="000000"/>
                      <w:sz w:val="21"/>
                      <w:szCs w:val="21"/>
                      <w:highlight w:val="none"/>
                    </w:rPr>
                    <w:t>利用处置方式和去向</w:t>
                  </w:r>
                </w:p>
              </w:tc>
            </w:tr>
            <w:tr w14:paraId="51A2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951" w:type="pct"/>
                  <w:shd w:val="clear" w:color="auto" w:fill="auto"/>
                  <w:noWrap w:val="0"/>
                  <w:vAlign w:val="center"/>
                </w:tcPr>
                <w:p w14:paraId="25A798C0">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eastAsia="宋体" w:cs="Times New Roman"/>
                      <w:color w:val="000000"/>
                      <w:sz w:val="21"/>
                      <w:szCs w:val="21"/>
                      <w:highlight w:val="none"/>
                      <w:lang w:val="en-US" w:eastAsia="zh-CN"/>
                    </w:rPr>
                    <w:t>废包装材料</w:t>
                  </w:r>
                </w:p>
              </w:tc>
              <w:tc>
                <w:tcPr>
                  <w:tcW w:w="822" w:type="pct"/>
                  <w:noWrap w:val="0"/>
                  <w:vAlign w:val="center"/>
                </w:tcPr>
                <w:p w14:paraId="787805C1">
                  <w:pPr>
                    <w:adjustRightInd w:val="0"/>
                    <w:snapToGrid w:val="0"/>
                    <w:jc w:val="center"/>
                    <w:rPr>
                      <w:rFonts w:hint="default" w:ascii="Times New Roman" w:hAnsi="Times New Roman" w:cs="Times New Roman"/>
                      <w:color w:val="000000"/>
                      <w:kern w:val="2"/>
                      <w:sz w:val="21"/>
                      <w:szCs w:val="21"/>
                      <w:highlight w:val="none"/>
                      <w:lang w:val="en-US" w:eastAsia="zh-CN" w:bidi="ar-SA"/>
                    </w:rPr>
                  </w:pPr>
                  <w:r>
                    <w:rPr>
                      <w:rFonts w:hint="eastAsia" w:ascii="Times New Roman" w:hAnsi="Times New Roman" w:cs="Times New Roman"/>
                      <w:color w:val="000000"/>
                      <w:kern w:val="2"/>
                      <w:sz w:val="21"/>
                      <w:szCs w:val="21"/>
                      <w:highlight w:val="none"/>
                      <w:lang w:val="en-US" w:eastAsia="zh-CN" w:bidi="ar-SA"/>
                    </w:rPr>
                    <w:t>HW49</w:t>
                  </w:r>
                </w:p>
              </w:tc>
              <w:tc>
                <w:tcPr>
                  <w:tcW w:w="875" w:type="pct"/>
                  <w:noWrap w:val="0"/>
                  <w:vAlign w:val="center"/>
                </w:tcPr>
                <w:p w14:paraId="09F833D4">
                  <w:pPr>
                    <w:adjustRightInd w:val="0"/>
                    <w:snapToGrid w:val="0"/>
                    <w:jc w:val="center"/>
                    <w:rPr>
                      <w:rFonts w:hint="default" w:ascii="Times New Roman" w:hAnsi="Times New Roman"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900-041-49</w:t>
                  </w:r>
                </w:p>
              </w:tc>
              <w:tc>
                <w:tcPr>
                  <w:tcW w:w="544" w:type="pct"/>
                  <w:shd w:val="clear" w:color="auto" w:fill="auto"/>
                  <w:noWrap w:val="0"/>
                  <w:vAlign w:val="center"/>
                </w:tcPr>
                <w:p w14:paraId="7DB20A6B">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eastAsia="宋体" w:cs="Times New Roman"/>
                      <w:color w:val="000000"/>
                      <w:sz w:val="21"/>
                      <w:szCs w:val="21"/>
                      <w:highlight w:val="none"/>
                      <w:lang w:val="en-US" w:eastAsia="zh-CN"/>
                    </w:rPr>
                    <w:t>9.616</w:t>
                  </w:r>
                </w:p>
              </w:tc>
              <w:tc>
                <w:tcPr>
                  <w:tcW w:w="548" w:type="pct"/>
                  <w:noWrap w:val="0"/>
                  <w:vAlign w:val="center"/>
                </w:tcPr>
                <w:p w14:paraId="60930F6E">
                  <w:pPr>
                    <w:jc w:val="center"/>
                    <w:rPr>
                      <w:rFonts w:hint="default" w:ascii="Times New Roman" w:hAnsi="Times New Roman"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原料包装</w:t>
                  </w:r>
                </w:p>
              </w:tc>
              <w:tc>
                <w:tcPr>
                  <w:tcW w:w="319" w:type="pct"/>
                  <w:noWrap w:val="0"/>
                  <w:vAlign w:val="center"/>
                </w:tcPr>
                <w:p w14:paraId="095DF092">
                  <w:pPr>
                    <w:jc w:val="center"/>
                    <w:rPr>
                      <w:rFonts w:hint="default" w:ascii="Times New Roman" w:hAnsi="Times New Roman"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固态</w:t>
                  </w:r>
                </w:p>
              </w:tc>
              <w:tc>
                <w:tcPr>
                  <w:tcW w:w="462" w:type="pct"/>
                  <w:noWrap w:val="0"/>
                  <w:vAlign w:val="center"/>
                </w:tcPr>
                <w:p w14:paraId="616BF8D8">
                  <w:pPr>
                    <w:adjustRightInd w:val="0"/>
                    <w:snapToGrid w:val="0"/>
                    <w:jc w:val="center"/>
                    <w:rPr>
                      <w:rFonts w:hint="default" w:ascii="Times New Roman" w:hAnsi="Times New Roman" w:cs="Times New Roman"/>
                      <w:color w:val="000000"/>
                      <w:kern w:val="2"/>
                      <w:sz w:val="21"/>
                      <w:szCs w:val="21"/>
                      <w:highlight w:val="none"/>
                      <w:lang w:val="en-US" w:eastAsia="zh-CN" w:bidi="ar-SA"/>
                    </w:rPr>
                  </w:pPr>
                  <w:r>
                    <w:rPr>
                      <w:rFonts w:hint="default" w:ascii="Times New Roman" w:hAnsi="Times New Roman" w:cs="Times New Roman"/>
                      <w:color w:val="000000"/>
                      <w:sz w:val="21"/>
                      <w:szCs w:val="21"/>
                      <w:highlight w:val="none"/>
                    </w:rPr>
                    <w:t>T/In</w:t>
                  </w:r>
                </w:p>
              </w:tc>
              <w:tc>
                <w:tcPr>
                  <w:tcW w:w="477" w:type="pct"/>
                  <w:vMerge w:val="restart"/>
                  <w:noWrap w:val="0"/>
                  <w:vAlign w:val="center"/>
                </w:tcPr>
                <w:p w14:paraId="22B2106E">
                  <w:pPr>
                    <w:adjustRightInd w:val="0"/>
                    <w:snapToGrid w:val="0"/>
                    <w:jc w:val="center"/>
                    <w:rPr>
                      <w:rFonts w:hint="default" w:ascii="Times New Roman" w:hAnsi="Times New Roman" w:cs="Times New Roman"/>
                      <w:bCs/>
                      <w:color w:val="000000"/>
                      <w:sz w:val="21"/>
                      <w:szCs w:val="21"/>
                      <w:highlight w:val="none"/>
                    </w:rPr>
                  </w:pPr>
                  <w:r>
                    <w:rPr>
                      <w:rFonts w:hint="default" w:ascii="Times New Roman" w:hAnsi="Times New Roman" w:cs="Times New Roman"/>
                      <w:color w:val="000000"/>
                      <w:sz w:val="21"/>
                      <w:szCs w:val="21"/>
                      <w:highlight w:val="none"/>
                    </w:rPr>
                    <w:t>集中收集后定期送资质单位安全处置</w:t>
                  </w:r>
                </w:p>
              </w:tc>
            </w:tr>
            <w:tr w14:paraId="5D1A5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951" w:type="pct"/>
                  <w:shd w:val="clear" w:color="auto" w:fill="auto"/>
                  <w:noWrap w:val="0"/>
                  <w:vAlign w:val="center"/>
                </w:tcPr>
                <w:p w14:paraId="32011D97">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擦拭废纸</w:t>
                  </w:r>
                </w:p>
              </w:tc>
              <w:tc>
                <w:tcPr>
                  <w:tcW w:w="822" w:type="pct"/>
                  <w:shd w:val="clear" w:color="auto" w:fill="auto"/>
                  <w:noWrap w:val="0"/>
                  <w:vAlign w:val="center"/>
                </w:tcPr>
                <w:p w14:paraId="1EA056A2">
                  <w:pPr>
                    <w:adjustRightInd w:val="0"/>
                    <w:snapToGrid w:val="0"/>
                    <w:jc w:val="center"/>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cs="Times New Roman"/>
                      <w:color w:val="000000"/>
                      <w:kern w:val="2"/>
                      <w:sz w:val="21"/>
                      <w:szCs w:val="21"/>
                      <w:highlight w:val="none"/>
                      <w:lang w:val="en-US" w:eastAsia="zh-CN" w:bidi="ar-SA"/>
                    </w:rPr>
                    <w:t>HW49</w:t>
                  </w:r>
                </w:p>
              </w:tc>
              <w:tc>
                <w:tcPr>
                  <w:tcW w:w="875" w:type="pct"/>
                  <w:shd w:val="clear" w:color="auto" w:fill="auto"/>
                  <w:noWrap w:val="0"/>
                  <w:vAlign w:val="center"/>
                </w:tcPr>
                <w:p w14:paraId="18172A9A">
                  <w:pPr>
                    <w:adjustRightInd w:val="0"/>
                    <w:snapToGrid w:val="0"/>
                    <w:jc w:val="center"/>
                    <w:rPr>
                      <w:rFonts w:hint="default" w:ascii="Times New Roman" w:hAnsi="Times New Roman" w:eastAsia="宋体"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900-041-49</w:t>
                  </w:r>
                </w:p>
              </w:tc>
              <w:tc>
                <w:tcPr>
                  <w:tcW w:w="544" w:type="pct"/>
                  <w:shd w:val="clear" w:color="auto" w:fill="auto"/>
                  <w:noWrap w:val="0"/>
                  <w:vAlign w:val="center"/>
                </w:tcPr>
                <w:p w14:paraId="4B744FC7">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1</w:t>
                  </w:r>
                </w:p>
              </w:tc>
              <w:tc>
                <w:tcPr>
                  <w:tcW w:w="548" w:type="pct"/>
                  <w:noWrap w:val="0"/>
                  <w:vAlign w:val="center"/>
                </w:tcPr>
                <w:p w14:paraId="432061DA">
                  <w:pPr>
                    <w:jc w:val="center"/>
                    <w:rPr>
                      <w:rFonts w:hint="default" w:ascii="Times New Roman" w:hAnsi="Times New Roman" w:cs="Times New Roman"/>
                      <w:bCs/>
                      <w:color w:val="000000"/>
                      <w:kern w:val="2"/>
                      <w:sz w:val="21"/>
                      <w:szCs w:val="21"/>
                      <w:highlight w:val="none"/>
                      <w:lang w:val="en-US" w:eastAsia="zh-CN" w:bidi="ar-SA"/>
                    </w:rPr>
                  </w:pPr>
                  <w:r>
                    <w:rPr>
                      <w:rFonts w:hint="eastAsia" w:cs="Times New Roman"/>
                      <w:color w:val="auto"/>
                      <w:kern w:val="0"/>
                      <w:sz w:val="21"/>
                      <w:szCs w:val="21"/>
                      <w:highlight w:val="none"/>
                      <w:lang w:val="en-US" w:eastAsia="zh-CN" w:bidi="ar"/>
                    </w:rPr>
                    <w:t>钢网擦拭</w:t>
                  </w:r>
                </w:p>
              </w:tc>
              <w:tc>
                <w:tcPr>
                  <w:tcW w:w="319" w:type="pct"/>
                  <w:noWrap w:val="0"/>
                  <w:vAlign w:val="center"/>
                </w:tcPr>
                <w:p w14:paraId="5D6A1154">
                  <w:pPr>
                    <w:jc w:val="center"/>
                    <w:rPr>
                      <w:rFonts w:hint="default" w:ascii="Times New Roman" w:hAnsi="Times New Roman"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固态</w:t>
                  </w:r>
                </w:p>
              </w:tc>
              <w:tc>
                <w:tcPr>
                  <w:tcW w:w="462" w:type="pct"/>
                  <w:noWrap w:val="0"/>
                  <w:vAlign w:val="center"/>
                </w:tcPr>
                <w:p w14:paraId="7AF5DD90">
                  <w:pPr>
                    <w:adjustRightInd w:val="0"/>
                    <w:snapToGrid w:val="0"/>
                    <w:jc w:val="center"/>
                    <w:rPr>
                      <w:rFonts w:hint="default" w:ascii="Times New Roman" w:hAnsi="Times New Roman" w:cs="Times New Roman"/>
                      <w:color w:val="000000"/>
                      <w:kern w:val="2"/>
                      <w:sz w:val="21"/>
                      <w:szCs w:val="21"/>
                      <w:highlight w:val="none"/>
                      <w:lang w:val="en-US" w:eastAsia="zh-CN" w:bidi="ar-SA"/>
                    </w:rPr>
                  </w:pPr>
                  <w:r>
                    <w:rPr>
                      <w:rFonts w:hint="default" w:ascii="Times New Roman" w:hAnsi="Times New Roman" w:cs="Times New Roman"/>
                      <w:color w:val="000000"/>
                      <w:sz w:val="21"/>
                      <w:szCs w:val="21"/>
                      <w:highlight w:val="none"/>
                    </w:rPr>
                    <w:t>T/In</w:t>
                  </w:r>
                </w:p>
              </w:tc>
              <w:tc>
                <w:tcPr>
                  <w:tcW w:w="477" w:type="pct"/>
                  <w:vMerge w:val="continue"/>
                  <w:noWrap w:val="0"/>
                  <w:vAlign w:val="center"/>
                </w:tcPr>
                <w:p w14:paraId="41919A09">
                  <w:pPr>
                    <w:adjustRightInd w:val="0"/>
                    <w:snapToGrid w:val="0"/>
                    <w:jc w:val="center"/>
                    <w:rPr>
                      <w:rFonts w:hint="default" w:ascii="Times New Roman" w:hAnsi="Times New Roman" w:cs="Times New Roman"/>
                      <w:bCs/>
                      <w:color w:val="000000"/>
                      <w:sz w:val="21"/>
                      <w:szCs w:val="21"/>
                      <w:highlight w:val="none"/>
                    </w:rPr>
                  </w:pPr>
                </w:p>
              </w:tc>
            </w:tr>
            <w:tr w14:paraId="5F28D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951" w:type="pct"/>
                  <w:shd w:val="clear" w:color="auto" w:fill="auto"/>
                  <w:noWrap w:val="0"/>
                  <w:vAlign w:val="center"/>
                </w:tcPr>
                <w:p w14:paraId="62620A0B">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不合格品（LED显示屏模组）</w:t>
                  </w:r>
                </w:p>
              </w:tc>
              <w:tc>
                <w:tcPr>
                  <w:tcW w:w="822" w:type="pct"/>
                  <w:shd w:val="clear" w:color="auto" w:fill="auto"/>
                  <w:noWrap w:val="0"/>
                  <w:vAlign w:val="center"/>
                </w:tcPr>
                <w:p w14:paraId="26098BF4">
                  <w:pPr>
                    <w:adjustRightInd w:val="0"/>
                    <w:snapToGrid w:val="0"/>
                    <w:jc w:val="center"/>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cs="Times New Roman"/>
                      <w:color w:val="000000"/>
                      <w:kern w:val="2"/>
                      <w:sz w:val="21"/>
                      <w:szCs w:val="21"/>
                      <w:highlight w:val="none"/>
                      <w:lang w:val="en-US" w:eastAsia="zh-CN" w:bidi="ar-SA"/>
                    </w:rPr>
                    <w:t>HW49</w:t>
                  </w:r>
                </w:p>
              </w:tc>
              <w:tc>
                <w:tcPr>
                  <w:tcW w:w="875" w:type="pct"/>
                  <w:shd w:val="clear" w:color="auto" w:fill="auto"/>
                  <w:noWrap w:val="0"/>
                  <w:vAlign w:val="center"/>
                </w:tcPr>
                <w:p w14:paraId="645E07E5">
                  <w:pPr>
                    <w:adjustRightInd w:val="0"/>
                    <w:snapToGrid w:val="0"/>
                    <w:jc w:val="center"/>
                    <w:rPr>
                      <w:rFonts w:hint="default" w:ascii="Times New Roman" w:hAnsi="Times New Roman" w:eastAsia="宋体"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900-045-49</w:t>
                  </w:r>
                </w:p>
              </w:tc>
              <w:tc>
                <w:tcPr>
                  <w:tcW w:w="544" w:type="pct"/>
                  <w:shd w:val="clear" w:color="auto" w:fill="auto"/>
                  <w:noWrap w:val="0"/>
                  <w:vAlign w:val="center"/>
                </w:tcPr>
                <w:p w14:paraId="4C37BDD3">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2100件/a</w:t>
                  </w:r>
                </w:p>
              </w:tc>
              <w:tc>
                <w:tcPr>
                  <w:tcW w:w="548" w:type="pct"/>
                  <w:noWrap w:val="0"/>
                  <w:vAlign w:val="center"/>
                </w:tcPr>
                <w:p w14:paraId="494992A8">
                  <w:pPr>
                    <w:jc w:val="center"/>
                    <w:rPr>
                      <w:rFonts w:hint="default" w:ascii="Times New Roman" w:hAnsi="Times New Roman"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测试</w:t>
                  </w:r>
                </w:p>
              </w:tc>
              <w:tc>
                <w:tcPr>
                  <w:tcW w:w="319" w:type="pct"/>
                  <w:noWrap w:val="0"/>
                  <w:vAlign w:val="center"/>
                </w:tcPr>
                <w:p w14:paraId="5F2DDBA6">
                  <w:pPr>
                    <w:jc w:val="center"/>
                    <w:rPr>
                      <w:rFonts w:hint="default" w:ascii="Times New Roman" w:hAnsi="Times New Roman"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固态</w:t>
                  </w:r>
                </w:p>
              </w:tc>
              <w:tc>
                <w:tcPr>
                  <w:tcW w:w="462" w:type="pct"/>
                  <w:noWrap w:val="0"/>
                  <w:vAlign w:val="center"/>
                </w:tcPr>
                <w:p w14:paraId="78707CFE">
                  <w:pPr>
                    <w:adjustRightInd w:val="0"/>
                    <w:snapToGrid w:val="0"/>
                    <w:jc w:val="center"/>
                    <w:rPr>
                      <w:rFonts w:hint="default" w:ascii="Times New Roman" w:hAnsi="Times New Roman" w:cs="Times New Roman"/>
                      <w:color w:val="000000"/>
                      <w:kern w:val="2"/>
                      <w:sz w:val="21"/>
                      <w:szCs w:val="21"/>
                      <w:highlight w:val="none"/>
                      <w:lang w:val="en-US" w:eastAsia="zh-CN" w:bidi="ar-SA"/>
                    </w:rPr>
                  </w:pPr>
                  <w:r>
                    <w:rPr>
                      <w:rFonts w:hint="default" w:ascii="Times New Roman" w:hAnsi="Times New Roman" w:cs="Times New Roman"/>
                      <w:color w:val="000000"/>
                      <w:sz w:val="21"/>
                      <w:szCs w:val="21"/>
                      <w:highlight w:val="none"/>
                    </w:rPr>
                    <w:t>T</w:t>
                  </w:r>
                </w:p>
              </w:tc>
              <w:tc>
                <w:tcPr>
                  <w:tcW w:w="477" w:type="pct"/>
                  <w:vMerge w:val="continue"/>
                  <w:noWrap w:val="0"/>
                  <w:vAlign w:val="center"/>
                </w:tcPr>
                <w:p w14:paraId="6AD33A3E">
                  <w:pPr>
                    <w:adjustRightInd w:val="0"/>
                    <w:snapToGrid w:val="0"/>
                    <w:jc w:val="center"/>
                    <w:rPr>
                      <w:rFonts w:hint="default" w:ascii="Times New Roman" w:hAnsi="Times New Roman" w:cs="Times New Roman"/>
                      <w:bCs/>
                      <w:color w:val="000000"/>
                      <w:sz w:val="21"/>
                      <w:szCs w:val="21"/>
                      <w:highlight w:val="none"/>
                    </w:rPr>
                  </w:pPr>
                </w:p>
              </w:tc>
            </w:tr>
            <w:tr w14:paraId="0703B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951" w:type="pct"/>
                  <w:shd w:val="clear" w:color="auto" w:fill="auto"/>
                  <w:noWrap w:val="0"/>
                  <w:vAlign w:val="center"/>
                </w:tcPr>
                <w:p w14:paraId="4CC85AB7">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废机油及油桶</w:t>
                  </w:r>
                </w:p>
              </w:tc>
              <w:tc>
                <w:tcPr>
                  <w:tcW w:w="822" w:type="pct"/>
                  <w:noWrap w:val="0"/>
                  <w:vAlign w:val="center"/>
                </w:tcPr>
                <w:p w14:paraId="46AE5850">
                  <w:pPr>
                    <w:adjustRightInd w:val="0"/>
                    <w:snapToGrid w:val="0"/>
                    <w:jc w:val="center"/>
                    <w:rPr>
                      <w:rFonts w:hint="default" w:ascii="Times New Roman" w:hAnsi="Times New Roman" w:cs="Times New Roman"/>
                      <w:color w:val="000000"/>
                      <w:kern w:val="2"/>
                      <w:sz w:val="21"/>
                      <w:szCs w:val="21"/>
                      <w:highlight w:val="none"/>
                      <w:lang w:val="en-US" w:eastAsia="zh-CN" w:bidi="ar-SA"/>
                    </w:rPr>
                  </w:pPr>
                  <w:r>
                    <w:rPr>
                      <w:rFonts w:hint="eastAsia" w:ascii="Times New Roman" w:hAnsi="Times New Roman" w:cs="Times New Roman"/>
                      <w:color w:val="000000"/>
                      <w:kern w:val="2"/>
                      <w:sz w:val="21"/>
                      <w:szCs w:val="21"/>
                      <w:highlight w:val="none"/>
                      <w:lang w:val="en-US" w:eastAsia="zh-CN" w:bidi="ar-SA"/>
                    </w:rPr>
                    <w:t>HW08</w:t>
                  </w:r>
                </w:p>
              </w:tc>
              <w:tc>
                <w:tcPr>
                  <w:tcW w:w="875" w:type="pct"/>
                  <w:noWrap w:val="0"/>
                  <w:vAlign w:val="center"/>
                </w:tcPr>
                <w:p w14:paraId="65B62D15">
                  <w:pPr>
                    <w:adjustRightInd w:val="0"/>
                    <w:snapToGrid w:val="0"/>
                    <w:jc w:val="center"/>
                    <w:rPr>
                      <w:rFonts w:hint="default" w:ascii="Times New Roman" w:hAnsi="Times New Roman"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900-249-08</w:t>
                  </w:r>
                </w:p>
              </w:tc>
              <w:tc>
                <w:tcPr>
                  <w:tcW w:w="544" w:type="pct"/>
                  <w:shd w:val="clear" w:color="auto" w:fill="auto"/>
                  <w:noWrap w:val="0"/>
                  <w:vAlign w:val="center"/>
                </w:tcPr>
                <w:p w14:paraId="4060CDBB">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0.984</w:t>
                  </w:r>
                </w:p>
              </w:tc>
              <w:tc>
                <w:tcPr>
                  <w:tcW w:w="548" w:type="pct"/>
                  <w:noWrap w:val="0"/>
                  <w:vAlign w:val="center"/>
                </w:tcPr>
                <w:p w14:paraId="06FDB746">
                  <w:pPr>
                    <w:jc w:val="center"/>
                    <w:rPr>
                      <w:rFonts w:hint="default" w:ascii="Times New Roman" w:hAnsi="Times New Roman"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设备维护</w:t>
                  </w:r>
                </w:p>
              </w:tc>
              <w:tc>
                <w:tcPr>
                  <w:tcW w:w="319" w:type="pct"/>
                  <w:noWrap w:val="0"/>
                  <w:vAlign w:val="center"/>
                </w:tcPr>
                <w:p w14:paraId="763E134A">
                  <w:pPr>
                    <w:jc w:val="center"/>
                    <w:rPr>
                      <w:rFonts w:hint="eastAsia" w:ascii="Times New Roman" w:hAnsi="Times New Roman" w:eastAsia="宋体" w:cs="Times New Roman"/>
                      <w:bCs/>
                      <w:color w:val="000000"/>
                      <w:kern w:val="2"/>
                      <w:sz w:val="21"/>
                      <w:szCs w:val="21"/>
                      <w:highlight w:val="none"/>
                      <w:lang w:val="en-US" w:eastAsia="zh-CN" w:bidi="ar-SA"/>
                    </w:rPr>
                  </w:pPr>
                  <w:r>
                    <w:rPr>
                      <w:rFonts w:hint="default" w:ascii="Times New Roman" w:hAnsi="Times New Roman" w:cs="Times New Roman"/>
                      <w:bCs/>
                      <w:color w:val="000000"/>
                      <w:sz w:val="21"/>
                      <w:szCs w:val="21"/>
                      <w:highlight w:val="none"/>
                    </w:rPr>
                    <w:t>液态</w:t>
                  </w:r>
                  <w:r>
                    <w:rPr>
                      <w:rFonts w:hint="eastAsia" w:ascii="Times New Roman" w:hAnsi="Times New Roman" w:cs="Times New Roman"/>
                      <w:bCs/>
                      <w:color w:val="000000"/>
                      <w:sz w:val="21"/>
                      <w:szCs w:val="21"/>
                      <w:highlight w:val="none"/>
                      <w:lang w:val="en-US" w:eastAsia="zh-CN"/>
                    </w:rPr>
                    <w:t>/</w:t>
                  </w:r>
                  <w:r>
                    <w:rPr>
                      <w:rFonts w:hint="eastAsia" w:ascii="Times New Roman" w:hAnsi="Times New Roman" w:cs="Times New Roman"/>
                      <w:bCs/>
                      <w:color w:val="000000"/>
                      <w:kern w:val="2"/>
                      <w:sz w:val="21"/>
                      <w:szCs w:val="21"/>
                      <w:highlight w:val="none"/>
                      <w:lang w:val="en-US" w:eastAsia="zh-CN" w:bidi="ar-SA"/>
                    </w:rPr>
                    <w:t>固态</w:t>
                  </w:r>
                </w:p>
              </w:tc>
              <w:tc>
                <w:tcPr>
                  <w:tcW w:w="462" w:type="pct"/>
                  <w:noWrap w:val="0"/>
                  <w:vAlign w:val="center"/>
                </w:tcPr>
                <w:p w14:paraId="4AD77904">
                  <w:pPr>
                    <w:adjustRightInd w:val="0"/>
                    <w:snapToGrid w:val="0"/>
                    <w:jc w:val="center"/>
                    <w:rPr>
                      <w:rFonts w:hint="default" w:ascii="Times New Roman" w:hAnsi="Times New Roman" w:cs="Times New Roman"/>
                      <w:color w:val="000000"/>
                      <w:kern w:val="2"/>
                      <w:sz w:val="21"/>
                      <w:szCs w:val="21"/>
                      <w:highlight w:val="none"/>
                      <w:lang w:val="en-US" w:eastAsia="zh-CN" w:bidi="ar-SA"/>
                    </w:rPr>
                  </w:pPr>
                  <w:r>
                    <w:rPr>
                      <w:rFonts w:hint="eastAsia" w:ascii="Times New Roman" w:hAnsi="Times New Roman" w:cs="Times New Roman"/>
                      <w:color w:val="000000"/>
                      <w:sz w:val="21"/>
                      <w:szCs w:val="21"/>
                      <w:highlight w:val="none"/>
                      <w:lang w:val="en-US" w:eastAsia="zh-CN"/>
                    </w:rPr>
                    <w:t>T，I</w:t>
                  </w:r>
                </w:p>
              </w:tc>
              <w:tc>
                <w:tcPr>
                  <w:tcW w:w="477" w:type="pct"/>
                  <w:vMerge w:val="continue"/>
                  <w:noWrap w:val="0"/>
                  <w:vAlign w:val="center"/>
                </w:tcPr>
                <w:p w14:paraId="5190DFB6">
                  <w:pPr>
                    <w:adjustRightInd w:val="0"/>
                    <w:snapToGrid w:val="0"/>
                    <w:jc w:val="center"/>
                    <w:rPr>
                      <w:rFonts w:hint="default" w:ascii="Times New Roman" w:hAnsi="Times New Roman" w:cs="Times New Roman"/>
                      <w:bCs/>
                      <w:color w:val="000000"/>
                      <w:sz w:val="21"/>
                      <w:szCs w:val="21"/>
                      <w:highlight w:val="none"/>
                    </w:rPr>
                  </w:pPr>
                </w:p>
              </w:tc>
            </w:tr>
            <w:tr w14:paraId="4E92C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951" w:type="pct"/>
                  <w:shd w:val="clear" w:color="auto" w:fill="auto"/>
                  <w:noWrap w:val="0"/>
                  <w:vAlign w:val="center"/>
                </w:tcPr>
                <w:p w14:paraId="5FBEF676">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废油抹布及手套</w:t>
                  </w:r>
                </w:p>
              </w:tc>
              <w:tc>
                <w:tcPr>
                  <w:tcW w:w="822" w:type="pct"/>
                  <w:shd w:val="clear" w:color="auto" w:fill="auto"/>
                  <w:noWrap w:val="0"/>
                  <w:vAlign w:val="center"/>
                </w:tcPr>
                <w:p w14:paraId="7FAA422B">
                  <w:pPr>
                    <w:adjustRightInd w:val="0"/>
                    <w:snapToGrid w:val="0"/>
                    <w:jc w:val="center"/>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cs="Times New Roman"/>
                      <w:color w:val="000000"/>
                      <w:kern w:val="2"/>
                      <w:sz w:val="21"/>
                      <w:szCs w:val="21"/>
                      <w:highlight w:val="none"/>
                      <w:lang w:val="en-US" w:eastAsia="zh-CN" w:bidi="ar-SA"/>
                    </w:rPr>
                    <w:t>HW49</w:t>
                  </w:r>
                </w:p>
              </w:tc>
              <w:tc>
                <w:tcPr>
                  <w:tcW w:w="875" w:type="pct"/>
                  <w:shd w:val="clear" w:color="auto" w:fill="auto"/>
                  <w:noWrap w:val="0"/>
                  <w:vAlign w:val="center"/>
                </w:tcPr>
                <w:p w14:paraId="4A0B28E8">
                  <w:pPr>
                    <w:adjustRightInd w:val="0"/>
                    <w:snapToGrid w:val="0"/>
                    <w:jc w:val="center"/>
                    <w:rPr>
                      <w:rFonts w:hint="default" w:ascii="Times New Roman" w:hAnsi="Times New Roman" w:eastAsia="宋体"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900-041-49</w:t>
                  </w:r>
                </w:p>
              </w:tc>
              <w:tc>
                <w:tcPr>
                  <w:tcW w:w="544" w:type="pct"/>
                  <w:shd w:val="clear" w:color="auto" w:fill="auto"/>
                  <w:noWrap w:val="0"/>
                  <w:vAlign w:val="center"/>
                </w:tcPr>
                <w:p w14:paraId="0EAA9D94">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0.5</w:t>
                  </w:r>
                </w:p>
              </w:tc>
              <w:tc>
                <w:tcPr>
                  <w:tcW w:w="548" w:type="pct"/>
                  <w:noWrap w:val="0"/>
                  <w:vAlign w:val="center"/>
                </w:tcPr>
                <w:p w14:paraId="2043F66F">
                  <w:pPr>
                    <w:jc w:val="center"/>
                    <w:rPr>
                      <w:rFonts w:hint="default" w:ascii="Times New Roman" w:hAnsi="Times New Roman"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设备维护</w:t>
                  </w:r>
                </w:p>
              </w:tc>
              <w:tc>
                <w:tcPr>
                  <w:tcW w:w="319" w:type="pct"/>
                  <w:noWrap w:val="0"/>
                  <w:vAlign w:val="center"/>
                </w:tcPr>
                <w:p w14:paraId="27FF4566">
                  <w:pPr>
                    <w:jc w:val="center"/>
                    <w:rPr>
                      <w:rFonts w:hint="default" w:ascii="Times New Roman" w:hAnsi="Times New Roman"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固态</w:t>
                  </w:r>
                </w:p>
              </w:tc>
              <w:tc>
                <w:tcPr>
                  <w:tcW w:w="462" w:type="pct"/>
                  <w:noWrap w:val="0"/>
                  <w:vAlign w:val="center"/>
                </w:tcPr>
                <w:p w14:paraId="4A060B67">
                  <w:pPr>
                    <w:adjustRightInd w:val="0"/>
                    <w:snapToGrid w:val="0"/>
                    <w:jc w:val="center"/>
                    <w:rPr>
                      <w:rFonts w:hint="default" w:ascii="Times New Roman" w:hAnsi="Times New Roman" w:cs="Times New Roman"/>
                      <w:color w:val="000000"/>
                      <w:kern w:val="2"/>
                      <w:sz w:val="21"/>
                      <w:szCs w:val="21"/>
                      <w:highlight w:val="none"/>
                      <w:lang w:val="en-US" w:eastAsia="zh-CN" w:bidi="ar-SA"/>
                    </w:rPr>
                  </w:pPr>
                  <w:r>
                    <w:rPr>
                      <w:rFonts w:hint="default" w:ascii="Times New Roman" w:hAnsi="Times New Roman" w:cs="Times New Roman"/>
                      <w:color w:val="000000"/>
                      <w:sz w:val="21"/>
                      <w:szCs w:val="21"/>
                      <w:highlight w:val="none"/>
                    </w:rPr>
                    <w:t>T/In</w:t>
                  </w:r>
                </w:p>
              </w:tc>
              <w:tc>
                <w:tcPr>
                  <w:tcW w:w="477" w:type="pct"/>
                  <w:vMerge w:val="continue"/>
                  <w:noWrap w:val="0"/>
                  <w:vAlign w:val="center"/>
                </w:tcPr>
                <w:p w14:paraId="0493553C">
                  <w:pPr>
                    <w:adjustRightInd w:val="0"/>
                    <w:snapToGrid w:val="0"/>
                    <w:jc w:val="center"/>
                    <w:rPr>
                      <w:rFonts w:hint="default" w:ascii="Times New Roman" w:hAnsi="Times New Roman" w:cs="Times New Roman"/>
                      <w:bCs/>
                      <w:color w:val="000000"/>
                      <w:sz w:val="21"/>
                      <w:szCs w:val="21"/>
                      <w:highlight w:val="none"/>
                    </w:rPr>
                  </w:pPr>
                </w:p>
              </w:tc>
            </w:tr>
            <w:tr w14:paraId="4B77F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951" w:type="pct"/>
                  <w:shd w:val="clear" w:color="auto" w:fill="auto"/>
                  <w:noWrap w:val="0"/>
                  <w:vAlign w:val="center"/>
                </w:tcPr>
                <w:p w14:paraId="0D086E7C">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废活性炭</w:t>
                  </w:r>
                </w:p>
              </w:tc>
              <w:tc>
                <w:tcPr>
                  <w:tcW w:w="822" w:type="pct"/>
                  <w:shd w:val="clear" w:color="auto" w:fill="auto"/>
                  <w:noWrap w:val="0"/>
                  <w:vAlign w:val="center"/>
                </w:tcPr>
                <w:p w14:paraId="53BACAD0">
                  <w:pPr>
                    <w:adjustRightInd w:val="0"/>
                    <w:snapToGrid w:val="0"/>
                    <w:jc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cs="Times New Roman"/>
                      <w:color w:val="000000"/>
                      <w:kern w:val="2"/>
                      <w:sz w:val="21"/>
                      <w:szCs w:val="21"/>
                      <w:highlight w:val="none"/>
                      <w:lang w:val="en-US" w:eastAsia="zh-CN" w:bidi="ar-SA"/>
                    </w:rPr>
                    <w:t>HW49</w:t>
                  </w:r>
                </w:p>
              </w:tc>
              <w:tc>
                <w:tcPr>
                  <w:tcW w:w="875" w:type="pct"/>
                  <w:shd w:val="clear" w:color="auto" w:fill="auto"/>
                  <w:noWrap w:val="0"/>
                  <w:vAlign w:val="center"/>
                </w:tcPr>
                <w:p w14:paraId="057DF616">
                  <w:pPr>
                    <w:adjustRightInd w:val="0"/>
                    <w:snapToGrid w:val="0"/>
                    <w:jc w:val="center"/>
                    <w:rPr>
                      <w:rFonts w:hint="eastAsia" w:ascii="Times New Roman" w:hAnsi="Times New Roman" w:eastAsia="宋体"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900-039-49</w:t>
                  </w:r>
                </w:p>
              </w:tc>
              <w:tc>
                <w:tcPr>
                  <w:tcW w:w="544" w:type="pct"/>
                  <w:shd w:val="clear" w:color="auto" w:fill="auto"/>
                  <w:noWrap w:val="0"/>
                  <w:vAlign w:val="center"/>
                </w:tcPr>
                <w:p w14:paraId="47E3ED4E">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83.564</w:t>
                  </w:r>
                </w:p>
              </w:tc>
              <w:tc>
                <w:tcPr>
                  <w:tcW w:w="548" w:type="pct"/>
                  <w:noWrap w:val="0"/>
                  <w:vAlign w:val="center"/>
                </w:tcPr>
                <w:p w14:paraId="524892C6">
                  <w:pPr>
                    <w:jc w:val="center"/>
                    <w:rPr>
                      <w:rFonts w:hint="default" w:ascii="Times New Roman" w:hAnsi="Times New Roman"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废气治理</w:t>
                  </w:r>
                </w:p>
              </w:tc>
              <w:tc>
                <w:tcPr>
                  <w:tcW w:w="319" w:type="pct"/>
                  <w:noWrap w:val="0"/>
                  <w:vAlign w:val="center"/>
                </w:tcPr>
                <w:p w14:paraId="5B21F811">
                  <w:pPr>
                    <w:jc w:val="center"/>
                    <w:rPr>
                      <w:rFonts w:hint="default" w:ascii="Times New Roman" w:hAnsi="Times New Roman"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固态</w:t>
                  </w:r>
                </w:p>
              </w:tc>
              <w:tc>
                <w:tcPr>
                  <w:tcW w:w="462" w:type="pct"/>
                  <w:noWrap w:val="0"/>
                  <w:vAlign w:val="center"/>
                </w:tcPr>
                <w:p w14:paraId="5FC363ED">
                  <w:pPr>
                    <w:adjustRightInd w:val="0"/>
                    <w:snapToGrid w:val="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cs="Times New Roman"/>
                      <w:color w:val="000000"/>
                      <w:sz w:val="21"/>
                      <w:szCs w:val="21"/>
                      <w:highlight w:val="none"/>
                    </w:rPr>
                    <w:t>T</w:t>
                  </w:r>
                </w:p>
              </w:tc>
              <w:tc>
                <w:tcPr>
                  <w:tcW w:w="477" w:type="pct"/>
                  <w:vMerge w:val="continue"/>
                  <w:noWrap w:val="0"/>
                  <w:vAlign w:val="center"/>
                </w:tcPr>
                <w:p w14:paraId="54988489">
                  <w:pPr>
                    <w:adjustRightInd w:val="0"/>
                    <w:snapToGrid w:val="0"/>
                    <w:jc w:val="center"/>
                    <w:rPr>
                      <w:rFonts w:hint="default" w:ascii="Times New Roman" w:hAnsi="Times New Roman" w:cs="Times New Roman"/>
                      <w:bCs/>
                      <w:color w:val="000000"/>
                      <w:sz w:val="21"/>
                      <w:szCs w:val="21"/>
                      <w:highlight w:val="none"/>
                    </w:rPr>
                  </w:pPr>
                </w:p>
              </w:tc>
            </w:tr>
            <w:tr w14:paraId="760DC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951" w:type="pct"/>
                  <w:shd w:val="clear" w:color="auto" w:fill="auto"/>
                  <w:vAlign w:val="center"/>
                </w:tcPr>
                <w:p w14:paraId="313374ED">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eastAsia="宋体" w:cs="Times New Roman"/>
                      <w:color w:val="000000"/>
                      <w:sz w:val="21"/>
                      <w:szCs w:val="21"/>
                      <w:highlight w:val="none"/>
                      <w:lang w:val="en-US" w:eastAsia="zh-CN"/>
                    </w:rPr>
                    <w:t>废滤料</w:t>
                  </w:r>
                </w:p>
              </w:tc>
              <w:tc>
                <w:tcPr>
                  <w:tcW w:w="822" w:type="pct"/>
                  <w:shd w:val="clear" w:color="auto" w:fill="auto"/>
                  <w:vAlign w:val="center"/>
                </w:tcPr>
                <w:p w14:paraId="2F7D038F">
                  <w:pPr>
                    <w:adjustRightInd w:val="0"/>
                    <w:snapToGrid w:val="0"/>
                    <w:jc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cs="Times New Roman"/>
                      <w:color w:val="000000"/>
                      <w:kern w:val="2"/>
                      <w:sz w:val="21"/>
                      <w:szCs w:val="21"/>
                      <w:highlight w:val="none"/>
                      <w:lang w:val="en-US" w:eastAsia="zh-CN" w:bidi="ar-SA"/>
                    </w:rPr>
                    <w:t>HW49</w:t>
                  </w:r>
                </w:p>
              </w:tc>
              <w:tc>
                <w:tcPr>
                  <w:tcW w:w="875" w:type="pct"/>
                  <w:shd w:val="clear" w:color="auto" w:fill="auto"/>
                  <w:vAlign w:val="center"/>
                </w:tcPr>
                <w:p w14:paraId="5641FEFE">
                  <w:pPr>
                    <w:adjustRightInd w:val="0"/>
                    <w:snapToGrid w:val="0"/>
                    <w:jc w:val="center"/>
                    <w:rPr>
                      <w:rFonts w:hint="eastAsia" w:ascii="Times New Roman" w:hAnsi="Times New Roman" w:eastAsia="宋体"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900-041-49</w:t>
                  </w:r>
                </w:p>
              </w:tc>
              <w:tc>
                <w:tcPr>
                  <w:tcW w:w="544" w:type="pct"/>
                  <w:shd w:val="clear" w:color="auto" w:fill="auto"/>
                  <w:vAlign w:val="center"/>
                </w:tcPr>
                <w:p w14:paraId="60028C91">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eastAsia="宋体" w:cs="Times New Roman"/>
                      <w:color w:val="000000"/>
                      <w:sz w:val="21"/>
                      <w:szCs w:val="21"/>
                      <w:highlight w:val="none"/>
                      <w:lang w:val="en-US" w:eastAsia="zh-CN"/>
                    </w:rPr>
                    <w:t>0.286</w:t>
                  </w:r>
                </w:p>
              </w:tc>
              <w:tc>
                <w:tcPr>
                  <w:tcW w:w="927" w:type="dxa"/>
                  <w:vAlign w:val="center"/>
                </w:tcPr>
                <w:p w14:paraId="3E428C84">
                  <w:pPr>
                    <w:jc w:val="center"/>
                    <w:rPr>
                      <w:rFonts w:hint="default" w:ascii="Times New Roman" w:hAnsi="Times New Roman"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废气治理</w:t>
                  </w:r>
                </w:p>
              </w:tc>
              <w:tc>
                <w:tcPr>
                  <w:tcW w:w="540" w:type="dxa"/>
                </w:tcPr>
                <w:p w14:paraId="170B1833">
                  <w:pPr>
                    <w:jc w:val="center"/>
                    <w:rPr>
                      <w:rFonts w:hint="default" w:ascii="Times New Roman" w:hAnsi="Times New Roman" w:cs="Times New Roman"/>
                      <w:bCs/>
                      <w:color w:val="000000"/>
                      <w:kern w:val="2"/>
                      <w:sz w:val="21"/>
                      <w:szCs w:val="21"/>
                      <w:highlight w:val="none"/>
                      <w:lang w:val="en-US" w:eastAsia="zh-CN" w:bidi="ar-SA"/>
                    </w:rPr>
                  </w:pPr>
                  <w:r>
                    <w:rPr>
                      <w:rFonts w:hint="eastAsia" w:ascii="Times New Roman" w:hAnsi="Times New Roman" w:cs="Times New Roman"/>
                      <w:bCs/>
                      <w:color w:val="000000"/>
                      <w:kern w:val="2"/>
                      <w:sz w:val="21"/>
                      <w:szCs w:val="21"/>
                      <w:highlight w:val="none"/>
                      <w:lang w:val="en-US" w:eastAsia="zh-CN" w:bidi="ar-SA"/>
                    </w:rPr>
                    <w:t>固态</w:t>
                  </w:r>
                </w:p>
              </w:tc>
              <w:tc>
                <w:tcPr>
                  <w:tcW w:w="782" w:type="dxa"/>
                </w:tcPr>
                <w:p w14:paraId="53741B41">
                  <w:pPr>
                    <w:adjustRightInd w:val="0"/>
                    <w:snapToGrid w:val="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cs="Times New Roman"/>
                      <w:color w:val="000000"/>
                      <w:sz w:val="21"/>
                      <w:szCs w:val="21"/>
                      <w:highlight w:val="none"/>
                    </w:rPr>
                    <w:t>T/In</w:t>
                  </w:r>
                </w:p>
              </w:tc>
              <w:tc>
                <w:tcPr>
                  <w:tcW w:w="477" w:type="pct"/>
                  <w:vMerge w:val="continue"/>
                </w:tcPr>
                <w:p w14:paraId="71EA46FD">
                  <w:pPr>
                    <w:adjustRightInd w:val="0"/>
                    <w:snapToGrid w:val="0"/>
                    <w:jc w:val="center"/>
                    <w:rPr>
                      <w:rFonts w:hint="default" w:ascii="Times New Roman" w:hAnsi="Times New Roman" w:cs="Times New Roman"/>
                      <w:bCs/>
                      <w:color w:val="000000"/>
                      <w:sz w:val="21"/>
                      <w:szCs w:val="21"/>
                      <w:highlight w:val="none"/>
                    </w:rPr>
                  </w:pPr>
                </w:p>
              </w:tc>
            </w:tr>
          </w:tbl>
          <w:p w14:paraId="5CA24E24">
            <w:pPr>
              <w:numPr>
                <w:ilvl w:val="0"/>
                <w:numId w:val="0"/>
              </w:numPr>
              <w:adjustRightInd w:val="0"/>
              <w:snapToGrid w:val="0"/>
              <w:spacing w:line="360" w:lineRule="auto"/>
              <w:ind w:firstLine="480" w:firstLineChars="200"/>
              <w:rPr>
                <w:rFonts w:hint="default" w:ascii="Times New Roman" w:hAnsi="Times New Roman" w:cs="Times New Roman"/>
                <w:b w:val="0"/>
                <w:bCs/>
                <w:color w:val="auto"/>
                <w:sz w:val="24"/>
                <w:szCs w:val="24"/>
                <w:highlight w:val="none"/>
              </w:rPr>
            </w:pPr>
            <w:r>
              <w:rPr>
                <w:rFonts w:hint="eastAsia" w:ascii="Times New Roman" w:hAnsi="Times New Roman" w:cs="Times New Roman"/>
                <w:b w:val="0"/>
                <w:bCs/>
                <w:color w:val="auto"/>
                <w:sz w:val="24"/>
                <w:szCs w:val="24"/>
                <w:highlight w:val="none"/>
                <w:lang w:val="en-US" w:eastAsia="zh-CN"/>
              </w:rPr>
              <w:t>（4）</w:t>
            </w:r>
            <w:r>
              <w:rPr>
                <w:rFonts w:hint="default" w:ascii="Times New Roman" w:hAnsi="Times New Roman" w:cs="Times New Roman"/>
                <w:b w:val="0"/>
                <w:bCs/>
                <w:color w:val="auto"/>
                <w:sz w:val="24"/>
                <w:szCs w:val="24"/>
                <w:highlight w:val="none"/>
              </w:rPr>
              <w:t>固废环境影响分析</w:t>
            </w:r>
          </w:p>
          <w:p w14:paraId="5BAA6B5E">
            <w:pPr>
              <w:adjustRightInd w:val="0"/>
              <w:snapToGrid w:val="0"/>
              <w:spacing w:line="360" w:lineRule="auto"/>
              <w:ind w:firstLine="480" w:firstLineChars="200"/>
              <w:rPr>
                <w:rFonts w:hint="eastAsia" w:cs="Times New Roman"/>
                <w:bCs/>
                <w:color w:val="auto"/>
                <w:sz w:val="24"/>
                <w:szCs w:val="24"/>
                <w:highlight w:val="none"/>
                <w:vertAlign w:val="baseline"/>
                <w:lang w:val="en-US" w:eastAsia="zh-CN"/>
              </w:rPr>
            </w:pPr>
            <w:r>
              <w:rPr>
                <w:rFonts w:hint="eastAsia" w:cs="Times New Roman"/>
                <w:bCs/>
                <w:color w:val="auto"/>
                <w:sz w:val="24"/>
                <w:szCs w:val="24"/>
                <w:highlight w:val="none"/>
                <w:lang w:val="en-US" w:eastAsia="zh-CN"/>
              </w:rPr>
              <w:t>项目一般固废暂存间位于项目厂房2层北侧区域，建筑面积约40m</w:t>
            </w:r>
            <w:r>
              <w:rPr>
                <w:rFonts w:hint="eastAsia" w:cs="Times New Roman"/>
                <w:bCs/>
                <w:color w:val="auto"/>
                <w:sz w:val="24"/>
                <w:szCs w:val="24"/>
                <w:highlight w:val="none"/>
                <w:vertAlign w:val="superscript"/>
                <w:lang w:val="en-US" w:eastAsia="zh-CN"/>
              </w:rPr>
              <w:t>2</w:t>
            </w:r>
            <w:r>
              <w:rPr>
                <w:rFonts w:hint="eastAsia" w:cs="Times New Roman"/>
                <w:bCs/>
                <w:color w:val="auto"/>
                <w:sz w:val="24"/>
                <w:szCs w:val="24"/>
                <w:highlight w:val="none"/>
                <w:vertAlign w:val="baseline"/>
                <w:lang w:val="en-US" w:eastAsia="zh-CN"/>
              </w:rPr>
              <w:t>，</w:t>
            </w:r>
            <w:r>
              <w:rPr>
                <w:rFonts w:hint="eastAsia" w:cs="Times New Roman"/>
                <w:bCs/>
                <w:color w:val="auto"/>
                <w:sz w:val="24"/>
                <w:szCs w:val="24"/>
                <w:highlight w:val="none"/>
                <w:lang w:val="en-US" w:eastAsia="zh-CN"/>
              </w:rPr>
              <w:t>危废暂存间位于项目</w:t>
            </w:r>
            <w:r>
              <w:rPr>
                <w:rFonts w:hint="eastAsia" w:ascii="Times New Roman" w:hAnsi="Times New Roman" w:cs="Times New Roman"/>
                <w:color w:val="auto"/>
                <w:sz w:val="24"/>
                <w:szCs w:val="24"/>
                <w:highlight w:val="none"/>
                <w:lang w:eastAsia="zh-CN"/>
              </w:rPr>
              <w:t>位于</w:t>
            </w:r>
            <w:r>
              <w:rPr>
                <w:rFonts w:hint="eastAsia" w:cs="Times New Roman"/>
                <w:color w:val="auto"/>
                <w:sz w:val="24"/>
                <w:szCs w:val="24"/>
                <w:highlight w:val="none"/>
                <w:lang w:val="en-US" w:eastAsia="zh-CN"/>
              </w:rPr>
              <w:t>厂房2层西侧区域</w:t>
            </w:r>
            <w:r>
              <w:rPr>
                <w:rFonts w:hint="eastAsia" w:cs="Times New Roman"/>
                <w:bCs/>
                <w:color w:val="auto"/>
                <w:sz w:val="24"/>
                <w:szCs w:val="24"/>
                <w:highlight w:val="none"/>
                <w:lang w:val="en-US" w:eastAsia="zh-CN"/>
              </w:rPr>
              <w:t>，建筑面积约30m</w:t>
            </w:r>
            <w:r>
              <w:rPr>
                <w:rFonts w:hint="eastAsia" w:cs="Times New Roman"/>
                <w:bCs/>
                <w:color w:val="auto"/>
                <w:sz w:val="24"/>
                <w:szCs w:val="24"/>
                <w:highlight w:val="none"/>
                <w:vertAlign w:val="superscript"/>
                <w:lang w:val="en-US" w:eastAsia="zh-CN"/>
              </w:rPr>
              <w:t>2</w:t>
            </w:r>
            <w:r>
              <w:rPr>
                <w:rFonts w:hint="eastAsia" w:cs="Times New Roman"/>
                <w:bCs/>
                <w:color w:val="auto"/>
                <w:sz w:val="24"/>
                <w:szCs w:val="24"/>
                <w:highlight w:val="none"/>
                <w:vertAlign w:val="baseline"/>
                <w:lang w:val="en-US" w:eastAsia="zh-CN"/>
              </w:rPr>
              <w:t>。</w:t>
            </w:r>
          </w:p>
          <w:p w14:paraId="08EFDDB9">
            <w:pPr>
              <w:spacing w:line="360" w:lineRule="auto"/>
              <w:ind w:firstLine="480"/>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val="0"/>
                <w:bCs w:val="0"/>
                <w:color w:val="auto"/>
                <w:sz w:val="24"/>
                <w:szCs w:val="24"/>
                <w:highlight w:val="none"/>
                <w:lang w:val="en-US" w:eastAsia="zh-CN"/>
              </w:rPr>
              <w:t>1）</w:t>
            </w:r>
            <w:r>
              <w:rPr>
                <w:rFonts w:hint="eastAsia" w:ascii="Times New Roman" w:hAnsi="Times New Roman" w:eastAsia="宋体" w:cs="Times New Roman"/>
                <w:b w:val="0"/>
                <w:bCs w:val="0"/>
                <w:color w:val="auto"/>
                <w:sz w:val="24"/>
                <w:szCs w:val="24"/>
                <w:highlight w:val="none"/>
                <w:lang w:eastAsia="zh-CN"/>
              </w:rPr>
              <w:t>一般固废管理要求</w:t>
            </w:r>
          </w:p>
          <w:p w14:paraId="29072BFC">
            <w:pPr>
              <w:spacing w:line="360" w:lineRule="auto"/>
              <w:ind w:firstLine="48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一般工业固体废物应执行《一般工业固体废物贮存和填埋污染控制标准》（GB18599-2020）中的有关规定。建设单位应严格按照《中华人民共和国固体废物污染环境防治法》（2020修订）要求，建立健全工业固体废物产生、收集、贮存、运输、利用、处置全过程的污染环境防治责任制度，建立工业固体废物管理台账，如实记录产生工业固体废物的种类、数量、流向、贮存、利用、处置等信息。委托他人运输、利用、处置工业固体废物的，应当对受托方的主体资格和技术能力进行核实，依法签订书面合同，在合同中约定污染防治要求。</w:t>
            </w:r>
          </w:p>
          <w:p w14:paraId="74C82995">
            <w:pPr>
              <w:spacing w:line="360" w:lineRule="auto"/>
              <w:ind w:firstLine="480"/>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val="0"/>
                <w:bCs w:val="0"/>
                <w:color w:val="auto"/>
                <w:sz w:val="24"/>
                <w:szCs w:val="24"/>
                <w:highlight w:val="none"/>
                <w:lang w:val="en-US" w:eastAsia="zh-CN"/>
              </w:rPr>
              <w:t>2）</w:t>
            </w:r>
            <w:r>
              <w:rPr>
                <w:rFonts w:hint="eastAsia" w:ascii="Times New Roman" w:hAnsi="Times New Roman" w:eastAsia="宋体" w:cs="Times New Roman"/>
                <w:b w:val="0"/>
                <w:bCs w:val="0"/>
                <w:color w:val="auto"/>
                <w:sz w:val="24"/>
                <w:szCs w:val="24"/>
                <w:highlight w:val="none"/>
                <w:lang w:eastAsia="zh-CN"/>
              </w:rPr>
              <w:t>危险废物管理要求</w:t>
            </w:r>
          </w:p>
          <w:p w14:paraId="53EBDA03">
            <w:pPr>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根据《建设项目危险废物环境影响评价指南》，危险废物的环境影响分析需要包括基本要求、危险废物贮存场所（设施）环境影响分析、运输过程的环境影响分析等。</w:t>
            </w:r>
          </w:p>
          <w:p w14:paraId="6D1C001A">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按照《危险废物贮存污染控制标准》（</w:t>
            </w:r>
            <w:r>
              <w:rPr>
                <w:rFonts w:hint="eastAsia" w:ascii="Times New Roman" w:hAnsi="Times New Roman" w:eastAsia="宋体" w:cs="Times New Roman"/>
                <w:color w:val="auto"/>
                <w:sz w:val="24"/>
                <w:szCs w:val="24"/>
                <w:highlight w:val="none"/>
                <w:lang w:eastAsia="zh-CN"/>
              </w:rPr>
              <w:t>GB18597-2023</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危废暂存</w:t>
            </w:r>
            <w:r>
              <w:rPr>
                <w:rFonts w:hint="eastAsia" w:ascii="Times New Roman" w:hAnsi="Times New Roman" w:eastAsia="宋体" w:cs="Times New Roman"/>
                <w:color w:val="auto"/>
                <w:sz w:val="24"/>
                <w:szCs w:val="24"/>
                <w:highlight w:val="none"/>
                <w:lang w:eastAsia="zh-CN"/>
              </w:rPr>
              <w:t>过程污染控制要求如下</w:t>
            </w:r>
            <w:r>
              <w:rPr>
                <w:rFonts w:hint="default" w:ascii="Times New Roman" w:hAnsi="Times New Roman" w:eastAsia="宋体" w:cs="Times New Roman"/>
                <w:color w:val="auto"/>
                <w:sz w:val="24"/>
                <w:szCs w:val="24"/>
                <w:highlight w:val="none"/>
              </w:rPr>
              <w:t>：</w:t>
            </w:r>
          </w:p>
          <w:p w14:paraId="7323AE2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eastAsia="zh-CN"/>
              </w:rPr>
            </w:pPr>
            <w:r>
              <w:rPr>
                <w:rFonts w:hint="default" w:ascii="Times New Roman" w:hAnsi="Times New Roman" w:cs="Times New Roman"/>
                <w:b/>
                <w:bCs/>
                <w:color w:val="auto"/>
                <w:sz w:val="24"/>
                <w:szCs w:val="24"/>
                <w:highlight w:val="none"/>
              </w:rPr>
              <w:t>贮存设施污染控制要求</w:t>
            </w:r>
            <w:r>
              <w:rPr>
                <w:rFonts w:hint="eastAsia" w:cs="Times New Roman"/>
                <w:b/>
                <w:bCs/>
                <w:color w:val="auto"/>
                <w:sz w:val="24"/>
                <w:szCs w:val="24"/>
                <w:highlight w:val="none"/>
                <w:lang w:eastAsia="zh-CN"/>
              </w:rPr>
              <w:t>：</w:t>
            </w:r>
          </w:p>
          <w:p w14:paraId="763547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①</w:t>
            </w:r>
            <w:r>
              <w:rPr>
                <w:rFonts w:hint="eastAsia" w:ascii="Times New Roman" w:hAnsi="Times New Roman" w:eastAsia="宋体" w:cs="Times New Roman"/>
                <w:color w:val="auto"/>
                <w:sz w:val="24"/>
                <w:szCs w:val="24"/>
                <w:highlight w:val="none"/>
                <w:lang w:eastAsia="zh-CN"/>
              </w:rPr>
              <w:t>贮存设施应根据危险废物的形态、物理化学性质、包装形式和污染物迁移途径，采取必要的防风、防晒、防雨、防漏、防渗、防腐以及其他环境污染防治措施，不应露天堆放危险废物。</w:t>
            </w:r>
          </w:p>
          <w:p w14:paraId="2A8B94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②</w:t>
            </w:r>
            <w:r>
              <w:rPr>
                <w:rFonts w:hint="eastAsia" w:ascii="Times New Roman" w:hAnsi="Times New Roman" w:eastAsia="宋体" w:cs="Times New Roman"/>
                <w:color w:val="auto"/>
                <w:sz w:val="24"/>
                <w:szCs w:val="24"/>
                <w:highlight w:val="none"/>
                <w:lang w:eastAsia="zh-CN"/>
              </w:rPr>
              <w:t>贮存设施应根据危险废物的类别、数量、形态、物理化学性质和污染防治等要求设置必要的贮存分区，避免不相容的危险废物接触、混合。</w:t>
            </w:r>
          </w:p>
          <w:p w14:paraId="079BC2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③</w:t>
            </w:r>
            <w:r>
              <w:rPr>
                <w:rFonts w:hint="eastAsia" w:ascii="Times New Roman" w:hAnsi="Times New Roman" w:eastAsia="宋体" w:cs="Times New Roman"/>
                <w:color w:val="auto"/>
                <w:sz w:val="24"/>
                <w:szCs w:val="24"/>
                <w:highlight w:val="none"/>
                <w:lang w:eastAsia="zh-CN"/>
              </w:rPr>
              <w:t>贮存设施或贮存分区内地面、墙面裙脚、堵截泄漏的围堰、接触危险废物的隔板和墙体等应采用坚固的材料建造，表面无裂缝。</w:t>
            </w:r>
          </w:p>
          <w:p w14:paraId="54532F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④</w:t>
            </w:r>
            <w:r>
              <w:rPr>
                <w:rFonts w:hint="eastAsia" w:ascii="Times New Roman" w:hAnsi="Times New Roman" w:eastAsia="宋体" w:cs="Times New Roman"/>
                <w:color w:val="auto"/>
                <w:sz w:val="24"/>
                <w:szCs w:val="24"/>
                <w:highlight w:val="none"/>
                <w:lang w:eastAsia="zh-CN"/>
              </w:rPr>
              <w:t>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eastAsia" w:ascii="Times New Roman" w:hAnsi="Times New Roman" w:eastAsia="宋体" w:cs="Times New Roman"/>
                <w:color w:val="auto"/>
                <w:sz w:val="24"/>
                <w:szCs w:val="24"/>
                <w:highlight w:val="none"/>
                <w:vertAlign w:val="superscript"/>
                <w:lang w:eastAsia="zh-CN"/>
              </w:rPr>
              <w:t>-7</w:t>
            </w:r>
            <w:r>
              <w:rPr>
                <w:rFonts w:hint="eastAsia" w:ascii="Times New Roman" w:hAnsi="Times New Roman" w:eastAsia="宋体" w:cs="Times New Roman"/>
                <w:color w:val="auto"/>
                <w:sz w:val="24"/>
                <w:szCs w:val="24"/>
                <w:highlight w:val="none"/>
                <w:lang w:eastAsia="zh-CN"/>
              </w:rPr>
              <w:t>cm/s），或至少2mm厚高密度聚乙烯膜等人工防渗材料（渗透系数不大于10</w:t>
            </w:r>
            <w:r>
              <w:rPr>
                <w:rFonts w:hint="eastAsia" w:ascii="Times New Roman" w:hAnsi="Times New Roman" w:eastAsia="宋体" w:cs="Times New Roman"/>
                <w:color w:val="auto"/>
                <w:sz w:val="24"/>
                <w:szCs w:val="24"/>
                <w:highlight w:val="none"/>
                <w:vertAlign w:val="superscript"/>
                <w:lang w:eastAsia="zh-CN"/>
              </w:rPr>
              <w:t>-10</w:t>
            </w:r>
            <w:r>
              <w:rPr>
                <w:rFonts w:hint="eastAsia" w:ascii="Times New Roman" w:hAnsi="Times New Roman" w:eastAsia="宋体" w:cs="Times New Roman"/>
                <w:color w:val="auto"/>
                <w:sz w:val="24"/>
                <w:szCs w:val="24"/>
                <w:highlight w:val="none"/>
                <w:lang w:eastAsia="zh-CN"/>
              </w:rPr>
              <w:t>cm/s），或其他防渗性能等效的材料。</w:t>
            </w:r>
          </w:p>
          <w:p w14:paraId="395D86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 5 \* GB3 \* MERGEFORMAT </w:instrText>
            </w:r>
            <w:r>
              <w:rPr>
                <w:rFonts w:hint="default" w:ascii="Times New Roman" w:hAnsi="Times New Roman" w:cs="Times New Roman"/>
                <w:color w:val="auto"/>
                <w:sz w:val="24"/>
                <w:szCs w:val="24"/>
                <w:highlight w:val="none"/>
              </w:rPr>
              <w:fldChar w:fldCharType="separate"/>
            </w:r>
            <w:r>
              <w:rPr>
                <w:color w:val="auto"/>
                <w:sz w:val="24"/>
                <w:szCs w:val="24"/>
                <w:highlight w:val="none"/>
              </w:rPr>
              <w:t>⑤</w:t>
            </w:r>
            <w:r>
              <w:rPr>
                <w:rFonts w:hint="default" w:ascii="Times New Roman" w:hAnsi="Times New Roman" w:cs="Times New Roman"/>
                <w:color w:val="auto"/>
                <w:sz w:val="24"/>
                <w:szCs w:val="24"/>
                <w:highlight w:val="none"/>
              </w:rPr>
              <w:fldChar w:fldCharType="end"/>
            </w:r>
            <w:r>
              <w:rPr>
                <w:rFonts w:hint="eastAsia" w:ascii="Times New Roman" w:hAnsi="Times New Roman" w:eastAsia="宋体" w:cs="Times New Roman"/>
                <w:color w:val="auto"/>
                <w:sz w:val="24"/>
                <w:szCs w:val="24"/>
                <w:highlight w:val="none"/>
                <w:lang w:eastAsia="zh-CN"/>
              </w:rPr>
              <w:t>同一贮存设施宜采用相同的防渗、防腐工艺（包括防渗、防腐结构或材料），防渗、防腐材料应覆盖所有可能与废物及其渗滤液、渗漏液等接触的构筑物表面；采用不同防渗、防腐工艺应分别建设贮存分区。</w:t>
            </w:r>
          </w:p>
          <w:p w14:paraId="58C2C4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 6 \* GB3 \* MERGEFORMAT </w:instrText>
            </w:r>
            <w:r>
              <w:rPr>
                <w:rFonts w:hint="default" w:ascii="Times New Roman" w:hAnsi="Times New Roman" w:cs="Times New Roman"/>
                <w:color w:val="auto"/>
                <w:sz w:val="24"/>
                <w:szCs w:val="24"/>
                <w:highlight w:val="none"/>
              </w:rPr>
              <w:fldChar w:fldCharType="separate"/>
            </w:r>
            <w:r>
              <w:rPr>
                <w:color w:val="auto"/>
                <w:sz w:val="24"/>
                <w:szCs w:val="24"/>
                <w:highlight w:val="none"/>
              </w:rPr>
              <w:t>⑥</w:t>
            </w:r>
            <w:r>
              <w:rPr>
                <w:rFonts w:hint="default" w:ascii="Times New Roman" w:hAnsi="Times New Roman" w:cs="Times New Roman"/>
                <w:color w:val="auto"/>
                <w:sz w:val="24"/>
                <w:szCs w:val="24"/>
                <w:highlight w:val="none"/>
              </w:rPr>
              <w:fldChar w:fldCharType="end"/>
            </w:r>
            <w:r>
              <w:rPr>
                <w:rFonts w:hint="eastAsia" w:ascii="Times New Roman" w:hAnsi="Times New Roman" w:eastAsia="宋体" w:cs="Times New Roman"/>
                <w:color w:val="auto"/>
                <w:sz w:val="24"/>
                <w:szCs w:val="24"/>
                <w:highlight w:val="none"/>
                <w:lang w:eastAsia="zh-CN"/>
              </w:rPr>
              <w:t>贮存设施应采取技术和管理措施防止无关人员进入。</w:t>
            </w:r>
          </w:p>
          <w:p w14:paraId="22DD737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容器和包装物污染控制要求：</w:t>
            </w:r>
          </w:p>
          <w:p w14:paraId="63A010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①容器和包装物材质、内衬应与盛装的危险废物相容。</w:t>
            </w:r>
          </w:p>
          <w:p w14:paraId="48CB99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②针对不同类别、形态、物理化学性质的危险废物，其容器和包装物应满足相应的防渗、防漏、防腐和强度等要求。</w:t>
            </w:r>
          </w:p>
          <w:p w14:paraId="074299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③硬质容器和包装物及其支护结构堆叠码放时不应有明显变形，无破损泄漏。</w:t>
            </w:r>
          </w:p>
          <w:p w14:paraId="14C8A8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④柔性容器和包装物堆叠码放时应封口严密，无破损泄漏。</w:t>
            </w:r>
          </w:p>
          <w:p w14:paraId="09FC3F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 5 \* GB3 \* MERGEFORMAT </w:instrText>
            </w:r>
            <w:r>
              <w:rPr>
                <w:rFonts w:hint="default" w:ascii="Times New Roman" w:hAnsi="Times New Roman" w:cs="Times New Roman"/>
                <w:color w:val="auto"/>
                <w:sz w:val="24"/>
                <w:szCs w:val="24"/>
                <w:highlight w:val="none"/>
              </w:rPr>
              <w:fldChar w:fldCharType="separate"/>
            </w:r>
            <w:r>
              <w:rPr>
                <w:color w:val="auto"/>
                <w:sz w:val="24"/>
                <w:szCs w:val="24"/>
                <w:highlight w:val="none"/>
              </w:rPr>
              <w:t>⑤</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t>使用容器盛装液态、半固态危险废物时，容器内部应留有适当的空间，以适应因温度变化等可能引发的收缩和膨胀，防止其导致容器渗漏或永久变形。</w:t>
            </w:r>
          </w:p>
          <w:p w14:paraId="7E81C5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 6 \* GB3 \* MERGEFORMAT </w:instrText>
            </w:r>
            <w:r>
              <w:rPr>
                <w:rFonts w:hint="default" w:ascii="Times New Roman" w:hAnsi="Times New Roman" w:cs="Times New Roman"/>
                <w:color w:val="auto"/>
                <w:sz w:val="24"/>
                <w:szCs w:val="24"/>
                <w:highlight w:val="none"/>
              </w:rPr>
              <w:fldChar w:fldCharType="separate"/>
            </w:r>
            <w:r>
              <w:rPr>
                <w:color w:val="auto"/>
                <w:sz w:val="24"/>
                <w:szCs w:val="24"/>
                <w:highlight w:val="none"/>
              </w:rPr>
              <w:t>⑥</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t>容器和包装物外表面应保持清洁。</w:t>
            </w:r>
          </w:p>
          <w:p w14:paraId="31C5771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eastAsia="zh-CN"/>
              </w:rPr>
            </w:pPr>
            <w:r>
              <w:rPr>
                <w:rFonts w:hint="default" w:ascii="Times New Roman" w:hAnsi="Times New Roman" w:cs="Times New Roman"/>
                <w:b/>
                <w:bCs/>
                <w:color w:val="auto"/>
                <w:sz w:val="24"/>
                <w:szCs w:val="24"/>
                <w:highlight w:val="none"/>
              </w:rPr>
              <w:t>贮存过程污染控制要求</w:t>
            </w:r>
            <w:r>
              <w:rPr>
                <w:rFonts w:hint="eastAsia" w:cs="Times New Roman"/>
                <w:b/>
                <w:bCs/>
                <w:color w:val="auto"/>
                <w:sz w:val="24"/>
                <w:szCs w:val="24"/>
                <w:highlight w:val="none"/>
                <w:lang w:eastAsia="zh-CN"/>
              </w:rPr>
              <w:t>：</w:t>
            </w:r>
          </w:p>
          <w:p w14:paraId="1BC22C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eastAsia="zh-CN"/>
              </w:rPr>
            </w:pPr>
            <w:r>
              <w:rPr>
                <w:rFonts w:hint="default" w:ascii="Times New Roman" w:hAnsi="Times New Roman" w:cs="Times New Roman"/>
                <w:color w:val="auto"/>
                <w:sz w:val="24"/>
                <w:szCs w:val="24"/>
                <w:highlight w:val="none"/>
              </w:rPr>
              <w:t>①</w:t>
            </w:r>
            <w:r>
              <w:rPr>
                <w:rFonts w:hint="eastAsia" w:cs="Times New Roman"/>
                <w:b w:val="0"/>
                <w:bCs w:val="0"/>
                <w:color w:val="auto"/>
                <w:sz w:val="24"/>
                <w:szCs w:val="24"/>
                <w:highlight w:val="none"/>
                <w:lang w:eastAsia="zh-CN"/>
              </w:rPr>
              <w:t>在常温常压下不易水解、不易挥发的固态危险废物可分类堆放贮存，其他固态危险废物应装入容器或包装物内贮存。</w:t>
            </w:r>
          </w:p>
          <w:p w14:paraId="051980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eastAsia="zh-CN"/>
              </w:rPr>
            </w:pPr>
            <w:r>
              <w:rPr>
                <w:rFonts w:hint="default" w:ascii="Times New Roman" w:hAnsi="Times New Roman" w:cs="Times New Roman"/>
                <w:color w:val="auto"/>
                <w:sz w:val="24"/>
                <w:szCs w:val="24"/>
                <w:highlight w:val="none"/>
              </w:rPr>
              <w:t>②</w:t>
            </w:r>
            <w:r>
              <w:rPr>
                <w:rFonts w:hint="eastAsia" w:cs="Times New Roman"/>
                <w:b w:val="0"/>
                <w:bCs w:val="0"/>
                <w:color w:val="auto"/>
                <w:sz w:val="24"/>
                <w:szCs w:val="24"/>
                <w:highlight w:val="none"/>
                <w:lang w:eastAsia="zh-CN"/>
              </w:rPr>
              <w:t>液态危险废物应装入容器内贮存，或直接采用贮存池、贮存罐区贮存。</w:t>
            </w:r>
          </w:p>
          <w:p w14:paraId="39C346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eastAsia="zh-CN"/>
              </w:rPr>
            </w:pPr>
            <w:r>
              <w:rPr>
                <w:rFonts w:hint="default" w:ascii="Times New Roman" w:hAnsi="Times New Roman" w:cs="Times New Roman"/>
                <w:color w:val="auto"/>
                <w:sz w:val="24"/>
                <w:szCs w:val="24"/>
                <w:highlight w:val="none"/>
              </w:rPr>
              <w:t>③</w:t>
            </w:r>
            <w:r>
              <w:rPr>
                <w:rFonts w:hint="eastAsia" w:cs="Times New Roman"/>
                <w:b w:val="0"/>
                <w:bCs w:val="0"/>
                <w:color w:val="auto"/>
                <w:sz w:val="24"/>
                <w:szCs w:val="24"/>
                <w:highlight w:val="none"/>
                <w:lang w:eastAsia="zh-CN"/>
              </w:rPr>
              <w:t>半固态危险废物应装入容器或包装袋内贮存，或直接采用贮存池贮存。</w:t>
            </w:r>
          </w:p>
          <w:p w14:paraId="278C8E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eastAsia="zh-CN"/>
              </w:rPr>
            </w:pPr>
            <w:r>
              <w:rPr>
                <w:rFonts w:hint="default" w:ascii="Times New Roman" w:hAnsi="Times New Roman" w:cs="Times New Roman"/>
                <w:color w:val="auto"/>
                <w:sz w:val="24"/>
                <w:szCs w:val="24"/>
                <w:highlight w:val="none"/>
              </w:rPr>
              <w:t>④</w:t>
            </w:r>
            <w:r>
              <w:rPr>
                <w:rFonts w:hint="eastAsia" w:cs="Times New Roman"/>
                <w:b w:val="0"/>
                <w:bCs w:val="0"/>
                <w:color w:val="auto"/>
                <w:sz w:val="24"/>
                <w:szCs w:val="24"/>
                <w:highlight w:val="none"/>
                <w:lang w:eastAsia="zh-CN"/>
              </w:rPr>
              <w:t>具有热塑性的危险废物应装入容器或包装袋内进行贮存。</w:t>
            </w:r>
          </w:p>
          <w:p w14:paraId="0B77B0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eastAsia="zh-CN"/>
              </w:rPr>
            </w:pP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 5 \* GB3 \* MERGEFORMAT </w:instrText>
            </w:r>
            <w:r>
              <w:rPr>
                <w:rFonts w:hint="default" w:ascii="Times New Roman" w:hAnsi="Times New Roman" w:cs="Times New Roman"/>
                <w:color w:val="auto"/>
                <w:sz w:val="24"/>
                <w:szCs w:val="24"/>
                <w:highlight w:val="none"/>
              </w:rPr>
              <w:fldChar w:fldCharType="separate"/>
            </w:r>
            <w:r>
              <w:rPr>
                <w:color w:val="auto"/>
                <w:sz w:val="24"/>
                <w:szCs w:val="24"/>
                <w:highlight w:val="none"/>
              </w:rPr>
              <w:t>⑤</w:t>
            </w:r>
            <w:r>
              <w:rPr>
                <w:rFonts w:hint="default" w:ascii="Times New Roman" w:hAnsi="Times New Roman" w:cs="Times New Roman"/>
                <w:color w:val="auto"/>
                <w:sz w:val="24"/>
                <w:szCs w:val="24"/>
                <w:highlight w:val="none"/>
              </w:rPr>
              <w:fldChar w:fldCharType="end"/>
            </w:r>
            <w:r>
              <w:rPr>
                <w:rFonts w:hint="eastAsia" w:cs="Times New Roman"/>
                <w:b w:val="0"/>
                <w:bCs w:val="0"/>
                <w:color w:val="auto"/>
                <w:sz w:val="24"/>
                <w:szCs w:val="24"/>
                <w:highlight w:val="none"/>
                <w:lang w:eastAsia="zh-CN"/>
              </w:rPr>
              <w:t>易产生粉尘、VOCs、酸雾、有毒有害大气污染物和刺激性气味气体的危险废物应装入闭口容器或包装物内贮存。</w:t>
            </w:r>
          </w:p>
          <w:p w14:paraId="68E38D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bCs/>
                <w:color w:val="auto"/>
                <w:sz w:val="24"/>
                <w:szCs w:val="24"/>
                <w:highlight w:val="none"/>
                <w:lang w:eastAsia="zh-CN"/>
              </w:rPr>
            </w:pP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 6 \* GB3 \* MERGEFORMAT </w:instrText>
            </w:r>
            <w:r>
              <w:rPr>
                <w:rFonts w:hint="default" w:ascii="Times New Roman" w:hAnsi="Times New Roman" w:cs="Times New Roman"/>
                <w:color w:val="auto"/>
                <w:sz w:val="24"/>
                <w:szCs w:val="24"/>
                <w:highlight w:val="none"/>
              </w:rPr>
              <w:fldChar w:fldCharType="separate"/>
            </w:r>
            <w:r>
              <w:rPr>
                <w:color w:val="auto"/>
                <w:sz w:val="24"/>
                <w:szCs w:val="24"/>
                <w:highlight w:val="none"/>
              </w:rPr>
              <w:t>⑥</w:t>
            </w:r>
            <w:r>
              <w:rPr>
                <w:rFonts w:hint="default" w:ascii="Times New Roman" w:hAnsi="Times New Roman" w:cs="Times New Roman"/>
                <w:color w:val="auto"/>
                <w:sz w:val="24"/>
                <w:szCs w:val="24"/>
                <w:highlight w:val="none"/>
              </w:rPr>
              <w:fldChar w:fldCharType="end"/>
            </w:r>
            <w:r>
              <w:rPr>
                <w:rFonts w:hint="eastAsia" w:cs="Times New Roman"/>
                <w:b w:val="0"/>
                <w:bCs w:val="0"/>
                <w:color w:val="auto"/>
                <w:sz w:val="24"/>
                <w:szCs w:val="24"/>
                <w:highlight w:val="none"/>
                <w:lang w:eastAsia="zh-CN"/>
              </w:rPr>
              <w:t>危险废物贮存过程中易产生粉尘等无组织排放的，应采取抑尘等有效措施。</w:t>
            </w:r>
          </w:p>
          <w:p w14:paraId="4CC0BA95">
            <w:pPr>
              <w:spacing w:line="360" w:lineRule="auto"/>
              <w:ind w:firstLine="48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7 \* GB3 \* MERGEFORMAT </w:instrText>
            </w:r>
            <w:r>
              <w:rPr>
                <w:rFonts w:hint="eastAsia" w:ascii="Times New Roman" w:hAnsi="Times New Roman" w:eastAsia="宋体" w:cs="Times New Roman"/>
                <w:color w:val="auto"/>
                <w:sz w:val="24"/>
                <w:szCs w:val="24"/>
                <w:highlight w:val="none"/>
                <w:lang w:val="en-US" w:eastAsia="zh-CN"/>
              </w:rPr>
              <w:fldChar w:fldCharType="separate"/>
            </w:r>
            <w:r>
              <w:rPr>
                <w:color w:val="auto"/>
                <w:highlight w:val="none"/>
              </w:rPr>
              <w:t>⑦</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lang w:val="en-US" w:eastAsia="zh-CN"/>
              </w:rPr>
              <w:t>贮存设施运行环境管理要求</w:t>
            </w:r>
          </w:p>
          <w:p w14:paraId="70530128">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危险废物存入贮存设施前应对危险废物类别和特性与危险废物标签等危险废物识别标志的一致性进行核验，不一致的或类别、特性不明的不应存入。</w:t>
            </w:r>
          </w:p>
          <w:p w14:paraId="26A27802">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应定期检查危险废物的贮存状况，及时清理贮存设施地面，更换破损泄漏的危险废物贮存容器和包装物，保证堆存危险废物的防雨、防风、防扬尘等设施功能完好。</w:t>
            </w:r>
          </w:p>
          <w:p w14:paraId="2C401605">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作业设备及车辆等结束作业离开贮存设施时，应对其残留的危险废物进行清理，清理的废物或清洗废水应收集处理。</w:t>
            </w:r>
          </w:p>
          <w:p w14:paraId="0A4C13BF">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贮存设施运行期间，应按国家有关标准和规定建立危险废物管理台账并保存。</w:t>
            </w:r>
          </w:p>
          <w:p w14:paraId="4EEEFA6A">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贮存设施所有者或运营者应建立贮存设施环境管理制度、管理人员岗位职责制度、设施运行操作制度、人员岗位培训制度等。</w:t>
            </w:r>
          </w:p>
          <w:p w14:paraId="1BB1548A">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贮存设施所有者或运营者应依据国家土壤和地下水污染防治的有关规定，结合贮存设施特点建立土壤和地下水污染隐患排查制度，并定期开展隐患排查；发现隐患应及时采取措施消除隐患，并建立档案。</w:t>
            </w:r>
          </w:p>
          <w:p w14:paraId="77041EC4">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贮存设施所有者或运营者应建立贮存设施全部档案，包括设计、施工、验收、运行、监测和环境应急等，应按国家有关档案管理的法律法规进行整理和归档。</w:t>
            </w:r>
          </w:p>
          <w:p w14:paraId="76579C5A">
            <w:pPr>
              <w:spacing w:line="360" w:lineRule="auto"/>
              <w:ind w:firstLine="48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8 \* GB3 \* MERGEFORMAT </w:instrText>
            </w:r>
            <w:r>
              <w:rPr>
                <w:rFonts w:hint="eastAsia" w:ascii="Times New Roman" w:hAnsi="Times New Roman" w:eastAsia="宋体" w:cs="Times New Roman"/>
                <w:color w:val="auto"/>
                <w:sz w:val="24"/>
                <w:szCs w:val="24"/>
                <w:highlight w:val="none"/>
                <w:lang w:val="en-US" w:eastAsia="zh-CN"/>
              </w:rPr>
              <w:fldChar w:fldCharType="separate"/>
            </w:r>
            <w:r>
              <w:rPr>
                <w:color w:val="auto"/>
                <w:highlight w:val="none"/>
              </w:rPr>
              <w:t>⑧</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lang w:val="en-US" w:eastAsia="zh-CN"/>
              </w:rPr>
              <w:t>贮存点环境管理要求</w:t>
            </w:r>
          </w:p>
          <w:p w14:paraId="0DB94957">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贮存点应具有固定的区域边界，并应采取与其他区域进行隔离的措施。</w:t>
            </w:r>
          </w:p>
          <w:p w14:paraId="45F876AA">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贮存点应采取防风、防雨、防晒和防止危险废物流失、扬散等措施。</w:t>
            </w:r>
          </w:p>
          <w:p w14:paraId="6BB5E233">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贮存点贮存的危险废物应置于容器或包装物中，不应直接散堆。</w:t>
            </w:r>
          </w:p>
          <w:p w14:paraId="051B6AD2">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贮存点应根据危险废物的形态、物理化学性质、包装形式等，采取防渗、防漏等污染防治措施或采用具有相应功能的装置。</w:t>
            </w:r>
          </w:p>
          <w:p w14:paraId="7FF3EFEE">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贮存点应及时清运贮存的危险废物，实时贮存量不应超过3吨。</w:t>
            </w:r>
          </w:p>
          <w:p w14:paraId="2AB7E5CD">
            <w:pPr>
              <w:adjustRightInd w:val="0"/>
              <w:spacing w:line="360" w:lineRule="auto"/>
              <w:ind w:firstLine="48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运输过程的环境影响分析</w:t>
            </w:r>
          </w:p>
          <w:p w14:paraId="725CA87E">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本项目危险废物的转运主要是厂区内部转运及外部运输，厂区内部转运过程中可能产生散落、泄漏所引起的环境影响。为了减少转运过程中的环境影响，应采取如下措施：</w:t>
            </w:r>
          </w:p>
          <w:p w14:paraId="2ED616A6">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①危险废物内部转运应综合考虑厂区的实际情况确定转运路线。</w:t>
            </w:r>
          </w:p>
          <w:p w14:paraId="16FCE33B">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②危险废物内部转运作业应采用专用的工具，危险废物内部转运应填写《危险废物厂内转运记录表》。</w:t>
            </w:r>
          </w:p>
          <w:p w14:paraId="4D1F558D">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③危险废物内部转运后，应对转运路线进行检查和清理，确保无危险废物遗失在转运路线上，并对转运工具进行清洗。</w:t>
            </w:r>
          </w:p>
          <w:p w14:paraId="376887E3">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危险废物的厂外运输应满足如下要求：</w:t>
            </w:r>
          </w:p>
          <w:p w14:paraId="65D8EC51">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危险废物的转移和运输应按《危险废物转移联单管理办法》的规定报批危险废物转移计划，填写好转运联单，并必须交由有资质的单位承运。做好每次外运处置废弃物的运输登记，认真填写危险废物转移联单，并加盖公章，经运输单位核实验收签字后，将联单第一联副联自留存档，将联单第二联交移出地生态环境行政主管部门，第三联及其余各联交付运输单位，随危险废物转移运行。第四联交</w:t>
            </w:r>
            <w:r>
              <w:rPr>
                <w:rFonts w:hint="eastAsia" w:cs="Times New Roman"/>
                <w:color w:val="auto"/>
                <w:sz w:val="24"/>
                <w:szCs w:val="24"/>
                <w:highlight w:val="none"/>
                <w:lang w:val="en-US" w:eastAsia="zh-CN"/>
              </w:rPr>
              <w:t>接收单位</w:t>
            </w:r>
            <w:r>
              <w:rPr>
                <w:rFonts w:hint="default" w:ascii="Times New Roman" w:hAnsi="Times New Roman" w:eastAsia="宋体" w:cs="Times New Roman"/>
                <w:color w:val="auto"/>
                <w:sz w:val="24"/>
                <w:szCs w:val="24"/>
                <w:highlight w:val="none"/>
                <w:lang w:val="en-US" w:eastAsia="zh-CN"/>
              </w:rPr>
              <w:t>，第五联交接受地环保局。</w:t>
            </w:r>
          </w:p>
          <w:p w14:paraId="21DEB0C5">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危险废物处置单位的运输人员必须掌握危险化学品运输的安全知识，了解所运载的危险化学品的性质、危害特性、包装容器的使用特性和发生意外时的应急措施。运输车辆必须具有车辆危险货物运输许可证。驾驶人员必须由取得驾驶执照的熟练人员担任。</w:t>
            </w:r>
          </w:p>
          <w:p w14:paraId="2E684281">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危险废物处置单位在运输危险废弃物时必须配备押运人员，并随时处于押运人员的监管之下，不得超装、超载，严格按照所在城市规定的行车时间和行车路线行驶，不得进入危险化学品运输车辆禁止通行的区域。</w:t>
            </w:r>
          </w:p>
          <w:p w14:paraId="521ED0BD">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危险废物在运输途中若发生被盗、丢失、流散、泄漏等情况时，企业及押运人员必须立即向当地公安部门报告，并采取一切可能的警示措施。</w:t>
            </w:r>
          </w:p>
          <w:p w14:paraId="56BCC81B">
            <w:pPr>
              <w:adjustRightInd w:val="0"/>
              <w:spacing w:line="36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④一旦发生废弃物泄漏事故，企业和废弃物处置单位都应积极协助有关部门采取必要的安全措施，减少事故损失，防止事故蔓延、扩大；针对事故对人体、动植物、土壤、水源、空气造成的现实危害和可能产生的危害，应迅速采取封闭、隔离、洗消等措施，并对事故造成的危害进行监测、处置，直至符合国家环境保护标准。</w:t>
            </w:r>
          </w:p>
          <w:p w14:paraId="42D4C4E2">
            <w:pPr>
              <w:pStyle w:val="54"/>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val="0"/>
                <w:color w:val="000000"/>
                <w:sz w:val="24"/>
                <w:szCs w:val="24"/>
                <w:highlight w:val="none"/>
                <w:lang w:val="en-US" w:eastAsia="zh-CN"/>
              </w:rPr>
            </w:pPr>
            <w:r>
              <w:rPr>
                <w:rFonts w:hint="eastAsia" w:ascii="Times New Roman" w:hAnsi="Times New Roman" w:eastAsia="宋体" w:cs="Times New Roman"/>
                <w:b/>
                <w:bCs w:val="0"/>
                <w:color w:val="000000"/>
                <w:sz w:val="24"/>
                <w:szCs w:val="24"/>
                <w:highlight w:val="none"/>
                <w:lang w:val="en-US" w:eastAsia="zh-CN"/>
              </w:rPr>
              <w:t>5、</w:t>
            </w:r>
            <w:r>
              <w:rPr>
                <w:rFonts w:hint="default" w:ascii="Times New Roman" w:hAnsi="Times New Roman" w:cs="Times New Roman"/>
                <w:b/>
                <w:bCs w:val="0"/>
                <w:color w:val="000000"/>
                <w:spacing w:val="-10"/>
                <w:sz w:val="24"/>
                <w:szCs w:val="24"/>
                <w:highlight w:val="none"/>
              </w:rPr>
              <w:t>地下水、土壤环境影响分析</w:t>
            </w:r>
          </w:p>
          <w:p w14:paraId="0EA5FD70">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本项目</w:t>
            </w:r>
            <w:r>
              <w:rPr>
                <w:rFonts w:hint="eastAsia" w:cs="Times New Roman"/>
                <w:color w:val="auto"/>
                <w:sz w:val="24"/>
                <w:szCs w:val="32"/>
                <w:highlight w:val="none"/>
                <w:lang w:eastAsia="zh-CN"/>
              </w:rPr>
              <w:t>租赁</w:t>
            </w:r>
            <w:r>
              <w:rPr>
                <w:rFonts w:hint="eastAsia" w:cs="Times New Roman"/>
                <w:color w:val="auto"/>
                <w:sz w:val="24"/>
                <w:szCs w:val="24"/>
                <w:highlight w:val="none"/>
                <w:lang w:val="en-US" w:eastAsia="zh-CN"/>
              </w:rPr>
              <w:t>池州市皖江江南新兴产业集中区科技孵化园已建成的A4厂房</w:t>
            </w:r>
            <w:r>
              <w:rPr>
                <w:rFonts w:hint="eastAsia" w:ascii="Times New Roman" w:hAnsi="Times New Roman" w:eastAsia="宋体" w:cs="Times New Roman"/>
                <w:color w:val="auto"/>
                <w:sz w:val="24"/>
                <w:szCs w:val="24"/>
                <w:highlight w:val="none"/>
                <w:lang w:eastAsia="zh-CN"/>
              </w:rPr>
              <w:t>进行</w:t>
            </w:r>
            <w:r>
              <w:rPr>
                <w:rFonts w:hint="eastAsia" w:cs="Times New Roman"/>
                <w:color w:val="auto"/>
                <w:sz w:val="24"/>
                <w:szCs w:val="24"/>
                <w:highlight w:val="none"/>
                <w:lang w:eastAsia="zh-CN"/>
              </w:rPr>
              <w:t>生产</w:t>
            </w:r>
            <w:r>
              <w:rPr>
                <w:rFonts w:hint="eastAsia" w:ascii="Times New Roman" w:hAnsi="Times New Roman" w:eastAsia="宋体" w:cs="Times New Roman"/>
                <w:color w:val="auto"/>
                <w:sz w:val="24"/>
                <w:szCs w:val="24"/>
                <w:highlight w:val="none"/>
                <w:lang w:eastAsia="zh-CN"/>
              </w:rPr>
              <w:t>，厂区地面已</w:t>
            </w:r>
            <w:r>
              <w:rPr>
                <w:rFonts w:hint="eastAsia" w:cs="Times New Roman"/>
                <w:color w:val="auto"/>
                <w:sz w:val="24"/>
                <w:szCs w:val="24"/>
                <w:highlight w:val="none"/>
                <w:lang w:eastAsia="zh-CN"/>
              </w:rPr>
              <w:t>全部</w:t>
            </w:r>
            <w:r>
              <w:rPr>
                <w:rFonts w:hint="eastAsia" w:ascii="Times New Roman" w:hAnsi="Times New Roman" w:eastAsia="宋体" w:cs="Times New Roman"/>
                <w:color w:val="auto"/>
                <w:sz w:val="24"/>
                <w:szCs w:val="24"/>
                <w:highlight w:val="none"/>
                <w:lang w:eastAsia="zh-CN"/>
              </w:rPr>
              <w:t>硬化</w:t>
            </w:r>
            <w:r>
              <w:rPr>
                <w:rFonts w:hint="eastAsia" w:cs="Times New Roman"/>
                <w:color w:val="auto"/>
                <w:sz w:val="24"/>
                <w:szCs w:val="24"/>
                <w:highlight w:val="none"/>
                <w:lang w:eastAsia="zh-CN"/>
              </w:rPr>
              <w:t>。根据平面布局可知，项目危废间、</w:t>
            </w:r>
            <w:r>
              <w:rPr>
                <w:rFonts w:hint="eastAsia" w:cs="Times New Roman"/>
                <w:color w:val="auto"/>
                <w:sz w:val="24"/>
                <w:szCs w:val="24"/>
                <w:highlight w:val="none"/>
                <w:lang w:val="en-US" w:eastAsia="zh-CN"/>
              </w:rPr>
              <w:t>原料</w:t>
            </w:r>
            <w:r>
              <w:rPr>
                <w:rFonts w:hint="eastAsia" w:cs="Times New Roman"/>
                <w:color w:val="auto"/>
                <w:sz w:val="24"/>
                <w:szCs w:val="24"/>
                <w:highlight w:val="none"/>
                <w:lang w:eastAsia="zh-CN"/>
              </w:rPr>
              <w:t>仓库均设置在</w:t>
            </w:r>
            <w:r>
              <w:rPr>
                <w:rFonts w:hint="eastAsia" w:cs="Times New Roman"/>
                <w:color w:val="auto"/>
                <w:sz w:val="24"/>
                <w:szCs w:val="24"/>
                <w:highlight w:val="none"/>
                <w:lang w:val="en-US" w:eastAsia="zh-CN"/>
              </w:rPr>
              <w:t>2层，</w:t>
            </w:r>
            <w:r>
              <w:rPr>
                <w:rFonts w:hint="default" w:ascii="Times New Roman" w:hAnsi="Times New Roman" w:eastAsia="宋体" w:cs="Times New Roman"/>
                <w:b w:val="0"/>
                <w:bCs w:val="0"/>
                <w:color w:val="auto"/>
                <w:kern w:val="2"/>
                <w:sz w:val="24"/>
                <w:szCs w:val="24"/>
                <w:highlight w:val="none"/>
                <w:lang w:val="en-US" w:eastAsia="zh-CN"/>
              </w:rPr>
              <w:t>正常情况下</w:t>
            </w:r>
            <w:r>
              <w:rPr>
                <w:rFonts w:hint="eastAsia" w:ascii="Times New Roman" w:hAnsi="Times New Roman" w:eastAsia="宋体" w:cs="Times New Roman"/>
                <w:color w:val="auto"/>
                <w:sz w:val="24"/>
                <w:szCs w:val="24"/>
                <w:highlight w:val="none"/>
                <w:lang w:eastAsia="zh-CN"/>
              </w:rPr>
              <w:t>无土壤及地下水环境污染途径，不会对土壤及地下水环境产生</w:t>
            </w:r>
            <w:r>
              <w:rPr>
                <w:rFonts w:hint="eastAsia" w:cs="Times New Roman"/>
                <w:color w:val="auto"/>
                <w:sz w:val="24"/>
                <w:szCs w:val="24"/>
                <w:highlight w:val="none"/>
                <w:lang w:eastAsia="zh-CN"/>
              </w:rPr>
              <w:t>不利</w:t>
            </w:r>
            <w:r>
              <w:rPr>
                <w:rFonts w:hint="eastAsia" w:ascii="Times New Roman" w:hAnsi="Times New Roman" w:eastAsia="宋体" w:cs="Times New Roman"/>
                <w:color w:val="auto"/>
                <w:sz w:val="24"/>
                <w:szCs w:val="24"/>
                <w:highlight w:val="none"/>
                <w:lang w:eastAsia="zh-CN"/>
              </w:rPr>
              <w:t>影响。</w:t>
            </w:r>
          </w:p>
          <w:p w14:paraId="5AA8FD98">
            <w:pPr>
              <w:spacing w:line="360" w:lineRule="auto"/>
              <w:ind w:firstLine="480" w:firstLineChars="200"/>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本次评价</w:t>
            </w:r>
            <w:r>
              <w:rPr>
                <w:rFonts w:hint="eastAsia"/>
                <w:color w:val="auto"/>
                <w:sz w:val="24"/>
                <w:szCs w:val="24"/>
                <w:highlight w:val="none"/>
                <w:lang w:eastAsia="zh-CN"/>
              </w:rPr>
              <w:t>根据功能区将厂区</w:t>
            </w:r>
            <w:r>
              <w:rPr>
                <w:rFonts w:hint="eastAsia"/>
                <w:color w:val="auto"/>
                <w:sz w:val="24"/>
                <w:szCs w:val="24"/>
                <w:highlight w:val="none"/>
              </w:rPr>
              <w:t>划分为非污染区和污染区，污染区</w:t>
            </w:r>
            <w:r>
              <w:rPr>
                <w:rFonts w:hint="eastAsia"/>
                <w:color w:val="auto"/>
                <w:sz w:val="24"/>
                <w:szCs w:val="24"/>
                <w:highlight w:val="none"/>
                <w:lang w:eastAsia="zh-CN"/>
              </w:rPr>
              <w:t>又</w:t>
            </w:r>
            <w:r>
              <w:rPr>
                <w:rFonts w:hint="eastAsia"/>
                <w:color w:val="auto"/>
                <w:sz w:val="24"/>
                <w:szCs w:val="24"/>
                <w:highlight w:val="none"/>
              </w:rPr>
              <w:t>分为一般污染区及重点污染区。非污染区可不进行防渗处理，污染区则应按照不同分区要求，采取不同等级的防渗措施，并确保其可靠性和有效性。</w:t>
            </w:r>
            <w:r>
              <w:rPr>
                <w:color w:val="auto"/>
                <w:sz w:val="24"/>
                <w:szCs w:val="24"/>
                <w:highlight w:val="none"/>
              </w:rPr>
              <w:t>具体分区防渗具体措施要求</w:t>
            </w:r>
            <w:r>
              <w:rPr>
                <w:rFonts w:hint="eastAsia"/>
                <w:color w:val="auto"/>
                <w:sz w:val="24"/>
                <w:szCs w:val="24"/>
                <w:highlight w:val="none"/>
              </w:rPr>
              <w:t>见下表</w:t>
            </w:r>
            <w:r>
              <w:rPr>
                <w:rFonts w:hint="eastAsia"/>
                <w:color w:val="auto"/>
                <w:sz w:val="24"/>
                <w:szCs w:val="24"/>
                <w:highlight w:val="none"/>
                <w:lang w:val="en-US" w:eastAsia="zh-CN"/>
              </w:rPr>
              <w:t>：</w:t>
            </w:r>
          </w:p>
          <w:p w14:paraId="7BF811C3">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cs="Times New Roman"/>
                <w:b/>
                <w:bCs/>
                <w:color w:val="auto"/>
                <w:highlight w:val="none"/>
              </w:rPr>
            </w:pPr>
            <w:r>
              <w:rPr>
                <w:rFonts w:hint="default" w:ascii="Times New Roman" w:hAnsi="Times New Roman" w:eastAsia="宋体" w:cs="Times New Roman"/>
                <w:b/>
                <w:bCs/>
                <w:i w:val="0"/>
                <w:color w:val="auto"/>
                <w:kern w:val="2"/>
                <w:sz w:val="21"/>
                <w:szCs w:val="21"/>
                <w:highlight w:val="none"/>
                <w:lang w:val="en-US" w:eastAsia="zh-CN" w:bidi="ar-SA"/>
              </w:rPr>
              <w:t>表4-</w:t>
            </w:r>
            <w:r>
              <w:rPr>
                <w:rFonts w:hint="eastAsia" w:ascii="Times New Roman" w:hAnsi="Times New Roman" w:cs="Times New Roman"/>
                <w:b/>
                <w:bCs/>
                <w:i w:val="0"/>
                <w:color w:val="auto"/>
                <w:kern w:val="2"/>
                <w:sz w:val="21"/>
                <w:szCs w:val="21"/>
                <w:highlight w:val="none"/>
                <w:lang w:val="en-US" w:eastAsia="zh-CN" w:bidi="ar-SA"/>
              </w:rPr>
              <w:t xml:space="preserve">19  </w:t>
            </w:r>
            <w:r>
              <w:rPr>
                <w:rFonts w:hint="default" w:ascii="Times New Roman" w:hAnsi="Times New Roman" w:cs="Times New Roman"/>
                <w:b/>
                <w:bCs/>
                <w:color w:val="auto"/>
                <w:highlight w:val="none"/>
              </w:rPr>
              <w:t>地下水污染分区防渗表</w:t>
            </w:r>
          </w:p>
          <w:tbl>
            <w:tblPr>
              <w:tblStyle w:val="25"/>
              <w:tblW w:w="49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35"/>
              <w:gridCol w:w="685"/>
              <w:gridCol w:w="1469"/>
              <w:gridCol w:w="5386"/>
            </w:tblGrid>
            <w:tr w14:paraId="0B46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213" w:type="pct"/>
                  <w:tcBorders>
                    <w:tl2br w:val="nil"/>
                    <w:tr2bl w:val="nil"/>
                  </w:tcBorders>
                  <w:noWrap w:val="0"/>
                  <w:vAlign w:val="center"/>
                </w:tcPr>
                <w:p w14:paraId="1852C724">
                  <w:pPr>
                    <w:pStyle w:val="51"/>
                    <w:spacing w:line="240" w:lineRule="auto"/>
                    <w:jc w:val="center"/>
                    <w:rPr>
                      <w:rFonts w:hint="default" w:ascii="Times New Roman" w:hAnsi="Times New Roman" w:eastAsia="宋体" w:cs="Times New Roman"/>
                      <w:b/>
                      <w:bCs/>
                      <w:color w:val="auto"/>
                      <w:sz w:val="21"/>
                      <w:szCs w:val="21"/>
                      <w:highlight w:val="none"/>
                      <w:lang w:val="en-US" w:eastAsia="en-US"/>
                    </w:rPr>
                  </w:pPr>
                  <w:r>
                    <w:rPr>
                      <w:rFonts w:hint="default" w:ascii="Times New Roman" w:hAnsi="Times New Roman" w:eastAsia="宋体" w:cs="Times New Roman"/>
                      <w:b/>
                      <w:bCs/>
                      <w:color w:val="auto"/>
                      <w:sz w:val="21"/>
                      <w:szCs w:val="21"/>
                      <w:highlight w:val="none"/>
                      <w:lang w:val="en-US" w:eastAsia="en-US"/>
                    </w:rPr>
                    <w:t>序号</w:t>
                  </w:r>
                </w:p>
              </w:tc>
              <w:tc>
                <w:tcPr>
                  <w:tcW w:w="435" w:type="pct"/>
                  <w:tcBorders>
                    <w:tl2br w:val="nil"/>
                    <w:tr2bl w:val="nil"/>
                  </w:tcBorders>
                  <w:noWrap w:val="0"/>
                  <w:vAlign w:val="center"/>
                </w:tcPr>
                <w:p w14:paraId="0E4FCE41">
                  <w:pPr>
                    <w:pStyle w:val="51"/>
                    <w:spacing w:line="240" w:lineRule="auto"/>
                    <w:jc w:val="center"/>
                    <w:rPr>
                      <w:rFonts w:hint="default" w:ascii="Times New Roman" w:hAnsi="Times New Roman" w:eastAsia="宋体" w:cs="Times New Roman"/>
                      <w:b/>
                      <w:bCs/>
                      <w:color w:val="auto"/>
                      <w:sz w:val="21"/>
                      <w:szCs w:val="21"/>
                      <w:highlight w:val="none"/>
                      <w:lang w:val="en-US" w:eastAsia="en-US"/>
                    </w:rPr>
                  </w:pPr>
                  <w:r>
                    <w:rPr>
                      <w:rFonts w:hint="default" w:ascii="Times New Roman" w:hAnsi="Times New Roman" w:eastAsia="宋体" w:cs="Times New Roman"/>
                      <w:b/>
                      <w:bCs/>
                      <w:color w:val="auto"/>
                      <w:sz w:val="21"/>
                      <w:szCs w:val="21"/>
                      <w:highlight w:val="none"/>
                      <w:lang w:val="en-US" w:eastAsia="en-US"/>
                    </w:rPr>
                    <w:t>类别</w:t>
                  </w:r>
                </w:p>
              </w:tc>
              <w:tc>
                <w:tcPr>
                  <w:tcW w:w="933" w:type="pct"/>
                  <w:tcBorders>
                    <w:tl2br w:val="nil"/>
                    <w:tr2bl w:val="nil"/>
                  </w:tcBorders>
                  <w:noWrap w:val="0"/>
                  <w:vAlign w:val="center"/>
                </w:tcPr>
                <w:p w14:paraId="1609910E">
                  <w:pPr>
                    <w:pStyle w:val="51"/>
                    <w:spacing w:line="240" w:lineRule="auto"/>
                    <w:jc w:val="center"/>
                    <w:rPr>
                      <w:rFonts w:hint="default" w:ascii="Times New Roman" w:hAnsi="Times New Roman" w:eastAsia="宋体" w:cs="Times New Roman"/>
                      <w:b/>
                      <w:bCs/>
                      <w:color w:val="auto"/>
                      <w:sz w:val="21"/>
                      <w:szCs w:val="21"/>
                      <w:highlight w:val="none"/>
                      <w:lang w:val="en-US" w:eastAsia="en-US"/>
                    </w:rPr>
                  </w:pPr>
                  <w:r>
                    <w:rPr>
                      <w:rFonts w:hint="default" w:ascii="Times New Roman" w:hAnsi="Times New Roman" w:eastAsia="宋体" w:cs="Times New Roman"/>
                      <w:b/>
                      <w:bCs/>
                      <w:color w:val="auto"/>
                      <w:sz w:val="21"/>
                      <w:szCs w:val="21"/>
                      <w:highlight w:val="none"/>
                      <w:lang w:val="en-US" w:eastAsia="en-US"/>
                    </w:rPr>
                    <w:t>区域</w:t>
                  </w:r>
                </w:p>
              </w:tc>
              <w:tc>
                <w:tcPr>
                  <w:tcW w:w="3417" w:type="pct"/>
                  <w:tcBorders>
                    <w:tl2br w:val="nil"/>
                    <w:tr2bl w:val="nil"/>
                  </w:tcBorders>
                  <w:noWrap w:val="0"/>
                  <w:vAlign w:val="center"/>
                </w:tcPr>
                <w:p w14:paraId="3C4F5823">
                  <w:pPr>
                    <w:pStyle w:val="51"/>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en-US"/>
                    </w:rPr>
                    <w:t>防渗要求</w:t>
                  </w:r>
                </w:p>
              </w:tc>
            </w:tr>
            <w:tr w14:paraId="44701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213" w:type="pct"/>
                  <w:tcBorders>
                    <w:tl2br w:val="nil"/>
                    <w:tr2bl w:val="nil"/>
                  </w:tcBorders>
                  <w:noWrap w:val="0"/>
                  <w:vAlign w:val="center"/>
                </w:tcPr>
                <w:p w14:paraId="0DFA1D5A">
                  <w:pPr>
                    <w:pStyle w:val="51"/>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1</w:t>
                  </w:r>
                </w:p>
              </w:tc>
              <w:tc>
                <w:tcPr>
                  <w:tcW w:w="435" w:type="pct"/>
                  <w:tcBorders>
                    <w:tl2br w:val="nil"/>
                    <w:tr2bl w:val="nil"/>
                  </w:tcBorders>
                  <w:noWrap w:val="0"/>
                  <w:vAlign w:val="center"/>
                </w:tcPr>
                <w:p w14:paraId="0AC27ED4">
                  <w:pPr>
                    <w:pStyle w:val="51"/>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重点防渗区</w:t>
                  </w:r>
                </w:p>
              </w:tc>
              <w:tc>
                <w:tcPr>
                  <w:tcW w:w="933" w:type="pct"/>
                  <w:tcBorders>
                    <w:tl2br w:val="nil"/>
                    <w:tr2bl w:val="nil"/>
                  </w:tcBorders>
                  <w:noWrap w:val="0"/>
                  <w:vAlign w:val="center"/>
                </w:tcPr>
                <w:p w14:paraId="3D17EE64">
                  <w:pPr>
                    <w:pStyle w:val="51"/>
                    <w:spacing w:line="240" w:lineRule="auto"/>
                    <w:jc w:val="center"/>
                    <w:rPr>
                      <w:rFonts w:hint="default" w:ascii="Times New Roman" w:hAnsi="Times New Roman" w:eastAsia="宋体" w:cs="Times New Roman"/>
                      <w:color w:val="auto"/>
                      <w:sz w:val="21"/>
                      <w:szCs w:val="21"/>
                      <w:highlight w:val="none"/>
                      <w:lang w:val="en-US" w:eastAsia="en-US"/>
                    </w:rPr>
                  </w:pPr>
                  <w:r>
                    <w:rPr>
                      <w:rFonts w:hint="eastAsia" w:ascii="Times New Roman" w:hAnsi="Times New Roman" w:eastAsia="宋体" w:cs="Times New Roman"/>
                      <w:color w:val="auto"/>
                      <w:szCs w:val="21"/>
                      <w:highlight w:val="none"/>
                      <w:lang w:eastAsia="zh-CN"/>
                    </w:rPr>
                    <w:t>危废</w:t>
                  </w:r>
                  <w:r>
                    <w:rPr>
                      <w:rFonts w:hint="eastAsia" w:cs="Times New Roman"/>
                      <w:color w:val="auto"/>
                      <w:sz w:val="21"/>
                      <w:szCs w:val="21"/>
                      <w:highlight w:val="none"/>
                      <w:lang w:val="en-US" w:eastAsia="zh-CN"/>
                    </w:rPr>
                    <w:t>暂存间</w:t>
                  </w:r>
                </w:p>
              </w:tc>
              <w:tc>
                <w:tcPr>
                  <w:tcW w:w="3417" w:type="pct"/>
                  <w:tcBorders>
                    <w:tl2br w:val="nil"/>
                    <w:tr2bl w:val="nil"/>
                  </w:tcBorders>
                  <w:noWrap w:val="0"/>
                  <w:vAlign w:val="center"/>
                </w:tcPr>
                <w:p w14:paraId="4F640A4C">
                  <w:pPr>
                    <w:pStyle w:val="51"/>
                    <w:spacing w:line="240" w:lineRule="auto"/>
                    <w:jc w:val="center"/>
                    <w:rPr>
                      <w:rFonts w:hint="eastAsia"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防渗层为至少1m厚黏土层（渗透系数不大于10</w:t>
                  </w:r>
                  <w:r>
                    <w:rPr>
                      <w:rFonts w:hint="default" w:ascii="Times New Roman" w:hAnsi="Times New Roman" w:cs="Times New Roman"/>
                      <w:color w:val="auto"/>
                      <w:highlight w:val="none"/>
                      <w:vertAlign w:val="superscript"/>
                    </w:rPr>
                    <w:t>-7</w:t>
                  </w:r>
                  <w:r>
                    <w:rPr>
                      <w:rFonts w:hint="default" w:ascii="Times New Roman" w:hAnsi="Times New Roman" w:cs="Times New Roman"/>
                      <w:color w:val="auto"/>
                      <w:highlight w:val="none"/>
                    </w:rPr>
                    <w:t>cm/s），或至少2mm厚高密度聚乙烯膜等人工防渗材料（渗透系数不大于10</w:t>
                  </w:r>
                  <w:r>
                    <w:rPr>
                      <w:rFonts w:hint="default" w:ascii="Times New Roman" w:hAnsi="Times New Roman" w:cs="Times New Roman"/>
                      <w:color w:val="auto"/>
                      <w:highlight w:val="none"/>
                      <w:vertAlign w:val="superscript"/>
                    </w:rPr>
                    <w:t>-10</w:t>
                  </w:r>
                  <w:r>
                    <w:rPr>
                      <w:rFonts w:hint="default" w:ascii="Times New Roman" w:hAnsi="Times New Roman" w:cs="Times New Roman"/>
                      <w:color w:val="auto"/>
                      <w:highlight w:val="none"/>
                    </w:rPr>
                    <w:t>cm/s），或其他防渗性能等效的材料</w:t>
                  </w:r>
                </w:p>
              </w:tc>
            </w:tr>
            <w:tr w14:paraId="06E34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213" w:type="pct"/>
                  <w:tcBorders>
                    <w:tl2br w:val="nil"/>
                    <w:tr2bl w:val="nil"/>
                  </w:tcBorders>
                  <w:noWrap w:val="0"/>
                  <w:vAlign w:val="center"/>
                </w:tcPr>
                <w:p w14:paraId="71B6E2EB">
                  <w:pPr>
                    <w:pStyle w:val="51"/>
                    <w:spacing w:line="240" w:lineRule="auto"/>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3</w:t>
                  </w:r>
                </w:p>
              </w:tc>
              <w:tc>
                <w:tcPr>
                  <w:tcW w:w="435" w:type="pct"/>
                  <w:tcBorders>
                    <w:tl2br w:val="nil"/>
                    <w:tr2bl w:val="nil"/>
                  </w:tcBorders>
                  <w:noWrap w:val="0"/>
                  <w:vAlign w:val="center"/>
                </w:tcPr>
                <w:p w14:paraId="2DAF5A23">
                  <w:pPr>
                    <w:pStyle w:val="51"/>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一般防渗区</w:t>
                  </w:r>
                </w:p>
              </w:tc>
              <w:tc>
                <w:tcPr>
                  <w:tcW w:w="933" w:type="pct"/>
                  <w:tcBorders>
                    <w:tl2br w:val="nil"/>
                    <w:tr2bl w:val="nil"/>
                  </w:tcBorders>
                  <w:noWrap w:val="0"/>
                  <w:vAlign w:val="center"/>
                </w:tcPr>
                <w:p w14:paraId="164F3FA0">
                  <w:pPr>
                    <w:pStyle w:val="51"/>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生产区</w:t>
                  </w: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原料仓库、成品仓库</w:t>
                  </w:r>
                </w:p>
              </w:tc>
              <w:tc>
                <w:tcPr>
                  <w:tcW w:w="3417" w:type="pct"/>
                  <w:tcBorders>
                    <w:tl2br w:val="nil"/>
                    <w:tr2bl w:val="nil"/>
                  </w:tcBorders>
                  <w:noWrap w:val="0"/>
                  <w:vAlign w:val="center"/>
                </w:tcPr>
                <w:p w14:paraId="4D41F3B6">
                  <w:pPr>
                    <w:pStyle w:val="51"/>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防渗层的防渗性能应相当于渗透系数和厚度1.5m的粘土层的防渗性能</w:t>
                  </w:r>
                </w:p>
              </w:tc>
            </w:tr>
            <w:tr w14:paraId="0BEE9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213" w:type="pct"/>
                  <w:tcBorders>
                    <w:tl2br w:val="nil"/>
                    <w:tr2bl w:val="nil"/>
                  </w:tcBorders>
                  <w:noWrap w:val="0"/>
                  <w:vAlign w:val="center"/>
                </w:tcPr>
                <w:p w14:paraId="7C1B2442">
                  <w:pPr>
                    <w:pStyle w:val="51"/>
                    <w:spacing w:line="240" w:lineRule="auto"/>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4</w:t>
                  </w:r>
                </w:p>
              </w:tc>
              <w:tc>
                <w:tcPr>
                  <w:tcW w:w="435" w:type="pct"/>
                  <w:tcBorders>
                    <w:tl2br w:val="nil"/>
                    <w:tr2bl w:val="nil"/>
                  </w:tcBorders>
                  <w:noWrap w:val="0"/>
                  <w:vAlign w:val="center"/>
                </w:tcPr>
                <w:p w14:paraId="7FE5246E">
                  <w:pPr>
                    <w:pStyle w:val="51"/>
                    <w:spacing w:line="240" w:lineRule="auto"/>
                    <w:jc w:val="center"/>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color w:val="auto"/>
                      <w:sz w:val="21"/>
                      <w:szCs w:val="21"/>
                      <w:highlight w:val="none"/>
                      <w:lang w:val="en-US" w:eastAsia="en-US"/>
                    </w:rPr>
                    <w:t>非污染防治区</w:t>
                  </w:r>
                </w:p>
              </w:tc>
              <w:tc>
                <w:tcPr>
                  <w:tcW w:w="933" w:type="pct"/>
                  <w:tcBorders>
                    <w:tl2br w:val="nil"/>
                    <w:tr2bl w:val="nil"/>
                  </w:tcBorders>
                  <w:noWrap w:val="0"/>
                  <w:vAlign w:val="center"/>
                </w:tcPr>
                <w:p w14:paraId="32B5CFEB">
                  <w:pPr>
                    <w:pStyle w:val="51"/>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en-US"/>
                    </w:rPr>
                    <w:t>生活办公区</w:t>
                  </w:r>
                </w:p>
              </w:tc>
              <w:tc>
                <w:tcPr>
                  <w:tcW w:w="3417" w:type="pct"/>
                  <w:tcBorders>
                    <w:tl2br w:val="nil"/>
                    <w:tr2bl w:val="nil"/>
                  </w:tcBorders>
                  <w:noWrap w:val="0"/>
                  <w:vAlign w:val="center"/>
                </w:tcPr>
                <w:p w14:paraId="22D8DC8B">
                  <w:pPr>
                    <w:pStyle w:val="51"/>
                    <w:spacing w:line="240" w:lineRule="auto"/>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en-US"/>
                    </w:rPr>
                    <w:t>一般地面硬化</w:t>
                  </w:r>
                </w:p>
              </w:tc>
            </w:tr>
            <w:tr w14:paraId="231B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5000" w:type="pct"/>
                  <w:gridSpan w:val="4"/>
                  <w:tcBorders>
                    <w:tl2br w:val="nil"/>
                    <w:tr2bl w:val="nil"/>
                  </w:tcBorders>
                  <w:noWrap w:val="0"/>
                  <w:vAlign w:val="center"/>
                </w:tcPr>
                <w:p w14:paraId="70FBA7B2">
                  <w:pPr>
                    <w:pStyle w:val="51"/>
                    <w:spacing w:line="240" w:lineRule="auto"/>
                    <w:jc w:val="left"/>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注：项目危废间、原料仓库、生产线等均设置在2层，与土壤地下水无直接接触，建设单位需做好液态物料储存、转移和输送过程中的管理工作，避免对周边环境产生污染。</w:t>
                  </w:r>
                </w:p>
              </w:tc>
            </w:tr>
          </w:tbl>
          <w:p w14:paraId="343151E8">
            <w:pPr>
              <w:spacing w:line="360" w:lineRule="auto"/>
              <w:ind w:firstLine="482" w:firstLineChars="200"/>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cs="Times New Roman"/>
                <w:b/>
                <w:bCs/>
                <w:color w:val="000000"/>
                <w:sz w:val="24"/>
                <w:szCs w:val="24"/>
                <w:highlight w:val="none"/>
                <w:lang w:val="en-US" w:eastAsia="zh-CN"/>
              </w:rPr>
              <w:t>6、环境风险</w:t>
            </w:r>
          </w:p>
          <w:p w14:paraId="02CC8F7B">
            <w:pPr>
              <w:widowControl w:val="0"/>
              <w:numPr>
                <w:ilvl w:val="0"/>
                <w:numId w:val="0"/>
              </w:numPr>
              <w:spacing w:line="360" w:lineRule="auto"/>
              <w:ind w:firstLine="480" w:firstLineChars="200"/>
              <w:jc w:val="both"/>
              <w:rPr>
                <w:rFonts w:hint="default"/>
                <w:color w:val="000000"/>
                <w:sz w:val="24"/>
                <w:szCs w:val="24"/>
                <w:highlight w:val="none"/>
                <w:lang w:val="en-US" w:eastAsia="zh-CN"/>
              </w:rPr>
            </w:pPr>
            <w:r>
              <w:rPr>
                <w:rFonts w:hint="eastAsia"/>
                <w:color w:val="000000"/>
                <w:sz w:val="24"/>
                <w:szCs w:val="24"/>
                <w:highlight w:val="none"/>
                <w:lang w:val="en-US" w:eastAsia="zh-CN"/>
              </w:rPr>
              <w:t>（1）建设项目风险源</w:t>
            </w:r>
          </w:p>
          <w:p w14:paraId="59C952EB">
            <w:pPr>
              <w:widowControl w:val="0"/>
              <w:numPr>
                <w:ilvl w:val="0"/>
                <w:numId w:val="0"/>
              </w:numPr>
              <w:spacing w:line="360" w:lineRule="auto"/>
              <w:ind w:firstLine="480"/>
              <w:jc w:val="both"/>
              <w:rPr>
                <w:rFonts w:hint="eastAsia"/>
                <w:color w:val="000000"/>
                <w:sz w:val="24"/>
                <w:szCs w:val="24"/>
                <w:highlight w:val="none"/>
                <w:lang w:val="en-US" w:eastAsia="zh-CN"/>
              </w:rPr>
            </w:pPr>
            <w:r>
              <w:rPr>
                <w:rFonts w:hint="eastAsia"/>
                <w:color w:val="000000"/>
                <w:sz w:val="24"/>
                <w:szCs w:val="24"/>
                <w:highlight w:val="none"/>
                <w:lang w:val="en-US" w:eastAsia="zh-CN"/>
              </w:rPr>
              <w:t>根据《建设项目环境风险评价技术导则》（HJ169-2018）及《企业突发环境事件风险分级方法》（HJ941-2018），项目涉及的风险源为</w:t>
            </w:r>
          </w:p>
          <w:p w14:paraId="24BFE77A">
            <w:pPr>
              <w:widowControl w:val="0"/>
              <w:numPr>
                <w:ilvl w:val="0"/>
                <w:numId w:val="0"/>
              </w:numPr>
              <w:spacing w:line="360" w:lineRule="auto"/>
              <w:ind w:firstLine="480"/>
              <w:jc w:val="both"/>
              <w:rPr>
                <w:rFonts w:hint="default"/>
                <w:color w:val="000000"/>
                <w:sz w:val="24"/>
                <w:szCs w:val="24"/>
                <w:highlight w:val="none"/>
                <w:lang w:val="en-US" w:eastAsia="zh-CN"/>
              </w:rPr>
            </w:pPr>
            <w:r>
              <w:rPr>
                <w:rFonts w:hint="eastAsia"/>
                <w:color w:val="000000"/>
                <w:sz w:val="24"/>
                <w:szCs w:val="24"/>
                <w:highlight w:val="none"/>
                <w:lang w:val="en-US" w:eastAsia="zh-CN"/>
              </w:rPr>
              <w:t>等，风险物质数量和分布情况见下表。</w:t>
            </w:r>
          </w:p>
          <w:p w14:paraId="54B1D3DF">
            <w:pPr>
              <w:pStyle w:val="33"/>
              <w:numPr>
                <w:ilvl w:val="0"/>
                <w:numId w:val="0"/>
              </w:numPr>
              <w:tabs>
                <w:tab w:val="left" w:pos="0"/>
              </w:tabs>
              <w:spacing w:line="360" w:lineRule="auto"/>
              <w:jc w:val="center"/>
              <w:rPr>
                <w:rFonts w:hint="default" w:ascii="Times New Roman" w:hAnsi="Times New Roman" w:cs="Times New Roman"/>
                <w:b/>
                <w:bCs w:val="0"/>
                <w:color w:val="000000"/>
                <w:sz w:val="21"/>
                <w:szCs w:val="21"/>
                <w:highlight w:val="none"/>
              </w:rPr>
            </w:pPr>
            <w:r>
              <w:rPr>
                <w:rFonts w:hint="eastAsia" w:ascii="Times New Roman" w:cs="Times New Roman"/>
                <w:b/>
                <w:bCs w:val="0"/>
                <w:color w:val="000000"/>
                <w:spacing w:val="-10"/>
                <w:sz w:val="21"/>
                <w:szCs w:val="21"/>
                <w:highlight w:val="none"/>
                <w:lang w:val="en-US" w:eastAsia="zh-CN"/>
              </w:rPr>
              <w:t>表</w:t>
            </w:r>
            <w:r>
              <w:rPr>
                <w:rFonts w:hint="default" w:ascii="Times New Roman" w:hAnsi="Times New Roman" w:cs="Times New Roman"/>
                <w:b/>
                <w:bCs w:val="0"/>
                <w:color w:val="000000"/>
                <w:spacing w:val="-10"/>
                <w:sz w:val="21"/>
                <w:szCs w:val="21"/>
                <w:highlight w:val="none"/>
              </w:rPr>
              <w:t>4-</w:t>
            </w:r>
            <w:r>
              <w:rPr>
                <w:rFonts w:hint="eastAsia" w:ascii="Times New Roman" w:cs="Times New Roman"/>
                <w:b/>
                <w:bCs w:val="0"/>
                <w:color w:val="000000"/>
                <w:spacing w:val="-10"/>
                <w:sz w:val="21"/>
                <w:szCs w:val="21"/>
                <w:highlight w:val="none"/>
                <w:lang w:val="en-US" w:eastAsia="zh-CN"/>
              </w:rPr>
              <w:t>20</w:t>
            </w:r>
            <w:r>
              <w:rPr>
                <w:rFonts w:hint="default" w:ascii="Times New Roman" w:hAnsi="Times New Roman" w:cs="Times New Roman"/>
                <w:b/>
                <w:bCs w:val="0"/>
                <w:color w:val="000000"/>
                <w:spacing w:val="-10"/>
                <w:sz w:val="21"/>
                <w:szCs w:val="21"/>
                <w:highlight w:val="none"/>
              </w:rPr>
              <w:t xml:space="preserve">  风险物质数量和分布情况一览表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2"/>
              <w:gridCol w:w="1560"/>
              <w:gridCol w:w="1630"/>
              <w:gridCol w:w="1133"/>
              <w:gridCol w:w="902"/>
              <w:gridCol w:w="1426"/>
            </w:tblGrid>
            <w:tr w14:paraId="5BFB6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818" w:type="pct"/>
                  <w:vMerge w:val="restart"/>
                  <w:noWrap w:val="0"/>
                  <w:vAlign w:val="center"/>
                </w:tcPr>
                <w:p w14:paraId="453825F7">
                  <w:pPr>
                    <w:jc w:val="center"/>
                    <w:rPr>
                      <w:rFonts w:hint="default" w:ascii="Times New Roman" w:hAnsi="Times New Roman" w:cs="Times New Roman"/>
                      <w:bCs/>
                      <w:color w:val="000000"/>
                      <w:spacing w:val="-10"/>
                      <w:sz w:val="21"/>
                      <w:szCs w:val="21"/>
                      <w:highlight w:val="none"/>
                    </w:rPr>
                  </w:pPr>
                  <w:r>
                    <w:rPr>
                      <w:rFonts w:hint="default" w:ascii="Times New Roman" w:hAnsi="Times New Roman" w:cs="Times New Roman"/>
                      <w:bCs/>
                      <w:color w:val="000000"/>
                      <w:spacing w:val="-10"/>
                      <w:sz w:val="21"/>
                      <w:szCs w:val="21"/>
                      <w:highlight w:val="none"/>
                    </w:rPr>
                    <w:t>原料名称</w:t>
                  </w:r>
                </w:p>
              </w:tc>
              <w:tc>
                <w:tcPr>
                  <w:tcW w:w="980" w:type="pct"/>
                  <w:vMerge w:val="restart"/>
                  <w:noWrap w:val="0"/>
                  <w:vAlign w:val="center"/>
                </w:tcPr>
                <w:p w14:paraId="776A21F1">
                  <w:pPr>
                    <w:jc w:val="center"/>
                    <w:rPr>
                      <w:rFonts w:hint="default" w:ascii="Times New Roman" w:hAnsi="Times New Roman" w:cs="Times New Roman"/>
                      <w:bCs/>
                      <w:color w:val="000000"/>
                      <w:spacing w:val="-10"/>
                      <w:sz w:val="21"/>
                      <w:szCs w:val="21"/>
                      <w:highlight w:val="none"/>
                    </w:rPr>
                  </w:pPr>
                  <w:r>
                    <w:rPr>
                      <w:rFonts w:hint="default" w:ascii="Times New Roman" w:hAnsi="Times New Roman" w:cs="Times New Roman"/>
                      <w:bCs/>
                      <w:color w:val="000000"/>
                      <w:spacing w:val="-10"/>
                      <w:sz w:val="21"/>
                      <w:szCs w:val="21"/>
                      <w:highlight w:val="none"/>
                    </w:rPr>
                    <w:t>风险物质名称</w:t>
                  </w:r>
                </w:p>
              </w:tc>
              <w:tc>
                <w:tcPr>
                  <w:tcW w:w="1024" w:type="pct"/>
                  <w:vMerge w:val="restart"/>
                  <w:noWrap w:val="0"/>
                  <w:vAlign w:val="center"/>
                </w:tcPr>
                <w:p w14:paraId="297ACB1D">
                  <w:pPr>
                    <w:jc w:val="center"/>
                    <w:rPr>
                      <w:rFonts w:hint="default" w:ascii="Times New Roman" w:hAnsi="Times New Roman" w:cs="Times New Roman"/>
                      <w:bCs/>
                      <w:color w:val="000000"/>
                      <w:spacing w:val="-10"/>
                      <w:sz w:val="21"/>
                      <w:szCs w:val="21"/>
                      <w:highlight w:val="none"/>
                    </w:rPr>
                  </w:pPr>
                  <w:r>
                    <w:rPr>
                      <w:rFonts w:hint="default" w:ascii="Times New Roman" w:hAnsi="Times New Roman" w:cs="Times New Roman"/>
                      <w:bCs/>
                      <w:color w:val="000000"/>
                      <w:spacing w:val="-10"/>
                      <w:sz w:val="21"/>
                      <w:szCs w:val="21"/>
                      <w:highlight w:val="none"/>
                    </w:rPr>
                    <w:t>CAS号</w:t>
                  </w:r>
                </w:p>
              </w:tc>
              <w:tc>
                <w:tcPr>
                  <w:tcW w:w="1279" w:type="pct"/>
                  <w:gridSpan w:val="2"/>
                  <w:noWrap w:val="0"/>
                  <w:vAlign w:val="center"/>
                </w:tcPr>
                <w:p w14:paraId="706107DD">
                  <w:pPr>
                    <w:jc w:val="center"/>
                    <w:rPr>
                      <w:rFonts w:hint="default" w:ascii="Times New Roman" w:hAnsi="Times New Roman" w:cs="Times New Roman"/>
                      <w:bCs/>
                      <w:color w:val="000000"/>
                      <w:spacing w:val="-10"/>
                      <w:sz w:val="21"/>
                      <w:szCs w:val="21"/>
                      <w:highlight w:val="none"/>
                    </w:rPr>
                  </w:pPr>
                  <w:r>
                    <w:rPr>
                      <w:rFonts w:hint="default" w:ascii="Times New Roman" w:hAnsi="Times New Roman" w:cs="Times New Roman"/>
                      <w:bCs/>
                      <w:color w:val="000000"/>
                      <w:spacing w:val="-10"/>
                      <w:sz w:val="21"/>
                      <w:szCs w:val="21"/>
                      <w:highlight w:val="none"/>
                    </w:rPr>
                    <w:t>最大存在量（</w:t>
                  </w:r>
                  <w:r>
                    <w:rPr>
                      <w:rFonts w:hint="eastAsia" w:ascii="Times New Roman" w:hAnsi="Times New Roman" w:cs="Times New Roman"/>
                      <w:bCs/>
                      <w:color w:val="000000"/>
                      <w:spacing w:val="-10"/>
                      <w:sz w:val="21"/>
                      <w:szCs w:val="21"/>
                      <w:highlight w:val="none"/>
                      <w:lang w:val="en-US" w:eastAsia="zh-CN"/>
                    </w:rPr>
                    <w:t>t</w:t>
                  </w:r>
                  <w:r>
                    <w:rPr>
                      <w:rFonts w:hint="default" w:ascii="Times New Roman" w:hAnsi="Times New Roman" w:cs="Times New Roman"/>
                      <w:bCs/>
                      <w:color w:val="000000"/>
                      <w:spacing w:val="-10"/>
                      <w:sz w:val="21"/>
                      <w:szCs w:val="21"/>
                      <w:highlight w:val="none"/>
                    </w:rPr>
                    <w:t>）</w:t>
                  </w:r>
                </w:p>
              </w:tc>
              <w:tc>
                <w:tcPr>
                  <w:tcW w:w="896" w:type="pct"/>
                  <w:vMerge w:val="restart"/>
                  <w:noWrap w:val="0"/>
                  <w:vAlign w:val="center"/>
                </w:tcPr>
                <w:p w14:paraId="3A775417">
                  <w:pPr>
                    <w:jc w:val="center"/>
                    <w:rPr>
                      <w:rFonts w:hint="default" w:ascii="Times New Roman" w:hAnsi="Times New Roman" w:cs="Times New Roman"/>
                      <w:bCs/>
                      <w:color w:val="000000"/>
                      <w:spacing w:val="-10"/>
                      <w:sz w:val="21"/>
                      <w:szCs w:val="21"/>
                      <w:highlight w:val="none"/>
                    </w:rPr>
                  </w:pPr>
                  <w:r>
                    <w:rPr>
                      <w:rFonts w:hint="default" w:ascii="Times New Roman" w:hAnsi="Times New Roman" w:cs="Times New Roman"/>
                      <w:bCs/>
                      <w:color w:val="000000"/>
                      <w:spacing w:val="-10"/>
                      <w:sz w:val="21"/>
                      <w:szCs w:val="21"/>
                      <w:highlight w:val="none"/>
                    </w:rPr>
                    <w:t>储存位置</w:t>
                  </w:r>
                </w:p>
              </w:tc>
            </w:tr>
            <w:tr w14:paraId="43DA3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818" w:type="pct"/>
                  <w:vMerge w:val="continue"/>
                  <w:noWrap w:val="0"/>
                  <w:vAlign w:val="center"/>
                </w:tcPr>
                <w:p w14:paraId="313C7C8B">
                  <w:pPr>
                    <w:jc w:val="center"/>
                    <w:rPr>
                      <w:rFonts w:hint="default" w:ascii="Times New Roman" w:hAnsi="Times New Roman" w:cs="Times New Roman"/>
                      <w:bCs/>
                      <w:color w:val="000000"/>
                      <w:spacing w:val="-10"/>
                      <w:sz w:val="21"/>
                      <w:szCs w:val="21"/>
                      <w:highlight w:val="none"/>
                    </w:rPr>
                  </w:pPr>
                </w:p>
              </w:tc>
              <w:tc>
                <w:tcPr>
                  <w:tcW w:w="980" w:type="pct"/>
                  <w:vMerge w:val="continue"/>
                  <w:noWrap w:val="0"/>
                  <w:vAlign w:val="center"/>
                </w:tcPr>
                <w:p w14:paraId="7E5C842D">
                  <w:pPr>
                    <w:jc w:val="center"/>
                    <w:rPr>
                      <w:rFonts w:hint="default" w:ascii="Times New Roman" w:hAnsi="Times New Roman" w:cs="Times New Roman"/>
                      <w:bCs/>
                      <w:color w:val="000000"/>
                      <w:spacing w:val="-10"/>
                      <w:sz w:val="21"/>
                      <w:szCs w:val="21"/>
                      <w:highlight w:val="none"/>
                    </w:rPr>
                  </w:pPr>
                </w:p>
              </w:tc>
              <w:tc>
                <w:tcPr>
                  <w:tcW w:w="1024" w:type="pct"/>
                  <w:vMerge w:val="continue"/>
                  <w:noWrap w:val="0"/>
                  <w:vAlign w:val="center"/>
                </w:tcPr>
                <w:p w14:paraId="7BBB3162">
                  <w:pPr>
                    <w:jc w:val="center"/>
                    <w:rPr>
                      <w:rFonts w:hint="default" w:ascii="Times New Roman" w:hAnsi="Times New Roman" w:cs="Times New Roman"/>
                      <w:bCs/>
                      <w:color w:val="000000"/>
                      <w:spacing w:val="-10"/>
                      <w:sz w:val="21"/>
                      <w:szCs w:val="21"/>
                      <w:highlight w:val="none"/>
                    </w:rPr>
                  </w:pPr>
                </w:p>
              </w:tc>
              <w:tc>
                <w:tcPr>
                  <w:tcW w:w="712" w:type="pct"/>
                  <w:noWrap w:val="0"/>
                  <w:vAlign w:val="center"/>
                </w:tcPr>
                <w:p w14:paraId="39F0AB01">
                  <w:pPr>
                    <w:jc w:val="center"/>
                    <w:rPr>
                      <w:rFonts w:hint="default" w:ascii="Times New Roman" w:hAnsi="Times New Roman" w:cs="Times New Roman"/>
                      <w:bCs/>
                      <w:color w:val="000000"/>
                      <w:spacing w:val="-10"/>
                      <w:sz w:val="21"/>
                      <w:szCs w:val="21"/>
                      <w:highlight w:val="none"/>
                    </w:rPr>
                  </w:pPr>
                  <w:r>
                    <w:rPr>
                      <w:rFonts w:hint="default" w:ascii="Times New Roman" w:hAnsi="Times New Roman" w:cs="Times New Roman"/>
                      <w:bCs/>
                      <w:color w:val="000000"/>
                      <w:spacing w:val="-10"/>
                      <w:sz w:val="21"/>
                      <w:szCs w:val="21"/>
                      <w:highlight w:val="none"/>
                    </w:rPr>
                    <w:t>储存量</w:t>
                  </w:r>
                </w:p>
              </w:tc>
              <w:tc>
                <w:tcPr>
                  <w:tcW w:w="566" w:type="pct"/>
                  <w:noWrap w:val="0"/>
                  <w:vAlign w:val="center"/>
                </w:tcPr>
                <w:p w14:paraId="2E85DA90">
                  <w:pPr>
                    <w:jc w:val="center"/>
                    <w:rPr>
                      <w:rFonts w:hint="default" w:ascii="Times New Roman" w:hAnsi="Times New Roman" w:cs="Times New Roman"/>
                      <w:bCs/>
                      <w:color w:val="000000"/>
                      <w:spacing w:val="-10"/>
                      <w:sz w:val="21"/>
                      <w:szCs w:val="21"/>
                      <w:highlight w:val="none"/>
                    </w:rPr>
                  </w:pPr>
                  <w:r>
                    <w:rPr>
                      <w:rFonts w:hint="default" w:ascii="Times New Roman" w:hAnsi="Times New Roman" w:cs="Times New Roman"/>
                      <w:bCs/>
                      <w:color w:val="000000"/>
                      <w:spacing w:val="-10"/>
                      <w:sz w:val="21"/>
                      <w:szCs w:val="21"/>
                      <w:highlight w:val="none"/>
                    </w:rPr>
                    <w:t>在线量</w:t>
                  </w:r>
                </w:p>
              </w:tc>
              <w:tc>
                <w:tcPr>
                  <w:tcW w:w="896" w:type="pct"/>
                  <w:vMerge w:val="continue"/>
                  <w:noWrap w:val="0"/>
                  <w:vAlign w:val="center"/>
                </w:tcPr>
                <w:p w14:paraId="13A3283A">
                  <w:pPr>
                    <w:jc w:val="center"/>
                    <w:rPr>
                      <w:rFonts w:hint="default" w:ascii="Times New Roman" w:hAnsi="Times New Roman" w:cs="Times New Roman"/>
                      <w:bCs/>
                      <w:color w:val="000000"/>
                      <w:spacing w:val="-10"/>
                      <w:sz w:val="21"/>
                      <w:szCs w:val="21"/>
                      <w:highlight w:val="none"/>
                    </w:rPr>
                  </w:pPr>
                </w:p>
              </w:tc>
            </w:tr>
            <w:tr w14:paraId="336A3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8" w:type="pct"/>
                  <w:noWrap w:val="0"/>
                  <w:vAlign w:val="center"/>
                </w:tcPr>
                <w:p w14:paraId="066CC57D">
                  <w:pPr>
                    <w:jc w:val="center"/>
                    <w:rPr>
                      <w:rFonts w:hint="default" w:ascii="Times New Roman" w:hAnsi="Times New Roman" w:eastAsia="宋体"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机油</w:t>
                  </w:r>
                </w:p>
              </w:tc>
              <w:tc>
                <w:tcPr>
                  <w:tcW w:w="980" w:type="pct"/>
                  <w:noWrap w:val="0"/>
                  <w:vAlign w:val="center"/>
                </w:tcPr>
                <w:p w14:paraId="659221E0">
                  <w:pPr>
                    <w:jc w:val="center"/>
                    <w:rPr>
                      <w:rFonts w:hint="default" w:ascii="Times New Roman" w:hAnsi="Times New Roman" w:eastAsia="宋体"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油类物质</w:t>
                  </w:r>
                </w:p>
              </w:tc>
              <w:tc>
                <w:tcPr>
                  <w:tcW w:w="1024" w:type="pct"/>
                  <w:noWrap w:val="0"/>
                  <w:vAlign w:val="center"/>
                </w:tcPr>
                <w:p w14:paraId="7AC4F7BA">
                  <w:pPr>
                    <w:jc w:val="center"/>
                    <w:rPr>
                      <w:rFonts w:hint="default" w:ascii="Times New Roman" w:hAnsi="Times New Roman" w:eastAsia="宋体"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w:t>
                  </w:r>
                </w:p>
              </w:tc>
              <w:tc>
                <w:tcPr>
                  <w:tcW w:w="712" w:type="pct"/>
                  <w:noWrap w:val="0"/>
                  <w:vAlign w:val="center"/>
                </w:tcPr>
                <w:p w14:paraId="0544954A">
                  <w:pPr>
                    <w:jc w:val="center"/>
                    <w:rPr>
                      <w:rFonts w:hint="default" w:ascii="Times New Roman" w:hAnsi="Times New Roman" w:eastAsia="宋体"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0.1</w:t>
                  </w:r>
                </w:p>
              </w:tc>
              <w:tc>
                <w:tcPr>
                  <w:tcW w:w="566" w:type="pct"/>
                  <w:noWrap w:val="0"/>
                  <w:vAlign w:val="center"/>
                </w:tcPr>
                <w:p w14:paraId="43E75462">
                  <w:pPr>
                    <w:jc w:val="center"/>
                    <w:rPr>
                      <w:rFonts w:hint="default" w:ascii="Times New Roman" w:hAnsi="Times New Roman" w:eastAsia="宋体"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w:t>
                  </w:r>
                </w:p>
              </w:tc>
              <w:tc>
                <w:tcPr>
                  <w:tcW w:w="896" w:type="pct"/>
                  <w:vMerge w:val="restart"/>
                  <w:noWrap w:val="0"/>
                  <w:vAlign w:val="center"/>
                </w:tcPr>
                <w:p w14:paraId="6D113320">
                  <w:pPr>
                    <w:jc w:val="center"/>
                    <w:rPr>
                      <w:rFonts w:hint="default" w:ascii="Times New Roman" w:hAnsi="Times New Roman" w:eastAsia="宋体"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原料仓库2</w:t>
                  </w:r>
                </w:p>
              </w:tc>
            </w:tr>
            <w:tr w14:paraId="19D1D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8" w:type="pct"/>
                  <w:noWrap w:val="0"/>
                  <w:vAlign w:val="center"/>
                </w:tcPr>
                <w:p w14:paraId="49D7C127">
                  <w:pPr>
                    <w:jc w:val="center"/>
                    <w:rPr>
                      <w:rFonts w:hint="default" w:ascii="Times New Roman" w:hAnsi="Times New Roman"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废机油</w:t>
                  </w:r>
                </w:p>
              </w:tc>
              <w:tc>
                <w:tcPr>
                  <w:tcW w:w="980" w:type="pct"/>
                  <w:noWrap w:val="0"/>
                  <w:vAlign w:val="center"/>
                </w:tcPr>
                <w:p w14:paraId="28B898B8">
                  <w:pPr>
                    <w:jc w:val="center"/>
                    <w:rPr>
                      <w:rFonts w:hint="default" w:ascii="Times New Roman" w:hAnsi="Times New Roman" w:eastAsia="宋体"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油类物质</w:t>
                  </w:r>
                </w:p>
              </w:tc>
              <w:tc>
                <w:tcPr>
                  <w:tcW w:w="1024" w:type="pct"/>
                  <w:noWrap w:val="0"/>
                  <w:vAlign w:val="center"/>
                </w:tcPr>
                <w:p w14:paraId="195F2DE9">
                  <w:pPr>
                    <w:jc w:val="center"/>
                    <w:rPr>
                      <w:rFonts w:hint="default" w:ascii="Times New Roman" w:hAnsi="Times New Roman"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w:t>
                  </w:r>
                </w:p>
              </w:tc>
              <w:tc>
                <w:tcPr>
                  <w:tcW w:w="712" w:type="pct"/>
                  <w:noWrap w:val="0"/>
                  <w:vAlign w:val="center"/>
                </w:tcPr>
                <w:p w14:paraId="3F3A7FC0">
                  <w:pPr>
                    <w:jc w:val="center"/>
                    <w:rPr>
                      <w:rFonts w:hint="default" w:ascii="Times New Roman" w:hAnsi="Times New Roman"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0.96</w:t>
                  </w:r>
                </w:p>
              </w:tc>
              <w:tc>
                <w:tcPr>
                  <w:tcW w:w="566" w:type="pct"/>
                  <w:noWrap w:val="0"/>
                  <w:vAlign w:val="center"/>
                </w:tcPr>
                <w:p w14:paraId="5C0252D4">
                  <w:pPr>
                    <w:jc w:val="center"/>
                    <w:rPr>
                      <w:rFonts w:hint="default" w:ascii="Times New Roman" w:hAnsi="Times New Roman"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w:t>
                  </w:r>
                </w:p>
              </w:tc>
              <w:tc>
                <w:tcPr>
                  <w:tcW w:w="896" w:type="pct"/>
                  <w:vMerge w:val="continue"/>
                  <w:noWrap w:val="0"/>
                  <w:vAlign w:val="center"/>
                </w:tcPr>
                <w:p w14:paraId="26B6AE3B">
                  <w:pPr>
                    <w:jc w:val="center"/>
                    <w:rPr>
                      <w:rFonts w:hint="default" w:ascii="Times New Roman" w:hAnsi="Times New Roman" w:cs="Times New Roman"/>
                      <w:bCs/>
                      <w:color w:val="000000"/>
                      <w:spacing w:val="-10"/>
                      <w:sz w:val="21"/>
                      <w:szCs w:val="21"/>
                      <w:highlight w:val="none"/>
                      <w:lang w:val="en-US" w:eastAsia="zh-CN"/>
                    </w:rPr>
                  </w:pPr>
                </w:p>
              </w:tc>
            </w:tr>
            <w:tr w14:paraId="1A1D4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8" w:type="pct"/>
                  <w:noWrap w:val="0"/>
                  <w:vAlign w:val="center"/>
                </w:tcPr>
                <w:p w14:paraId="4E304E9C">
                  <w:pPr>
                    <w:jc w:val="center"/>
                    <w:rPr>
                      <w:rFonts w:hint="default" w:ascii="Times New Roman" w:hAnsi="Times New Roman" w:eastAsia="宋体"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无铅锡膏（银占1-5%）</w:t>
                  </w:r>
                </w:p>
              </w:tc>
              <w:tc>
                <w:tcPr>
                  <w:tcW w:w="980" w:type="pct"/>
                  <w:noWrap w:val="0"/>
                  <w:vAlign w:val="center"/>
                </w:tcPr>
                <w:p w14:paraId="440D5430">
                  <w:pPr>
                    <w:jc w:val="center"/>
                    <w:rPr>
                      <w:rFonts w:hint="default" w:ascii="Times New Roman" w:hAnsi="Times New Roman" w:eastAsia="宋体"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银及其化合物</w:t>
                  </w:r>
                </w:p>
              </w:tc>
              <w:tc>
                <w:tcPr>
                  <w:tcW w:w="1024" w:type="pct"/>
                  <w:noWrap w:val="0"/>
                  <w:vAlign w:val="center"/>
                </w:tcPr>
                <w:p w14:paraId="5D58B635">
                  <w:pPr>
                    <w:jc w:val="center"/>
                    <w:rPr>
                      <w:rFonts w:hint="default" w:ascii="Times New Roman" w:hAnsi="Times New Roman" w:eastAsia="宋体"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w:t>
                  </w:r>
                </w:p>
              </w:tc>
              <w:tc>
                <w:tcPr>
                  <w:tcW w:w="712" w:type="pct"/>
                  <w:noWrap w:val="0"/>
                  <w:vAlign w:val="center"/>
                </w:tcPr>
                <w:p w14:paraId="194A3763">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0.175</w:t>
                  </w:r>
                </w:p>
              </w:tc>
              <w:tc>
                <w:tcPr>
                  <w:tcW w:w="566" w:type="pct"/>
                  <w:noWrap w:val="0"/>
                  <w:vAlign w:val="center"/>
                </w:tcPr>
                <w:p w14:paraId="4503B6B2">
                  <w:pPr>
                    <w:jc w:val="center"/>
                    <w:rPr>
                      <w:rFonts w:hint="default" w:ascii="Times New Roman" w:hAnsi="Times New Roman" w:eastAsia="宋体"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w:t>
                  </w:r>
                </w:p>
              </w:tc>
              <w:tc>
                <w:tcPr>
                  <w:tcW w:w="896" w:type="pct"/>
                  <w:vMerge w:val="continue"/>
                  <w:noWrap w:val="0"/>
                  <w:vAlign w:val="center"/>
                </w:tcPr>
                <w:p w14:paraId="29F4787C">
                  <w:pPr>
                    <w:jc w:val="center"/>
                    <w:rPr>
                      <w:rFonts w:hint="default" w:ascii="Times New Roman" w:hAnsi="Times New Roman" w:eastAsia="宋体" w:cs="Times New Roman"/>
                      <w:bCs/>
                      <w:color w:val="000000"/>
                      <w:spacing w:val="-10"/>
                      <w:sz w:val="21"/>
                      <w:szCs w:val="21"/>
                      <w:highlight w:val="none"/>
                      <w:lang w:val="en-US" w:eastAsia="zh-CN"/>
                    </w:rPr>
                  </w:pPr>
                </w:p>
              </w:tc>
            </w:tr>
            <w:tr w14:paraId="2C75A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8" w:type="pct"/>
                  <w:noWrap w:val="0"/>
                  <w:vAlign w:val="center"/>
                </w:tcPr>
                <w:p w14:paraId="4613F5BA">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酒精</w:t>
                  </w:r>
                </w:p>
              </w:tc>
              <w:tc>
                <w:tcPr>
                  <w:tcW w:w="980" w:type="pct"/>
                  <w:noWrap w:val="0"/>
                  <w:vAlign w:val="center"/>
                </w:tcPr>
                <w:p w14:paraId="393D60EA">
                  <w:pPr>
                    <w:jc w:val="center"/>
                    <w:rPr>
                      <w:rFonts w:hint="default" w:ascii="Times New Roman" w:hAnsi="Times New Roman" w:eastAsia="宋体"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乙醇</w:t>
                  </w:r>
                </w:p>
              </w:tc>
              <w:tc>
                <w:tcPr>
                  <w:tcW w:w="1024" w:type="pct"/>
                  <w:noWrap w:val="0"/>
                  <w:vAlign w:val="center"/>
                </w:tcPr>
                <w:p w14:paraId="337EC59C">
                  <w:pPr>
                    <w:jc w:val="center"/>
                    <w:rPr>
                      <w:rFonts w:hint="default" w:ascii="Times New Roman" w:hAnsi="Times New Roman" w:eastAsia="宋体"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64-17-5</w:t>
                  </w:r>
                </w:p>
              </w:tc>
              <w:tc>
                <w:tcPr>
                  <w:tcW w:w="712" w:type="pct"/>
                  <w:noWrap w:val="0"/>
                  <w:vAlign w:val="center"/>
                </w:tcPr>
                <w:p w14:paraId="61BDDD75">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0.035</w:t>
                  </w:r>
                </w:p>
              </w:tc>
              <w:tc>
                <w:tcPr>
                  <w:tcW w:w="566" w:type="pct"/>
                  <w:noWrap w:val="0"/>
                  <w:vAlign w:val="center"/>
                </w:tcPr>
                <w:p w14:paraId="11A0AB43">
                  <w:pPr>
                    <w:jc w:val="center"/>
                    <w:rPr>
                      <w:rFonts w:hint="default" w:ascii="Times New Roman" w:hAnsi="Times New Roman" w:eastAsia="宋体" w:cs="Times New Roman"/>
                      <w:bCs/>
                      <w:color w:val="000000"/>
                      <w:spacing w:val="-1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w:t>
                  </w:r>
                </w:p>
              </w:tc>
              <w:tc>
                <w:tcPr>
                  <w:tcW w:w="896" w:type="pct"/>
                  <w:vMerge w:val="continue"/>
                  <w:noWrap w:val="0"/>
                  <w:vAlign w:val="center"/>
                </w:tcPr>
                <w:p w14:paraId="3DAB949C">
                  <w:pPr>
                    <w:jc w:val="center"/>
                    <w:rPr>
                      <w:rFonts w:hint="default" w:ascii="Times New Roman" w:hAnsi="Times New Roman" w:eastAsia="宋体" w:cs="Times New Roman"/>
                      <w:bCs/>
                      <w:color w:val="000000"/>
                      <w:spacing w:val="-10"/>
                      <w:sz w:val="21"/>
                      <w:szCs w:val="21"/>
                      <w:highlight w:val="none"/>
                      <w:lang w:val="en-US" w:eastAsia="zh-CN"/>
                    </w:rPr>
                  </w:pPr>
                </w:p>
              </w:tc>
            </w:tr>
          </w:tbl>
          <w:p w14:paraId="12EEC3AC">
            <w:pPr>
              <w:spacing w:line="240" w:lineRule="auto"/>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1"/>
                <w:szCs w:val="21"/>
                <w:highlight w:val="none"/>
                <w:lang w:val="en-US" w:eastAsia="zh-CN"/>
              </w:rPr>
              <w:t>注：①</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根据《建设项目环境风险评价技术导则》（HJ169-2018）</w:t>
            </w:r>
            <w:r>
              <w:rPr>
                <w:rFonts w:hint="eastAsia"/>
                <w:color w:val="000000"/>
                <w:sz w:val="21"/>
                <w:szCs w:val="21"/>
                <w:highlight w:val="none"/>
                <w:lang w:val="en-US" w:eastAsia="zh-CN"/>
              </w:rPr>
              <w:t>及《企业突发环境事件风险分级方法》（HJ941-2018），铜及其化合物（以铜离子计），本项目</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锡膏和锡丝中的铜为单质铜，故不再进行统计</w:t>
            </w:r>
            <w:r>
              <w:rPr>
                <w:rFonts w:hint="eastAsia" w:ascii="Times New Roman" w:hAnsi="Times New Roman" w:eastAsia="宋体" w:cs="Times New Roman"/>
                <w:b w:val="0"/>
                <w:bCs w:val="0"/>
                <w:i w:val="0"/>
                <w:iCs w:val="0"/>
                <w:color w:val="auto"/>
                <w:kern w:val="0"/>
                <w:sz w:val="21"/>
                <w:szCs w:val="21"/>
                <w:highlight w:val="none"/>
                <w:u w:val="none"/>
                <w:lang w:val="en-US" w:eastAsia="zh-CN" w:bidi="ar"/>
              </w:rPr>
              <w:t>；②银及其化合物占比按最不利影响5%进行核算。</w:t>
            </w:r>
          </w:p>
          <w:p w14:paraId="17E9B3FD">
            <w:pPr>
              <w:spacing w:line="360" w:lineRule="auto"/>
              <w:ind w:firstLine="440" w:firstLineChars="200"/>
              <w:rPr>
                <w:rFonts w:hint="default" w:ascii="Times New Roman" w:hAnsi="Times New Roman" w:cs="Times New Roman"/>
                <w:b w:val="0"/>
                <w:bCs/>
                <w:color w:val="000000"/>
                <w:spacing w:val="-10"/>
                <w:sz w:val="24"/>
                <w:szCs w:val="24"/>
                <w:highlight w:val="none"/>
              </w:rPr>
            </w:pPr>
            <w:r>
              <w:rPr>
                <w:rFonts w:hint="eastAsia" w:ascii="Times New Roman" w:hAnsi="Times New Roman" w:cs="Times New Roman"/>
                <w:b w:val="0"/>
                <w:bCs/>
                <w:color w:val="000000"/>
                <w:spacing w:val="-10"/>
                <w:sz w:val="24"/>
                <w:szCs w:val="24"/>
                <w:highlight w:val="none"/>
                <w:lang w:val="en-US" w:eastAsia="zh-CN"/>
              </w:rPr>
              <w:t>（2）</w:t>
            </w:r>
            <w:r>
              <w:rPr>
                <w:rFonts w:hint="default" w:ascii="Times New Roman" w:hAnsi="Times New Roman" w:cs="Times New Roman"/>
                <w:b w:val="0"/>
                <w:bCs/>
                <w:color w:val="000000"/>
                <w:spacing w:val="-10"/>
                <w:sz w:val="24"/>
                <w:szCs w:val="24"/>
                <w:highlight w:val="none"/>
              </w:rPr>
              <w:t>环境风险潜势初判</w:t>
            </w:r>
          </w:p>
          <w:p w14:paraId="79D1E7EC">
            <w:pPr>
              <w:spacing w:line="360" w:lineRule="auto"/>
              <w:ind w:firstLine="480" w:firstLineChars="200"/>
              <w:jc w:val="lef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根据《建设项目环境风险评价技术导则》（HJ 169-2018）附录C1.1，“危险物质数量与临界量比值（Q）”：计算所涉及的每种风险物质在厂界内的最大存在总量与其在附录B中对应临界量的比值Q。在不同厂区的同一种物质，按其在厂界内的最大存在总量计算。</w:t>
            </w:r>
          </w:p>
          <w:p w14:paraId="5A6A2B8D">
            <w:pPr>
              <w:spacing w:line="360" w:lineRule="auto"/>
              <w:ind w:firstLine="340"/>
              <w:rPr>
                <w:rFonts w:hint="default" w:ascii="Times New Roman" w:hAnsi="Times New Roman" w:cs="Times New Roman"/>
                <w:bCs/>
                <w:color w:val="000000"/>
                <w:spacing w:val="-10"/>
                <w:sz w:val="24"/>
                <w:szCs w:val="24"/>
                <w:highlight w:val="none"/>
              </w:rPr>
            </w:pPr>
            <w:r>
              <w:rPr>
                <w:rFonts w:hint="default" w:ascii="Times New Roman" w:hAnsi="Times New Roman" w:cs="Times New Roman"/>
                <w:bCs/>
                <w:color w:val="000000"/>
                <w:spacing w:val="-10"/>
                <w:sz w:val="24"/>
                <w:szCs w:val="24"/>
                <w:highlight w:val="none"/>
              </w:rPr>
              <w:drawing>
                <wp:inline distT="0" distB="0" distL="114300" distR="114300">
                  <wp:extent cx="3954780" cy="495300"/>
                  <wp:effectExtent l="0" t="0" r="7620" b="0"/>
                  <wp:docPr id="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1"/>
                          <pic:cNvPicPr>
                            <a:picLocks noChangeAspect="1"/>
                          </pic:cNvPicPr>
                        </pic:nvPicPr>
                        <pic:blipFill>
                          <a:blip r:embed="rId24"/>
                          <a:stretch>
                            <a:fillRect/>
                          </a:stretch>
                        </pic:blipFill>
                        <pic:spPr>
                          <a:xfrm>
                            <a:off x="0" y="0"/>
                            <a:ext cx="3954780" cy="495300"/>
                          </a:xfrm>
                          <a:prstGeom prst="rect">
                            <a:avLst/>
                          </a:prstGeom>
                          <a:noFill/>
                          <a:ln>
                            <a:noFill/>
                          </a:ln>
                        </pic:spPr>
                      </pic:pic>
                    </a:graphicData>
                  </a:graphic>
                </wp:inline>
              </w:drawing>
            </w:r>
          </w:p>
          <w:p w14:paraId="590BCA2E">
            <w:pPr>
              <w:spacing w:line="360" w:lineRule="auto"/>
              <w:ind w:firstLine="340"/>
              <w:rPr>
                <w:rFonts w:hint="default" w:ascii="Times New Roman" w:hAnsi="Times New Roman" w:cs="Times New Roman"/>
                <w:bCs/>
                <w:color w:val="000000"/>
                <w:spacing w:val="-10"/>
                <w:sz w:val="24"/>
                <w:szCs w:val="24"/>
                <w:highlight w:val="none"/>
              </w:rPr>
            </w:pPr>
            <w:r>
              <w:rPr>
                <w:rFonts w:hint="default" w:ascii="Times New Roman" w:hAnsi="Times New Roman" w:cs="Times New Roman"/>
                <w:bCs/>
                <w:color w:val="000000"/>
                <w:spacing w:val="-10"/>
                <w:sz w:val="24"/>
                <w:szCs w:val="24"/>
                <w:highlight w:val="none"/>
              </w:rPr>
              <w:t>式中：q1，q2，……qn——每种环境风险物质的存在总量，t；</w:t>
            </w:r>
          </w:p>
          <w:p w14:paraId="778B9288">
            <w:pPr>
              <w:spacing w:line="360" w:lineRule="auto"/>
              <w:ind w:firstLine="340"/>
              <w:rPr>
                <w:rFonts w:hint="default" w:ascii="Times New Roman" w:hAnsi="Times New Roman" w:cs="Times New Roman"/>
                <w:bCs/>
                <w:color w:val="000000"/>
                <w:spacing w:val="-10"/>
                <w:sz w:val="24"/>
                <w:szCs w:val="24"/>
                <w:highlight w:val="none"/>
              </w:rPr>
            </w:pPr>
            <w:r>
              <w:rPr>
                <w:rFonts w:hint="default" w:ascii="Times New Roman" w:hAnsi="Times New Roman" w:cs="Times New Roman"/>
                <w:bCs/>
                <w:color w:val="000000"/>
                <w:spacing w:val="-10"/>
                <w:sz w:val="24"/>
                <w:szCs w:val="24"/>
                <w:highlight w:val="none"/>
              </w:rPr>
              <w:t>Q1，Q2，……Qn——每种环境风险物质的临界量，t。</w:t>
            </w:r>
          </w:p>
          <w:p w14:paraId="67871E2A">
            <w:pPr>
              <w:spacing w:line="360" w:lineRule="auto"/>
              <w:ind w:firstLine="340"/>
              <w:rPr>
                <w:rFonts w:hint="default" w:ascii="Times New Roman" w:hAnsi="Times New Roman" w:cs="Times New Roman"/>
                <w:bCs/>
                <w:color w:val="000000"/>
                <w:spacing w:val="-10"/>
                <w:sz w:val="24"/>
                <w:szCs w:val="24"/>
                <w:highlight w:val="none"/>
              </w:rPr>
            </w:pPr>
            <w:r>
              <w:rPr>
                <w:rFonts w:hint="default" w:ascii="Times New Roman" w:hAnsi="Times New Roman" w:cs="Times New Roman"/>
                <w:bCs/>
                <w:color w:val="000000"/>
                <w:spacing w:val="-10"/>
                <w:sz w:val="24"/>
                <w:szCs w:val="24"/>
                <w:highlight w:val="none"/>
              </w:rPr>
              <w:t>按照数值大小，将Q划分</w:t>
            </w:r>
            <w:r>
              <w:rPr>
                <w:rFonts w:hint="eastAsia" w:ascii="Times New Roman" w:hAnsi="Times New Roman" w:cs="Times New Roman"/>
                <w:bCs/>
                <w:color w:val="000000"/>
                <w:spacing w:val="-10"/>
                <w:sz w:val="24"/>
                <w:szCs w:val="24"/>
                <w:highlight w:val="none"/>
                <w:lang w:val="en-US" w:eastAsia="zh-CN"/>
              </w:rPr>
              <w:t>为</w:t>
            </w:r>
            <w:r>
              <w:rPr>
                <w:rFonts w:hint="default" w:ascii="Times New Roman" w:hAnsi="Times New Roman" w:cs="Times New Roman"/>
                <w:bCs/>
                <w:color w:val="000000"/>
                <w:spacing w:val="-10"/>
                <w:sz w:val="24"/>
                <w:szCs w:val="24"/>
                <w:highlight w:val="none"/>
              </w:rPr>
              <w:t>4个水平：</w:t>
            </w:r>
          </w:p>
          <w:p w14:paraId="7C7F6ED6">
            <w:pPr>
              <w:spacing w:line="360" w:lineRule="auto"/>
              <w:ind w:firstLine="340"/>
              <w:rPr>
                <w:rFonts w:hint="default" w:ascii="Times New Roman" w:hAnsi="Times New Roman" w:cs="Times New Roman"/>
                <w:bCs/>
                <w:color w:val="000000"/>
                <w:spacing w:val="-10"/>
                <w:sz w:val="24"/>
                <w:szCs w:val="24"/>
                <w:highlight w:val="none"/>
              </w:rPr>
            </w:pPr>
            <w:r>
              <w:rPr>
                <w:rFonts w:hint="default" w:ascii="Times New Roman" w:hAnsi="Times New Roman" w:cs="Times New Roman"/>
                <w:bCs/>
                <w:color w:val="000000"/>
                <w:spacing w:val="-10"/>
                <w:sz w:val="24"/>
                <w:szCs w:val="24"/>
                <w:highlight w:val="none"/>
              </w:rPr>
              <w:t>当Q＜1时，该项目</w:t>
            </w:r>
            <w:bookmarkStart w:id="2" w:name="_Hlk2285808"/>
            <w:r>
              <w:rPr>
                <w:rFonts w:hint="default" w:ascii="Times New Roman" w:hAnsi="Times New Roman" w:cs="Times New Roman"/>
                <w:bCs/>
                <w:color w:val="000000"/>
                <w:spacing w:val="-10"/>
                <w:sz w:val="24"/>
                <w:szCs w:val="24"/>
                <w:highlight w:val="none"/>
              </w:rPr>
              <w:t>环境风险潜势为Ⅰ</w:t>
            </w:r>
            <w:bookmarkEnd w:id="2"/>
            <w:r>
              <w:rPr>
                <w:rFonts w:hint="default" w:ascii="Times New Roman" w:hAnsi="Times New Roman" w:cs="Times New Roman"/>
                <w:bCs/>
                <w:color w:val="000000"/>
                <w:spacing w:val="-10"/>
                <w:sz w:val="24"/>
                <w:szCs w:val="24"/>
                <w:highlight w:val="none"/>
              </w:rPr>
              <w:t>。</w:t>
            </w:r>
          </w:p>
          <w:p w14:paraId="7BC04939">
            <w:pPr>
              <w:spacing w:line="360" w:lineRule="auto"/>
              <w:ind w:firstLine="340"/>
              <w:rPr>
                <w:rFonts w:hint="default" w:ascii="Times New Roman" w:hAnsi="Times New Roman" w:cs="Times New Roman"/>
                <w:bCs/>
                <w:color w:val="000000"/>
                <w:spacing w:val="-10"/>
                <w:sz w:val="24"/>
                <w:szCs w:val="24"/>
                <w:highlight w:val="none"/>
              </w:rPr>
            </w:pPr>
            <w:r>
              <w:rPr>
                <w:rFonts w:hint="default" w:ascii="Times New Roman" w:hAnsi="Times New Roman" w:cs="Times New Roman"/>
                <w:bCs/>
                <w:color w:val="000000"/>
                <w:spacing w:val="-10"/>
                <w:sz w:val="24"/>
                <w:szCs w:val="24"/>
                <w:highlight w:val="none"/>
              </w:rPr>
              <w:t>当Q≥1时，将Q值划分为：(1)1≤Q＜10；(2)10≤Q＜100；(3)Q≥100。企业生产中涉及的环境风险物质的数量和临界量见下表。</w:t>
            </w:r>
          </w:p>
          <w:p w14:paraId="32EFF1A8">
            <w:pPr>
              <w:pStyle w:val="33"/>
              <w:numPr>
                <w:ilvl w:val="0"/>
                <w:numId w:val="0"/>
              </w:numPr>
              <w:tabs>
                <w:tab w:val="left" w:pos="0"/>
              </w:tabs>
              <w:spacing w:line="360" w:lineRule="auto"/>
              <w:ind w:left="420" w:leftChars="200"/>
              <w:jc w:val="center"/>
              <w:rPr>
                <w:rFonts w:hint="default" w:ascii="Times New Roman" w:hAnsi="Times New Roman" w:cs="Times New Roman"/>
                <w:b/>
                <w:bCs w:val="0"/>
                <w:color w:val="000000"/>
                <w:sz w:val="21"/>
                <w:szCs w:val="21"/>
                <w:highlight w:val="none"/>
              </w:rPr>
            </w:pPr>
            <w:r>
              <w:rPr>
                <w:rFonts w:hint="default" w:ascii="Times New Roman" w:hAnsi="Times New Roman" w:cs="Times New Roman"/>
                <w:b/>
                <w:bCs w:val="0"/>
                <w:color w:val="000000"/>
                <w:sz w:val="21"/>
                <w:szCs w:val="21"/>
                <w:highlight w:val="none"/>
              </w:rPr>
              <w:t>表4-</w:t>
            </w:r>
            <w:r>
              <w:rPr>
                <w:rFonts w:hint="eastAsia" w:ascii="Times New Roman" w:hAnsi="Times New Roman" w:cs="Times New Roman"/>
                <w:b/>
                <w:bCs w:val="0"/>
                <w:color w:val="000000"/>
                <w:sz w:val="21"/>
                <w:szCs w:val="21"/>
                <w:highlight w:val="none"/>
                <w:lang w:val="en-US" w:eastAsia="zh-CN"/>
              </w:rPr>
              <w:t>21</w:t>
            </w:r>
            <w:r>
              <w:rPr>
                <w:rFonts w:hint="default" w:ascii="Times New Roman" w:hAnsi="Times New Roman" w:cs="Times New Roman"/>
                <w:b/>
                <w:bCs w:val="0"/>
                <w:color w:val="000000"/>
                <w:sz w:val="21"/>
                <w:szCs w:val="21"/>
                <w:highlight w:val="none"/>
              </w:rPr>
              <w:t xml:space="preserve">  危险物质数量及临界量比值情况一览表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5"/>
              <w:gridCol w:w="1306"/>
              <w:gridCol w:w="1206"/>
              <w:gridCol w:w="1090"/>
              <w:gridCol w:w="1227"/>
              <w:gridCol w:w="1149"/>
            </w:tblGrid>
            <w:tr w14:paraId="076FB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242" w:type="pct"/>
                  <w:vMerge w:val="restart"/>
                  <w:noWrap w:val="0"/>
                  <w:vAlign w:val="center"/>
                </w:tcPr>
                <w:p w14:paraId="52F77C18">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危险物质名称</w:t>
                  </w:r>
                </w:p>
              </w:tc>
              <w:tc>
                <w:tcPr>
                  <w:tcW w:w="821" w:type="pct"/>
                  <w:vMerge w:val="restart"/>
                  <w:noWrap w:val="0"/>
                  <w:vAlign w:val="center"/>
                </w:tcPr>
                <w:p w14:paraId="704A9CED">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CAS号</w:t>
                  </w:r>
                </w:p>
              </w:tc>
              <w:tc>
                <w:tcPr>
                  <w:tcW w:w="1443" w:type="pct"/>
                  <w:gridSpan w:val="2"/>
                  <w:noWrap w:val="0"/>
                  <w:vAlign w:val="center"/>
                </w:tcPr>
                <w:p w14:paraId="74204B60">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最大存在量（t）</w:t>
                  </w:r>
                </w:p>
              </w:tc>
              <w:tc>
                <w:tcPr>
                  <w:tcW w:w="769" w:type="pct"/>
                  <w:vMerge w:val="restart"/>
                  <w:noWrap w:val="0"/>
                  <w:vAlign w:val="center"/>
                </w:tcPr>
                <w:p w14:paraId="2535CD78">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临界量（t）</w:t>
                  </w:r>
                </w:p>
              </w:tc>
              <w:tc>
                <w:tcPr>
                  <w:tcW w:w="722" w:type="pct"/>
                  <w:vMerge w:val="restart"/>
                  <w:noWrap w:val="0"/>
                  <w:vAlign w:val="center"/>
                </w:tcPr>
                <w:p w14:paraId="446BC190">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qn/Qn</w:t>
                  </w:r>
                </w:p>
              </w:tc>
            </w:tr>
            <w:tr w14:paraId="7680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242" w:type="pct"/>
                  <w:vMerge w:val="continue"/>
                  <w:noWrap w:val="0"/>
                  <w:vAlign w:val="center"/>
                </w:tcPr>
                <w:p w14:paraId="358D03B5">
                  <w:pPr>
                    <w:jc w:val="center"/>
                    <w:rPr>
                      <w:rFonts w:hint="default" w:ascii="Times New Roman" w:hAnsi="Times New Roman" w:cs="Times New Roman"/>
                      <w:color w:val="000000"/>
                      <w:sz w:val="21"/>
                      <w:szCs w:val="21"/>
                      <w:highlight w:val="none"/>
                    </w:rPr>
                  </w:pPr>
                </w:p>
              </w:tc>
              <w:tc>
                <w:tcPr>
                  <w:tcW w:w="821" w:type="pct"/>
                  <w:vMerge w:val="continue"/>
                  <w:noWrap w:val="0"/>
                  <w:vAlign w:val="center"/>
                </w:tcPr>
                <w:p w14:paraId="5326AB53">
                  <w:pPr>
                    <w:jc w:val="center"/>
                    <w:rPr>
                      <w:rFonts w:hint="default" w:ascii="Times New Roman" w:hAnsi="Times New Roman" w:cs="Times New Roman"/>
                      <w:color w:val="000000"/>
                      <w:sz w:val="21"/>
                      <w:szCs w:val="21"/>
                      <w:highlight w:val="none"/>
                    </w:rPr>
                  </w:pPr>
                </w:p>
              </w:tc>
              <w:tc>
                <w:tcPr>
                  <w:tcW w:w="758" w:type="pct"/>
                  <w:noWrap w:val="0"/>
                  <w:vAlign w:val="center"/>
                </w:tcPr>
                <w:p w14:paraId="478A30F9">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储存量</w:t>
                  </w:r>
                </w:p>
              </w:tc>
              <w:tc>
                <w:tcPr>
                  <w:tcW w:w="685" w:type="pct"/>
                  <w:noWrap w:val="0"/>
                  <w:vAlign w:val="center"/>
                </w:tcPr>
                <w:p w14:paraId="1C438492">
                  <w:pPr>
                    <w:jc w:val="center"/>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在线量</w:t>
                  </w:r>
                </w:p>
              </w:tc>
              <w:tc>
                <w:tcPr>
                  <w:tcW w:w="769" w:type="pct"/>
                  <w:vMerge w:val="continue"/>
                  <w:noWrap w:val="0"/>
                  <w:vAlign w:val="center"/>
                </w:tcPr>
                <w:p w14:paraId="01ECEB05">
                  <w:pPr>
                    <w:jc w:val="center"/>
                    <w:rPr>
                      <w:rFonts w:hint="default" w:ascii="Times New Roman" w:hAnsi="Times New Roman" w:cs="Times New Roman"/>
                      <w:color w:val="000000"/>
                      <w:sz w:val="21"/>
                      <w:szCs w:val="21"/>
                      <w:highlight w:val="none"/>
                    </w:rPr>
                  </w:pPr>
                </w:p>
              </w:tc>
              <w:tc>
                <w:tcPr>
                  <w:tcW w:w="722" w:type="pct"/>
                  <w:vMerge w:val="continue"/>
                  <w:noWrap w:val="0"/>
                  <w:vAlign w:val="center"/>
                </w:tcPr>
                <w:p w14:paraId="422B943B">
                  <w:pPr>
                    <w:jc w:val="center"/>
                    <w:rPr>
                      <w:rFonts w:hint="default" w:ascii="Times New Roman" w:hAnsi="Times New Roman" w:cs="Times New Roman"/>
                      <w:color w:val="000000"/>
                      <w:sz w:val="21"/>
                      <w:szCs w:val="21"/>
                      <w:highlight w:val="none"/>
                    </w:rPr>
                  </w:pPr>
                </w:p>
              </w:tc>
            </w:tr>
            <w:tr w14:paraId="499BF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1242" w:type="pct"/>
                  <w:shd w:val="clear" w:color="auto" w:fill="auto"/>
                  <w:noWrap w:val="0"/>
                  <w:vAlign w:val="center"/>
                </w:tcPr>
                <w:p w14:paraId="7C0B0C22">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sz w:val="21"/>
                      <w:szCs w:val="21"/>
                      <w:highlight w:val="none"/>
                      <w:lang w:val="en-US" w:eastAsia="zh-CN"/>
                    </w:rPr>
                    <w:t>机油</w:t>
                  </w:r>
                </w:p>
              </w:tc>
              <w:tc>
                <w:tcPr>
                  <w:tcW w:w="821" w:type="pct"/>
                  <w:noWrap w:val="0"/>
                  <w:vAlign w:val="center"/>
                </w:tcPr>
                <w:p w14:paraId="0A324484">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w:t>
                  </w:r>
                </w:p>
              </w:tc>
              <w:tc>
                <w:tcPr>
                  <w:tcW w:w="758" w:type="pct"/>
                  <w:shd w:val="clear" w:color="auto" w:fill="auto"/>
                  <w:noWrap w:val="0"/>
                  <w:vAlign w:val="center"/>
                </w:tcPr>
                <w:p w14:paraId="54CA4507">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sz w:val="21"/>
                      <w:szCs w:val="21"/>
                      <w:highlight w:val="none"/>
                      <w:lang w:val="en-US" w:eastAsia="zh-CN"/>
                    </w:rPr>
                    <w:t>0.1</w:t>
                  </w:r>
                </w:p>
              </w:tc>
              <w:tc>
                <w:tcPr>
                  <w:tcW w:w="685" w:type="pct"/>
                  <w:shd w:val="clear" w:color="auto" w:fill="auto"/>
                  <w:noWrap w:val="0"/>
                  <w:vAlign w:val="center"/>
                </w:tcPr>
                <w:p w14:paraId="39C68348">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sz w:val="21"/>
                      <w:szCs w:val="21"/>
                      <w:highlight w:val="none"/>
                      <w:lang w:val="en-US" w:eastAsia="zh-CN"/>
                    </w:rPr>
                    <w:t>/</w:t>
                  </w:r>
                </w:p>
              </w:tc>
              <w:tc>
                <w:tcPr>
                  <w:tcW w:w="769" w:type="pct"/>
                  <w:noWrap w:val="0"/>
                  <w:vAlign w:val="center"/>
                </w:tcPr>
                <w:p w14:paraId="71FB457E">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2500</w:t>
                  </w:r>
                </w:p>
              </w:tc>
              <w:tc>
                <w:tcPr>
                  <w:tcW w:w="1150" w:type="dxa"/>
                  <w:noWrap w:val="0"/>
                  <w:vAlign w:val="center"/>
                </w:tcPr>
                <w:p w14:paraId="241DB3F6">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0.00004</w:t>
                  </w:r>
                </w:p>
              </w:tc>
            </w:tr>
            <w:tr w14:paraId="58229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1242" w:type="pct"/>
                  <w:shd w:val="clear" w:color="auto" w:fill="auto"/>
                  <w:noWrap w:val="0"/>
                  <w:vAlign w:val="center"/>
                </w:tcPr>
                <w:p w14:paraId="5655E5E5">
                  <w:pPr>
                    <w:jc w:val="center"/>
                    <w:rPr>
                      <w:rFonts w:hint="eastAsia"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废机油</w:t>
                  </w:r>
                </w:p>
              </w:tc>
              <w:tc>
                <w:tcPr>
                  <w:tcW w:w="821" w:type="pct"/>
                  <w:noWrap w:val="0"/>
                  <w:vAlign w:val="center"/>
                </w:tcPr>
                <w:p w14:paraId="28FC0893">
                  <w:pPr>
                    <w:jc w:val="center"/>
                    <w:rPr>
                      <w:rFonts w:hint="default" w:ascii="Times New Roman" w:hAnsi="Times New Roman"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w:t>
                  </w:r>
                </w:p>
              </w:tc>
              <w:tc>
                <w:tcPr>
                  <w:tcW w:w="758" w:type="pct"/>
                  <w:shd w:val="clear" w:color="auto" w:fill="auto"/>
                  <w:noWrap w:val="0"/>
                  <w:vAlign w:val="center"/>
                </w:tcPr>
                <w:p w14:paraId="3176ECE0">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0.96</w:t>
                  </w:r>
                </w:p>
              </w:tc>
              <w:tc>
                <w:tcPr>
                  <w:tcW w:w="685" w:type="pct"/>
                  <w:shd w:val="clear" w:color="auto" w:fill="auto"/>
                  <w:noWrap w:val="0"/>
                  <w:vAlign w:val="center"/>
                </w:tcPr>
                <w:p w14:paraId="05AC8222">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sz w:val="21"/>
                      <w:szCs w:val="21"/>
                      <w:highlight w:val="none"/>
                      <w:lang w:val="en-US" w:eastAsia="zh-CN"/>
                    </w:rPr>
                    <w:t>/</w:t>
                  </w:r>
                </w:p>
              </w:tc>
              <w:tc>
                <w:tcPr>
                  <w:tcW w:w="769" w:type="pct"/>
                  <w:noWrap w:val="0"/>
                  <w:vAlign w:val="center"/>
                </w:tcPr>
                <w:p w14:paraId="5071C925">
                  <w:pPr>
                    <w:jc w:val="center"/>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cs="Times New Roman"/>
                      <w:color w:val="000000"/>
                      <w:kern w:val="2"/>
                      <w:sz w:val="21"/>
                      <w:szCs w:val="21"/>
                      <w:highlight w:val="none"/>
                      <w:lang w:val="en-US" w:eastAsia="zh-CN" w:bidi="ar-SA"/>
                    </w:rPr>
                    <w:t>2500</w:t>
                  </w:r>
                </w:p>
              </w:tc>
              <w:tc>
                <w:tcPr>
                  <w:tcW w:w="1150" w:type="dxa"/>
                  <w:noWrap w:val="0"/>
                  <w:vAlign w:val="center"/>
                </w:tcPr>
                <w:p w14:paraId="696F76CE">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0.000384</w:t>
                  </w:r>
                </w:p>
              </w:tc>
            </w:tr>
            <w:tr w14:paraId="6F84A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1242" w:type="pct"/>
                  <w:shd w:val="clear" w:color="auto" w:fill="auto"/>
                  <w:noWrap w:val="0"/>
                  <w:vAlign w:val="center"/>
                </w:tcPr>
                <w:p w14:paraId="2D0386C3">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sz w:val="21"/>
                      <w:szCs w:val="21"/>
                      <w:highlight w:val="none"/>
                      <w:lang w:val="en-US" w:eastAsia="zh-CN"/>
                    </w:rPr>
                    <w:t>无铅锡膏（银1-5%）</w:t>
                  </w:r>
                </w:p>
              </w:tc>
              <w:tc>
                <w:tcPr>
                  <w:tcW w:w="821" w:type="pct"/>
                  <w:noWrap w:val="0"/>
                  <w:vAlign w:val="center"/>
                </w:tcPr>
                <w:p w14:paraId="00B354CE">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w:t>
                  </w:r>
                </w:p>
              </w:tc>
              <w:tc>
                <w:tcPr>
                  <w:tcW w:w="758" w:type="pct"/>
                  <w:shd w:val="clear" w:color="auto" w:fill="auto"/>
                  <w:noWrap w:val="0"/>
                  <w:vAlign w:val="center"/>
                </w:tcPr>
                <w:p w14:paraId="60B7EA98">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0.175</w:t>
                  </w:r>
                </w:p>
              </w:tc>
              <w:tc>
                <w:tcPr>
                  <w:tcW w:w="685" w:type="pct"/>
                  <w:shd w:val="clear" w:color="auto" w:fill="auto"/>
                  <w:noWrap w:val="0"/>
                  <w:vAlign w:val="center"/>
                </w:tcPr>
                <w:p w14:paraId="5EC26896">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sz w:val="21"/>
                      <w:szCs w:val="21"/>
                      <w:highlight w:val="none"/>
                      <w:lang w:val="en-US" w:eastAsia="zh-CN"/>
                    </w:rPr>
                    <w:t>/</w:t>
                  </w:r>
                </w:p>
              </w:tc>
              <w:tc>
                <w:tcPr>
                  <w:tcW w:w="769" w:type="pct"/>
                  <w:noWrap w:val="0"/>
                  <w:vAlign w:val="center"/>
                </w:tcPr>
                <w:p w14:paraId="6A90EC84">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0.25</w:t>
                  </w:r>
                </w:p>
              </w:tc>
              <w:tc>
                <w:tcPr>
                  <w:tcW w:w="1150" w:type="dxa"/>
                  <w:noWrap w:val="0"/>
                  <w:vAlign w:val="center"/>
                </w:tcPr>
                <w:p w14:paraId="5ED6459B">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0.7</w:t>
                  </w:r>
                </w:p>
              </w:tc>
            </w:tr>
            <w:tr w14:paraId="729A3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1242" w:type="pct"/>
                  <w:shd w:val="clear" w:color="auto" w:fill="auto"/>
                  <w:noWrap w:val="0"/>
                  <w:vAlign w:val="center"/>
                </w:tcPr>
                <w:p w14:paraId="04F942B8">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酒精</w:t>
                  </w:r>
                </w:p>
              </w:tc>
              <w:tc>
                <w:tcPr>
                  <w:tcW w:w="821" w:type="pct"/>
                  <w:noWrap w:val="0"/>
                  <w:vAlign w:val="center"/>
                </w:tcPr>
                <w:p w14:paraId="2A6776AF">
                  <w:pPr>
                    <w:jc w:val="center"/>
                    <w:rPr>
                      <w:rFonts w:hint="eastAsia" w:ascii="Times New Roman" w:hAnsi="Times New Roman" w:cs="Times New Roman"/>
                      <w:color w:val="000000"/>
                      <w:sz w:val="21"/>
                      <w:szCs w:val="21"/>
                      <w:highlight w:val="none"/>
                      <w:lang w:val="en-US" w:eastAsia="zh-CN"/>
                    </w:rPr>
                  </w:pPr>
                  <w:r>
                    <w:rPr>
                      <w:rFonts w:hint="eastAsia" w:ascii="Times New Roman" w:hAnsi="Times New Roman" w:cs="Times New Roman"/>
                      <w:bCs/>
                      <w:color w:val="000000"/>
                      <w:spacing w:val="-10"/>
                      <w:sz w:val="21"/>
                      <w:szCs w:val="21"/>
                      <w:highlight w:val="none"/>
                      <w:lang w:val="en-US" w:eastAsia="zh-CN"/>
                    </w:rPr>
                    <w:t>64-17-5</w:t>
                  </w:r>
                </w:p>
              </w:tc>
              <w:tc>
                <w:tcPr>
                  <w:tcW w:w="758" w:type="pct"/>
                  <w:shd w:val="clear" w:color="auto" w:fill="auto"/>
                  <w:noWrap w:val="0"/>
                  <w:vAlign w:val="center"/>
                </w:tcPr>
                <w:p w14:paraId="4EEB936B">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0.035</w:t>
                  </w:r>
                </w:p>
              </w:tc>
              <w:tc>
                <w:tcPr>
                  <w:tcW w:w="685" w:type="pct"/>
                  <w:shd w:val="clear" w:color="auto" w:fill="auto"/>
                  <w:noWrap w:val="0"/>
                  <w:vAlign w:val="center"/>
                </w:tcPr>
                <w:p w14:paraId="5237A5C8">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sz w:val="21"/>
                      <w:szCs w:val="21"/>
                      <w:highlight w:val="none"/>
                      <w:lang w:val="en-US" w:eastAsia="zh-CN"/>
                    </w:rPr>
                    <w:t>/</w:t>
                  </w:r>
                </w:p>
              </w:tc>
              <w:tc>
                <w:tcPr>
                  <w:tcW w:w="769" w:type="pct"/>
                  <w:noWrap w:val="0"/>
                  <w:vAlign w:val="center"/>
                </w:tcPr>
                <w:p w14:paraId="48A10CA2">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500*</w:t>
                  </w:r>
                </w:p>
              </w:tc>
              <w:tc>
                <w:tcPr>
                  <w:tcW w:w="1150" w:type="dxa"/>
                  <w:noWrap w:val="0"/>
                  <w:vAlign w:val="center"/>
                </w:tcPr>
                <w:p w14:paraId="193CD7D8">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0.00007</w:t>
                  </w:r>
                </w:p>
              </w:tc>
            </w:tr>
            <w:tr w14:paraId="4E568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4277" w:type="pct"/>
                  <w:gridSpan w:val="5"/>
                  <w:noWrap w:val="0"/>
                  <w:vAlign w:val="center"/>
                </w:tcPr>
                <w:p w14:paraId="44B59396">
                  <w:pPr>
                    <w:jc w:val="center"/>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Q</w:t>
                  </w:r>
                </w:p>
              </w:tc>
              <w:tc>
                <w:tcPr>
                  <w:tcW w:w="722" w:type="pct"/>
                  <w:noWrap w:val="0"/>
                  <w:vAlign w:val="center"/>
                </w:tcPr>
                <w:p w14:paraId="1B92C384">
                  <w:pPr>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0.700494</w:t>
                  </w:r>
                </w:p>
              </w:tc>
            </w:tr>
          </w:tbl>
          <w:p w14:paraId="017A2FB6">
            <w:pPr>
              <w:widowControl w:val="0"/>
              <w:numPr>
                <w:ilvl w:val="0"/>
                <w:numId w:val="0"/>
              </w:numPr>
              <w:spacing w:line="360" w:lineRule="auto"/>
              <w:jc w:val="both"/>
              <w:rPr>
                <w:rFonts w:hint="default" w:ascii="Times New Roman" w:hAnsi="Times New Roman" w:eastAsia="宋体" w:cs="Times New Roman"/>
                <w:color w:val="000000"/>
                <w:sz w:val="24"/>
                <w:szCs w:val="24"/>
                <w:highlight w:val="none"/>
                <w:shd w:val="clear" w:color="auto" w:fill="auto"/>
                <w:lang w:val="en-US" w:eastAsia="zh-CN"/>
              </w:rPr>
            </w:pPr>
            <w:r>
              <w:rPr>
                <w:rFonts w:hint="eastAsia" w:ascii="Times New Roman" w:hAnsi="Times New Roman" w:cs="Times New Roman"/>
                <w:color w:val="000000"/>
                <w:sz w:val="21"/>
                <w:szCs w:val="21"/>
                <w:highlight w:val="none"/>
                <w:shd w:val="clear" w:color="auto" w:fill="auto"/>
                <w:lang w:val="en-US" w:eastAsia="zh-CN"/>
              </w:rPr>
              <w:t>注：*该物质临界量参考GB18218。</w:t>
            </w:r>
          </w:p>
          <w:p w14:paraId="772F87C3">
            <w:pPr>
              <w:widowControl w:val="0"/>
              <w:numPr>
                <w:ilvl w:val="0"/>
                <w:numId w:val="0"/>
              </w:numPr>
              <w:spacing w:line="360" w:lineRule="auto"/>
              <w:ind w:firstLine="480" w:firstLineChars="200"/>
              <w:jc w:val="both"/>
              <w:rPr>
                <w:rFonts w:hint="default"/>
                <w:color w:val="000000"/>
                <w:sz w:val="24"/>
                <w:szCs w:val="24"/>
                <w:highlight w:val="none"/>
                <w:lang w:val="en-US" w:eastAsia="zh-CN"/>
              </w:rPr>
            </w:pPr>
            <w:r>
              <w:rPr>
                <w:rFonts w:hint="default" w:ascii="Times New Roman" w:hAnsi="Times New Roman" w:cs="Times New Roman"/>
                <w:color w:val="000000"/>
                <w:sz w:val="24"/>
                <w:szCs w:val="24"/>
                <w:highlight w:val="none"/>
                <w:shd w:val="clear" w:color="auto" w:fill="auto"/>
              </w:rPr>
              <w:t>故此，计算得到Q=</w:t>
            </w:r>
            <w:r>
              <w:rPr>
                <w:rFonts w:hint="eastAsia" w:ascii="Times New Roman" w:hAnsi="Times New Roman" w:cs="Times New Roman"/>
                <w:color w:val="000000"/>
                <w:sz w:val="24"/>
                <w:szCs w:val="24"/>
                <w:highlight w:val="none"/>
                <w:shd w:val="clear" w:color="auto" w:fill="auto"/>
                <w:lang w:val="en-US" w:eastAsia="zh-CN"/>
              </w:rPr>
              <w:t>0.700494</w:t>
            </w:r>
            <w:r>
              <w:rPr>
                <w:rFonts w:hint="default" w:ascii="Times New Roman" w:hAnsi="Times New Roman" w:cs="Times New Roman"/>
                <w:color w:val="000000"/>
                <w:sz w:val="24"/>
                <w:szCs w:val="24"/>
                <w:highlight w:val="none"/>
                <w:shd w:val="clear" w:color="auto" w:fill="auto"/>
              </w:rPr>
              <w:t>&lt;1，因此企业环境风险潜势为I。</w:t>
            </w:r>
          </w:p>
          <w:p w14:paraId="6ED4A6FA">
            <w:pPr>
              <w:spacing w:line="360" w:lineRule="auto"/>
              <w:ind w:firstLine="482"/>
              <w:rPr>
                <w:rFonts w:hint="default" w:ascii="Times New Roman" w:hAnsi="Times New Roman" w:cs="Times New Roman"/>
                <w:b/>
                <w:color w:val="000000"/>
                <w:sz w:val="24"/>
                <w:szCs w:val="24"/>
                <w:highlight w:val="none"/>
              </w:rPr>
            </w:pPr>
            <w:r>
              <w:rPr>
                <w:rFonts w:hint="eastAsia" w:ascii="Times New Roman" w:hAnsi="Times New Roman" w:cs="Times New Roman"/>
                <w:b w:val="0"/>
                <w:bCs/>
                <w:color w:val="000000"/>
                <w:sz w:val="24"/>
                <w:szCs w:val="24"/>
                <w:highlight w:val="none"/>
                <w:lang w:eastAsia="zh-CN"/>
              </w:rPr>
              <w:t>（</w:t>
            </w:r>
            <w:r>
              <w:rPr>
                <w:rFonts w:hint="eastAsia" w:ascii="Times New Roman" w:hAnsi="Times New Roman" w:cs="Times New Roman"/>
                <w:b w:val="0"/>
                <w:bCs/>
                <w:color w:val="000000"/>
                <w:sz w:val="24"/>
                <w:szCs w:val="24"/>
                <w:highlight w:val="none"/>
                <w:lang w:val="en-US" w:eastAsia="zh-CN"/>
              </w:rPr>
              <w:t>3</w:t>
            </w:r>
            <w:r>
              <w:rPr>
                <w:rFonts w:hint="eastAsia" w:ascii="Times New Roman" w:hAnsi="Times New Roman" w:cs="Times New Roman"/>
                <w:b w:val="0"/>
                <w:bCs/>
                <w:color w:val="000000"/>
                <w:sz w:val="24"/>
                <w:szCs w:val="24"/>
                <w:highlight w:val="none"/>
                <w:lang w:eastAsia="zh-CN"/>
              </w:rPr>
              <w:t>）</w:t>
            </w:r>
            <w:r>
              <w:rPr>
                <w:rFonts w:hint="default" w:ascii="Times New Roman" w:hAnsi="Times New Roman" w:cs="Times New Roman"/>
                <w:b w:val="0"/>
                <w:bCs/>
                <w:color w:val="000000"/>
                <w:sz w:val="24"/>
                <w:szCs w:val="24"/>
                <w:highlight w:val="none"/>
              </w:rPr>
              <w:t>评价等级的判定</w:t>
            </w:r>
          </w:p>
          <w:p w14:paraId="3333BAE1">
            <w:pPr>
              <w:spacing w:line="360" w:lineRule="auto"/>
              <w:ind w:firstLine="480"/>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本项目环境风险潜势为I，根据《建设项目环境风险技术导则》(HJ169-2018)，本项目评价工作等级为“简单分析”。</w:t>
            </w:r>
          </w:p>
          <w:p w14:paraId="777F540C">
            <w:pPr>
              <w:adjustRightInd w:val="0"/>
              <w:snapToGrid w:val="0"/>
              <w:spacing w:line="360" w:lineRule="auto"/>
              <w:jc w:val="center"/>
              <w:rPr>
                <w:rFonts w:hint="default" w:ascii="Times New Roman" w:hAnsi="Times New Roman" w:cs="Times New Roman"/>
                <w:b/>
                <w:color w:val="000000"/>
                <w:szCs w:val="21"/>
                <w:highlight w:val="none"/>
              </w:rPr>
            </w:pPr>
            <w:r>
              <w:rPr>
                <w:rFonts w:hint="default" w:ascii="Times New Roman" w:hAnsi="Times New Roman" w:cs="Times New Roman"/>
                <w:b/>
                <w:color w:val="000000"/>
                <w:szCs w:val="21"/>
                <w:highlight w:val="none"/>
              </w:rPr>
              <w:t>表4-</w:t>
            </w:r>
            <w:r>
              <w:rPr>
                <w:rFonts w:hint="eastAsia" w:ascii="Times New Roman" w:hAnsi="Times New Roman" w:cs="Times New Roman"/>
                <w:b/>
                <w:color w:val="000000"/>
                <w:szCs w:val="21"/>
                <w:highlight w:val="none"/>
                <w:lang w:val="en-US" w:eastAsia="zh-CN"/>
              </w:rPr>
              <w:t>2</w:t>
            </w:r>
            <w:r>
              <w:rPr>
                <w:rFonts w:hint="eastAsia" w:cs="Times New Roman"/>
                <w:b/>
                <w:color w:val="000000"/>
                <w:szCs w:val="21"/>
                <w:highlight w:val="none"/>
                <w:lang w:val="en-US" w:eastAsia="zh-CN"/>
              </w:rPr>
              <w:t>2</w:t>
            </w:r>
            <w:r>
              <w:rPr>
                <w:rFonts w:hint="default" w:ascii="Times New Roman" w:hAnsi="Times New Roman" w:cs="Times New Roman"/>
                <w:b/>
                <w:color w:val="000000"/>
                <w:szCs w:val="21"/>
                <w:highlight w:val="none"/>
              </w:rPr>
              <w:t xml:space="preserve">  环境风险评价等级划分</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8"/>
              <w:gridCol w:w="1588"/>
              <w:gridCol w:w="1589"/>
              <w:gridCol w:w="1589"/>
              <w:gridCol w:w="1597"/>
            </w:tblGrid>
            <w:tr w14:paraId="440BB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99" w:type="pct"/>
                  <w:noWrap w:val="0"/>
                  <w:vAlign w:val="center"/>
                </w:tcPr>
                <w:p w14:paraId="4DE6BE09">
                  <w:pPr>
                    <w:pStyle w:val="33"/>
                    <w:keepNext w:val="0"/>
                    <w:keepLines w:val="0"/>
                    <w:numPr>
                      <w:ilvl w:val="0"/>
                      <w:numId w:val="0"/>
                    </w:numPr>
                    <w:tabs>
                      <w:tab w:val="left" w:pos="0"/>
                    </w:tabs>
                    <w:adjustRightInd/>
                    <w:spacing w:line="240" w:lineRule="auto"/>
                    <w:jc w:val="center"/>
                    <w:rPr>
                      <w:rFonts w:hint="default" w:ascii="Times New Roman" w:hAnsi="Times New Roman" w:cs="Times New Roman"/>
                      <w:b w:val="0"/>
                      <w:bCs w:val="0"/>
                      <w:color w:val="000000"/>
                      <w:sz w:val="21"/>
                      <w:szCs w:val="21"/>
                      <w:highlight w:val="none"/>
                    </w:rPr>
                  </w:pPr>
                  <w:r>
                    <w:rPr>
                      <w:rFonts w:hint="default" w:ascii="Times New Roman" w:hAnsi="Times New Roman" w:cs="Times New Roman"/>
                      <w:b w:val="0"/>
                      <w:bCs w:val="0"/>
                      <w:color w:val="000000"/>
                      <w:sz w:val="21"/>
                      <w:szCs w:val="21"/>
                      <w:highlight w:val="none"/>
                    </w:rPr>
                    <w:t>环境风险潜势</w:t>
                  </w:r>
                </w:p>
              </w:tc>
              <w:tc>
                <w:tcPr>
                  <w:tcW w:w="999" w:type="pct"/>
                  <w:noWrap w:val="0"/>
                  <w:vAlign w:val="center"/>
                </w:tcPr>
                <w:p w14:paraId="226FF98F">
                  <w:pPr>
                    <w:pStyle w:val="33"/>
                    <w:keepNext w:val="0"/>
                    <w:keepLines w:val="0"/>
                    <w:numPr>
                      <w:ilvl w:val="0"/>
                      <w:numId w:val="0"/>
                    </w:numPr>
                    <w:tabs>
                      <w:tab w:val="left" w:pos="0"/>
                    </w:tabs>
                    <w:adjustRightInd/>
                    <w:spacing w:line="240" w:lineRule="auto"/>
                    <w:jc w:val="center"/>
                    <w:rPr>
                      <w:rFonts w:hint="default" w:ascii="Times New Roman" w:hAnsi="Times New Roman" w:cs="Times New Roman"/>
                      <w:b w:val="0"/>
                      <w:bCs w:val="0"/>
                      <w:color w:val="000000"/>
                      <w:sz w:val="21"/>
                      <w:szCs w:val="21"/>
                      <w:highlight w:val="none"/>
                    </w:rPr>
                  </w:pPr>
                  <w:r>
                    <w:rPr>
                      <w:rFonts w:hint="default" w:ascii="Times New Roman" w:hAnsi="Times New Roman" w:cs="Times New Roman"/>
                      <w:b w:val="0"/>
                      <w:bCs w:val="0"/>
                      <w:color w:val="000000"/>
                      <w:sz w:val="21"/>
                      <w:szCs w:val="21"/>
                      <w:highlight w:val="none"/>
                    </w:rPr>
                    <w:t>Ⅳ、Ⅳ</w:t>
                  </w:r>
                  <w:r>
                    <w:rPr>
                      <w:rFonts w:hint="default" w:ascii="Times New Roman" w:hAnsi="Times New Roman" w:cs="Times New Roman"/>
                      <w:b w:val="0"/>
                      <w:bCs w:val="0"/>
                      <w:color w:val="000000"/>
                      <w:sz w:val="21"/>
                      <w:szCs w:val="21"/>
                      <w:highlight w:val="none"/>
                      <w:vertAlign w:val="superscript"/>
                    </w:rPr>
                    <w:t>+</w:t>
                  </w:r>
                </w:p>
              </w:tc>
              <w:tc>
                <w:tcPr>
                  <w:tcW w:w="999" w:type="pct"/>
                  <w:noWrap w:val="0"/>
                  <w:vAlign w:val="center"/>
                </w:tcPr>
                <w:p w14:paraId="403C761B">
                  <w:pPr>
                    <w:pStyle w:val="33"/>
                    <w:keepNext w:val="0"/>
                    <w:keepLines w:val="0"/>
                    <w:numPr>
                      <w:ilvl w:val="0"/>
                      <w:numId w:val="0"/>
                    </w:numPr>
                    <w:tabs>
                      <w:tab w:val="left" w:pos="0"/>
                    </w:tabs>
                    <w:adjustRightInd/>
                    <w:spacing w:line="240" w:lineRule="auto"/>
                    <w:jc w:val="center"/>
                    <w:rPr>
                      <w:rFonts w:hint="default" w:ascii="Times New Roman" w:hAnsi="Times New Roman" w:cs="Times New Roman"/>
                      <w:b w:val="0"/>
                      <w:bCs w:val="0"/>
                      <w:color w:val="000000"/>
                      <w:sz w:val="21"/>
                      <w:szCs w:val="21"/>
                      <w:highlight w:val="none"/>
                    </w:rPr>
                  </w:pPr>
                  <w:r>
                    <w:rPr>
                      <w:rFonts w:hint="default" w:ascii="Times New Roman" w:hAnsi="Times New Roman" w:cs="Times New Roman"/>
                      <w:b w:val="0"/>
                      <w:bCs w:val="0"/>
                      <w:color w:val="000000"/>
                      <w:sz w:val="21"/>
                      <w:szCs w:val="21"/>
                      <w:highlight w:val="none"/>
                    </w:rPr>
                    <w:t>Ⅲ</w:t>
                  </w:r>
                </w:p>
              </w:tc>
              <w:tc>
                <w:tcPr>
                  <w:tcW w:w="999" w:type="pct"/>
                  <w:noWrap w:val="0"/>
                  <w:vAlign w:val="center"/>
                </w:tcPr>
                <w:p w14:paraId="39416FCE">
                  <w:pPr>
                    <w:pStyle w:val="33"/>
                    <w:keepNext w:val="0"/>
                    <w:keepLines w:val="0"/>
                    <w:numPr>
                      <w:ilvl w:val="0"/>
                      <w:numId w:val="0"/>
                    </w:numPr>
                    <w:tabs>
                      <w:tab w:val="left" w:pos="0"/>
                    </w:tabs>
                    <w:adjustRightInd/>
                    <w:spacing w:line="240" w:lineRule="auto"/>
                    <w:jc w:val="center"/>
                    <w:rPr>
                      <w:rFonts w:hint="default" w:ascii="Times New Roman" w:hAnsi="Times New Roman" w:cs="Times New Roman"/>
                      <w:b w:val="0"/>
                      <w:bCs w:val="0"/>
                      <w:color w:val="000000"/>
                      <w:sz w:val="21"/>
                      <w:szCs w:val="21"/>
                      <w:highlight w:val="none"/>
                    </w:rPr>
                  </w:pPr>
                  <w:r>
                    <w:rPr>
                      <w:rFonts w:hint="default" w:ascii="Times New Roman" w:hAnsi="Times New Roman" w:cs="Times New Roman"/>
                      <w:b w:val="0"/>
                      <w:bCs w:val="0"/>
                      <w:color w:val="000000"/>
                      <w:sz w:val="21"/>
                      <w:szCs w:val="21"/>
                      <w:highlight w:val="none"/>
                    </w:rPr>
                    <w:t>Ⅱ</w:t>
                  </w:r>
                </w:p>
              </w:tc>
              <w:tc>
                <w:tcPr>
                  <w:tcW w:w="1002" w:type="pct"/>
                  <w:noWrap w:val="0"/>
                  <w:vAlign w:val="center"/>
                </w:tcPr>
                <w:p w14:paraId="03B597DA">
                  <w:pPr>
                    <w:pStyle w:val="33"/>
                    <w:keepNext w:val="0"/>
                    <w:keepLines w:val="0"/>
                    <w:numPr>
                      <w:ilvl w:val="0"/>
                      <w:numId w:val="0"/>
                    </w:numPr>
                    <w:tabs>
                      <w:tab w:val="left" w:pos="0"/>
                    </w:tabs>
                    <w:adjustRightInd/>
                    <w:spacing w:line="240" w:lineRule="auto"/>
                    <w:jc w:val="center"/>
                    <w:rPr>
                      <w:rFonts w:hint="default" w:ascii="Times New Roman" w:hAnsi="Times New Roman" w:cs="Times New Roman"/>
                      <w:b w:val="0"/>
                      <w:bCs w:val="0"/>
                      <w:color w:val="000000"/>
                      <w:sz w:val="21"/>
                      <w:szCs w:val="21"/>
                      <w:highlight w:val="none"/>
                    </w:rPr>
                  </w:pPr>
                  <w:r>
                    <w:rPr>
                      <w:rFonts w:hint="default" w:ascii="Times New Roman" w:hAnsi="Times New Roman" w:cs="Times New Roman"/>
                      <w:b w:val="0"/>
                      <w:bCs w:val="0"/>
                      <w:color w:val="000000"/>
                      <w:sz w:val="21"/>
                      <w:szCs w:val="21"/>
                      <w:highlight w:val="none"/>
                    </w:rPr>
                    <w:t>I</w:t>
                  </w:r>
                </w:p>
              </w:tc>
            </w:tr>
            <w:tr w14:paraId="5B488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99" w:type="pct"/>
                  <w:noWrap w:val="0"/>
                  <w:vAlign w:val="center"/>
                </w:tcPr>
                <w:p w14:paraId="4962FF9C">
                  <w:pPr>
                    <w:pStyle w:val="33"/>
                    <w:keepNext w:val="0"/>
                    <w:keepLines w:val="0"/>
                    <w:numPr>
                      <w:ilvl w:val="0"/>
                      <w:numId w:val="0"/>
                    </w:numPr>
                    <w:tabs>
                      <w:tab w:val="left" w:pos="0"/>
                    </w:tabs>
                    <w:adjustRightInd/>
                    <w:spacing w:line="240" w:lineRule="auto"/>
                    <w:jc w:val="center"/>
                    <w:rPr>
                      <w:rFonts w:hint="default" w:ascii="Times New Roman" w:hAnsi="Times New Roman" w:cs="Times New Roman"/>
                      <w:b w:val="0"/>
                      <w:bCs w:val="0"/>
                      <w:color w:val="000000"/>
                      <w:sz w:val="21"/>
                      <w:szCs w:val="21"/>
                      <w:highlight w:val="none"/>
                    </w:rPr>
                  </w:pPr>
                  <w:r>
                    <w:rPr>
                      <w:rFonts w:hint="default" w:ascii="Times New Roman" w:hAnsi="Times New Roman" w:cs="Times New Roman"/>
                      <w:b w:val="0"/>
                      <w:bCs w:val="0"/>
                      <w:color w:val="000000"/>
                      <w:sz w:val="21"/>
                      <w:szCs w:val="21"/>
                      <w:highlight w:val="none"/>
                    </w:rPr>
                    <w:t>评价工作等级</w:t>
                  </w:r>
                </w:p>
              </w:tc>
              <w:tc>
                <w:tcPr>
                  <w:tcW w:w="999" w:type="pct"/>
                  <w:noWrap w:val="0"/>
                  <w:vAlign w:val="center"/>
                </w:tcPr>
                <w:p w14:paraId="60F6A4AC">
                  <w:pPr>
                    <w:pStyle w:val="33"/>
                    <w:keepNext w:val="0"/>
                    <w:keepLines w:val="0"/>
                    <w:numPr>
                      <w:ilvl w:val="0"/>
                      <w:numId w:val="0"/>
                    </w:numPr>
                    <w:tabs>
                      <w:tab w:val="left" w:pos="0"/>
                    </w:tabs>
                    <w:adjustRightInd/>
                    <w:spacing w:line="240" w:lineRule="auto"/>
                    <w:jc w:val="center"/>
                    <w:rPr>
                      <w:rFonts w:hint="default" w:ascii="Times New Roman" w:hAnsi="Times New Roman" w:cs="Times New Roman"/>
                      <w:b w:val="0"/>
                      <w:bCs w:val="0"/>
                      <w:color w:val="000000"/>
                      <w:sz w:val="21"/>
                      <w:szCs w:val="21"/>
                      <w:highlight w:val="none"/>
                    </w:rPr>
                  </w:pPr>
                  <w:r>
                    <w:rPr>
                      <w:rFonts w:hint="default" w:ascii="Times New Roman" w:hAnsi="Times New Roman" w:cs="Times New Roman"/>
                      <w:b w:val="0"/>
                      <w:bCs w:val="0"/>
                      <w:color w:val="000000"/>
                      <w:sz w:val="21"/>
                      <w:szCs w:val="21"/>
                      <w:highlight w:val="none"/>
                    </w:rPr>
                    <w:t>一</w:t>
                  </w:r>
                </w:p>
              </w:tc>
              <w:tc>
                <w:tcPr>
                  <w:tcW w:w="999" w:type="pct"/>
                  <w:noWrap w:val="0"/>
                  <w:vAlign w:val="center"/>
                </w:tcPr>
                <w:p w14:paraId="21F60A9A">
                  <w:pPr>
                    <w:pStyle w:val="33"/>
                    <w:keepNext w:val="0"/>
                    <w:keepLines w:val="0"/>
                    <w:numPr>
                      <w:ilvl w:val="0"/>
                      <w:numId w:val="0"/>
                    </w:numPr>
                    <w:tabs>
                      <w:tab w:val="left" w:pos="0"/>
                    </w:tabs>
                    <w:adjustRightInd/>
                    <w:spacing w:line="240" w:lineRule="auto"/>
                    <w:jc w:val="center"/>
                    <w:rPr>
                      <w:rFonts w:hint="default" w:ascii="Times New Roman" w:hAnsi="Times New Roman" w:cs="Times New Roman"/>
                      <w:b w:val="0"/>
                      <w:bCs w:val="0"/>
                      <w:color w:val="000000"/>
                      <w:sz w:val="21"/>
                      <w:szCs w:val="21"/>
                      <w:highlight w:val="none"/>
                    </w:rPr>
                  </w:pPr>
                  <w:r>
                    <w:rPr>
                      <w:rFonts w:hint="default" w:ascii="Times New Roman" w:hAnsi="Times New Roman" w:cs="Times New Roman"/>
                      <w:b w:val="0"/>
                      <w:bCs w:val="0"/>
                      <w:color w:val="000000"/>
                      <w:sz w:val="21"/>
                      <w:szCs w:val="21"/>
                      <w:highlight w:val="none"/>
                    </w:rPr>
                    <w:t>二</w:t>
                  </w:r>
                </w:p>
              </w:tc>
              <w:tc>
                <w:tcPr>
                  <w:tcW w:w="999" w:type="pct"/>
                  <w:noWrap w:val="0"/>
                  <w:vAlign w:val="center"/>
                </w:tcPr>
                <w:p w14:paraId="14F85CB4">
                  <w:pPr>
                    <w:pStyle w:val="33"/>
                    <w:keepNext w:val="0"/>
                    <w:keepLines w:val="0"/>
                    <w:numPr>
                      <w:ilvl w:val="0"/>
                      <w:numId w:val="0"/>
                    </w:numPr>
                    <w:tabs>
                      <w:tab w:val="left" w:pos="0"/>
                    </w:tabs>
                    <w:adjustRightInd/>
                    <w:spacing w:line="240" w:lineRule="auto"/>
                    <w:jc w:val="center"/>
                    <w:rPr>
                      <w:rFonts w:hint="default" w:ascii="Times New Roman" w:hAnsi="Times New Roman" w:cs="Times New Roman"/>
                      <w:b w:val="0"/>
                      <w:bCs w:val="0"/>
                      <w:color w:val="000000"/>
                      <w:sz w:val="21"/>
                      <w:szCs w:val="21"/>
                      <w:highlight w:val="none"/>
                    </w:rPr>
                  </w:pPr>
                  <w:r>
                    <w:rPr>
                      <w:rFonts w:hint="default" w:ascii="Times New Roman" w:hAnsi="Times New Roman" w:cs="Times New Roman"/>
                      <w:b w:val="0"/>
                      <w:bCs w:val="0"/>
                      <w:color w:val="000000"/>
                      <w:sz w:val="21"/>
                      <w:szCs w:val="21"/>
                      <w:highlight w:val="none"/>
                    </w:rPr>
                    <w:t>三</w:t>
                  </w:r>
                </w:p>
              </w:tc>
              <w:tc>
                <w:tcPr>
                  <w:tcW w:w="1002" w:type="pct"/>
                  <w:noWrap w:val="0"/>
                  <w:vAlign w:val="center"/>
                </w:tcPr>
                <w:p w14:paraId="1D76F243">
                  <w:pPr>
                    <w:pStyle w:val="33"/>
                    <w:keepNext w:val="0"/>
                    <w:keepLines w:val="0"/>
                    <w:numPr>
                      <w:ilvl w:val="0"/>
                      <w:numId w:val="0"/>
                    </w:numPr>
                    <w:tabs>
                      <w:tab w:val="left" w:pos="0"/>
                    </w:tabs>
                    <w:adjustRightInd/>
                    <w:spacing w:line="240" w:lineRule="auto"/>
                    <w:jc w:val="center"/>
                    <w:rPr>
                      <w:rFonts w:hint="default" w:ascii="Times New Roman" w:hAnsi="Times New Roman" w:cs="Times New Roman"/>
                      <w:b w:val="0"/>
                      <w:bCs w:val="0"/>
                      <w:color w:val="000000"/>
                      <w:sz w:val="21"/>
                      <w:szCs w:val="21"/>
                      <w:highlight w:val="none"/>
                    </w:rPr>
                  </w:pPr>
                  <w:r>
                    <w:rPr>
                      <w:rFonts w:hint="default" w:ascii="Times New Roman" w:hAnsi="Times New Roman" w:cs="Times New Roman"/>
                      <w:b w:val="0"/>
                      <w:bCs w:val="0"/>
                      <w:color w:val="000000"/>
                      <w:sz w:val="21"/>
                      <w:szCs w:val="21"/>
                      <w:highlight w:val="none"/>
                    </w:rPr>
                    <w:t>简单分析</w:t>
                  </w:r>
                  <w:r>
                    <w:rPr>
                      <w:rFonts w:hint="default" w:ascii="Times New Roman" w:hAnsi="Times New Roman" w:cs="Times New Roman"/>
                      <w:b w:val="0"/>
                      <w:bCs w:val="0"/>
                      <w:color w:val="000000"/>
                      <w:sz w:val="21"/>
                      <w:szCs w:val="21"/>
                      <w:highlight w:val="none"/>
                      <w:vertAlign w:val="superscript"/>
                    </w:rPr>
                    <w:t>a</w:t>
                  </w:r>
                </w:p>
              </w:tc>
            </w:tr>
            <w:tr w14:paraId="4F511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5000" w:type="pct"/>
                  <w:gridSpan w:val="5"/>
                  <w:noWrap w:val="0"/>
                  <w:vAlign w:val="center"/>
                </w:tcPr>
                <w:p w14:paraId="59D25B8F">
                  <w:pPr>
                    <w:pStyle w:val="33"/>
                    <w:keepNext w:val="0"/>
                    <w:keepLines w:val="0"/>
                    <w:numPr>
                      <w:ilvl w:val="0"/>
                      <w:numId w:val="0"/>
                    </w:numPr>
                    <w:tabs>
                      <w:tab w:val="left" w:pos="0"/>
                    </w:tabs>
                    <w:adjustRightInd/>
                    <w:spacing w:line="240" w:lineRule="auto"/>
                    <w:jc w:val="center"/>
                    <w:rPr>
                      <w:rFonts w:hint="default" w:ascii="Times New Roman" w:hAnsi="Times New Roman" w:cs="Times New Roman"/>
                      <w:b w:val="0"/>
                      <w:bCs w:val="0"/>
                      <w:color w:val="000000"/>
                      <w:sz w:val="21"/>
                      <w:szCs w:val="21"/>
                      <w:highlight w:val="none"/>
                    </w:rPr>
                  </w:pPr>
                  <w:r>
                    <w:rPr>
                      <w:rFonts w:hint="default" w:ascii="Times New Roman" w:hAnsi="Times New Roman" w:cs="Times New Roman"/>
                      <w:b w:val="0"/>
                      <w:bCs w:val="0"/>
                      <w:color w:val="000000"/>
                      <w:sz w:val="21"/>
                      <w:szCs w:val="21"/>
                      <w:highlight w:val="none"/>
                    </w:rPr>
                    <w:t>a是相对于详细评价工作内容而言，在描述危险物质，环境影响途径，环境危害后果，风险防范措施等方面给出定性说明，见附录A。</w:t>
                  </w:r>
                </w:p>
              </w:tc>
            </w:tr>
          </w:tbl>
          <w:p w14:paraId="2928203B">
            <w:pPr>
              <w:snapToGrid w:val="0"/>
              <w:spacing w:line="360" w:lineRule="auto"/>
              <w:ind w:firstLine="480" w:firstLineChars="200"/>
              <w:rPr>
                <w:rFonts w:hint="default" w:ascii="Times New Roman" w:hAnsi="Times New Roman" w:cs="Times New Roman"/>
                <w:b/>
                <w:bCs/>
                <w:color w:val="000000"/>
                <w:sz w:val="24"/>
                <w:szCs w:val="24"/>
                <w:highlight w:val="none"/>
              </w:rPr>
            </w:pPr>
            <w:r>
              <w:rPr>
                <w:rFonts w:hint="eastAsia" w:ascii="Times New Roman" w:hAnsi="Times New Roman" w:cs="Times New Roman"/>
                <w:b w:val="0"/>
                <w:bCs w:val="0"/>
                <w:color w:val="000000"/>
                <w:sz w:val="24"/>
                <w:szCs w:val="24"/>
                <w:highlight w:val="none"/>
                <w:lang w:eastAsia="zh-CN"/>
              </w:rPr>
              <w:t>（</w:t>
            </w:r>
            <w:r>
              <w:rPr>
                <w:rFonts w:hint="eastAsia" w:ascii="Times New Roman" w:hAnsi="Times New Roman" w:cs="Times New Roman"/>
                <w:b w:val="0"/>
                <w:bCs w:val="0"/>
                <w:color w:val="000000"/>
                <w:sz w:val="24"/>
                <w:szCs w:val="24"/>
                <w:highlight w:val="none"/>
                <w:lang w:val="en-US" w:eastAsia="zh-CN"/>
              </w:rPr>
              <w:t>4</w:t>
            </w:r>
            <w:r>
              <w:rPr>
                <w:rFonts w:hint="eastAsia" w:ascii="Times New Roman" w:hAnsi="Times New Roman" w:cs="Times New Roman"/>
                <w:b w:val="0"/>
                <w:bCs w:val="0"/>
                <w:color w:val="000000"/>
                <w:sz w:val="24"/>
                <w:szCs w:val="24"/>
                <w:highlight w:val="none"/>
                <w:lang w:eastAsia="zh-CN"/>
              </w:rPr>
              <w:t>）</w:t>
            </w:r>
            <w:r>
              <w:rPr>
                <w:rFonts w:hint="default" w:ascii="Times New Roman" w:hAnsi="Times New Roman" w:cs="Times New Roman"/>
                <w:b w:val="0"/>
                <w:bCs w:val="0"/>
                <w:color w:val="000000"/>
                <w:sz w:val="24"/>
                <w:szCs w:val="24"/>
                <w:highlight w:val="none"/>
              </w:rPr>
              <w:t>环境风险识别</w:t>
            </w:r>
          </w:p>
          <w:p w14:paraId="5697BE6A">
            <w:pPr>
              <w:snapToGrid w:val="0"/>
              <w:spacing w:line="360" w:lineRule="auto"/>
              <w:ind w:firstLine="480" w:firstLineChars="200"/>
              <w:rPr>
                <w:rFonts w:hint="default" w:ascii="Times New Roman" w:hAnsi="Times New Roman" w:cs="Times New Roman"/>
                <w:color w:val="000000"/>
                <w:highlight w:val="none"/>
              </w:rPr>
            </w:pPr>
            <w:r>
              <w:rPr>
                <w:rFonts w:hint="default" w:ascii="Times New Roman" w:hAnsi="Times New Roman" w:cs="Times New Roman"/>
                <w:color w:val="000000"/>
                <w:sz w:val="24"/>
                <w:szCs w:val="24"/>
                <w:highlight w:val="none"/>
              </w:rPr>
              <w:t>依据《建设项目环境风险评价技术导则》（HJ169-2018），突发环境事件主要为火灾伴生、液体泄漏、危废流失、废气异常排放五种事故类型，结合本企业的环境风险源项辨识结果，本企业可能发生的环境风险事件见下表。</w:t>
            </w:r>
          </w:p>
          <w:p w14:paraId="1C0C8D5D">
            <w:pPr>
              <w:pStyle w:val="83"/>
              <w:spacing w:line="360" w:lineRule="auto"/>
              <w:rPr>
                <w:rFonts w:hint="default" w:ascii="Times New Roman" w:hAnsi="Times New Roman" w:cs="Times New Roman"/>
                <w:color w:val="000000"/>
                <w:sz w:val="21"/>
                <w:highlight w:val="none"/>
              </w:rPr>
            </w:pPr>
            <w:r>
              <w:rPr>
                <w:rFonts w:hint="default" w:ascii="Times New Roman" w:hAnsi="Times New Roman" w:cs="Times New Roman"/>
                <w:color w:val="000000"/>
                <w:sz w:val="21"/>
                <w:highlight w:val="none"/>
              </w:rPr>
              <w:t>表4-</w:t>
            </w:r>
            <w:r>
              <w:rPr>
                <w:rFonts w:hint="eastAsia" w:ascii="Times New Roman" w:hAnsi="Times New Roman" w:cs="Times New Roman"/>
                <w:color w:val="000000"/>
                <w:sz w:val="21"/>
                <w:highlight w:val="none"/>
                <w:lang w:val="en-US" w:eastAsia="zh-CN"/>
              </w:rPr>
              <w:t>2</w:t>
            </w:r>
            <w:r>
              <w:rPr>
                <w:rFonts w:hint="eastAsia" w:cs="Times New Roman"/>
                <w:color w:val="000000"/>
                <w:sz w:val="21"/>
                <w:highlight w:val="none"/>
                <w:lang w:val="en-US" w:eastAsia="zh-CN"/>
              </w:rPr>
              <w:t>3</w:t>
            </w:r>
            <w:r>
              <w:rPr>
                <w:rFonts w:hint="default" w:ascii="Times New Roman" w:hAnsi="Times New Roman" w:cs="Times New Roman"/>
                <w:color w:val="000000"/>
                <w:sz w:val="21"/>
                <w:highlight w:val="none"/>
              </w:rPr>
              <w:t xml:space="preserve">  建设项目环境风险识别表</w:t>
            </w:r>
          </w:p>
          <w:tbl>
            <w:tblPr>
              <w:tblStyle w:val="2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
              <w:gridCol w:w="879"/>
              <w:gridCol w:w="1888"/>
              <w:gridCol w:w="945"/>
              <w:gridCol w:w="1875"/>
              <w:gridCol w:w="1110"/>
              <w:gridCol w:w="949"/>
            </w:tblGrid>
            <w:tr w14:paraId="35A7F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9" w:type="pct"/>
                  <w:noWrap w:val="0"/>
                  <w:vAlign w:val="center"/>
                </w:tcPr>
                <w:p w14:paraId="1BA95082">
                  <w:pPr>
                    <w:pStyle w:val="83"/>
                    <w:keepLines w:val="0"/>
                    <w:spacing w:line="240" w:lineRule="auto"/>
                    <w:rPr>
                      <w:rFonts w:hint="default" w:ascii="Times New Roman" w:hAnsi="Times New Roman" w:cs="Times New Roman"/>
                      <w:bCs w:val="0"/>
                      <w:color w:val="000000"/>
                      <w:sz w:val="21"/>
                      <w:szCs w:val="21"/>
                      <w:highlight w:val="none"/>
                    </w:rPr>
                  </w:pPr>
                  <w:r>
                    <w:rPr>
                      <w:rFonts w:hint="default" w:ascii="Times New Roman" w:hAnsi="Times New Roman" w:cs="Times New Roman"/>
                      <w:bCs w:val="0"/>
                      <w:color w:val="000000"/>
                      <w:sz w:val="21"/>
                      <w:szCs w:val="21"/>
                      <w:highlight w:val="none"/>
                    </w:rPr>
                    <w:t>序号</w:t>
                  </w:r>
                </w:p>
              </w:tc>
              <w:tc>
                <w:tcPr>
                  <w:tcW w:w="553" w:type="pct"/>
                  <w:noWrap w:val="0"/>
                  <w:vAlign w:val="center"/>
                </w:tcPr>
                <w:p w14:paraId="698D2784">
                  <w:pPr>
                    <w:pStyle w:val="83"/>
                    <w:keepLines w:val="0"/>
                    <w:spacing w:line="240" w:lineRule="auto"/>
                    <w:rPr>
                      <w:rFonts w:hint="default" w:ascii="Times New Roman" w:hAnsi="Times New Roman" w:cs="Times New Roman"/>
                      <w:bCs w:val="0"/>
                      <w:color w:val="000000"/>
                      <w:sz w:val="21"/>
                      <w:szCs w:val="21"/>
                      <w:highlight w:val="none"/>
                    </w:rPr>
                  </w:pPr>
                  <w:r>
                    <w:rPr>
                      <w:rFonts w:hint="default" w:ascii="Times New Roman" w:hAnsi="Times New Roman" w:cs="Times New Roman"/>
                      <w:bCs w:val="0"/>
                      <w:color w:val="000000"/>
                      <w:sz w:val="21"/>
                      <w:szCs w:val="21"/>
                      <w:highlight w:val="none"/>
                    </w:rPr>
                    <w:t>危险</w:t>
                  </w:r>
                </w:p>
                <w:p w14:paraId="5F326398">
                  <w:pPr>
                    <w:pStyle w:val="83"/>
                    <w:keepLines w:val="0"/>
                    <w:spacing w:line="240" w:lineRule="auto"/>
                    <w:rPr>
                      <w:rFonts w:hint="default" w:ascii="Times New Roman" w:hAnsi="Times New Roman" w:cs="Times New Roman"/>
                      <w:bCs w:val="0"/>
                      <w:color w:val="000000"/>
                      <w:sz w:val="21"/>
                      <w:szCs w:val="21"/>
                      <w:highlight w:val="none"/>
                    </w:rPr>
                  </w:pPr>
                  <w:r>
                    <w:rPr>
                      <w:rFonts w:hint="default" w:ascii="Times New Roman" w:hAnsi="Times New Roman" w:cs="Times New Roman"/>
                      <w:bCs w:val="0"/>
                      <w:color w:val="000000"/>
                      <w:sz w:val="21"/>
                      <w:szCs w:val="21"/>
                      <w:highlight w:val="none"/>
                    </w:rPr>
                    <w:t>单元</w:t>
                  </w:r>
                </w:p>
              </w:tc>
              <w:tc>
                <w:tcPr>
                  <w:tcW w:w="1187" w:type="pct"/>
                  <w:noWrap w:val="0"/>
                  <w:vAlign w:val="center"/>
                </w:tcPr>
                <w:p w14:paraId="09EAF75D">
                  <w:pPr>
                    <w:pStyle w:val="83"/>
                    <w:keepLines w:val="0"/>
                    <w:spacing w:line="240" w:lineRule="auto"/>
                    <w:rPr>
                      <w:rFonts w:hint="default" w:ascii="Times New Roman" w:hAnsi="Times New Roman" w:eastAsia="宋体" w:cs="Times New Roman"/>
                      <w:bCs w:val="0"/>
                      <w:color w:val="000000"/>
                      <w:sz w:val="21"/>
                      <w:szCs w:val="21"/>
                      <w:highlight w:val="none"/>
                      <w:lang w:val="en-US" w:eastAsia="zh-CN"/>
                    </w:rPr>
                  </w:pPr>
                  <w:r>
                    <w:rPr>
                      <w:rFonts w:hint="eastAsia" w:ascii="Times New Roman" w:hAnsi="Times New Roman" w:cs="Times New Roman"/>
                      <w:bCs w:val="0"/>
                      <w:color w:val="000000"/>
                      <w:sz w:val="21"/>
                      <w:szCs w:val="21"/>
                      <w:highlight w:val="none"/>
                      <w:lang w:val="en-US" w:eastAsia="zh-CN"/>
                    </w:rPr>
                    <w:t>风险源</w:t>
                  </w:r>
                </w:p>
              </w:tc>
              <w:tc>
                <w:tcPr>
                  <w:tcW w:w="594" w:type="pct"/>
                  <w:noWrap w:val="0"/>
                  <w:vAlign w:val="center"/>
                </w:tcPr>
                <w:p w14:paraId="582F5806">
                  <w:pPr>
                    <w:pStyle w:val="83"/>
                    <w:keepLines w:val="0"/>
                    <w:spacing w:line="240" w:lineRule="auto"/>
                    <w:rPr>
                      <w:rFonts w:hint="default" w:ascii="Times New Roman" w:hAnsi="Times New Roman" w:cs="Times New Roman"/>
                      <w:bCs w:val="0"/>
                      <w:color w:val="000000"/>
                      <w:sz w:val="21"/>
                      <w:szCs w:val="21"/>
                      <w:highlight w:val="none"/>
                    </w:rPr>
                  </w:pPr>
                  <w:r>
                    <w:rPr>
                      <w:rFonts w:hint="default" w:ascii="Times New Roman" w:hAnsi="Times New Roman" w:cs="Times New Roman"/>
                      <w:bCs w:val="0"/>
                      <w:color w:val="000000"/>
                      <w:sz w:val="21"/>
                      <w:szCs w:val="21"/>
                      <w:highlight w:val="none"/>
                    </w:rPr>
                    <w:t>环境风险类型</w:t>
                  </w:r>
                </w:p>
              </w:tc>
              <w:tc>
                <w:tcPr>
                  <w:tcW w:w="1179" w:type="pct"/>
                  <w:noWrap w:val="0"/>
                  <w:vAlign w:val="center"/>
                </w:tcPr>
                <w:p w14:paraId="6EEC7E56">
                  <w:pPr>
                    <w:pStyle w:val="83"/>
                    <w:keepLines w:val="0"/>
                    <w:spacing w:line="240" w:lineRule="auto"/>
                    <w:rPr>
                      <w:rFonts w:hint="default" w:ascii="Times New Roman" w:hAnsi="Times New Roman" w:cs="Times New Roman"/>
                      <w:bCs w:val="0"/>
                      <w:color w:val="000000"/>
                      <w:sz w:val="21"/>
                      <w:szCs w:val="21"/>
                      <w:highlight w:val="none"/>
                    </w:rPr>
                  </w:pPr>
                  <w:r>
                    <w:rPr>
                      <w:rFonts w:hint="default" w:ascii="Times New Roman" w:hAnsi="Times New Roman" w:cs="Times New Roman"/>
                      <w:bCs w:val="0"/>
                      <w:color w:val="000000"/>
                      <w:sz w:val="21"/>
                      <w:szCs w:val="21"/>
                      <w:highlight w:val="none"/>
                    </w:rPr>
                    <w:t>主要风险物质</w:t>
                  </w:r>
                </w:p>
              </w:tc>
              <w:tc>
                <w:tcPr>
                  <w:tcW w:w="698" w:type="pct"/>
                  <w:noWrap w:val="0"/>
                  <w:vAlign w:val="center"/>
                </w:tcPr>
                <w:p w14:paraId="7B264E42">
                  <w:pPr>
                    <w:pStyle w:val="83"/>
                    <w:keepLines w:val="0"/>
                    <w:spacing w:line="240" w:lineRule="auto"/>
                    <w:rPr>
                      <w:rFonts w:hint="default" w:ascii="Times New Roman" w:hAnsi="Times New Roman" w:cs="Times New Roman"/>
                      <w:bCs w:val="0"/>
                      <w:color w:val="000000"/>
                      <w:sz w:val="21"/>
                      <w:szCs w:val="21"/>
                      <w:highlight w:val="none"/>
                    </w:rPr>
                  </w:pPr>
                  <w:r>
                    <w:rPr>
                      <w:rFonts w:hint="default" w:ascii="Times New Roman" w:hAnsi="Times New Roman" w:cs="Times New Roman"/>
                      <w:bCs w:val="0"/>
                      <w:color w:val="000000"/>
                      <w:sz w:val="21"/>
                      <w:szCs w:val="21"/>
                      <w:highlight w:val="none"/>
                    </w:rPr>
                    <w:t>环境影响途径</w:t>
                  </w:r>
                </w:p>
              </w:tc>
              <w:tc>
                <w:tcPr>
                  <w:tcW w:w="597" w:type="pct"/>
                  <w:noWrap w:val="0"/>
                  <w:vAlign w:val="center"/>
                </w:tcPr>
                <w:p w14:paraId="215BD8B5">
                  <w:pPr>
                    <w:pStyle w:val="83"/>
                    <w:keepLines w:val="0"/>
                    <w:spacing w:line="240" w:lineRule="auto"/>
                    <w:rPr>
                      <w:rFonts w:hint="default" w:ascii="Times New Roman" w:hAnsi="Times New Roman" w:cs="Times New Roman"/>
                      <w:bCs w:val="0"/>
                      <w:color w:val="000000"/>
                      <w:sz w:val="21"/>
                      <w:szCs w:val="21"/>
                      <w:highlight w:val="none"/>
                    </w:rPr>
                  </w:pPr>
                  <w:r>
                    <w:rPr>
                      <w:rFonts w:hint="default" w:ascii="Times New Roman" w:hAnsi="Times New Roman" w:cs="Times New Roman"/>
                      <w:bCs w:val="0"/>
                      <w:color w:val="000000"/>
                      <w:sz w:val="21"/>
                      <w:szCs w:val="21"/>
                      <w:highlight w:val="none"/>
                    </w:rPr>
                    <w:t>可能影响范围</w:t>
                  </w:r>
                </w:p>
              </w:tc>
            </w:tr>
            <w:tr w14:paraId="52BE9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9" w:type="pct"/>
                  <w:vMerge w:val="restart"/>
                  <w:noWrap w:val="0"/>
                  <w:vAlign w:val="center"/>
                </w:tcPr>
                <w:p w14:paraId="55090E7C">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1</w:t>
                  </w:r>
                </w:p>
              </w:tc>
              <w:tc>
                <w:tcPr>
                  <w:tcW w:w="553" w:type="pct"/>
                  <w:noWrap w:val="0"/>
                  <w:vAlign w:val="center"/>
                </w:tcPr>
                <w:p w14:paraId="512C3216">
                  <w:pPr>
                    <w:pStyle w:val="83"/>
                    <w:keepLines w:val="0"/>
                    <w:spacing w:line="240" w:lineRule="auto"/>
                    <w:rPr>
                      <w:rFonts w:hint="eastAsia" w:ascii="Times New Roman" w:hAnsi="Times New Roman" w:eastAsia="宋体" w:cs="Times New Roman"/>
                      <w:b w:val="0"/>
                      <w:color w:val="000000"/>
                      <w:sz w:val="21"/>
                      <w:szCs w:val="21"/>
                      <w:highlight w:val="none"/>
                      <w:lang w:val="en-US" w:eastAsia="zh-CN"/>
                    </w:rPr>
                  </w:pPr>
                  <w:r>
                    <w:rPr>
                      <w:rFonts w:hint="eastAsia" w:ascii="Times New Roman" w:hAnsi="Times New Roman" w:eastAsia="宋体" w:cs="Times New Roman"/>
                      <w:b w:val="0"/>
                      <w:color w:val="000000"/>
                      <w:sz w:val="21"/>
                      <w:szCs w:val="21"/>
                      <w:highlight w:val="none"/>
                      <w:lang w:val="en-US" w:eastAsia="zh-CN"/>
                    </w:rPr>
                    <w:t>生产</w:t>
                  </w:r>
                </w:p>
                <w:p w14:paraId="2F140D2F">
                  <w:pPr>
                    <w:pStyle w:val="83"/>
                    <w:keepLines w:val="0"/>
                    <w:spacing w:line="240" w:lineRule="auto"/>
                    <w:rPr>
                      <w:rFonts w:hint="default" w:ascii="Times New Roman" w:hAnsi="Times New Roman" w:eastAsia="宋体" w:cs="Times New Roman"/>
                      <w:b w:val="0"/>
                      <w:color w:val="000000"/>
                      <w:sz w:val="21"/>
                      <w:szCs w:val="21"/>
                      <w:highlight w:val="none"/>
                      <w:lang w:val="en-US" w:eastAsia="zh-CN"/>
                    </w:rPr>
                  </w:pPr>
                  <w:r>
                    <w:rPr>
                      <w:rFonts w:hint="eastAsia" w:ascii="Times New Roman" w:hAnsi="Times New Roman" w:eastAsia="宋体" w:cs="Times New Roman"/>
                      <w:b w:val="0"/>
                      <w:color w:val="000000"/>
                      <w:sz w:val="21"/>
                      <w:szCs w:val="21"/>
                      <w:highlight w:val="none"/>
                      <w:lang w:val="en-US" w:eastAsia="zh-CN"/>
                    </w:rPr>
                    <w:t>车间</w:t>
                  </w:r>
                </w:p>
              </w:tc>
              <w:tc>
                <w:tcPr>
                  <w:tcW w:w="1187" w:type="pct"/>
                  <w:noWrap w:val="0"/>
                  <w:vAlign w:val="center"/>
                </w:tcPr>
                <w:p w14:paraId="215E864C">
                  <w:pPr>
                    <w:pStyle w:val="83"/>
                    <w:keepLines w:val="0"/>
                    <w:spacing w:line="240" w:lineRule="auto"/>
                    <w:rPr>
                      <w:rFonts w:hint="default" w:ascii="Times New Roman" w:hAnsi="Times New Roman" w:eastAsia="宋体" w:cs="Times New Roman"/>
                      <w:b w:val="0"/>
                      <w:color w:val="000000"/>
                      <w:sz w:val="21"/>
                      <w:szCs w:val="21"/>
                      <w:highlight w:val="none"/>
                      <w:lang w:val="en-US" w:eastAsia="zh-CN"/>
                    </w:rPr>
                  </w:pPr>
                  <w:r>
                    <w:rPr>
                      <w:rFonts w:hint="eastAsia" w:ascii="Times New Roman" w:hAnsi="Times New Roman" w:cs="Times New Roman"/>
                      <w:b w:val="0"/>
                      <w:color w:val="000000"/>
                      <w:sz w:val="21"/>
                      <w:szCs w:val="21"/>
                      <w:highlight w:val="none"/>
                      <w:lang w:val="en-US" w:eastAsia="zh-CN"/>
                    </w:rPr>
                    <w:t>机油、酒精</w:t>
                  </w:r>
                </w:p>
              </w:tc>
              <w:tc>
                <w:tcPr>
                  <w:tcW w:w="594" w:type="pct"/>
                  <w:vMerge w:val="restart"/>
                  <w:noWrap w:val="0"/>
                  <w:vAlign w:val="center"/>
                </w:tcPr>
                <w:p w14:paraId="00C5EA1B">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火灾</w:t>
                  </w:r>
                </w:p>
                <w:p w14:paraId="20DFE20B">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伴生</w:t>
                  </w:r>
                </w:p>
              </w:tc>
              <w:tc>
                <w:tcPr>
                  <w:tcW w:w="1179" w:type="pct"/>
                  <w:noWrap w:val="0"/>
                  <w:vAlign w:val="center"/>
                </w:tcPr>
                <w:p w14:paraId="0B0E7D68">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火灾烟气</w:t>
                  </w:r>
                </w:p>
              </w:tc>
              <w:tc>
                <w:tcPr>
                  <w:tcW w:w="698" w:type="pct"/>
                  <w:noWrap w:val="0"/>
                  <w:vAlign w:val="center"/>
                </w:tcPr>
                <w:p w14:paraId="0263940B">
                  <w:pPr>
                    <w:pStyle w:val="84"/>
                    <w:spacing w:line="240" w:lineRule="auto"/>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随大气</w:t>
                  </w:r>
                </w:p>
                <w:p w14:paraId="1574E02D">
                  <w:pPr>
                    <w:pStyle w:val="84"/>
                    <w:spacing w:line="240" w:lineRule="auto"/>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扩散</w:t>
                  </w:r>
                </w:p>
              </w:tc>
              <w:tc>
                <w:tcPr>
                  <w:tcW w:w="597" w:type="pct"/>
                  <w:noWrap w:val="0"/>
                  <w:vAlign w:val="center"/>
                </w:tcPr>
                <w:p w14:paraId="6D5176ED">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大气</w:t>
                  </w:r>
                </w:p>
                <w:p w14:paraId="71C16535">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环境</w:t>
                  </w:r>
                </w:p>
              </w:tc>
            </w:tr>
            <w:tr w14:paraId="12560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89" w:type="pct"/>
                  <w:vMerge w:val="continue"/>
                  <w:noWrap w:val="0"/>
                  <w:vAlign w:val="center"/>
                </w:tcPr>
                <w:p w14:paraId="608B0C7C">
                  <w:pPr>
                    <w:pStyle w:val="83"/>
                    <w:keepLines w:val="0"/>
                    <w:spacing w:line="240" w:lineRule="auto"/>
                    <w:rPr>
                      <w:rFonts w:hint="default" w:ascii="Times New Roman" w:hAnsi="Times New Roman" w:cs="Times New Roman"/>
                      <w:b w:val="0"/>
                      <w:color w:val="000000"/>
                      <w:sz w:val="21"/>
                      <w:szCs w:val="21"/>
                      <w:highlight w:val="none"/>
                    </w:rPr>
                  </w:pPr>
                </w:p>
              </w:tc>
              <w:tc>
                <w:tcPr>
                  <w:tcW w:w="553" w:type="pct"/>
                  <w:noWrap w:val="0"/>
                  <w:vAlign w:val="center"/>
                </w:tcPr>
                <w:p w14:paraId="36F9EC53">
                  <w:pPr>
                    <w:pStyle w:val="83"/>
                    <w:keepLines w:val="0"/>
                    <w:spacing w:line="240" w:lineRule="auto"/>
                    <w:rPr>
                      <w:rFonts w:hint="default" w:ascii="Times New Roman" w:hAnsi="Times New Roman" w:eastAsia="宋体" w:cs="Times New Roman"/>
                      <w:b w:val="0"/>
                      <w:color w:val="000000"/>
                      <w:sz w:val="21"/>
                      <w:szCs w:val="21"/>
                      <w:highlight w:val="none"/>
                      <w:lang w:val="en-US" w:eastAsia="zh-CN"/>
                    </w:rPr>
                  </w:pPr>
                  <w:r>
                    <w:rPr>
                      <w:rFonts w:hint="eastAsia" w:ascii="Times New Roman" w:hAnsi="Times New Roman" w:cs="Times New Roman"/>
                      <w:b w:val="0"/>
                      <w:color w:val="000000"/>
                      <w:sz w:val="21"/>
                      <w:szCs w:val="21"/>
                      <w:highlight w:val="none"/>
                      <w:lang w:val="en-US" w:eastAsia="zh-CN"/>
                    </w:rPr>
                    <w:t>原料仓库2</w:t>
                  </w:r>
                </w:p>
              </w:tc>
              <w:tc>
                <w:tcPr>
                  <w:tcW w:w="1187" w:type="pct"/>
                  <w:noWrap w:val="0"/>
                  <w:vAlign w:val="center"/>
                </w:tcPr>
                <w:p w14:paraId="307582F6">
                  <w:pPr>
                    <w:pStyle w:val="83"/>
                    <w:keepLines w:val="0"/>
                    <w:spacing w:line="240" w:lineRule="auto"/>
                    <w:rPr>
                      <w:rFonts w:hint="default" w:ascii="Times New Roman" w:hAnsi="Times New Roman" w:eastAsia="宋体" w:cs="Times New Roman"/>
                      <w:b w:val="0"/>
                      <w:color w:val="000000"/>
                      <w:sz w:val="21"/>
                      <w:szCs w:val="21"/>
                      <w:highlight w:val="none"/>
                      <w:lang w:val="en-US" w:eastAsia="zh-CN"/>
                    </w:rPr>
                  </w:pPr>
                  <w:r>
                    <w:rPr>
                      <w:rFonts w:hint="eastAsia" w:ascii="Times New Roman" w:hAnsi="Times New Roman" w:cs="Times New Roman"/>
                      <w:b w:val="0"/>
                      <w:color w:val="000000"/>
                      <w:sz w:val="21"/>
                      <w:szCs w:val="21"/>
                      <w:highlight w:val="none"/>
                      <w:lang w:val="en-US" w:eastAsia="zh-CN"/>
                    </w:rPr>
                    <w:t>机油、酒精</w:t>
                  </w:r>
                </w:p>
              </w:tc>
              <w:tc>
                <w:tcPr>
                  <w:tcW w:w="594" w:type="pct"/>
                  <w:vMerge w:val="continue"/>
                  <w:noWrap w:val="0"/>
                  <w:vAlign w:val="center"/>
                </w:tcPr>
                <w:p w14:paraId="783AFB62">
                  <w:pPr>
                    <w:pStyle w:val="83"/>
                    <w:keepLines w:val="0"/>
                    <w:spacing w:line="240" w:lineRule="auto"/>
                    <w:rPr>
                      <w:rFonts w:hint="default" w:ascii="Times New Roman" w:hAnsi="Times New Roman" w:cs="Times New Roman"/>
                      <w:b w:val="0"/>
                      <w:color w:val="000000"/>
                      <w:sz w:val="21"/>
                      <w:szCs w:val="21"/>
                      <w:highlight w:val="none"/>
                    </w:rPr>
                  </w:pPr>
                </w:p>
              </w:tc>
              <w:tc>
                <w:tcPr>
                  <w:tcW w:w="1179" w:type="pct"/>
                  <w:noWrap w:val="0"/>
                  <w:vAlign w:val="center"/>
                </w:tcPr>
                <w:p w14:paraId="79D097E8">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混合有环境污染物质的消防下水</w:t>
                  </w:r>
                </w:p>
              </w:tc>
              <w:tc>
                <w:tcPr>
                  <w:tcW w:w="698" w:type="pct"/>
                  <w:noWrap w:val="0"/>
                  <w:vAlign w:val="center"/>
                </w:tcPr>
                <w:p w14:paraId="5BDC9BC7">
                  <w:pPr>
                    <w:pStyle w:val="84"/>
                    <w:spacing w:line="240" w:lineRule="auto"/>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路面及厂区管网</w:t>
                  </w:r>
                </w:p>
              </w:tc>
              <w:tc>
                <w:tcPr>
                  <w:tcW w:w="597" w:type="pct"/>
                  <w:noWrap w:val="0"/>
                  <w:vAlign w:val="center"/>
                </w:tcPr>
                <w:p w14:paraId="46AC81F5">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地表水</w:t>
                  </w:r>
                </w:p>
              </w:tc>
            </w:tr>
            <w:tr w14:paraId="5656B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9" w:type="pct"/>
                  <w:vMerge w:val="continue"/>
                  <w:noWrap w:val="0"/>
                  <w:vAlign w:val="center"/>
                </w:tcPr>
                <w:p w14:paraId="5A4333D1">
                  <w:pPr>
                    <w:pStyle w:val="83"/>
                    <w:keepLines w:val="0"/>
                    <w:spacing w:line="240" w:lineRule="auto"/>
                    <w:rPr>
                      <w:rFonts w:hint="default" w:ascii="Times New Roman" w:hAnsi="Times New Roman" w:cs="Times New Roman"/>
                      <w:b w:val="0"/>
                      <w:color w:val="000000"/>
                      <w:sz w:val="21"/>
                      <w:szCs w:val="21"/>
                      <w:highlight w:val="none"/>
                    </w:rPr>
                  </w:pPr>
                </w:p>
              </w:tc>
              <w:tc>
                <w:tcPr>
                  <w:tcW w:w="553" w:type="pct"/>
                  <w:shd w:val="clear" w:color="auto" w:fill="auto"/>
                  <w:noWrap w:val="0"/>
                  <w:vAlign w:val="center"/>
                </w:tcPr>
                <w:p w14:paraId="64EB380F">
                  <w:pPr>
                    <w:pStyle w:val="83"/>
                    <w:keepLines w:val="0"/>
                    <w:spacing w:line="240" w:lineRule="auto"/>
                    <w:rPr>
                      <w:rFonts w:hint="default" w:ascii="Times New Roman" w:hAnsi="Times New Roman" w:eastAsia="宋体" w:cs="Times New Roman"/>
                      <w:b w:val="0"/>
                      <w:bCs/>
                      <w:color w:val="000000"/>
                      <w:kern w:val="2"/>
                      <w:sz w:val="21"/>
                      <w:szCs w:val="21"/>
                      <w:highlight w:val="none"/>
                      <w:lang w:val="en-US" w:eastAsia="zh-CN" w:bidi="ar-SA"/>
                    </w:rPr>
                  </w:pPr>
                  <w:r>
                    <w:rPr>
                      <w:rFonts w:hint="eastAsia" w:ascii="Times New Roman" w:hAnsi="Times New Roman" w:cs="Times New Roman"/>
                      <w:b w:val="0"/>
                      <w:color w:val="000000"/>
                      <w:sz w:val="21"/>
                      <w:szCs w:val="21"/>
                      <w:highlight w:val="none"/>
                      <w:lang w:val="en-US" w:eastAsia="zh-CN"/>
                    </w:rPr>
                    <w:t>危废库</w:t>
                  </w:r>
                </w:p>
              </w:tc>
              <w:tc>
                <w:tcPr>
                  <w:tcW w:w="1187" w:type="pct"/>
                  <w:shd w:val="clear" w:color="auto" w:fill="auto"/>
                  <w:noWrap w:val="0"/>
                  <w:vAlign w:val="center"/>
                </w:tcPr>
                <w:p w14:paraId="7DF8391D">
                  <w:pPr>
                    <w:pStyle w:val="83"/>
                    <w:keepLines w:val="0"/>
                    <w:spacing w:line="240" w:lineRule="auto"/>
                    <w:rPr>
                      <w:rFonts w:hint="default" w:ascii="Times New Roman" w:hAnsi="Times New Roman" w:eastAsia="宋体" w:cs="Times New Roman"/>
                      <w:b w:val="0"/>
                      <w:bCs/>
                      <w:color w:val="000000"/>
                      <w:kern w:val="2"/>
                      <w:sz w:val="21"/>
                      <w:szCs w:val="21"/>
                      <w:highlight w:val="none"/>
                      <w:lang w:val="en-US" w:eastAsia="zh-CN" w:bidi="ar-SA"/>
                    </w:rPr>
                  </w:pPr>
                  <w:r>
                    <w:rPr>
                      <w:rFonts w:hint="eastAsia" w:ascii="Times New Roman" w:hAnsi="Times New Roman" w:eastAsia="宋体" w:cs="Times New Roman"/>
                      <w:b w:val="0"/>
                      <w:color w:val="000000"/>
                      <w:sz w:val="21"/>
                      <w:szCs w:val="21"/>
                      <w:highlight w:val="none"/>
                      <w:lang w:val="en-US" w:eastAsia="zh-CN"/>
                    </w:rPr>
                    <w:t>废机油</w:t>
                  </w:r>
                </w:p>
              </w:tc>
              <w:tc>
                <w:tcPr>
                  <w:tcW w:w="594" w:type="pct"/>
                  <w:vMerge w:val="continue"/>
                  <w:noWrap w:val="0"/>
                  <w:vAlign w:val="center"/>
                </w:tcPr>
                <w:p w14:paraId="36CAF3DE">
                  <w:pPr>
                    <w:pStyle w:val="83"/>
                    <w:keepLines w:val="0"/>
                    <w:spacing w:line="240" w:lineRule="auto"/>
                    <w:rPr>
                      <w:rFonts w:hint="default" w:ascii="Times New Roman" w:hAnsi="Times New Roman" w:cs="Times New Roman"/>
                      <w:b w:val="0"/>
                      <w:color w:val="000000"/>
                      <w:sz w:val="21"/>
                      <w:szCs w:val="21"/>
                      <w:highlight w:val="none"/>
                    </w:rPr>
                  </w:pPr>
                </w:p>
              </w:tc>
              <w:tc>
                <w:tcPr>
                  <w:tcW w:w="1179" w:type="pct"/>
                  <w:noWrap w:val="0"/>
                  <w:vAlign w:val="center"/>
                </w:tcPr>
                <w:p w14:paraId="6409D01A">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消防废料</w:t>
                  </w:r>
                </w:p>
              </w:tc>
              <w:tc>
                <w:tcPr>
                  <w:tcW w:w="698" w:type="pct"/>
                  <w:noWrap w:val="0"/>
                  <w:vAlign w:val="center"/>
                </w:tcPr>
                <w:p w14:paraId="4ABFB0F5">
                  <w:pPr>
                    <w:pStyle w:val="84"/>
                    <w:spacing w:line="240" w:lineRule="auto"/>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危废流失</w:t>
                  </w:r>
                </w:p>
              </w:tc>
              <w:tc>
                <w:tcPr>
                  <w:tcW w:w="597" w:type="pct"/>
                  <w:noWrap w:val="0"/>
                  <w:vAlign w:val="center"/>
                </w:tcPr>
                <w:p w14:paraId="1D6C59A0">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w:t>
                  </w:r>
                </w:p>
              </w:tc>
            </w:tr>
            <w:tr w14:paraId="7E736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9" w:type="pct"/>
                  <w:vMerge w:val="restart"/>
                  <w:noWrap w:val="0"/>
                  <w:vAlign w:val="center"/>
                </w:tcPr>
                <w:p w14:paraId="768E85A0">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2</w:t>
                  </w:r>
                </w:p>
              </w:tc>
              <w:tc>
                <w:tcPr>
                  <w:tcW w:w="553" w:type="pct"/>
                  <w:vMerge w:val="restart"/>
                  <w:noWrap w:val="0"/>
                  <w:vAlign w:val="center"/>
                </w:tcPr>
                <w:p w14:paraId="7086F371">
                  <w:pPr>
                    <w:pStyle w:val="83"/>
                    <w:keepLines w:val="0"/>
                    <w:spacing w:line="240" w:lineRule="auto"/>
                    <w:rPr>
                      <w:rFonts w:hint="eastAsia" w:ascii="Times New Roman" w:hAnsi="Times New Roman" w:eastAsia="宋体" w:cs="Times New Roman"/>
                      <w:b w:val="0"/>
                      <w:bCs/>
                      <w:color w:val="000000"/>
                      <w:kern w:val="2"/>
                      <w:sz w:val="21"/>
                      <w:szCs w:val="21"/>
                      <w:highlight w:val="none"/>
                      <w:lang w:val="en-US" w:eastAsia="zh-CN" w:bidi="ar-SA"/>
                    </w:rPr>
                  </w:pPr>
                  <w:r>
                    <w:rPr>
                      <w:rFonts w:hint="eastAsia" w:ascii="Times New Roman" w:hAnsi="Times New Roman" w:eastAsia="宋体" w:cs="Times New Roman"/>
                      <w:b w:val="0"/>
                      <w:bCs/>
                      <w:color w:val="000000"/>
                      <w:kern w:val="2"/>
                      <w:sz w:val="21"/>
                      <w:szCs w:val="21"/>
                      <w:highlight w:val="none"/>
                      <w:lang w:val="en-US" w:eastAsia="zh-CN" w:bidi="ar-SA"/>
                    </w:rPr>
                    <w:t>生产</w:t>
                  </w:r>
                </w:p>
                <w:p w14:paraId="68EE8320">
                  <w:pPr>
                    <w:pStyle w:val="83"/>
                    <w:keepLines w:val="0"/>
                    <w:spacing w:line="240" w:lineRule="auto"/>
                    <w:rPr>
                      <w:rFonts w:hint="default" w:ascii="Times New Roman" w:hAnsi="Times New Roman" w:eastAsia="宋体" w:cs="Times New Roman"/>
                      <w:b w:val="0"/>
                      <w:bCs/>
                      <w:color w:val="000000"/>
                      <w:kern w:val="2"/>
                      <w:sz w:val="21"/>
                      <w:szCs w:val="21"/>
                      <w:highlight w:val="none"/>
                      <w:lang w:val="en-US" w:eastAsia="zh-CN" w:bidi="ar-SA"/>
                    </w:rPr>
                  </w:pPr>
                  <w:r>
                    <w:rPr>
                      <w:rFonts w:hint="eastAsia" w:ascii="Times New Roman" w:hAnsi="Times New Roman" w:eastAsia="宋体" w:cs="Times New Roman"/>
                      <w:b w:val="0"/>
                      <w:bCs/>
                      <w:color w:val="000000"/>
                      <w:kern w:val="2"/>
                      <w:sz w:val="21"/>
                      <w:szCs w:val="21"/>
                      <w:highlight w:val="none"/>
                      <w:lang w:val="en-US" w:eastAsia="zh-CN" w:bidi="ar-SA"/>
                    </w:rPr>
                    <w:t>车间</w:t>
                  </w:r>
                </w:p>
              </w:tc>
              <w:tc>
                <w:tcPr>
                  <w:tcW w:w="1187" w:type="pct"/>
                  <w:noWrap w:val="0"/>
                  <w:vAlign w:val="center"/>
                </w:tcPr>
                <w:p w14:paraId="7C71E918">
                  <w:pPr>
                    <w:pStyle w:val="83"/>
                    <w:keepLines w:val="0"/>
                    <w:spacing w:line="240" w:lineRule="auto"/>
                    <w:rPr>
                      <w:rFonts w:hint="default" w:ascii="Times New Roman" w:hAnsi="Times New Roman" w:eastAsia="宋体" w:cs="Times New Roman"/>
                      <w:b w:val="0"/>
                      <w:color w:val="000000"/>
                      <w:sz w:val="21"/>
                      <w:szCs w:val="21"/>
                      <w:highlight w:val="none"/>
                      <w:lang w:val="en-US" w:eastAsia="zh-CN"/>
                    </w:rPr>
                  </w:pPr>
                  <w:r>
                    <w:rPr>
                      <w:rFonts w:hint="eastAsia" w:ascii="Times New Roman" w:hAnsi="Times New Roman" w:cs="Times New Roman"/>
                      <w:b w:val="0"/>
                      <w:color w:val="000000"/>
                      <w:sz w:val="21"/>
                      <w:szCs w:val="21"/>
                      <w:highlight w:val="none"/>
                      <w:lang w:val="en-US" w:eastAsia="zh-CN"/>
                    </w:rPr>
                    <w:t>机油</w:t>
                  </w:r>
                </w:p>
              </w:tc>
              <w:tc>
                <w:tcPr>
                  <w:tcW w:w="594" w:type="pct"/>
                  <w:vMerge w:val="restart"/>
                  <w:noWrap w:val="0"/>
                  <w:vAlign w:val="center"/>
                </w:tcPr>
                <w:p w14:paraId="6A76E131">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液体</w:t>
                  </w:r>
                </w:p>
                <w:p w14:paraId="6587FD38">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泄漏</w:t>
                  </w:r>
                </w:p>
              </w:tc>
              <w:tc>
                <w:tcPr>
                  <w:tcW w:w="1179" w:type="pct"/>
                  <w:noWrap w:val="0"/>
                  <w:vAlign w:val="center"/>
                </w:tcPr>
                <w:p w14:paraId="10DD9F10">
                  <w:pPr>
                    <w:pStyle w:val="83"/>
                    <w:keepLines w:val="0"/>
                    <w:spacing w:line="240" w:lineRule="auto"/>
                    <w:rPr>
                      <w:rFonts w:hint="default" w:ascii="Times New Roman" w:hAnsi="Times New Roman" w:eastAsia="宋体" w:cs="Times New Roman"/>
                      <w:b w:val="0"/>
                      <w:bCs/>
                      <w:color w:val="000000"/>
                      <w:kern w:val="2"/>
                      <w:sz w:val="21"/>
                      <w:szCs w:val="21"/>
                      <w:highlight w:val="none"/>
                      <w:lang w:val="en-US" w:eastAsia="zh-CN" w:bidi="ar-SA"/>
                    </w:rPr>
                  </w:pPr>
                  <w:r>
                    <w:rPr>
                      <w:rFonts w:hint="eastAsia" w:ascii="Times New Roman" w:hAnsi="Times New Roman" w:cs="Times New Roman"/>
                      <w:b w:val="0"/>
                      <w:bCs/>
                      <w:color w:val="000000"/>
                      <w:kern w:val="2"/>
                      <w:sz w:val="21"/>
                      <w:szCs w:val="21"/>
                      <w:highlight w:val="none"/>
                      <w:lang w:val="en-US" w:eastAsia="zh-CN" w:bidi="ar-SA"/>
                    </w:rPr>
                    <w:t>机油</w:t>
                  </w:r>
                </w:p>
              </w:tc>
              <w:tc>
                <w:tcPr>
                  <w:tcW w:w="698" w:type="pct"/>
                  <w:vMerge w:val="restart"/>
                  <w:noWrap w:val="0"/>
                  <w:vAlign w:val="center"/>
                </w:tcPr>
                <w:p w14:paraId="20778943">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路面及厂区管网</w:t>
                  </w:r>
                </w:p>
              </w:tc>
              <w:tc>
                <w:tcPr>
                  <w:tcW w:w="597" w:type="pct"/>
                  <w:vMerge w:val="restart"/>
                  <w:noWrap w:val="0"/>
                  <w:vAlign w:val="center"/>
                </w:tcPr>
                <w:p w14:paraId="7C6D6D7D">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地表水</w:t>
                  </w:r>
                </w:p>
              </w:tc>
            </w:tr>
            <w:tr w14:paraId="13C8E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9" w:type="pct"/>
                  <w:vMerge w:val="continue"/>
                  <w:noWrap w:val="0"/>
                  <w:vAlign w:val="center"/>
                </w:tcPr>
                <w:p w14:paraId="448EBB2B">
                  <w:pPr>
                    <w:pStyle w:val="83"/>
                    <w:keepLines w:val="0"/>
                    <w:spacing w:line="240" w:lineRule="auto"/>
                    <w:rPr>
                      <w:rFonts w:hint="default" w:ascii="Times New Roman" w:hAnsi="Times New Roman" w:cs="Times New Roman"/>
                      <w:b w:val="0"/>
                      <w:color w:val="000000"/>
                      <w:sz w:val="21"/>
                      <w:szCs w:val="21"/>
                      <w:highlight w:val="none"/>
                    </w:rPr>
                  </w:pPr>
                </w:p>
              </w:tc>
              <w:tc>
                <w:tcPr>
                  <w:tcW w:w="553" w:type="pct"/>
                  <w:vMerge w:val="continue"/>
                  <w:noWrap w:val="0"/>
                  <w:vAlign w:val="center"/>
                </w:tcPr>
                <w:p w14:paraId="542191E3">
                  <w:pPr>
                    <w:pStyle w:val="83"/>
                    <w:keepLines w:val="0"/>
                    <w:spacing w:line="240" w:lineRule="auto"/>
                    <w:rPr>
                      <w:rFonts w:hint="eastAsia" w:ascii="Times New Roman" w:hAnsi="Times New Roman" w:cs="Times New Roman"/>
                      <w:b w:val="0"/>
                      <w:bCs/>
                      <w:color w:val="000000"/>
                      <w:kern w:val="2"/>
                      <w:sz w:val="21"/>
                      <w:szCs w:val="21"/>
                      <w:highlight w:val="none"/>
                      <w:lang w:val="en-US" w:eastAsia="zh-CN" w:bidi="ar-SA"/>
                    </w:rPr>
                  </w:pPr>
                </w:p>
              </w:tc>
              <w:tc>
                <w:tcPr>
                  <w:tcW w:w="1187" w:type="pct"/>
                  <w:noWrap w:val="0"/>
                  <w:vAlign w:val="center"/>
                </w:tcPr>
                <w:p w14:paraId="078F5344">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酒精</w:t>
                  </w:r>
                </w:p>
              </w:tc>
              <w:tc>
                <w:tcPr>
                  <w:tcW w:w="594" w:type="pct"/>
                  <w:vMerge w:val="continue"/>
                  <w:noWrap w:val="0"/>
                  <w:vAlign w:val="center"/>
                </w:tcPr>
                <w:p w14:paraId="6DD6EB89">
                  <w:pPr>
                    <w:pStyle w:val="83"/>
                    <w:keepLines w:val="0"/>
                    <w:spacing w:line="240" w:lineRule="auto"/>
                    <w:rPr>
                      <w:rFonts w:hint="default" w:ascii="Times New Roman" w:hAnsi="Times New Roman" w:cs="Times New Roman"/>
                      <w:b w:val="0"/>
                      <w:color w:val="000000"/>
                      <w:sz w:val="21"/>
                      <w:szCs w:val="21"/>
                      <w:highlight w:val="none"/>
                    </w:rPr>
                  </w:pPr>
                </w:p>
              </w:tc>
              <w:tc>
                <w:tcPr>
                  <w:tcW w:w="1179" w:type="pct"/>
                  <w:noWrap w:val="0"/>
                  <w:vAlign w:val="center"/>
                </w:tcPr>
                <w:p w14:paraId="120C8943">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酒精</w:t>
                  </w:r>
                </w:p>
              </w:tc>
              <w:tc>
                <w:tcPr>
                  <w:tcW w:w="698" w:type="pct"/>
                  <w:vMerge w:val="continue"/>
                  <w:noWrap w:val="0"/>
                  <w:vAlign w:val="center"/>
                </w:tcPr>
                <w:p w14:paraId="76A2CDF3">
                  <w:pPr>
                    <w:pStyle w:val="83"/>
                    <w:keepLines w:val="0"/>
                    <w:spacing w:line="240" w:lineRule="auto"/>
                    <w:rPr>
                      <w:rFonts w:hint="default" w:ascii="Times New Roman" w:hAnsi="Times New Roman" w:cs="Times New Roman"/>
                      <w:b w:val="0"/>
                      <w:color w:val="000000"/>
                      <w:sz w:val="21"/>
                      <w:szCs w:val="21"/>
                      <w:highlight w:val="none"/>
                    </w:rPr>
                  </w:pPr>
                </w:p>
              </w:tc>
              <w:tc>
                <w:tcPr>
                  <w:tcW w:w="597" w:type="pct"/>
                  <w:vMerge w:val="continue"/>
                  <w:noWrap w:val="0"/>
                  <w:vAlign w:val="center"/>
                </w:tcPr>
                <w:p w14:paraId="59087B08">
                  <w:pPr>
                    <w:pStyle w:val="83"/>
                    <w:keepLines w:val="0"/>
                    <w:spacing w:line="240" w:lineRule="auto"/>
                    <w:rPr>
                      <w:rFonts w:hint="default" w:ascii="Times New Roman" w:hAnsi="Times New Roman" w:cs="Times New Roman"/>
                      <w:b w:val="0"/>
                      <w:color w:val="000000"/>
                      <w:sz w:val="21"/>
                      <w:szCs w:val="21"/>
                      <w:highlight w:val="none"/>
                    </w:rPr>
                  </w:pPr>
                </w:p>
              </w:tc>
            </w:tr>
            <w:tr w14:paraId="7FAC9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9" w:type="pct"/>
                  <w:vMerge w:val="continue"/>
                  <w:noWrap w:val="0"/>
                  <w:vAlign w:val="center"/>
                </w:tcPr>
                <w:p w14:paraId="7AF16383">
                  <w:pPr>
                    <w:pStyle w:val="83"/>
                    <w:keepLines w:val="0"/>
                    <w:spacing w:line="240" w:lineRule="auto"/>
                    <w:rPr>
                      <w:rFonts w:hint="default" w:ascii="Times New Roman" w:hAnsi="Times New Roman" w:cs="Times New Roman"/>
                      <w:b w:val="0"/>
                      <w:color w:val="000000"/>
                      <w:sz w:val="21"/>
                      <w:szCs w:val="21"/>
                      <w:highlight w:val="none"/>
                    </w:rPr>
                  </w:pPr>
                </w:p>
              </w:tc>
              <w:tc>
                <w:tcPr>
                  <w:tcW w:w="553" w:type="pct"/>
                  <w:vMerge w:val="restart"/>
                  <w:noWrap w:val="0"/>
                  <w:vAlign w:val="center"/>
                </w:tcPr>
                <w:p w14:paraId="6347E877">
                  <w:pPr>
                    <w:pStyle w:val="83"/>
                    <w:keepLines w:val="0"/>
                    <w:spacing w:line="240" w:lineRule="auto"/>
                    <w:rPr>
                      <w:rFonts w:hint="eastAsia" w:ascii="Times New Roman" w:hAnsi="Times New Roman" w:cs="Times New Roman"/>
                      <w:b w:val="0"/>
                      <w:bCs/>
                      <w:color w:val="000000"/>
                      <w:kern w:val="2"/>
                      <w:sz w:val="21"/>
                      <w:szCs w:val="21"/>
                      <w:highlight w:val="none"/>
                      <w:lang w:val="en-US" w:eastAsia="zh-CN" w:bidi="ar-SA"/>
                    </w:rPr>
                  </w:pPr>
                  <w:r>
                    <w:rPr>
                      <w:rFonts w:hint="eastAsia" w:ascii="Times New Roman" w:hAnsi="Times New Roman" w:cs="Times New Roman"/>
                      <w:b w:val="0"/>
                      <w:color w:val="000000"/>
                      <w:sz w:val="21"/>
                      <w:szCs w:val="21"/>
                      <w:highlight w:val="none"/>
                      <w:lang w:val="en-US" w:eastAsia="zh-CN"/>
                    </w:rPr>
                    <w:t>原料仓库2</w:t>
                  </w:r>
                </w:p>
              </w:tc>
              <w:tc>
                <w:tcPr>
                  <w:tcW w:w="1187" w:type="pct"/>
                  <w:shd w:val="clear" w:color="auto" w:fill="auto"/>
                  <w:noWrap w:val="0"/>
                  <w:vAlign w:val="center"/>
                </w:tcPr>
                <w:p w14:paraId="30C8C1FA">
                  <w:pPr>
                    <w:pStyle w:val="83"/>
                    <w:keepLines w:val="0"/>
                    <w:spacing w:line="240" w:lineRule="auto"/>
                    <w:rPr>
                      <w:rFonts w:hint="default" w:ascii="Times New Roman" w:hAnsi="Times New Roman" w:eastAsia="宋体" w:cs="Times New Roman"/>
                      <w:b w:val="0"/>
                      <w:bCs/>
                      <w:color w:val="000000"/>
                      <w:kern w:val="2"/>
                      <w:sz w:val="21"/>
                      <w:szCs w:val="21"/>
                      <w:highlight w:val="none"/>
                      <w:lang w:val="en-US" w:eastAsia="zh-CN" w:bidi="ar-SA"/>
                    </w:rPr>
                  </w:pPr>
                  <w:r>
                    <w:rPr>
                      <w:rFonts w:hint="eastAsia" w:ascii="Times New Roman" w:hAnsi="Times New Roman" w:cs="Times New Roman"/>
                      <w:b w:val="0"/>
                      <w:color w:val="000000"/>
                      <w:sz w:val="21"/>
                      <w:szCs w:val="21"/>
                      <w:highlight w:val="none"/>
                      <w:lang w:val="en-US" w:eastAsia="zh-CN"/>
                    </w:rPr>
                    <w:t>机油</w:t>
                  </w:r>
                </w:p>
              </w:tc>
              <w:tc>
                <w:tcPr>
                  <w:tcW w:w="594" w:type="pct"/>
                  <w:vMerge w:val="continue"/>
                  <w:noWrap w:val="0"/>
                  <w:vAlign w:val="center"/>
                </w:tcPr>
                <w:p w14:paraId="7AC35CCD">
                  <w:pPr>
                    <w:pStyle w:val="83"/>
                    <w:keepLines w:val="0"/>
                    <w:spacing w:line="240" w:lineRule="auto"/>
                    <w:rPr>
                      <w:rFonts w:hint="default" w:ascii="Times New Roman" w:hAnsi="Times New Roman" w:cs="Times New Roman"/>
                      <w:b w:val="0"/>
                      <w:color w:val="000000"/>
                      <w:sz w:val="21"/>
                      <w:szCs w:val="21"/>
                      <w:highlight w:val="none"/>
                    </w:rPr>
                  </w:pPr>
                </w:p>
              </w:tc>
              <w:tc>
                <w:tcPr>
                  <w:tcW w:w="1179" w:type="pct"/>
                  <w:shd w:val="clear" w:color="auto" w:fill="auto"/>
                  <w:noWrap w:val="0"/>
                  <w:vAlign w:val="center"/>
                </w:tcPr>
                <w:p w14:paraId="79650E52">
                  <w:pPr>
                    <w:pStyle w:val="83"/>
                    <w:keepLines w:val="0"/>
                    <w:spacing w:line="240" w:lineRule="auto"/>
                    <w:rPr>
                      <w:rFonts w:hint="default" w:ascii="Times New Roman" w:hAnsi="Times New Roman" w:eastAsia="宋体" w:cs="Times New Roman"/>
                      <w:b w:val="0"/>
                      <w:bCs/>
                      <w:color w:val="000000"/>
                      <w:kern w:val="2"/>
                      <w:sz w:val="21"/>
                      <w:szCs w:val="21"/>
                      <w:highlight w:val="none"/>
                      <w:lang w:val="en-US" w:eastAsia="zh-CN" w:bidi="ar-SA"/>
                    </w:rPr>
                  </w:pPr>
                  <w:r>
                    <w:rPr>
                      <w:rFonts w:hint="eastAsia" w:ascii="Times New Roman" w:hAnsi="Times New Roman" w:cs="Times New Roman"/>
                      <w:b w:val="0"/>
                      <w:bCs/>
                      <w:color w:val="000000"/>
                      <w:kern w:val="2"/>
                      <w:sz w:val="21"/>
                      <w:szCs w:val="21"/>
                      <w:highlight w:val="none"/>
                      <w:lang w:val="en-US" w:eastAsia="zh-CN" w:bidi="ar-SA"/>
                    </w:rPr>
                    <w:t>机油</w:t>
                  </w:r>
                </w:p>
              </w:tc>
              <w:tc>
                <w:tcPr>
                  <w:tcW w:w="698" w:type="pct"/>
                  <w:vMerge w:val="continue"/>
                  <w:noWrap w:val="0"/>
                  <w:vAlign w:val="center"/>
                </w:tcPr>
                <w:p w14:paraId="37371D94">
                  <w:pPr>
                    <w:pStyle w:val="83"/>
                    <w:keepLines w:val="0"/>
                    <w:spacing w:line="240" w:lineRule="auto"/>
                    <w:rPr>
                      <w:rFonts w:hint="default" w:ascii="Times New Roman" w:hAnsi="Times New Roman" w:cs="Times New Roman"/>
                      <w:b w:val="0"/>
                      <w:color w:val="000000"/>
                      <w:sz w:val="21"/>
                      <w:szCs w:val="21"/>
                      <w:highlight w:val="none"/>
                    </w:rPr>
                  </w:pPr>
                </w:p>
              </w:tc>
              <w:tc>
                <w:tcPr>
                  <w:tcW w:w="597" w:type="pct"/>
                  <w:vMerge w:val="continue"/>
                  <w:noWrap w:val="0"/>
                  <w:vAlign w:val="center"/>
                </w:tcPr>
                <w:p w14:paraId="785AE8AA">
                  <w:pPr>
                    <w:pStyle w:val="83"/>
                    <w:keepLines w:val="0"/>
                    <w:spacing w:line="240" w:lineRule="auto"/>
                    <w:rPr>
                      <w:rFonts w:hint="default" w:ascii="Times New Roman" w:hAnsi="Times New Roman" w:cs="Times New Roman"/>
                      <w:b w:val="0"/>
                      <w:color w:val="000000"/>
                      <w:sz w:val="21"/>
                      <w:szCs w:val="21"/>
                      <w:highlight w:val="none"/>
                    </w:rPr>
                  </w:pPr>
                </w:p>
              </w:tc>
            </w:tr>
            <w:tr w14:paraId="1AF72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9" w:type="pct"/>
                  <w:vMerge w:val="continue"/>
                  <w:noWrap w:val="0"/>
                  <w:vAlign w:val="center"/>
                </w:tcPr>
                <w:p w14:paraId="058D017B">
                  <w:pPr>
                    <w:pStyle w:val="83"/>
                    <w:keepLines w:val="0"/>
                    <w:spacing w:line="240" w:lineRule="auto"/>
                    <w:rPr>
                      <w:rFonts w:hint="default" w:ascii="Times New Roman" w:hAnsi="Times New Roman" w:cs="Times New Roman"/>
                      <w:b w:val="0"/>
                      <w:color w:val="000000"/>
                      <w:sz w:val="21"/>
                      <w:szCs w:val="21"/>
                      <w:highlight w:val="none"/>
                    </w:rPr>
                  </w:pPr>
                </w:p>
              </w:tc>
              <w:tc>
                <w:tcPr>
                  <w:tcW w:w="553" w:type="pct"/>
                  <w:vMerge w:val="continue"/>
                  <w:noWrap w:val="0"/>
                  <w:vAlign w:val="center"/>
                </w:tcPr>
                <w:p w14:paraId="0C696641">
                  <w:pPr>
                    <w:pStyle w:val="83"/>
                    <w:keepLines w:val="0"/>
                    <w:spacing w:line="240" w:lineRule="auto"/>
                    <w:rPr>
                      <w:rFonts w:hint="eastAsia" w:ascii="Times New Roman" w:hAnsi="Times New Roman" w:cs="Times New Roman"/>
                      <w:b w:val="0"/>
                      <w:bCs/>
                      <w:color w:val="000000"/>
                      <w:kern w:val="2"/>
                      <w:sz w:val="21"/>
                      <w:szCs w:val="21"/>
                      <w:highlight w:val="none"/>
                      <w:lang w:val="en-US" w:eastAsia="zh-CN" w:bidi="ar-SA"/>
                    </w:rPr>
                  </w:pPr>
                </w:p>
              </w:tc>
              <w:tc>
                <w:tcPr>
                  <w:tcW w:w="1187" w:type="pct"/>
                  <w:shd w:val="clear" w:color="auto" w:fill="auto"/>
                  <w:noWrap w:val="0"/>
                  <w:vAlign w:val="center"/>
                </w:tcPr>
                <w:p w14:paraId="0D8AD736">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酒精</w:t>
                  </w:r>
                </w:p>
              </w:tc>
              <w:tc>
                <w:tcPr>
                  <w:tcW w:w="594" w:type="pct"/>
                  <w:vMerge w:val="continue"/>
                  <w:noWrap w:val="0"/>
                  <w:vAlign w:val="center"/>
                </w:tcPr>
                <w:p w14:paraId="1DA0AAE8">
                  <w:pPr>
                    <w:pStyle w:val="83"/>
                    <w:keepLines w:val="0"/>
                    <w:spacing w:line="240" w:lineRule="auto"/>
                    <w:rPr>
                      <w:rFonts w:hint="default" w:ascii="Times New Roman" w:hAnsi="Times New Roman" w:cs="Times New Roman"/>
                      <w:b w:val="0"/>
                      <w:color w:val="000000"/>
                      <w:sz w:val="21"/>
                      <w:szCs w:val="21"/>
                      <w:highlight w:val="none"/>
                    </w:rPr>
                  </w:pPr>
                </w:p>
              </w:tc>
              <w:tc>
                <w:tcPr>
                  <w:tcW w:w="1179" w:type="pct"/>
                  <w:shd w:val="clear" w:color="auto" w:fill="auto"/>
                  <w:noWrap w:val="0"/>
                  <w:vAlign w:val="center"/>
                </w:tcPr>
                <w:p w14:paraId="44214AC3">
                  <w:pPr>
                    <w:jc w:val="center"/>
                    <w:rPr>
                      <w:rFonts w:hint="eastAsia"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酒精</w:t>
                  </w:r>
                </w:p>
              </w:tc>
              <w:tc>
                <w:tcPr>
                  <w:tcW w:w="698" w:type="pct"/>
                  <w:vMerge w:val="continue"/>
                  <w:noWrap w:val="0"/>
                  <w:vAlign w:val="center"/>
                </w:tcPr>
                <w:p w14:paraId="184E1638">
                  <w:pPr>
                    <w:pStyle w:val="83"/>
                    <w:keepLines w:val="0"/>
                    <w:spacing w:line="240" w:lineRule="auto"/>
                    <w:rPr>
                      <w:rFonts w:hint="default" w:ascii="Times New Roman" w:hAnsi="Times New Roman" w:cs="Times New Roman"/>
                      <w:b w:val="0"/>
                      <w:color w:val="000000"/>
                      <w:sz w:val="21"/>
                      <w:szCs w:val="21"/>
                      <w:highlight w:val="none"/>
                    </w:rPr>
                  </w:pPr>
                </w:p>
              </w:tc>
              <w:tc>
                <w:tcPr>
                  <w:tcW w:w="597" w:type="pct"/>
                  <w:vMerge w:val="continue"/>
                  <w:noWrap w:val="0"/>
                  <w:vAlign w:val="center"/>
                </w:tcPr>
                <w:p w14:paraId="112C55BF">
                  <w:pPr>
                    <w:pStyle w:val="83"/>
                    <w:keepLines w:val="0"/>
                    <w:spacing w:line="240" w:lineRule="auto"/>
                    <w:rPr>
                      <w:rFonts w:hint="default" w:ascii="Times New Roman" w:hAnsi="Times New Roman" w:cs="Times New Roman"/>
                      <w:b w:val="0"/>
                      <w:color w:val="000000"/>
                      <w:sz w:val="21"/>
                      <w:szCs w:val="21"/>
                      <w:highlight w:val="none"/>
                    </w:rPr>
                  </w:pPr>
                </w:p>
              </w:tc>
            </w:tr>
            <w:tr w14:paraId="46883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9" w:type="pct"/>
                  <w:noWrap w:val="0"/>
                  <w:vAlign w:val="center"/>
                </w:tcPr>
                <w:p w14:paraId="6E5450F7">
                  <w:pPr>
                    <w:pStyle w:val="83"/>
                    <w:keepLines w:val="0"/>
                    <w:spacing w:line="240" w:lineRule="auto"/>
                    <w:rPr>
                      <w:rFonts w:hint="eastAsia" w:ascii="Times New Roman" w:hAnsi="Times New Roman" w:eastAsia="宋体" w:cs="Times New Roman"/>
                      <w:b w:val="0"/>
                      <w:color w:val="000000"/>
                      <w:sz w:val="21"/>
                      <w:szCs w:val="21"/>
                      <w:highlight w:val="none"/>
                      <w:lang w:val="en-US" w:eastAsia="zh-CN"/>
                    </w:rPr>
                  </w:pPr>
                  <w:r>
                    <w:rPr>
                      <w:rFonts w:hint="eastAsia" w:ascii="Times New Roman" w:hAnsi="Times New Roman" w:cs="Times New Roman"/>
                      <w:b w:val="0"/>
                      <w:color w:val="000000"/>
                      <w:sz w:val="21"/>
                      <w:szCs w:val="21"/>
                      <w:highlight w:val="none"/>
                      <w:lang w:val="en-US" w:eastAsia="zh-CN"/>
                    </w:rPr>
                    <w:t>3</w:t>
                  </w:r>
                </w:p>
              </w:tc>
              <w:tc>
                <w:tcPr>
                  <w:tcW w:w="553" w:type="pct"/>
                  <w:noWrap w:val="0"/>
                  <w:vAlign w:val="center"/>
                </w:tcPr>
                <w:p w14:paraId="529AC348">
                  <w:pPr>
                    <w:pStyle w:val="83"/>
                    <w:keepLines w:val="0"/>
                    <w:spacing w:line="240" w:lineRule="auto"/>
                    <w:rPr>
                      <w:rFonts w:hint="default" w:ascii="Times New Roman" w:hAnsi="Times New Roman" w:cs="Times New Roman"/>
                      <w:b w:val="0"/>
                      <w:bCs/>
                      <w:color w:val="000000"/>
                      <w:kern w:val="2"/>
                      <w:sz w:val="21"/>
                      <w:szCs w:val="21"/>
                      <w:highlight w:val="none"/>
                      <w:lang w:val="en-US" w:eastAsia="zh-CN" w:bidi="ar-SA"/>
                    </w:rPr>
                  </w:pPr>
                  <w:r>
                    <w:rPr>
                      <w:rFonts w:hint="eastAsia" w:ascii="Times New Roman" w:hAnsi="Times New Roman" w:cs="Times New Roman"/>
                      <w:b w:val="0"/>
                      <w:bCs/>
                      <w:color w:val="000000"/>
                      <w:kern w:val="2"/>
                      <w:sz w:val="21"/>
                      <w:szCs w:val="21"/>
                      <w:highlight w:val="none"/>
                      <w:lang w:val="en-US" w:eastAsia="zh-CN" w:bidi="ar-SA"/>
                    </w:rPr>
                    <w:t>危废库</w:t>
                  </w:r>
                </w:p>
              </w:tc>
              <w:tc>
                <w:tcPr>
                  <w:tcW w:w="1187" w:type="pct"/>
                  <w:noWrap w:val="0"/>
                  <w:vAlign w:val="center"/>
                </w:tcPr>
                <w:p w14:paraId="56F1AA9D">
                  <w:pPr>
                    <w:jc w:val="center"/>
                    <w:rPr>
                      <w:rFonts w:hint="default"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废包装材料、擦拭废纸、不合格品（LED显示屏模组）、废机油及油桶、废油抹布及手套、废活性炭、废滤料</w:t>
                  </w:r>
                </w:p>
              </w:tc>
              <w:tc>
                <w:tcPr>
                  <w:tcW w:w="594" w:type="pct"/>
                  <w:noWrap w:val="0"/>
                  <w:vAlign w:val="center"/>
                </w:tcPr>
                <w:p w14:paraId="793C7629">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危废</w:t>
                  </w:r>
                </w:p>
                <w:p w14:paraId="02A167C2">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流失</w:t>
                  </w:r>
                </w:p>
              </w:tc>
              <w:tc>
                <w:tcPr>
                  <w:tcW w:w="1179" w:type="pct"/>
                  <w:noWrap w:val="0"/>
                  <w:vAlign w:val="center"/>
                </w:tcPr>
                <w:p w14:paraId="3244F13B">
                  <w:pPr>
                    <w:jc w:val="center"/>
                    <w:rPr>
                      <w:rFonts w:hint="eastAsia" w:ascii="Times New Roman" w:hAnsi="Times New Roman" w:eastAsia="宋体" w:cs="Times New Roman"/>
                      <w:bCs/>
                      <w:color w:val="000000"/>
                      <w:spacing w:val="-10"/>
                      <w:kern w:val="2"/>
                      <w:sz w:val="21"/>
                      <w:szCs w:val="21"/>
                      <w:highlight w:val="none"/>
                      <w:lang w:val="en-US" w:eastAsia="zh-CN" w:bidi="ar-SA"/>
                    </w:rPr>
                  </w:pPr>
                  <w:r>
                    <w:rPr>
                      <w:rFonts w:hint="eastAsia" w:ascii="Times New Roman" w:hAnsi="Times New Roman" w:cs="Times New Roman"/>
                      <w:bCs/>
                      <w:color w:val="000000"/>
                      <w:spacing w:val="-10"/>
                      <w:kern w:val="2"/>
                      <w:sz w:val="21"/>
                      <w:szCs w:val="21"/>
                      <w:highlight w:val="none"/>
                      <w:lang w:val="en-US" w:eastAsia="zh-CN" w:bidi="ar-SA"/>
                    </w:rPr>
                    <w:t>废包装材料、擦拭废纸、不合格品（LED显示屏模组）、废机油及油桶、废油抹布及手套、废活性炭、废滤料</w:t>
                  </w:r>
                </w:p>
              </w:tc>
              <w:tc>
                <w:tcPr>
                  <w:tcW w:w="698" w:type="pct"/>
                  <w:shd w:val="clear" w:color="auto" w:fill="auto"/>
                  <w:noWrap w:val="0"/>
                  <w:vAlign w:val="center"/>
                </w:tcPr>
                <w:p w14:paraId="440F3B68">
                  <w:pPr>
                    <w:pStyle w:val="83"/>
                    <w:keepLines w:val="0"/>
                    <w:spacing w:line="240" w:lineRule="auto"/>
                    <w:rPr>
                      <w:rFonts w:hint="default" w:ascii="Times New Roman" w:hAnsi="Times New Roman" w:eastAsia="宋体" w:cs="Times New Roman"/>
                      <w:b w:val="0"/>
                      <w:bCs/>
                      <w:color w:val="000000"/>
                      <w:kern w:val="2"/>
                      <w:sz w:val="21"/>
                      <w:szCs w:val="21"/>
                      <w:highlight w:val="none"/>
                      <w:lang w:val="en-US" w:eastAsia="zh-CN" w:bidi="ar-SA"/>
                    </w:rPr>
                  </w:pPr>
                  <w:r>
                    <w:rPr>
                      <w:rFonts w:hint="default" w:ascii="Times New Roman" w:hAnsi="Times New Roman" w:cs="Times New Roman"/>
                      <w:b w:val="0"/>
                      <w:color w:val="000000"/>
                      <w:sz w:val="21"/>
                      <w:szCs w:val="21"/>
                      <w:highlight w:val="none"/>
                    </w:rPr>
                    <w:t>混入一般工业固废</w:t>
                  </w:r>
                </w:p>
              </w:tc>
              <w:tc>
                <w:tcPr>
                  <w:tcW w:w="597" w:type="pct"/>
                  <w:shd w:val="clear" w:color="auto" w:fill="auto"/>
                  <w:noWrap w:val="0"/>
                  <w:vAlign w:val="center"/>
                </w:tcPr>
                <w:p w14:paraId="01C54147">
                  <w:pPr>
                    <w:spacing w:line="240" w:lineRule="auto"/>
                    <w:jc w:val="center"/>
                    <w:rPr>
                      <w:rFonts w:hint="default" w:ascii="Times New Roman" w:hAnsi="Times New Roman" w:cs="Times New Roman"/>
                      <w:bCs/>
                      <w:color w:val="000000"/>
                      <w:sz w:val="21"/>
                      <w:szCs w:val="21"/>
                      <w:highlight w:val="none"/>
                    </w:rPr>
                  </w:pPr>
                  <w:r>
                    <w:rPr>
                      <w:rFonts w:hint="default" w:ascii="Times New Roman" w:hAnsi="Times New Roman" w:cs="Times New Roman"/>
                      <w:bCs/>
                      <w:color w:val="000000"/>
                      <w:sz w:val="21"/>
                      <w:szCs w:val="21"/>
                      <w:highlight w:val="none"/>
                    </w:rPr>
                    <w:t>社会</w:t>
                  </w:r>
                </w:p>
                <w:p w14:paraId="2C33E7CB">
                  <w:pPr>
                    <w:spacing w:line="240" w:lineRule="auto"/>
                    <w:jc w:val="center"/>
                    <w:rPr>
                      <w:rFonts w:hint="default" w:ascii="Times New Roman" w:hAnsi="Times New Roman" w:eastAsia="宋体" w:cs="Times New Roman"/>
                      <w:bCs/>
                      <w:color w:val="000000"/>
                      <w:kern w:val="2"/>
                      <w:sz w:val="21"/>
                      <w:szCs w:val="21"/>
                      <w:highlight w:val="none"/>
                      <w:lang w:val="en-US" w:eastAsia="zh-CN" w:bidi="ar-SA"/>
                    </w:rPr>
                  </w:pPr>
                  <w:r>
                    <w:rPr>
                      <w:rFonts w:hint="default" w:ascii="Times New Roman" w:hAnsi="Times New Roman" w:cs="Times New Roman"/>
                      <w:bCs/>
                      <w:color w:val="000000"/>
                      <w:sz w:val="21"/>
                      <w:szCs w:val="21"/>
                      <w:highlight w:val="none"/>
                    </w:rPr>
                    <w:t>环境</w:t>
                  </w:r>
                </w:p>
              </w:tc>
            </w:tr>
            <w:tr w14:paraId="7BD7C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9" w:type="pct"/>
                  <w:noWrap w:val="0"/>
                  <w:vAlign w:val="center"/>
                </w:tcPr>
                <w:p w14:paraId="5C82279F">
                  <w:pPr>
                    <w:pStyle w:val="83"/>
                    <w:keepLines w:val="0"/>
                    <w:spacing w:line="240" w:lineRule="auto"/>
                    <w:rPr>
                      <w:rFonts w:hint="eastAsia" w:ascii="Times New Roman" w:hAnsi="Times New Roman" w:eastAsia="宋体" w:cs="Times New Roman"/>
                      <w:b w:val="0"/>
                      <w:color w:val="000000"/>
                      <w:sz w:val="21"/>
                      <w:szCs w:val="21"/>
                      <w:highlight w:val="none"/>
                      <w:lang w:val="en-US" w:eastAsia="zh-CN"/>
                    </w:rPr>
                  </w:pPr>
                  <w:r>
                    <w:rPr>
                      <w:rFonts w:hint="eastAsia" w:ascii="Times New Roman" w:hAnsi="Times New Roman" w:cs="Times New Roman"/>
                      <w:b w:val="0"/>
                      <w:color w:val="000000"/>
                      <w:sz w:val="21"/>
                      <w:szCs w:val="21"/>
                      <w:highlight w:val="none"/>
                      <w:lang w:val="en-US" w:eastAsia="zh-CN"/>
                    </w:rPr>
                    <w:t>5</w:t>
                  </w:r>
                </w:p>
              </w:tc>
              <w:tc>
                <w:tcPr>
                  <w:tcW w:w="553" w:type="pct"/>
                  <w:noWrap w:val="0"/>
                  <w:vAlign w:val="center"/>
                </w:tcPr>
                <w:p w14:paraId="268DC64F">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废气治理设施</w:t>
                  </w:r>
                </w:p>
              </w:tc>
              <w:tc>
                <w:tcPr>
                  <w:tcW w:w="1187" w:type="pct"/>
                  <w:noWrap w:val="0"/>
                  <w:vAlign w:val="center"/>
                </w:tcPr>
                <w:p w14:paraId="171CDDCD">
                  <w:pPr>
                    <w:spacing w:line="240" w:lineRule="auto"/>
                    <w:jc w:val="center"/>
                    <w:rPr>
                      <w:rFonts w:hint="default"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颗粒物</w:t>
                  </w:r>
                  <w:r>
                    <w:rPr>
                      <w:rFonts w:hint="eastAsia" w:ascii="Times New Roman" w:hAnsi="Times New Roman" w:cs="Times New Roman"/>
                      <w:bCs/>
                      <w:color w:val="000000"/>
                      <w:sz w:val="21"/>
                      <w:szCs w:val="21"/>
                      <w:highlight w:val="none"/>
                      <w:lang w:val="en-US" w:eastAsia="zh-CN"/>
                    </w:rPr>
                    <w:t>、锡及其化合物、非甲烷总烃</w:t>
                  </w:r>
                </w:p>
              </w:tc>
              <w:tc>
                <w:tcPr>
                  <w:tcW w:w="594" w:type="pct"/>
                  <w:noWrap w:val="0"/>
                  <w:vAlign w:val="center"/>
                </w:tcPr>
                <w:p w14:paraId="7AE5B0C7">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废气异常排放</w:t>
                  </w:r>
                </w:p>
              </w:tc>
              <w:tc>
                <w:tcPr>
                  <w:tcW w:w="1179" w:type="pct"/>
                  <w:noWrap w:val="0"/>
                  <w:vAlign w:val="center"/>
                </w:tcPr>
                <w:p w14:paraId="261CE581">
                  <w:pPr>
                    <w:pStyle w:val="83"/>
                    <w:keepLines w:val="0"/>
                    <w:spacing w:line="240" w:lineRule="auto"/>
                    <w:rPr>
                      <w:rFonts w:hint="default" w:ascii="Times New Roman" w:hAnsi="Times New Roman" w:eastAsia="宋体" w:cs="Times New Roman"/>
                      <w:b w:val="0"/>
                      <w:color w:val="000000"/>
                      <w:sz w:val="21"/>
                      <w:szCs w:val="21"/>
                      <w:highlight w:val="none"/>
                      <w:lang w:val="en-US" w:eastAsia="zh-CN"/>
                    </w:rPr>
                  </w:pPr>
                  <w:r>
                    <w:rPr>
                      <w:rFonts w:hint="default" w:ascii="Times New Roman" w:hAnsi="Times New Roman" w:eastAsia="宋体" w:cs="Times New Roman"/>
                      <w:b w:val="0"/>
                      <w:color w:val="000000"/>
                      <w:sz w:val="21"/>
                      <w:szCs w:val="21"/>
                      <w:highlight w:val="none"/>
                      <w:lang w:val="en-US" w:eastAsia="zh-CN"/>
                    </w:rPr>
                    <w:t>颗粒物、锡及其化合物、非甲烷总烃</w:t>
                  </w:r>
                </w:p>
              </w:tc>
              <w:tc>
                <w:tcPr>
                  <w:tcW w:w="698" w:type="pct"/>
                  <w:noWrap w:val="0"/>
                  <w:vAlign w:val="center"/>
                </w:tcPr>
                <w:p w14:paraId="52B4EB63">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随大气扩散</w:t>
                  </w:r>
                </w:p>
              </w:tc>
              <w:tc>
                <w:tcPr>
                  <w:tcW w:w="597" w:type="pct"/>
                  <w:noWrap w:val="0"/>
                  <w:vAlign w:val="center"/>
                </w:tcPr>
                <w:p w14:paraId="736495D5">
                  <w:pPr>
                    <w:pStyle w:val="83"/>
                    <w:keepLines w:val="0"/>
                    <w:spacing w:line="240" w:lineRule="auto"/>
                    <w:rPr>
                      <w:rFonts w:hint="default" w:ascii="Times New Roman" w:hAnsi="Times New Roman" w:cs="Times New Roman"/>
                      <w:b w:val="0"/>
                      <w:color w:val="000000"/>
                      <w:sz w:val="21"/>
                      <w:szCs w:val="21"/>
                      <w:highlight w:val="none"/>
                    </w:rPr>
                  </w:pPr>
                  <w:r>
                    <w:rPr>
                      <w:rFonts w:hint="default" w:ascii="Times New Roman" w:hAnsi="Times New Roman" w:cs="Times New Roman"/>
                      <w:b w:val="0"/>
                      <w:color w:val="000000"/>
                      <w:sz w:val="21"/>
                      <w:szCs w:val="21"/>
                      <w:highlight w:val="none"/>
                    </w:rPr>
                    <w:t>大气环境</w:t>
                  </w:r>
                </w:p>
              </w:tc>
            </w:tr>
          </w:tbl>
          <w:p w14:paraId="599E244D">
            <w:pPr>
              <w:snapToGrid w:val="0"/>
              <w:spacing w:line="360" w:lineRule="auto"/>
              <w:ind w:firstLine="480" w:firstLineChars="200"/>
              <w:rPr>
                <w:rFonts w:hint="default" w:ascii="Times New Roman" w:hAnsi="Times New Roman" w:cs="Times New Roman"/>
                <w:color w:val="000000"/>
                <w:sz w:val="24"/>
                <w:szCs w:val="24"/>
                <w:highlight w:val="none"/>
              </w:rPr>
            </w:pPr>
            <w:r>
              <w:rPr>
                <w:rFonts w:hint="eastAsia" w:ascii="Times New Roman" w:hAnsi="Times New Roman" w:cs="Times New Roman"/>
                <w:b w:val="0"/>
                <w:bCs w:val="0"/>
                <w:color w:val="000000"/>
                <w:sz w:val="24"/>
                <w:szCs w:val="24"/>
                <w:highlight w:val="none"/>
                <w:lang w:eastAsia="zh-CN"/>
              </w:rPr>
              <w:t>（</w:t>
            </w:r>
            <w:r>
              <w:rPr>
                <w:rFonts w:hint="eastAsia" w:ascii="Times New Roman" w:hAnsi="Times New Roman" w:cs="Times New Roman"/>
                <w:b w:val="0"/>
                <w:bCs w:val="0"/>
                <w:color w:val="000000"/>
                <w:sz w:val="24"/>
                <w:szCs w:val="24"/>
                <w:highlight w:val="none"/>
                <w:lang w:val="en-US" w:eastAsia="zh-CN"/>
              </w:rPr>
              <w:t>5</w:t>
            </w:r>
            <w:r>
              <w:rPr>
                <w:rFonts w:hint="eastAsia" w:ascii="Times New Roman" w:hAnsi="Times New Roman" w:cs="Times New Roman"/>
                <w:b w:val="0"/>
                <w:bCs w:val="0"/>
                <w:color w:val="000000"/>
                <w:sz w:val="24"/>
                <w:szCs w:val="24"/>
                <w:highlight w:val="none"/>
                <w:lang w:eastAsia="zh-CN"/>
              </w:rPr>
              <w:t>）</w:t>
            </w:r>
            <w:r>
              <w:rPr>
                <w:rFonts w:hint="default" w:ascii="Times New Roman" w:hAnsi="Times New Roman" w:cs="Times New Roman"/>
                <w:b w:val="0"/>
                <w:bCs w:val="0"/>
                <w:color w:val="000000"/>
                <w:sz w:val="24"/>
                <w:szCs w:val="24"/>
                <w:highlight w:val="none"/>
              </w:rPr>
              <w:t>环境风险分析</w:t>
            </w:r>
          </w:p>
          <w:p w14:paraId="37C01075">
            <w:pPr>
              <w:pStyle w:val="33"/>
              <w:numPr>
                <w:ilvl w:val="0"/>
                <w:numId w:val="0"/>
              </w:numPr>
              <w:tabs>
                <w:tab w:val="left" w:pos="0"/>
              </w:tabs>
              <w:spacing w:line="360" w:lineRule="auto"/>
              <w:ind w:left="420" w:leftChars="200"/>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1）大气环境风险分析</w:t>
            </w:r>
          </w:p>
          <w:p w14:paraId="757A970F">
            <w:pPr>
              <w:pStyle w:val="33"/>
              <w:numPr>
                <w:ilvl w:val="0"/>
                <w:numId w:val="0"/>
              </w:numPr>
              <w:tabs>
                <w:tab w:val="left" w:pos="0"/>
              </w:tabs>
              <w:spacing w:line="360" w:lineRule="auto"/>
              <w:ind w:firstLine="480" w:firstLineChars="200"/>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①厂区内可燃物遇明火发生火灾，火灾产生的烟气扩散至大气环境中将造成大气环境污染事故；</w:t>
            </w:r>
          </w:p>
          <w:p w14:paraId="791F53E9">
            <w:pPr>
              <w:pStyle w:val="33"/>
              <w:numPr>
                <w:ilvl w:val="0"/>
                <w:numId w:val="0"/>
              </w:numPr>
              <w:tabs>
                <w:tab w:val="left" w:pos="0"/>
              </w:tabs>
              <w:spacing w:line="360" w:lineRule="auto"/>
              <w:ind w:firstLine="480" w:firstLineChars="200"/>
              <w:rPr>
                <w:rFonts w:hint="default" w:ascii="Times New Roman" w:hAnsi="Times New Roman" w:cs="Times New Roman"/>
                <w:b w:val="0"/>
                <w:bCs w:val="0"/>
                <w:color w:val="000000"/>
                <w:sz w:val="24"/>
                <w:szCs w:val="24"/>
                <w:highlight w:val="none"/>
              </w:rPr>
            </w:pPr>
            <w:r>
              <w:rPr>
                <w:rFonts w:hint="eastAsia" w:ascii="Times New Roman" w:hAnsi="Times New Roman" w:cs="Times New Roman"/>
                <w:b w:val="0"/>
                <w:bCs w:val="0"/>
                <w:color w:val="000000"/>
                <w:sz w:val="24"/>
                <w:szCs w:val="24"/>
                <w:highlight w:val="none"/>
                <w:lang w:val="en-US" w:eastAsia="zh-CN"/>
              </w:rPr>
              <w:t>③</w:t>
            </w:r>
            <w:r>
              <w:rPr>
                <w:rFonts w:hint="default" w:ascii="Times New Roman" w:hAnsi="Times New Roman" w:cs="Times New Roman"/>
                <w:b w:val="0"/>
                <w:bCs w:val="0"/>
                <w:color w:val="000000"/>
                <w:sz w:val="24"/>
                <w:szCs w:val="24"/>
                <w:highlight w:val="none"/>
              </w:rPr>
              <w:t>项目锡膏印刷废气、钢网擦拭废气、挤出成型废气由集气罩收集，回流焊焊接废气由管道收集经同一套干式过滤器+二级活性炭吸附装置处理后通过1根23米高排气筒排放。若废气处理设备故障将导致废气异常排放，</w:t>
            </w:r>
            <w:r>
              <w:rPr>
                <w:rFonts w:hint="eastAsia" w:ascii="Times New Roman" w:hAnsi="Times New Roman" w:cs="Times New Roman"/>
                <w:b w:val="0"/>
                <w:bCs w:val="0"/>
                <w:color w:val="000000"/>
                <w:sz w:val="24"/>
                <w:szCs w:val="24"/>
                <w:highlight w:val="none"/>
                <w:lang w:val="en-US" w:eastAsia="zh-CN"/>
              </w:rPr>
              <w:t>将</w:t>
            </w:r>
            <w:r>
              <w:rPr>
                <w:rFonts w:hint="default" w:ascii="Times New Roman" w:hAnsi="Times New Roman" w:cs="Times New Roman"/>
                <w:b w:val="0"/>
                <w:bCs w:val="0"/>
                <w:color w:val="000000"/>
                <w:sz w:val="24"/>
                <w:szCs w:val="24"/>
                <w:highlight w:val="none"/>
              </w:rPr>
              <w:t>造成大气环境污染事故。</w:t>
            </w:r>
          </w:p>
          <w:p w14:paraId="1EB1E0AE">
            <w:pPr>
              <w:pStyle w:val="33"/>
              <w:numPr>
                <w:ilvl w:val="0"/>
                <w:numId w:val="0"/>
              </w:numPr>
              <w:tabs>
                <w:tab w:val="left" w:pos="0"/>
              </w:tabs>
              <w:spacing w:line="360" w:lineRule="auto"/>
              <w:ind w:left="420" w:leftChars="200"/>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2）地表水环境风险分析</w:t>
            </w:r>
          </w:p>
          <w:p w14:paraId="5F94AA86">
            <w:pPr>
              <w:pStyle w:val="33"/>
              <w:numPr>
                <w:ilvl w:val="0"/>
                <w:numId w:val="0"/>
              </w:numPr>
              <w:tabs>
                <w:tab w:val="left" w:pos="0"/>
              </w:tabs>
              <w:spacing w:line="360" w:lineRule="auto"/>
              <w:ind w:firstLine="480" w:firstLineChars="200"/>
              <w:rPr>
                <w:rFonts w:hint="default" w:ascii="Times New Roman" w:hAnsi="Times New Roman" w:cs="Times New Roman"/>
                <w:b w:val="0"/>
                <w:bCs w:val="0"/>
                <w:color w:val="000000"/>
                <w:sz w:val="24"/>
                <w:szCs w:val="24"/>
                <w:highlight w:val="none"/>
              </w:rPr>
            </w:pPr>
            <w:r>
              <w:rPr>
                <w:rFonts w:hint="default" w:ascii="Times New Roman" w:hAnsi="Times New Roman" w:cs="Times New Roman"/>
                <w:b w:val="0"/>
                <w:bCs w:val="0"/>
                <w:color w:val="000000"/>
                <w:sz w:val="24"/>
                <w:szCs w:val="24"/>
                <w:highlight w:val="none"/>
              </w:rPr>
              <w:t>厂区使用的液体辅料及液体危废在储存及转移途中，若由于包装倾倒、破损导致液体辅料发生泄漏，未被有效拦截，收集将沿地面漫流，若不及时处理可能进入厂区雨水管网，造成地表水污染事故。</w:t>
            </w:r>
          </w:p>
          <w:p w14:paraId="2EC22945">
            <w:pPr>
              <w:spacing w:line="360" w:lineRule="auto"/>
              <w:ind w:firstLine="480" w:firstLineChars="200"/>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3）地下水环境风险分析</w:t>
            </w:r>
          </w:p>
          <w:p w14:paraId="739188CE">
            <w:pPr>
              <w:spacing w:line="360" w:lineRule="auto"/>
              <w:ind w:firstLine="480" w:firstLineChars="200"/>
              <w:rPr>
                <w:rFonts w:hint="default" w:ascii="Times New Roman" w:hAnsi="Times New Roman" w:cs="Times New Roman"/>
                <w:b/>
                <w:bCs/>
                <w:color w:val="000000"/>
                <w:sz w:val="24"/>
                <w:szCs w:val="24"/>
                <w:highlight w:val="none"/>
              </w:rPr>
            </w:pPr>
            <w:r>
              <w:rPr>
                <w:rFonts w:hint="default" w:ascii="Times New Roman" w:hAnsi="Times New Roman" w:cs="Times New Roman"/>
                <w:bCs/>
                <w:color w:val="000000"/>
                <w:sz w:val="24"/>
                <w:szCs w:val="24"/>
                <w:highlight w:val="none"/>
              </w:rPr>
              <w:t>厂区使用的液体辅料</w:t>
            </w:r>
            <w:r>
              <w:rPr>
                <w:rFonts w:hint="default" w:ascii="Times New Roman" w:hAnsi="Times New Roman" w:cs="Times New Roman"/>
                <w:color w:val="000000"/>
                <w:sz w:val="24"/>
                <w:szCs w:val="24"/>
                <w:highlight w:val="none"/>
              </w:rPr>
              <w:t>及液体危废由于包装倾倒、破损导致辅料泄漏事故，若没有采取相应的防渗措施，泄漏的物质将可能通过地面渗入地下水体造成地下水环境污染事故。</w:t>
            </w:r>
          </w:p>
          <w:p w14:paraId="35278807">
            <w:pPr>
              <w:pStyle w:val="48"/>
              <w:ind w:firstLine="422"/>
              <w:rPr>
                <w:rFonts w:hint="default" w:ascii="Times New Roman" w:hAnsi="Times New Roman" w:cs="Times New Roman"/>
                <w:b/>
                <w:bCs/>
                <w:color w:val="000000"/>
                <w:sz w:val="24"/>
                <w:szCs w:val="24"/>
                <w:highlight w:val="none"/>
              </w:rPr>
            </w:pPr>
            <w:r>
              <w:rPr>
                <w:rFonts w:hint="eastAsia" w:ascii="Times New Roman" w:hAnsi="Times New Roman" w:cs="Times New Roman"/>
                <w:b w:val="0"/>
                <w:bCs w:val="0"/>
                <w:color w:val="000000"/>
                <w:sz w:val="24"/>
                <w:szCs w:val="24"/>
                <w:highlight w:val="none"/>
                <w:lang w:eastAsia="zh-CN"/>
              </w:rPr>
              <w:t>（</w:t>
            </w:r>
            <w:r>
              <w:rPr>
                <w:rFonts w:hint="eastAsia" w:ascii="Times New Roman" w:hAnsi="Times New Roman" w:cs="Times New Roman"/>
                <w:b w:val="0"/>
                <w:bCs w:val="0"/>
                <w:color w:val="000000"/>
                <w:sz w:val="24"/>
                <w:szCs w:val="24"/>
                <w:highlight w:val="none"/>
                <w:lang w:val="en-US" w:eastAsia="zh-CN"/>
              </w:rPr>
              <w:t>6</w:t>
            </w:r>
            <w:r>
              <w:rPr>
                <w:rFonts w:hint="eastAsia" w:ascii="Times New Roman" w:hAnsi="Times New Roman" w:cs="Times New Roman"/>
                <w:b w:val="0"/>
                <w:bCs w:val="0"/>
                <w:color w:val="000000"/>
                <w:sz w:val="24"/>
                <w:szCs w:val="24"/>
                <w:highlight w:val="none"/>
                <w:lang w:eastAsia="zh-CN"/>
              </w:rPr>
              <w:t>）</w:t>
            </w:r>
            <w:r>
              <w:rPr>
                <w:rFonts w:hint="default" w:ascii="Times New Roman" w:hAnsi="Times New Roman" w:cs="Times New Roman"/>
                <w:b w:val="0"/>
                <w:bCs w:val="0"/>
                <w:color w:val="000000"/>
                <w:sz w:val="24"/>
                <w:szCs w:val="24"/>
                <w:highlight w:val="none"/>
              </w:rPr>
              <w:t>环境风险防范措施</w:t>
            </w:r>
          </w:p>
          <w:p w14:paraId="18CE5A77">
            <w:pPr>
              <w:spacing w:line="360" w:lineRule="auto"/>
              <w:ind w:firstLine="480" w:firstLineChars="200"/>
              <w:jc w:val="lef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1）原料贮存过程中的风险防范措施</w:t>
            </w:r>
          </w:p>
          <w:p w14:paraId="50F1F447">
            <w:pPr>
              <w:spacing w:line="360" w:lineRule="auto"/>
              <w:ind w:firstLine="480" w:firstLineChars="200"/>
              <w:jc w:val="lef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原料仓库内进行分区储存，液体原料下方设置防泄漏托盘，生产后原料返回储存区统一存放。对原料按计划采购、分期分批进入储存区域，严格控制储存量；对各类火种、火源和有散发火花危险的机械设备、作业活动以及可燃、易燃物品严格控制和管理；实行安全检查制度，各类安全设施、消防器材，进行各种日常的、定期的、专业的防火安全检查，并将发现的问题定人、限期落实整改；制定各种操作规范，加强监督管理，严格看管检查制度，避免事故的发生；制定、落实事故风险应急预案和环境监测计划。</w:t>
            </w:r>
          </w:p>
          <w:p w14:paraId="4AF699EC">
            <w:pPr>
              <w:spacing w:line="360" w:lineRule="auto"/>
              <w:ind w:firstLine="480" w:firstLineChars="200"/>
              <w:jc w:val="lef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2）污染治理措施的风险防范措施</w:t>
            </w:r>
          </w:p>
          <w:p w14:paraId="3C4A5974">
            <w:pPr>
              <w:spacing w:line="360" w:lineRule="auto"/>
              <w:ind w:firstLine="480" w:firstLineChars="200"/>
              <w:jc w:val="lef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设置专门的人员对废气及废水处理设施定期点检并登记；定期监测废气排放情况，若污染治理措施发生故障，立即停止生产。确保废气、废水处理系统正常运行；开、停、检修要有预案，有严密周全的计划，尽量避免事故排放，或使影响最小。</w:t>
            </w:r>
          </w:p>
          <w:p w14:paraId="46366BD9">
            <w:pPr>
              <w:spacing w:line="360" w:lineRule="auto"/>
              <w:ind w:firstLine="480" w:firstLineChars="200"/>
              <w:jc w:val="left"/>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3）危废库的风险防范措施</w:t>
            </w:r>
          </w:p>
          <w:p w14:paraId="4645CC35">
            <w:pPr>
              <w:pStyle w:val="57"/>
              <w:spacing w:line="360" w:lineRule="auto"/>
              <w:ind w:firstLine="480" w:firstLineChars="200"/>
              <w:rPr>
                <w:rFonts w:hint="eastAsia" w:ascii="Times New Roman" w:hAnsi="Times New Roman" w:eastAsia="宋体" w:cs="Times New Roman"/>
                <w:color w:val="000000"/>
                <w:kern w:val="2"/>
                <w:sz w:val="24"/>
                <w:szCs w:val="24"/>
                <w:highlight w:val="none"/>
                <w:lang w:val="en-US" w:eastAsia="zh-CN" w:bidi="ar-SA"/>
              </w:rPr>
            </w:pPr>
            <w:r>
              <w:rPr>
                <w:rFonts w:hint="eastAsia" w:ascii="Times New Roman" w:hAnsi="Times New Roman" w:eastAsia="宋体" w:cs="Times New Roman"/>
                <w:color w:val="000000"/>
                <w:kern w:val="2"/>
                <w:sz w:val="24"/>
                <w:szCs w:val="24"/>
                <w:highlight w:val="none"/>
                <w:lang w:val="en-US" w:eastAsia="zh-CN" w:bidi="ar-SA"/>
              </w:rPr>
              <w:t xml:space="preserve">危废库内进行分区，各危险废物根据性质进行分区存放；建立危险废物管理台账并保存；危废库地面进行防腐防渗处理，液体危废下方设置防泄漏托盘。    </w:t>
            </w:r>
          </w:p>
          <w:p w14:paraId="56627AB7">
            <w:pPr>
              <w:pStyle w:val="57"/>
              <w:spacing w:line="360" w:lineRule="auto"/>
              <w:ind w:firstLine="480" w:firstLineChars="200"/>
              <w:rPr>
                <w:rFonts w:hint="default" w:ascii="Times New Roman" w:hAnsi="Times New Roman" w:eastAsia="宋体" w:cs="Times New Roman"/>
                <w:b/>
                <w:bCs/>
                <w:color w:val="000000"/>
                <w:kern w:val="0"/>
                <w:sz w:val="24"/>
                <w:szCs w:val="24"/>
                <w:highlight w:val="none"/>
              </w:rPr>
            </w:pPr>
            <w:r>
              <w:rPr>
                <w:rFonts w:hint="eastAsia" w:ascii="Times New Roman" w:hAnsi="Times New Roman" w:eastAsia="宋体" w:cs="Times New Roman"/>
                <w:b w:val="0"/>
                <w:bCs w:val="0"/>
                <w:color w:val="000000"/>
                <w:kern w:val="0"/>
                <w:sz w:val="24"/>
                <w:szCs w:val="24"/>
                <w:highlight w:val="none"/>
                <w:lang w:eastAsia="zh-CN"/>
              </w:rPr>
              <w:t>（</w:t>
            </w:r>
            <w:r>
              <w:rPr>
                <w:rFonts w:hint="eastAsia" w:ascii="Times New Roman" w:hAnsi="Times New Roman" w:eastAsia="宋体" w:cs="Times New Roman"/>
                <w:b w:val="0"/>
                <w:bCs w:val="0"/>
                <w:color w:val="000000"/>
                <w:kern w:val="0"/>
                <w:sz w:val="24"/>
                <w:szCs w:val="24"/>
                <w:highlight w:val="none"/>
                <w:lang w:val="en-US" w:eastAsia="zh-CN"/>
              </w:rPr>
              <w:t>7</w:t>
            </w:r>
            <w:r>
              <w:rPr>
                <w:rFonts w:hint="eastAsia" w:ascii="Times New Roman" w:hAnsi="Times New Roman" w:eastAsia="宋体" w:cs="Times New Roman"/>
                <w:b w:val="0"/>
                <w:bCs w:val="0"/>
                <w:color w:val="000000"/>
                <w:kern w:val="0"/>
                <w:sz w:val="24"/>
                <w:szCs w:val="24"/>
                <w:highlight w:val="none"/>
                <w:lang w:eastAsia="zh-CN"/>
              </w:rPr>
              <w:t>）</w:t>
            </w:r>
            <w:r>
              <w:rPr>
                <w:rFonts w:hint="default" w:ascii="Times New Roman" w:hAnsi="Times New Roman" w:eastAsia="宋体" w:cs="Times New Roman"/>
                <w:b w:val="0"/>
                <w:bCs w:val="0"/>
                <w:color w:val="000000"/>
                <w:kern w:val="0"/>
                <w:sz w:val="24"/>
                <w:szCs w:val="24"/>
                <w:highlight w:val="none"/>
              </w:rPr>
              <w:t>应急预案编制要求</w:t>
            </w:r>
          </w:p>
          <w:p w14:paraId="3441F486">
            <w:pPr>
              <w:spacing w:line="360" w:lineRule="auto"/>
              <w:ind w:firstLine="480" w:firstLineChars="200"/>
              <w:jc w:val="lef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为保证企业、社会及人民生命财产的安全，防止突发性重大事故发生，并能在事故发生后迅速有效控制处理，本着“预防为主、自救为主、统一指挥、分工负责”的原则，企业应编制突发环境事件应急预案。</w:t>
            </w:r>
          </w:p>
          <w:p w14:paraId="31295C78">
            <w:pPr>
              <w:pStyle w:val="33"/>
              <w:numPr>
                <w:ilvl w:val="0"/>
                <w:numId w:val="0"/>
              </w:numPr>
              <w:tabs>
                <w:tab w:val="left" w:pos="0"/>
              </w:tabs>
              <w:spacing w:line="360" w:lineRule="auto"/>
              <w:ind w:left="420" w:leftChars="200"/>
              <w:rPr>
                <w:rFonts w:hint="default" w:ascii="Times New Roman" w:hAnsi="Times New Roman" w:cs="Times New Roman"/>
                <w:b w:val="0"/>
                <w:bCs w:val="0"/>
                <w:color w:val="000000"/>
                <w:sz w:val="24"/>
                <w:szCs w:val="24"/>
                <w:highlight w:val="none"/>
              </w:rPr>
            </w:pPr>
            <w:r>
              <w:rPr>
                <w:rFonts w:hint="eastAsia" w:ascii="Times New Roman" w:hAnsi="Times New Roman" w:cs="Times New Roman"/>
                <w:b w:val="0"/>
                <w:bCs w:val="0"/>
                <w:color w:val="000000"/>
                <w:sz w:val="24"/>
                <w:szCs w:val="24"/>
                <w:highlight w:val="none"/>
                <w:lang w:eastAsia="zh-CN"/>
              </w:rPr>
              <w:t>（</w:t>
            </w:r>
            <w:r>
              <w:rPr>
                <w:rFonts w:hint="eastAsia" w:ascii="Times New Roman" w:hAnsi="Times New Roman" w:cs="Times New Roman"/>
                <w:b w:val="0"/>
                <w:bCs w:val="0"/>
                <w:color w:val="000000"/>
                <w:sz w:val="24"/>
                <w:szCs w:val="24"/>
                <w:highlight w:val="none"/>
                <w:lang w:val="en-US" w:eastAsia="zh-CN"/>
              </w:rPr>
              <w:t>8</w:t>
            </w:r>
            <w:r>
              <w:rPr>
                <w:rFonts w:hint="eastAsia" w:ascii="Times New Roman" w:hAnsi="Times New Roman" w:cs="Times New Roman"/>
                <w:b w:val="0"/>
                <w:bCs w:val="0"/>
                <w:color w:val="000000"/>
                <w:sz w:val="24"/>
                <w:szCs w:val="24"/>
                <w:highlight w:val="none"/>
                <w:lang w:eastAsia="zh-CN"/>
              </w:rPr>
              <w:t>）</w:t>
            </w:r>
            <w:r>
              <w:rPr>
                <w:rFonts w:hint="default" w:ascii="Times New Roman" w:hAnsi="Times New Roman" w:cs="Times New Roman"/>
                <w:b w:val="0"/>
                <w:bCs w:val="0"/>
                <w:color w:val="000000"/>
                <w:sz w:val="24"/>
                <w:szCs w:val="24"/>
                <w:highlight w:val="none"/>
              </w:rPr>
              <w:t>分析结论</w:t>
            </w:r>
          </w:p>
          <w:p w14:paraId="4E73DB0F">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r>
              <w:rPr>
                <w:rStyle w:val="59"/>
                <w:rFonts w:hint="default" w:ascii="Times New Roman" w:hAnsi="Times New Roman" w:eastAsia="宋体" w:cs="Times New Roman"/>
                <w:b w:val="0"/>
                <w:color w:val="000000"/>
                <w:sz w:val="24"/>
                <w:szCs w:val="24"/>
                <w:highlight w:val="none"/>
              </w:rPr>
              <w:t>本项目符合国家产业政策，生产技术可靠，不在国家明令淘汰之列，选择的生产设施与设备安全、可靠，总平面布置方案基本合理。该项目虽存在危险有害因素及危险有害物质，但在采取拟选用和本报告提出的对策、措施建议后，项目存在的危险、有害因素可以得到有效控制，其风险程度可以接受。</w:t>
            </w:r>
          </w:p>
          <w:p w14:paraId="231D70E0">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49B5D01F">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08335BC3">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16CC5101">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625329EB">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13081A50">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12A8BBE9">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235F4915">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5C99F223">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34864244">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557D2CAD">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18DB304F">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40DF4B47">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1B805018">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47F9A48E">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28CE13A3">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32CEE215">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p w14:paraId="32ED15D8">
            <w:pPr>
              <w:pStyle w:val="58"/>
              <w:ind w:left="0" w:firstLine="480" w:firstLineChars="200"/>
              <w:jc w:val="left"/>
              <w:outlineLvl w:val="9"/>
              <w:rPr>
                <w:rStyle w:val="59"/>
                <w:rFonts w:hint="default" w:ascii="Times New Roman" w:hAnsi="Times New Roman" w:eastAsia="宋体" w:cs="Times New Roman"/>
                <w:b w:val="0"/>
                <w:color w:val="000000"/>
                <w:sz w:val="24"/>
                <w:szCs w:val="24"/>
                <w:highlight w:val="none"/>
              </w:rPr>
            </w:pPr>
          </w:p>
        </w:tc>
      </w:tr>
    </w:tbl>
    <w:p w14:paraId="53A70AE7">
      <w:pPr>
        <w:adjustRightInd w:val="0"/>
        <w:snapToGrid w:val="0"/>
        <w:jc w:val="center"/>
        <w:rPr>
          <w:rFonts w:hint="default" w:ascii="Times New Roman" w:hAnsi="Times New Roman" w:cs="Times New Roman"/>
          <w:bCs/>
          <w:color w:val="auto"/>
          <w:szCs w:val="21"/>
          <w:highlight w:val="none"/>
        </w:rPr>
        <w:sectPr>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14:paraId="31251FF9">
      <w:pPr>
        <w:pStyle w:val="23"/>
        <w:jc w:val="center"/>
        <w:outlineLvl w:val="0"/>
        <w:rPr>
          <w:rFonts w:hint="default" w:ascii="Times New Roman" w:hAnsi="Times New Roman" w:eastAsia="黑体" w:cs="Times New Roman"/>
          <w:snapToGrid w:val="0"/>
          <w:color w:val="auto"/>
          <w:sz w:val="30"/>
          <w:szCs w:val="30"/>
          <w:highlight w:val="none"/>
        </w:rPr>
        <w:sectPr>
          <w:type w:val="continuous"/>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14:paraId="3BB58001">
      <w:pPr>
        <w:pStyle w:val="23"/>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五、</w:t>
      </w:r>
      <w:bookmarkStart w:id="3" w:name="_Hlk54167917"/>
      <w:r>
        <w:rPr>
          <w:rFonts w:hint="default" w:ascii="Times New Roman" w:hAnsi="Times New Roman" w:eastAsia="黑体" w:cs="Times New Roman"/>
          <w:snapToGrid w:val="0"/>
          <w:color w:val="auto"/>
          <w:sz w:val="30"/>
          <w:szCs w:val="30"/>
          <w:highlight w:val="none"/>
        </w:rPr>
        <w:t>环境保护措施监督检查清单</w:t>
      </w:r>
      <w:bookmarkEnd w:id="3"/>
    </w:p>
    <w:tbl>
      <w:tblPr>
        <w:tblStyle w:val="25"/>
        <w:tblW w:w="90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069"/>
        <w:gridCol w:w="1500"/>
        <w:gridCol w:w="1725"/>
        <w:gridCol w:w="810"/>
        <w:gridCol w:w="1395"/>
        <w:gridCol w:w="2561"/>
      </w:tblGrid>
      <w:tr w14:paraId="6548D2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567" w:hRule="atLeast"/>
          <w:jc w:val="center"/>
        </w:trPr>
        <w:tc>
          <w:tcPr>
            <w:tcW w:w="1069" w:type="dxa"/>
            <w:tcBorders>
              <w:tl2br w:val="single" w:color="auto" w:sz="4" w:space="0"/>
            </w:tcBorders>
            <w:noWrap w:val="0"/>
            <w:vAlign w:val="top"/>
          </w:tcPr>
          <w:p w14:paraId="06F326F6">
            <w:pPr>
              <w:adjustRightInd w:val="0"/>
              <w:snapToGrid w:val="0"/>
              <w:spacing w:line="240" w:lineRule="auto"/>
              <w:jc w:val="righ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内容</w:t>
            </w:r>
          </w:p>
          <w:p w14:paraId="4F6C773F">
            <w:pPr>
              <w:adjustRightInd w:val="0"/>
              <w:snapToGrid w:val="0"/>
              <w:spacing w:line="240" w:lineRule="auto"/>
              <w:rPr>
                <w:rFonts w:hint="default" w:ascii="Times New Roman" w:hAnsi="Times New Roman" w:cs="Times New Roman"/>
                <w:color w:val="auto"/>
                <w:sz w:val="21"/>
                <w:szCs w:val="21"/>
                <w:highlight w:val="none"/>
              </w:rPr>
            </w:pPr>
          </w:p>
          <w:p w14:paraId="1AABE97B">
            <w:pPr>
              <w:adjustRightInd w:val="0"/>
              <w:snapToGrid w:val="0"/>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要素</w:t>
            </w:r>
          </w:p>
        </w:tc>
        <w:tc>
          <w:tcPr>
            <w:tcW w:w="1500" w:type="dxa"/>
            <w:noWrap w:val="0"/>
            <w:vAlign w:val="center"/>
          </w:tcPr>
          <w:p w14:paraId="4B327395">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排放口(编号、名称)/污染源</w:t>
            </w:r>
          </w:p>
        </w:tc>
        <w:tc>
          <w:tcPr>
            <w:tcW w:w="1725" w:type="dxa"/>
            <w:noWrap w:val="0"/>
            <w:vAlign w:val="center"/>
          </w:tcPr>
          <w:p w14:paraId="2F3D46F8">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污染物项目</w:t>
            </w:r>
          </w:p>
        </w:tc>
        <w:tc>
          <w:tcPr>
            <w:tcW w:w="2205" w:type="dxa"/>
            <w:gridSpan w:val="2"/>
            <w:noWrap w:val="0"/>
            <w:vAlign w:val="center"/>
          </w:tcPr>
          <w:p w14:paraId="0664FB18">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环境保护措施</w:t>
            </w:r>
          </w:p>
        </w:tc>
        <w:tc>
          <w:tcPr>
            <w:tcW w:w="2561" w:type="dxa"/>
            <w:noWrap w:val="0"/>
            <w:vAlign w:val="center"/>
          </w:tcPr>
          <w:p w14:paraId="42F827FA">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执行标准</w:t>
            </w:r>
          </w:p>
        </w:tc>
      </w:tr>
      <w:tr w14:paraId="6ED8C7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1069" w:type="dxa"/>
            <w:vMerge w:val="restart"/>
            <w:noWrap w:val="0"/>
            <w:vAlign w:val="center"/>
          </w:tcPr>
          <w:p w14:paraId="4062A642">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大气环境</w:t>
            </w:r>
          </w:p>
        </w:tc>
        <w:tc>
          <w:tcPr>
            <w:tcW w:w="1500" w:type="dxa"/>
            <w:noWrap w:val="0"/>
            <w:vAlign w:val="center"/>
          </w:tcPr>
          <w:p w14:paraId="3935337F">
            <w:pPr>
              <w:adjustRightInd w:val="0"/>
              <w:snapToGrid w:val="0"/>
              <w:spacing w:line="240" w:lineRule="auto"/>
              <w:jc w:val="center"/>
              <w:textAlignment w:val="baseline"/>
              <w:rPr>
                <w:rFonts w:hint="default" w:ascii="Times New Roman" w:hAnsi="Times New Roman" w:cs="Times New Roman"/>
                <w:color w:val="auto"/>
                <w:sz w:val="21"/>
                <w:szCs w:val="21"/>
                <w:highlight w:val="none"/>
                <w:lang w:val="en-US" w:eastAsia="zh-CN"/>
              </w:rPr>
            </w:pPr>
            <w:r>
              <w:rPr>
                <w:rFonts w:hint="eastAsia" w:cs="Times New Roman"/>
                <w:b w:val="0"/>
                <w:bCs w:val="0"/>
                <w:color w:val="auto"/>
                <w:kern w:val="0"/>
                <w:sz w:val="21"/>
                <w:szCs w:val="21"/>
                <w:highlight w:val="none"/>
                <w:lang w:val="en-US" w:eastAsia="zh-CN"/>
              </w:rPr>
              <w:t>锡膏</w:t>
            </w:r>
            <w:r>
              <w:rPr>
                <w:rFonts w:hint="eastAsia" w:cs="Times New Roman"/>
                <w:b w:val="0"/>
                <w:bCs w:val="0"/>
                <w:color w:val="auto"/>
                <w:kern w:val="0"/>
                <w:sz w:val="21"/>
                <w:szCs w:val="21"/>
                <w:highlight w:val="none"/>
                <w:lang w:eastAsia="zh-CN"/>
              </w:rPr>
              <w:t>印刷废气</w:t>
            </w:r>
          </w:p>
        </w:tc>
        <w:tc>
          <w:tcPr>
            <w:tcW w:w="1725" w:type="dxa"/>
            <w:noWrap w:val="0"/>
            <w:vAlign w:val="center"/>
          </w:tcPr>
          <w:p w14:paraId="71F36A7C">
            <w:pPr>
              <w:adjustRightInd w:val="0"/>
              <w:snapToGrid w:val="0"/>
              <w:spacing w:line="240" w:lineRule="auto"/>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非甲烷总烃</w:t>
            </w:r>
          </w:p>
        </w:tc>
        <w:tc>
          <w:tcPr>
            <w:tcW w:w="810" w:type="dxa"/>
            <w:vMerge w:val="restart"/>
            <w:noWrap w:val="0"/>
            <w:vAlign w:val="center"/>
          </w:tcPr>
          <w:p w14:paraId="1C95A20B">
            <w:pPr>
              <w:adjustRightInd w:val="0"/>
              <w:snapToGrid w:val="0"/>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集气罩收集</w:t>
            </w:r>
          </w:p>
        </w:tc>
        <w:tc>
          <w:tcPr>
            <w:tcW w:w="1395" w:type="dxa"/>
            <w:vMerge w:val="restart"/>
            <w:noWrap w:val="0"/>
            <w:vAlign w:val="center"/>
          </w:tcPr>
          <w:p w14:paraId="41CD0EB9">
            <w:pPr>
              <w:adjustRightInd w:val="0"/>
              <w:snapToGrid w:val="0"/>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rPr>
              <w:t>干式过滤器+</w:t>
            </w:r>
            <w:r>
              <w:rPr>
                <w:rFonts w:hint="eastAsia" w:cs="Times New Roman"/>
                <w:color w:val="auto"/>
                <w:sz w:val="21"/>
                <w:szCs w:val="21"/>
                <w:highlight w:val="none"/>
                <w:lang w:val="en-US" w:eastAsia="zh-CN"/>
              </w:rPr>
              <w:t>二级活性炭吸附装置+23m高排气筒（DA001）</w:t>
            </w:r>
          </w:p>
        </w:tc>
        <w:tc>
          <w:tcPr>
            <w:tcW w:w="2561" w:type="dxa"/>
            <w:vMerge w:val="restart"/>
            <w:noWrap w:val="0"/>
            <w:vAlign w:val="center"/>
          </w:tcPr>
          <w:p w14:paraId="7A74606B">
            <w:pPr>
              <w:adjustRightInd w:val="0"/>
              <w:snapToGrid w:val="0"/>
              <w:spacing w:line="240" w:lineRule="auto"/>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颗粒物、锡及其化合物排放执行《大气污染物综合排放标准》（GB16297-1996）中二级标准及无组织排放监控限值要求；有组织、厂区内非甲烷总烃排放从严执行安徽省地方标准《固定源挥发性有机物综合排放标准第6部分：其他行业》（DB34/4812.6—2024）中的标准限值；厂界非甲烷总烃排放执行《大气污染物综合排放标准》（GB16297-1996）中的无组织排放监控限值要求</w:t>
            </w:r>
          </w:p>
        </w:tc>
      </w:tr>
      <w:tr w14:paraId="46A5E4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1069" w:type="dxa"/>
            <w:vMerge w:val="continue"/>
            <w:noWrap w:val="0"/>
            <w:vAlign w:val="center"/>
          </w:tcPr>
          <w:p w14:paraId="3505D67A">
            <w:pPr>
              <w:adjustRightInd w:val="0"/>
              <w:snapToGrid w:val="0"/>
              <w:spacing w:line="240" w:lineRule="auto"/>
              <w:jc w:val="center"/>
              <w:rPr>
                <w:rFonts w:hint="default" w:ascii="Times New Roman" w:hAnsi="Times New Roman" w:cs="Times New Roman"/>
                <w:color w:val="auto"/>
                <w:sz w:val="21"/>
                <w:szCs w:val="21"/>
                <w:highlight w:val="none"/>
              </w:rPr>
            </w:pPr>
          </w:p>
        </w:tc>
        <w:tc>
          <w:tcPr>
            <w:tcW w:w="1500" w:type="dxa"/>
            <w:noWrap w:val="0"/>
            <w:vAlign w:val="center"/>
          </w:tcPr>
          <w:p w14:paraId="2FDD93A3">
            <w:pPr>
              <w:adjustRightInd w:val="0"/>
              <w:snapToGrid w:val="0"/>
              <w:spacing w:line="240" w:lineRule="auto"/>
              <w:jc w:val="center"/>
              <w:textAlignment w:val="baseline"/>
              <w:rPr>
                <w:rFonts w:hint="default" w:ascii="Times New Roman" w:hAnsi="Times New Roman" w:cs="Times New Roman"/>
                <w:color w:val="auto"/>
                <w:sz w:val="21"/>
                <w:szCs w:val="21"/>
                <w:highlight w:val="none"/>
                <w:lang w:val="en-US" w:eastAsia="zh-CN"/>
              </w:rPr>
            </w:pPr>
            <w:r>
              <w:rPr>
                <w:rFonts w:hint="eastAsia" w:cs="Times New Roman"/>
                <w:color w:val="auto"/>
                <w:kern w:val="0"/>
                <w:sz w:val="21"/>
                <w:szCs w:val="21"/>
                <w:highlight w:val="none"/>
                <w:lang w:val="en-US" w:eastAsia="zh-CN"/>
              </w:rPr>
              <w:t>钢网擦拭废气</w:t>
            </w:r>
          </w:p>
        </w:tc>
        <w:tc>
          <w:tcPr>
            <w:tcW w:w="1725" w:type="dxa"/>
            <w:noWrap w:val="0"/>
            <w:vAlign w:val="center"/>
          </w:tcPr>
          <w:p w14:paraId="4EDAB79F">
            <w:pPr>
              <w:adjustRightInd w:val="0"/>
              <w:snapToGrid w:val="0"/>
              <w:spacing w:line="240" w:lineRule="auto"/>
              <w:jc w:val="center"/>
              <w:textAlignment w:val="baseline"/>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非甲</w:t>
            </w:r>
            <w:r>
              <w:rPr>
                <w:rFonts w:hint="eastAsia" w:ascii="黑体" w:hAnsi="黑体" w:eastAsia="黑体" w:cs="黑体"/>
                <w:color w:val="auto"/>
                <w:sz w:val="21"/>
                <w:szCs w:val="21"/>
                <w:highlight w:val="none"/>
                <w:lang w:val="en-US" w:eastAsia="zh-CN"/>
              </w:rPr>
              <w:t>烷总</w:t>
            </w:r>
            <w:r>
              <w:rPr>
                <w:rFonts w:hint="eastAsia" w:ascii="Times New Roman" w:hAnsi="Times New Roman" w:cs="Times New Roman"/>
                <w:color w:val="auto"/>
                <w:sz w:val="21"/>
                <w:szCs w:val="21"/>
                <w:highlight w:val="none"/>
                <w:lang w:val="en-US" w:eastAsia="zh-CN"/>
              </w:rPr>
              <w:t>烃</w:t>
            </w:r>
          </w:p>
        </w:tc>
        <w:tc>
          <w:tcPr>
            <w:tcW w:w="810" w:type="dxa"/>
            <w:vMerge w:val="continue"/>
            <w:noWrap w:val="0"/>
            <w:vAlign w:val="center"/>
          </w:tcPr>
          <w:p w14:paraId="16C3A415">
            <w:pPr>
              <w:adjustRightInd w:val="0"/>
              <w:snapToGrid w:val="0"/>
              <w:spacing w:line="240" w:lineRule="auto"/>
              <w:jc w:val="center"/>
              <w:textAlignment w:val="baseline"/>
              <w:rPr>
                <w:rFonts w:hint="default" w:ascii="Times New Roman" w:hAnsi="Times New Roman" w:cs="Times New Roman"/>
                <w:color w:val="auto"/>
                <w:sz w:val="21"/>
                <w:szCs w:val="21"/>
                <w:highlight w:val="none"/>
              </w:rPr>
            </w:pPr>
          </w:p>
        </w:tc>
        <w:tc>
          <w:tcPr>
            <w:tcW w:w="1395" w:type="dxa"/>
            <w:vMerge w:val="continue"/>
            <w:noWrap w:val="0"/>
            <w:vAlign w:val="center"/>
          </w:tcPr>
          <w:p w14:paraId="7BB0C730">
            <w:pPr>
              <w:adjustRightInd w:val="0"/>
              <w:snapToGrid w:val="0"/>
              <w:spacing w:line="240" w:lineRule="auto"/>
              <w:jc w:val="center"/>
              <w:textAlignment w:val="baseline"/>
              <w:rPr>
                <w:rFonts w:hint="default" w:ascii="Times New Roman" w:hAnsi="Times New Roman" w:cs="Times New Roman"/>
                <w:color w:val="auto"/>
                <w:sz w:val="21"/>
                <w:szCs w:val="21"/>
                <w:highlight w:val="none"/>
              </w:rPr>
            </w:pPr>
          </w:p>
        </w:tc>
        <w:tc>
          <w:tcPr>
            <w:tcW w:w="2561" w:type="dxa"/>
            <w:vMerge w:val="continue"/>
            <w:noWrap w:val="0"/>
            <w:vAlign w:val="center"/>
          </w:tcPr>
          <w:p w14:paraId="0B637D5E">
            <w:pPr>
              <w:adjustRightInd w:val="0"/>
              <w:snapToGrid w:val="0"/>
              <w:spacing w:line="240" w:lineRule="auto"/>
              <w:jc w:val="center"/>
              <w:rPr>
                <w:rFonts w:hint="default" w:ascii="Times New Roman" w:hAnsi="Times New Roman" w:cs="Times New Roman"/>
                <w:color w:val="auto"/>
                <w:sz w:val="21"/>
                <w:szCs w:val="21"/>
                <w:highlight w:val="none"/>
              </w:rPr>
            </w:pPr>
          </w:p>
        </w:tc>
      </w:tr>
      <w:tr w14:paraId="18B3C5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52" w:hRule="atLeast"/>
          <w:jc w:val="center"/>
        </w:trPr>
        <w:tc>
          <w:tcPr>
            <w:tcW w:w="1069" w:type="dxa"/>
            <w:vMerge w:val="continue"/>
            <w:noWrap w:val="0"/>
            <w:vAlign w:val="center"/>
          </w:tcPr>
          <w:p w14:paraId="19EF774F">
            <w:pPr>
              <w:adjustRightInd w:val="0"/>
              <w:snapToGrid w:val="0"/>
              <w:spacing w:line="240" w:lineRule="auto"/>
              <w:jc w:val="center"/>
              <w:rPr>
                <w:rFonts w:hint="default" w:ascii="Times New Roman" w:hAnsi="Times New Roman" w:cs="Times New Roman"/>
                <w:color w:val="auto"/>
                <w:sz w:val="21"/>
                <w:szCs w:val="21"/>
                <w:highlight w:val="none"/>
              </w:rPr>
            </w:pPr>
          </w:p>
        </w:tc>
        <w:tc>
          <w:tcPr>
            <w:tcW w:w="1500" w:type="dxa"/>
            <w:noWrap w:val="0"/>
            <w:vAlign w:val="center"/>
          </w:tcPr>
          <w:p w14:paraId="003C8E00">
            <w:pPr>
              <w:adjustRightInd w:val="0"/>
              <w:snapToGrid w:val="0"/>
              <w:spacing w:line="240" w:lineRule="auto"/>
              <w:jc w:val="center"/>
              <w:textAlignment w:val="baseline"/>
              <w:rPr>
                <w:rFonts w:hint="default" w:ascii="Times New Roman" w:hAnsi="Times New Roman" w:cs="Times New Roman"/>
                <w:color w:val="auto"/>
                <w:sz w:val="21"/>
                <w:szCs w:val="21"/>
                <w:highlight w:val="none"/>
                <w:lang w:val="en-US" w:eastAsia="zh-CN"/>
              </w:rPr>
            </w:pPr>
            <w:r>
              <w:rPr>
                <w:rFonts w:hint="eastAsia" w:cs="Times New Roman"/>
                <w:color w:val="auto"/>
                <w:kern w:val="0"/>
                <w:sz w:val="21"/>
                <w:szCs w:val="21"/>
                <w:highlight w:val="none"/>
                <w:lang w:eastAsia="zh-CN"/>
              </w:rPr>
              <w:t>回流焊</w:t>
            </w:r>
            <w:r>
              <w:rPr>
                <w:rFonts w:hint="default" w:ascii="Times New Roman" w:hAnsi="Times New Roman" w:cs="Times New Roman"/>
                <w:color w:val="auto"/>
                <w:kern w:val="0"/>
                <w:sz w:val="21"/>
                <w:szCs w:val="21"/>
                <w:highlight w:val="none"/>
              </w:rPr>
              <w:t>废气</w:t>
            </w:r>
          </w:p>
        </w:tc>
        <w:tc>
          <w:tcPr>
            <w:tcW w:w="1725" w:type="dxa"/>
            <w:noWrap w:val="0"/>
            <w:vAlign w:val="center"/>
          </w:tcPr>
          <w:p w14:paraId="16AF0708">
            <w:pPr>
              <w:adjustRightInd w:val="0"/>
              <w:snapToGrid w:val="0"/>
              <w:spacing w:line="240" w:lineRule="auto"/>
              <w:jc w:val="center"/>
              <w:textAlignment w:val="baseline"/>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非甲烷总烃、</w:t>
            </w:r>
          </w:p>
          <w:p w14:paraId="2AFB0211">
            <w:pPr>
              <w:adjustRightInd w:val="0"/>
              <w:snapToGrid w:val="0"/>
              <w:spacing w:line="240" w:lineRule="auto"/>
              <w:jc w:val="center"/>
              <w:textAlignment w:val="baseline"/>
              <w:rPr>
                <w:rFonts w:hint="eastAsia"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颗粒物</w:t>
            </w:r>
            <w:r>
              <w:rPr>
                <w:rFonts w:hint="eastAsia" w:cs="Times New Roman"/>
                <w:color w:val="auto"/>
                <w:sz w:val="21"/>
                <w:szCs w:val="21"/>
                <w:highlight w:val="none"/>
                <w:lang w:val="en-US" w:eastAsia="zh-CN"/>
              </w:rPr>
              <w:t>、</w:t>
            </w:r>
          </w:p>
          <w:p w14:paraId="54950245">
            <w:pPr>
              <w:adjustRightInd w:val="0"/>
              <w:snapToGrid w:val="0"/>
              <w:spacing w:line="240" w:lineRule="auto"/>
              <w:jc w:val="center"/>
              <w:textAlignment w:val="baseline"/>
              <w:rPr>
                <w:rFonts w:hint="eastAsia"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锡及其化合物</w:t>
            </w:r>
          </w:p>
        </w:tc>
        <w:tc>
          <w:tcPr>
            <w:tcW w:w="810" w:type="dxa"/>
            <w:noWrap w:val="0"/>
            <w:vAlign w:val="center"/>
          </w:tcPr>
          <w:p w14:paraId="678C8908">
            <w:pPr>
              <w:adjustRightInd w:val="0"/>
              <w:snapToGrid w:val="0"/>
              <w:spacing w:line="240" w:lineRule="auto"/>
              <w:jc w:val="center"/>
              <w:textAlignment w:val="baseline"/>
              <w:rPr>
                <w:rFonts w:hint="default" w:ascii="Times New Roman" w:hAnsi="Times New Roman" w:cs="Times New Roman"/>
                <w:color w:val="auto"/>
                <w:sz w:val="21"/>
                <w:szCs w:val="21"/>
                <w:highlight w:val="none"/>
              </w:rPr>
            </w:pPr>
            <w:r>
              <w:rPr>
                <w:rFonts w:hint="eastAsia" w:cs="Times New Roman"/>
                <w:color w:val="auto"/>
                <w:sz w:val="21"/>
                <w:szCs w:val="21"/>
                <w:highlight w:val="none"/>
                <w:lang w:val="en-US" w:eastAsia="zh-CN"/>
              </w:rPr>
              <w:t>管道收集</w:t>
            </w:r>
          </w:p>
        </w:tc>
        <w:tc>
          <w:tcPr>
            <w:tcW w:w="1395" w:type="dxa"/>
            <w:vMerge w:val="continue"/>
            <w:noWrap w:val="0"/>
            <w:vAlign w:val="center"/>
          </w:tcPr>
          <w:p w14:paraId="20B145E6">
            <w:pPr>
              <w:adjustRightInd w:val="0"/>
              <w:snapToGrid w:val="0"/>
              <w:spacing w:line="240" w:lineRule="auto"/>
              <w:jc w:val="center"/>
              <w:textAlignment w:val="baseline"/>
              <w:rPr>
                <w:rFonts w:hint="eastAsia" w:cs="Times New Roman"/>
                <w:color w:val="auto"/>
                <w:sz w:val="21"/>
                <w:szCs w:val="21"/>
                <w:highlight w:val="none"/>
                <w:lang w:val="en-US" w:eastAsia="zh-CN"/>
              </w:rPr>
            </w:pPr>
          </w:p>
        </w:tc>
        <w:tc>
          <w:tcPr>
            <w:tcW w:w="2561" w:type="dxa"/>
            <w:vMerge w:val="continue"/>
            <w:noWrap w:val="0"/>
            <w:vAlign w:val="center"/>
          </w:tcPr>
          <w:p w14:paraId="0F114A98">
            <w:pPr>
              <w:adjustRightInd w:val="0"/>
              <w:snapToGrid w:val="0"/>
              <w:spacing w:line="240" w:lineRule="auto"/>
              <w:jc w:val="center"/>
              <w:rPr>
                <w:rFonts w:hint="default" w:ascii="Times New Roman" w:hAnsi="Times New Roman" w:cs="Times New Roman"/>
                <w:color w:val="auto"/>
                <w:sz w:val="21"/>
                <w:szCs w:val="21"/>
                <w:highlight w:val="none"/>
              </w:rPr>
            </w:pPr>
          </w:p>
        </w:tc>
      </w:tr>
      <w:tr w14:paraId="7D9F1C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52" w:hRule="atLeast"/>
          <w:jc w:val="center"/>
        </w:trPr>
        <w:tc>
          <w:tcPr>
            <w:tcW w:w="1069" w:type="dxa"/>
            <w:vMerge w:val="continue"/>
            <w:noWrap w:val="0"/>
            <w:vAlign w:val="center"/>
          </w:tcPr>
          <w:p w14:paraId="767CDE3A">
            <w:pPr>
              <w:adjustRightInd w:val="0"/>
              <w:snapToGrid w:val="0"/>
              <w:spacing w:line="240" w:lineRule="auto"/>
              <w:jc w:val="center"/>
              <w:rPr>
                <w:rFonts w:hint="default" w:ascii="Times New Roman" w:hAnsi="Times New Roman" w:cs="Times New Roman"/>
                <w:color w:val="auto"/>
                <w:sz w:val="21"/>
                <w:szCs w:val="21"/>
                <w:highlight w:val="none"/>
              </w:rPr>
            </w:pPr>
          </w:p>
        </w:tc>
        <w:tc>
          <w:tcPr>
            <w:tcW w:w="1500" w:type="dxa"/>
            <w:noWrap w:val="0"/>
            <w:vAlign w:val="center"/>
          </w:tcPr>
          <w:p w14:paraId="1F754785">
            <w:pPr>
              <w:adjustRightInd w:val="0"/>
              <w:snapToGrid w:val="0"/>
              <w:spacing w:line="240" w:lineRule="auto"/>
              <w:jc w:val="center"/>
              <w:textAlignment w:val="baseline"/>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挤出废气</w:t>
            </w:r>
          </w:p>
        </w:tc>
        <w:tc>
          <w:tcPr>
            <w:tcW w:w="1725" w:type="dxa"/>
            <w:noWrap w:val="0"/>
            <w:vAlign w:val="center"/>
          </w:tcPr>
          <w:p w14:paraId="0A71DE66">
            <w:pPr>
              <w:adjustRightInd w:val="0"/>
              <w:snapToGrid w:val="0"/>
              <w:spacing w:line="240" w:lineRule="auto"/>
              <w:jc w:val="center"/>
              <w:textAlignment w:val="baseline"/>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非甲烷总烃、</w:t>
            </w:r>
          </w:p>
          <w:p w14:paraId="61FF5DC5">
            <w:pPr>
              <w:adjustRightInd w:val="0"/>
              <w:snapToGrid w:val="0"/>
              <w:spacing w:line="240" w:lineRule="auto"/>
              <w:jc w:val="center"/>
              <w:textAlignment w:val="baseline"/>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甲苯、</w:t>
            </w:r>
          </w:p>
          <w:p w14:paraId="3E3A7494">
            <w:pPr>
              <w:adjustRightInd w:val="0"/>
              <w:snapToGrid w:val="0"/>
              <w:spacing w:line="240" w:lineRule="auto"/>
              <w:jc w:val="center"/>
              <w:textAlignment w:val="baseline"/>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乙苯、</w:t>
            </w:r>
          </w:p>
          <w:p w14:paraId="1CECC746">
            <w:pPr>
              <w:adjustRightInd w:val="0"/>
              <w:snapToGrid w:val="0"/>
              <w:spacing w:line="240" w:lineRule="auto"/>
              <w:jc w:val="center"/>
              <w:textAlignment w:val="baseline"/>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苯乙烯</w:t>
            </w:r>
          </w:p>
        </w:tc>
        <w:tc>
          <w:tcPr>
            <w:tcW w:w="810" w:type="dxa"/>
            <w:noWrap w:val="0"/>
            <w:vAlign w:val="center"/>
          </w:tcPr>
          <w:p w14:paraId="5B90E842">
            <w:pPr>
              <w:adjustRightInd w:val="0"/>
              <w:snapToGrid w:val="0"/>
              <w:spacing w:line="240" w:lineRule="auto"/>
              <w:jc w:val="center"/>
              <w:textAlignment w:val="baseline"/>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集气罩收集</w:t>
            </w:r>
          </w:p>
        </w:tc>
        <w:tc>
          <w:tcPr>
            <w:tcW w:w="1395" w:type="dxa"/>
            <w:vMerge w:val="continue"/>
            <w:noWrap w:val="0"/>
            <w:vAlign w:val="center"/>
          </w:tcPr>
          <w:p w14:paraId="246705F8">
            <w:pPr>
              <w:adjustRightInd w:val="0"/>
              <w:snapToGrid w:val="0"/>
              <w:spacing w:line="240" w:lineRule="auto"/>
              <w:jc w:val="center"/>
              <w:textAlignment w:val="baseline"/>
              <w:rPr>
                <w:rFonts w:hint="eastAsia" w:cs="Times New Roman"/>
                <w:color w:val="auto"/>
                <w:sz w:val="21"/>
                <w:szCs w:val="21"/>
                <w:highlight w:val="none"/>
                <w:lang w:val="en-US" w:eastAsia="zh-CN"/>
              </w:rPr>
            </w:pPr>
          </w:p>
        </w:tc>
        <w:tc>
          <w:tcPr>
            <w:tcW w:w="2561" w:type="dxa"/>
            <w:vMerge w:val="continue"/>
            <w:noWrap w:val="0"/>
            <w:vAlign w:val="center"/>
          </w:tcPr>
          <w:p w14:paraId="38F34C5F">
            <w:pPr>
              <w:adjustRightInd w:val="0"/>
              <w:snapToGrid w:val="0"/>
              <w:spacing w:line="240" w:lineRule="auto"/>
              <w:jc w:val="center"/>
              <w:rPr>
                <w:rFonts w:hint="default" w:ascii="Times New Roman" w:hAnsi="Times New Roman" w:cs="Times New Roman"/>
                <w:color w:val="auto"/>
                <w:sz w:val="21"/>
                <w:szCs w:val="21"/>
                <w:highlight w:val="none"/>
              </w:rPr>
            </w:pPr>
          </w:p>
        </w:tc>
      </w:tr>
      <w:tr w14:paraId="73128B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9" w:type="dxa"/>
            <w:vMerge w:val="continue"/>
            <w:noWrap w:val="0"/>
            <w:vAlign w:val="center"/>
          </w:tcPr>
          <w:p w14:paraId="676CAF87">
            <w:pPr>
              <w:adjustRightInd w:val="0"/>
              <w:snapToGrid w:val="0"/>
              <w:spacing w:line="240" w:lineRule="auto"/>
              <w:jc w:val="center"/>
              <w:rPr>
                <w:rFonts w:hint="default" w:ascii="Times New Roman" w:hAnsi="Times New Roman" w:cs="Times New Roman"/>
                <w:color w:val="auto"/>
                <w:sz w:val="21"/>
                <w:szCs w:val="21"/>
                <w:highlight w:val="none"/>
              </w:rPr>
            </w:pPr>
          </w:p>
        </w:tc>
        <w:tc>
          <w:tcPr>
            <w:tcW w:w="1500" w:type="dxa"/>
            <w:noWrap w:val="0"/>
            <w:vAlign w:val="center"/>
          </w:tcPr>
          <w:p w14:paraId="2E26989F">
            <w:pPr>
              <w:adjustRightInd w:val="0"/>
              <w:snapToGrid w:val="0"/>
              <w:spacing w:line="240" w:lineRule="auto"/>
              <w:jc w:val="center"/>
              <w:textAlignment w:val="baseline"/>
              <w:rPr>
                <w:rFonts w:hint="eastAsia" w:cs="Times New Roman"/>
                <w:color w:val="auto"/>
                <w:kern w:val="0"/>
                <w:sz w:val="21"/>
                <w:szCs w:val="21"/>
                <w:highlight w:val="none"/>
                <w:lang w:eastAsia="zh-CN"/>
              </w:rPr>
            </w:pPr>
            <w:r>
              <w:rPr>
                <w:rFonts w:hint="eastAsia" w:cs="Times New Roman"/>
                <w:color w:val="auto"/>
                <w:kern w:val="0"/>
                <w:sz w:val="21"/>
                <w:szCs w:val="21"/>
                <w:highlight w:val="none"/>
                <w:lang w:eastAsia="zh-CN"/>
              </w:rPr>
              <w:t>手工焊</w:t>
            </w:r>
            <w:r>
              <w:rPr>
                <w:rFonts w:hint="default" w:ascii="Times New Roman" w:hAnsi="Times New Roman" w:cs="Times New Roman"/>
                <w:color w:val="auto"/>
                <w:kern w:val="0"/>
                <w:sz w:val="21"/>
                <w:szCs w:val="21"/>
                <w:highlight w:val="none"/>
              </w:rPr>
              <w:t>废气</w:t>
            </w:r>
          </w:p>
        </w:tc>
        <w:tc>
          <w:tcPr>
            <w:tcW w:w="1725" w:type="dxa"/>
            <w:noWrap w:val="0"/>
            <w:vAlign w:val="center"/>
          </w:tcPr>
          <w:p w14:paraId="48E5B638">
            <w:pPr>
              <w:adjustRightInd w:val="0"/>
              <w:snapToGrid w:val="0"/>
              <w:spacing w:line="240" w:lineRule="auto"/>
              <w:jc w:val="center"/>
              <w:textAlignment w:val="baseline"/>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非甲烷总烃、</w:t>
            </w:r>
          </w:p>
          <w:p w14:paraId="3BE8D562">
            <w:pPr>
              <w:adjustRightInd w:val="0"/>
              <w:snapToGrid w:val="0"/>
              <w:spacing w:line="240" w:lineRule="auto"/>
              <w:jc w:val="center"/>
              <w:textAlignment w:val="baseline"/>
              <w:rPr>
                <w:rFonts w:hint="eastAsia"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颗粒物</w:t>
            </w:r>
            <w:r>
              <w:rPr>
                <w:rFonts w:hint="eastAsia" w:cs="Times New Roman"/>
                <w:color w:val="auto"/>
                <w:sz w:val="21"/>
                <w:szCs w:val="21"/>
                <w:highlight w:val="none"/>
                <w:lang w:val="en-US" w:eastAsia="zh-CN"/>
              </w:rPr>
              <w:t>、</w:t>
            </w:r>
          </w:p>
          <w:p w14:paraId="27A06E34">
            <w:pPr>
              <w:adjustRightInd w:val="0"/>
              <w:snapToGrid w:val="0"/>
              <w:spacing w:line="240" w:lineRule="auto"/>
              <w:jc w:val="center"/>
              <w:textAlignment w:val="baseline"/>
              <w:rPr>
                <w:rFonts w:hint="eastAsia"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锡及其化合物</w:t>
            </w:r>
          </w:p>
        </w:tc>
        <w:tc>
          <w:tcPr>
            <w:tcW w:w="2205" w:type="dxa"/>
            <w:gridSpan w:val="2"/>
            <w:noWrap w:val="0"/>
            <w:vAlign w:val="center"/>
          </w:tcPr>
          <w:p w14:paraId="539EB0A5">
            <w:pPr>
              <w:adjustRightInd w:val="0"/>
              <w:snapToGrid w:val="0"/>
              <w:spacing w:line="240" w:lineRule="auto"/>
              <w:jc w:val="center"/>
              <w:textAlignment w:val="baseline"/>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无组织排放</w:t>
            </w:r>
          </w:p>
        </w:tc>
        <w:tc>
          <w:tcPr>
            <w:tcW w:w="2561" w:type="dxa"/>
            <w:vMerge w:val="continue"/>
            <w:noWrap w:val="0"/>
            <w:vAlign w:val="center"/>
          </w:tcPr>
          <w:p w14:paraId="20189138">
            <w:pPr>
              <w:adjustRightInd w:val="0"/>
              <w:snapToGrid w:val="0"/>
              <w:spacing w:line="240" w:lineRule="auto"/>
              <w:jc w:val="center"/>
              <w:rPr>
                <w:rFonts w:hint="default" w:ascii="Times New Roman" w:hAnsi="Times New Roman" w:cs="Times New Roman"/>
                <w:color w:val="auto"/>
                <w:sz w:val="21"/>
                <w:szCs w:val="21"/>
                <w:highlight w:val="none"/>
              </w:rPr>
            </w:pPr>
          </w:p>
        </w:tc>
      </w:tr>
      <w:tr w14:paraId="09ADFB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069" w:type="dxa"/>
            <w:vMerge w:val="continue"/>
            <w:noWrap w:val="0"/>
            <w:vAlign w:val="center"/>
          </w:tcPr>
          <w:p w14:paraId="014B3065">
            <w:pPr>
              <w:adjustRightInd w:val="0"/>
              <w:snapToGrid w:val="0"/>
              <w:spacing w:line="240" w:lineRule="auto"/>
              <w:jc w:val="center"/>
              <w:rPr>
                <w:rFonts w:hint="default" w:ascii="Times New Roman" w:hAnsi="Times New Roman" w:cs="Times New Roman"/>
                <w:color w:val="auto"/>
                <w:sz w:val="21"/>
                <w:szCs w:val="21"/>
                <w:highlight w:val="none"/>
              </w:rPr>
            </w:pPr>
          </w:p>
        </w:tc>
        <w:tc>
          <w:tcPr>
            <w:tcW w:w="1500" w:type="dxa"/>
            <w:noWrap w:val="0"/>
            <w:vAlign w:val="center"/>
          </w:tcPr>
          <w:p w14:paraId="41AD8F8D">
            <w:pPr>
              <w:adjustRightInd w:val="0"/>
              <w:snapToGrid w:val="0"/>
              <w:spacing w:line="240" w:lineRule="auto"/>
              <w:jc w:val="center"/>
              <w:textAlignment w:val="baseline"/>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打孔废气</w:t>
            </w:r>
          </w:p>
        </w:tc>
        <w:tc>
          <w:tcPr>
            <w:tcW w:w="1725" w:type="dxa"/>
            <w:noWrap w:val="0"/>
            <w:vAlign w:val="center"/>
          </w:tcPr>
          <w:p w14:paraId="2A05858E">
            <w:pPr>
              <w:adjustRightInd w:val="0"/>
              <w:snapToGrid w:val="0"/>
              <w:spacing w:line="240" w:lineRule="auto"/>
              <w:jc w:val="center"/>
              <w:textAlignment w:val="baseline"/>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颗粒物</w:t>
            </w:r>
          </w:p>
        </w:tc>
        <w:tc>
          <w:tcPr>
            <w:tcW w:w="2205" w:type="dxa"/>
            <w:gridSpan w:val="2"/>
            <w:noWrap w:val="0"/>
            <w:vAlign w:val="center"/>
          </w:tcPr>
          <w:p w14:paraId="4418A7DC">
            <w:pPr>
              <w:adjustRightInd w:val="0"/>
              <w:snapToGrid w:val="0"/>
              <w:spacing w:line="240" w:lineRule="auto"/>
              <w:jc w:val="center"/>
              <w:textAlignment w:val="baseline"/>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无组织排放</w:t>
            </w:r>
          </w:p>
        </w:tc>
        <w:tc>
          <w:tcPr>
            <w:tcW w:w="2561" w:type="dxa"/>
            <w:vMerge w:val="continue"/>
            <w:noWrap w:val="0"/>
            <w:vAlign w:val="center"/>
          </w:tcPr>
          <w:p w14:paraId="1D96337D">
            <w:pPr>
              <w:adjustRightInd w:val="0"/>
              <w:snapToGrid w:val="0"/>
              <w:spacing w:line="240" w:lineRule="auto"/>
              <w:jc w:val="center"/>
              <w:rPr>
                <w:rFonts w:hint="default" w:ascii="Times New Roman" w:hAnsi="Times New Roman" w:cs="Times New Roman"/>
                <w:color w:val="auto"/>
                <w:sz w:val="21"/>
                <w:szCs w:val="21"/>
                <w:highlight w:val="none"/>
              </w:rPr>
            </w:pPr>
          </w:p>
        </w:tc>
      </w:tr>
      <w:tr w14:paraId="249C69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9" w:type="dxa"/>
            <w:noWrap w:val="0"/>
            <w:vAlign w:val="center"/>
          </w:tcPr>
          <w:p w14:paraId="658F3160">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地表水</w:t>
            </w:r>
          </w:p>
          <w:p w14:paraId="6D8EFD99">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环境</w:t>
            </w:r>
          </w:p>
        </w:tc>
        <w:tc>
          <w:tcPr>
            <w:tcW w:w="1500" w:type="dxa"/>
            <w:noWrap w:val="0"/>
            <w:vAlign w:val="center"/>
          </w:tcPr>
          <w:p w14:paraId="15A09206">
            <w:pPr>
              <w:adjustRightInd w:val="0"/>
              <w:snapToGrid w:val="0"/>
              <w:spacing w:line="240" w:lineRule="auto"/>
              <w:jc w:val="center"/>
              <w:rPr>
                <w:rFonts w:hint="default" w:ascii="Times New Roman" w:hAnsi="Times New Roman" w:cs="Times New Roman"/>
                <w:color w:val="auto"/>
                <w:sz w:val="21"/>
                <w:szCs w:val="21"/>
                <w:highlight w:val="none"/>
                <w:lang w:val="en-US"/>
              </w:rPr>
            </w:pPr>
            <w:r>
              <w:rPr>
                <w:rFonts w:hint="eastAsia" w:cs="Times New Roman"/>
                <w:color w:val="auto"/>
                <w:sz w:val="21"/>
                <w:szCs w:val="21"/>
                <w:highlight w:val="none"/>
                <w:lang w:eastAsia="zh-CN"/>
              </w:rPr>
              <w:t>生活污水、</w:t>
            </w:r>
            <w:r>
              <w:rPr>
                <w:rFonts w:hint="eastAsia" w:cs="Times New Roman"/>
                <w:color w:val="auto"/>
                <w:sz w:val="21"/>
                <w:szCs w:val="21"/>
                <w:highlight w:val="none"/>
                <w:lang w:val="en-US" w:eastAsia="zh-CN"/>
              </w:rPr>
              <w:t>冷却循环外排水</w:t>
            </w:r>
          </w:p>
        </w:tc>
        <w:tc>
          <w:tcPr>
            <w:tcW w:w="1725" w:type="dxa"/>
            <w:noWrap w:val="0"/>
            <w:vAlign w:val="center"/>
          </w:tcPr>
          <w:p w14:paraId="39F9FE10">
            <w:pPr>
              <w:widowControl/>
              <w:spacing w:line="240" w:lineRule="auto"/>
              <w:jc w:val="center"/>
              <w:textAlignment w:val="center"/>
              <w:rPr>
                <w:rFonts w:hint="default" w:ascii="Times New Roman" w:hAnsi="Times New Roman" w:cs="Times New Roman"/>
                <w:color w:val="auto"/>
                <w:sz w:val="21"/>
                <w:szCs w:val="21"/>
                <w:highlight w:val="none"/>
              </w:rPr>
            </w:pPr>
            <w:r>
              <w:rPr>
                <w:rFonts w:hint="eastAsia" w:cs="Times New Roman"/>
                <w:b w:val="0"/>
                <w:bCs w:val="0"/>
                <w:color w:val="auto"/>
                <w:kern w:val="2"/>
                <w:sz w:val="21"/>
                <w:szCs w:val="21"/>
                <w:highlight w:val="none"/>
                <w:lang w:val="en-US" w:eastAsia="zh-CN" w:bidi="ar-SA"/>
              </w:rPr>
              <w:t>pH、</w:t>
            </w:r>
            <w:r>
              <w:rPr>
                <w:rFonts w:hint="eastAsia" w:ascii="Times New Roman" w:hAnsi="Times New Roman" w:eastAsia="宋体" w:cs="Times New Roman"/>
                <w:b w:val="0"/>
                <w:bCs w:val="0"/>
                <w:color w:val="auto"/>
                <w:kern w:val="2"/>
                <w:sz w:val="21"/>
                <w:szCs w:val="21"/>
                <w:highlight w:val="none"/>
                <w:lang w:val="en-US" w:eastAsia="zh-CN" w:bidi="ar-SA"/>
              </w:rPr>
              <w:t>COD、BOD</w:t>
            </w:r>
            <w:r>
              <w:rPr>
                <w:rFonts w:hint="eastAsia" w:ascii="Times New Roman" w:hAnsi="Times New Roman" w:eastAsia="宋体" w:cs="Times New Roman"/>
                <w:b w:val="0"/>
                <w:bCs w:val="0"/>
                <w:color w:val="auto"/>
                <w:kern w:val="2"/>
                <w:sz w:val="21"/>
                <w:szCs w:val="21"/>
                <w:highlight w:val="none"/>
                <w:vertAlign w:val="subscript"/>
                <w:lang w:val="en-US" w:eastAsia="zh-CN" w:bidi="ar-SA"/>
              </w:rPr>
              <w:t>5</w:t>
            </w:r>
            <w:r>
              <w:rPr>
                <w:rFonts w:hint="eastAsia" w:ascii="Times New Roman" w:hAnsi="Times New Roman" w:eastAsia="宋体" w:cs="Times New Roman"/>
                <w:b w:val="0"/>
                <w:bCs w:val="0"/>
                <w:color w:val="auto"/>
                <w:kern w:val="2"/>
                <w:sz w:val="21"/>
                <w:szCs w:val="21"/>
                <w:highlight w:val="none"/>
                <w:lang w:val="en-US" w:eastAsia="zh-CN" w:bidi="ar-SA"/>
              </w:rPr>
              <w:t>、SS、NH</w:t>
            </w:r>
            <w:r>
              <w:rPr>
                <w:rFonts w:hint="eastAsia" w:ascii="Times New Roman" w:hAnsi="Times New Roman" w:eastAsia="宋体" w:cs="Times New Roman"/>
                <w:b w:val="0"/>
                <w:bCs w:val="0"/>
                <w:color w:val="auto"/>
                <w:kern w:val="2"/>
                <w:sz w:val="21"/>
                <w:szCs w:val="21"/>
                <w:highlight w:val="none"/>
                <w:vertAlign w:val="subscript"/>
                <w:lang w:val="en-US" w:eastAsia="zh-CN" w:bidi="ar-SA"/>
              </w:rPr>
              <w:t>3</w:t>
            </w:r>
            <w:r>
              <w:rPr>
                <w:rFonts w:hint="eastAsia" w:ascii="Times New Roman" w:hAnsi="Times New Roman" w:eastAsia="宋体" w:cs="Times New Roman"/>
                <w:b w:val="0"/>
                <w:bCs w:val="0"/>
                <w:color w:val="auto"/>
                <w:kern w:val="2"/>
                <w:sz w:val="21"/>
                <w:szCs w:val="21"/>
                <w:highlight w:val="none"/>
                <w:lang w:val="en-US" w:eastAsia="zh-CN" w:bidi="ar-SA"/>
              </w:rPr>
              <w:t>-N</w:t>
            </w:r>
          </w:p>
        </w:tc>
        <w:tc>
          <w:tcPr>
            <w:tcW w:w="2205" w:type="dxa"/>
            <w:gridSpan w:val="2"/>
            <w:noWrap w:val="0"/>
            <w:vAlign w:val="center"/>
          </w:tcPr>
          <w:p w14:paraId="3749A003">
            <w:pPr>
              <w:spacing w:line="240" w:lineRule="auto"/>
              <w:jc w:val="center"/>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eastAsia="zh-CN"/>
              </w:rPr>
              <w:t>生活污水</w:t>
            </w:r>
            <w:r>
              <w:rPr>
                <w:rFonts w:hint="eastAsia" w:cs="Times New Roman"/>
                <w:color w:val="auto"/>
                <w:sz w:val="21"/>
                <w:szCs w:val="21"/>
                <w:highlight w:val="none"/>
                <w:lang w:eastAsia="zh-CN"/>
              </w:rPr>
              <w:t>依托</w:t>
            </w:r>
            <w:r>
              <w:rPr>
                <w:rFonts w:hint="eastAsia" w:ascii="Times New Roman" w:hAnsi="Times New Roman" w:cs="Times New Roman"/>
                <w:color w:val="auto"/>
                <w:sz w:val="21"/>
                <w:szCs w:val="21"/>
                <w:highlight w:val="none"/>
                <w:lang w:eastAsia="zh-CN"/>
              </w:rPr>
              <w:t>园区化粪预处理后</w:t>
            </w:r>
            <w:r>
              <w:rPr>
                <w:rFonts w:hint="eastAsia" w:cs="Times New Roman"/>
                <w:color w:val="auto"/>
                <w:sz w:val="21"/>
                <w:szCs w:val="21"/>
                <w:highlight w:val="none"/>
                <w:lang w:val="en-US" w:eastAsia="zh-CN"/>
              </w:rPr>
              <w:t>与冷却循环外排水一并</w:t>
            </w:r>
            <w:r>
              <w:rPr>
                <w:rFonts w:hint="eastAsia" w:ascii="Times New Roman" w:hAnsi="Times New Roman" w:cs="Times New Roman"/>
                <w:color w:val="auto"/>
                <w:sz w:val="21"/>
                <w:szCs w:val="21"/>
                <w:highlight w:val="none"/>
                <w:lang w:eastAsia="zh-CN"/>
              </w:rPr>
              <w:t>排入</w:t>
            </w:r>
            <w:r>
              <w:rPr>
                <w:rFonts w:hint="eastAsia" w:cs="Times New Roman"/>
                <w:color w:val="auto"/>
                <w:sz w:val="21"/>
                <w:szCs w:val="21"/>
                <w:highlight w:val="none"/>
                <w:lang w:eastAsia="zh-CN"/>
              </w:rPr>
              <w:t>皖江江南新兴产业集中区第一污水处理厂</w:t>
            </w:r>
            <w:r>
              <w:rPr>
                <w:rFonts w:hint="eastAsia" w:ascii="Times New Roman" w:hAnsi="Times New Roman" w:cs="Times New Roman"/>
                <w:color w:val="auto"/>
                <w:sz w:val="21"/>
                <w:szCs w:val="21"/>
                <w:highlight w:val="none"/>
                <w:lang w:eastAsia="zh-CN"/>
              </w:rPr>
              <w:t>，处理达标后经九华河排入长江</w:t>
            </w:r>
          </w:p>
        </w:tc>
        <w:tc>
          <w:tcPr>
            <w:tcW w:w="2561" w:type="dxa"/>
            <w:noWrap w:val="0"/>
            <w:vAlign w:val="center"/>
          </w:tcPr>
          <w:p w14:paraId="31389A7B">
            <w:pPr>
              <w:spacing w:line="240" w:lineRule="auto"/>
              <w:jc w:val="center"/>
              <w:rPr>
                <w:rFonts w:hint="default" w:ascii="Times New Roman" w:hAnsi="Times New Roman" w:cs="Times New Roman"/>
                <w:color w:val="auto"/>
                <w:sz w:val="21"/>
                <w:szCs w:val="21"/>
                <w:highlight w:val="none"/>
              </w:rPr>
            </w:pPr>
            <w:r>
              <w:rPr>
                <w:rFonts w:hint="eastAsia"/>
                <w:color w:val="auto"/>
                <w:sz w:val="21"/>
                <w:szCs w:val="21"/>
                <w:highlight w:val="none"/>
                <w:lang w:eastAsia="zh-CN"/>
              </w:rPr>
              <w:t>《电子工业水污染物排放标准》（GB39731-2020）表1、表2限值及皖江江南新兴产业集中区第一污水处理厂接管限值</w:t>
            </w:r>
          </w:p>
        </w:tc>
      </w:tr>
      <w:tr w14:paraId="0A0AC6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9" w:type="dxa"/>
            <w:noWrap w:val="0"/>
            <w:vAlign w:val="center"/>
          </w:tcPr>
          <w:p w14:paraId="79A574A8">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声环境</w:t>
            </w:r>
          </w:p>
        </w:tc>
        <w:tc>
          <w:tcPr>
            <w:tcW w:w="1500" w:type="dxa"/>
            <w:noWrap w:val="0"/>
            <w:vAlign w:val="center"/>
          </w:tcPr>
          <w:p w14:paraId="6BD13077">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厂界</w:t>
            </w:r>
          </w:p>
        </w:tc>
        <w:tc>
          <w:tcPr>
            <w:tcW w:w="1725" w:type="dxa"/>
            <w:noWrap w:val="0"/>
            <w:vAlign w:val="center"/>
          </w:tcPr>
          <w:p w14:paraId="1CD8AD21">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噪声</w:t>
            </w:r>
          </w:p>
        </w:tc>
        <w:tc>
          <w:tcPr>
            <w:tcW w:w="2205" w:type="dxa"/>
            <w:gridSpan w:val="2"/>
            <w:noWrap w:val="0"/>
            <w:vAlign w:val="center"/>
          </w:tcPr>
          <w:p w14:paraId="624BEB5A">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建筑隔声、设备减振</w:t>
            </w:r>
          </w:p>
        </w:tc>
        <w:tc>
          <w:tcPr>
            <w:tcW w:w="2561" w:type="dxa"/>
            <w:noWrap w:val="0"/>
            <w:vAlign w:val="center"/>
          </w:tcPr>
          <w:p w14:paraId="1B8F95DE">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《工业企业厂界环境噪声排放标准》(GB12348-2008)3类标准</w:t>
            </w:r>
          </w:p>
        </w:tc>
      </w:tr>
      <w:tr w14:paraId="5BFD9E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9" w:type="dxa"/>
            <w:noWrap w:val="0"/>
            <w:vAlign w:val="center"/>
          </w:tcPr>
          <w:p w14:paraId="5F228A49">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电磁辐射</w:t>
            </w:r>
          </w:p>
        </w:tc>
        <w:tc>
          <w:tcPr>
            <w:tcW w:w="1500" w:type="dxa"/>
            <w:noWrap w:val="0"/>
            <w:vAlign w:val="center"/>
          </w:tcPr>
          <w:p w14:paraId="2E050F02">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1725" w:type="dxa"/>
            <w:noWrap w:val="0"/>
            <w:vAlign w:val="center"/>
          </w:tcPr>
          <w:p w14:paraId="0F35D2F8">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2205" w:type="dxa"/>
            <w:gridSpan w:val="2"/>
            <w:noWrap w:val="0"/>
            <w:vAlign w:val="center"/>
          </w:tcPr>
          <w:p w14:paraId="5E12AE2F">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c>
          <w:tcPr>
            <w:tcW w:w="2561" w:type="dxa"/>
            <w:noWrap w:val="0"/>
            <w:vAlign w:val="center"/>
          </w:tcPr>
          <w:p w14:paraId="7DD064DB">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r>
      <w:tr w14:paraId="5F19A0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14" w:hRule="atLeast"/>
          <w:jc w:val="center"/>
        </w:trPr>
        <w:tc>
          <w:tcPr>
            <w:tcW w:w="1069" w:type="dxa"/>
            <w:noWrap w:val="0"/>
            <w:vAlign w:val="center"/>
          </w:tcPr>
          <w:p w14:paraId="3A64E8B1">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固体废物</w:t>
            </w:r>
          </w:p>
        </w:tc>
        <w:tc>
          <w:tcPr>
            <w:tcW w:w="7991" w:type="dxa"/>
            <w:gridSpan w:val="5"/>
            <w:noWrap w:val="0"/>
            <w:vAlign w:val="center"/>
          </w:tcPr>
          <w:p w14:paraId="4D163D13">
            <w:pPr>
              <w:spacing w:line="360" w:lineRule="auto"/>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项目生活垃圾分类收集后委托</w:t>
            </w:r>
            <w:r>
              <w:rPr>
                <w:rFonts w:hint="eastAsia" w:cs="Times New Roman"/>
                <w:color w:val="auto"/>
                <w:sz w:val="21"/>
                <w:szCs w:val="21"/>
                <w:highlight w:val="none"/>
                <w:lang w:eastAsia="zh-CN"/>
              </w:rPr>
              <w:t>环卫</w:t>
            </w:r>
            <w:r>
              <w:rPr>
                <w:rFonts w:hint="default" w:ascii="Times New Roman" w:hAnsi="Times New Roman" w:cs="Times New Roman"/>
                <w:color w:val="auto"/>
                <w:sz w:val="21"/>
                <w:szCs w:val="21"/>
                <w:highlight w:val="none"/>
              </w:rPr>
              <w:t>部门</w:t>
            </w:r>
            <w:r>
              <w:rPr>
                <w:rFonts w:hint="eastAsia" w:ascii="Times New Roman" w:hAnsi="Times New Roman" w:eastAsia="宋体" w:cs="Times New Roman"/>
                <w:color w:val="auto"/>
                <w:sz w:val="21"/>
                <w:szCs w:val="21"/>
                <w:highlight w:val="none"/>
                <w:lang w:eastAsia="zh-CN"/>
              </w:rPr>
              <w:t>清运</w:t>
            </w:r>
            <w:r>
              <w:rPr>
                <w:rFonts w:hint="eastAsia" w:cs="Times New Roman"/>
                <w:color w:val="auto"/>
                <w:sz w:val="21"/>
                <w:szCs w:val="21"/>
                <w:highlight w:val="none"/>
                <w:lang w:eastAsia="zh-CN"/>
              </w:rPr>
              <w:t>处理</w:t>
            </w:r>
            <w:r>
              <w:rPr>
                <w:rFonts w:hint="default" w:ascii="Times New Roman" w:hAnsi="Times New Roman" w:cs="Times New Roman"/>
                <w:color w:val="auto"/>
                <w:sz w:val="21"/>
                <w:szCs w:val="21"/>
                <w:highlight w:val="none"/>
              </w:rPr>
              <w:t>；一般固废</w:t>
            </w:r>
            <w:r>
              <w:rPr>
                <w:rFonts w:hint="eastAsia" w:cs="Times New Roman"/>
                <w:color w:val="auto"/>
                <w:sz w:val="21"/>
                <w:szCs w:val="21"/>
                <w:highlight w:val="none"/>
                <w:lang w:val="en-US" w:eastAsia="zh-CN"/>
              </w:rPr>
              <w:t>锡焊焊渣、不合格品（显示屏模组器件）、废边角料、废包装箱</w:t>
            </w:r>
            <w:r>
              <w:rPr>
                <w:rFonts w:hint="default" w:ascii="Times New Roman" w:hAnsi="Times New Roman" w:eastAsia="宋体" w:cs="Times New Roman"/>
                <w:color w:val="auto"/>
                <w:sz w:val="21"/>
                <w:szCs w:val="21"/>
                <w:highlight w:val="none"/>
              </w:rPr>
              <w:t>集中收集后</w:t>
            </w:r>
            <w:r>
              <w:rPr>
                <w:rFonts w:hint="default" w:ascii="Times New Roman" w:hAnsi="Times New Roman" w:cs="Times New Roman"/>
                <w:color w:val="auto"/>
                <w:sz w:val="21"/>
                <w:szCs w:val="21"/>
                <w:highlight w:val="none"/>
              </w:rPr>
              <w:t>外</w:t>
            </w:r>
            <w:r>
              <w:rPr>
                <w:rFonts w:hint="eastAsia" w:cs="Times New Roman"/>
                <w:color w:val="auto"/>
                <w:sz w:val="21"/>
                <w:szCs w:val="21"/>
                <w:highlight w:val="none"/>
                <w:lang w:val="en-US" w:eastAsia="zh-CN"/>
              </w:rPr>
              <w:t>售</w:t>
            </w:r>
            <w:r>
              <w:rPr>
                <w:rFonts w:hint="default" w:ascii="Times New Roman" w:hAnsi="Times New Roman" w:cs="Times New Roman"/>
                <w:color w:val="auto"/>
                <w:sz w:val="21"/>
                <w:szCs w:val="21"/>
                <w:highlight w:val="none"/>
              </w:rPr>
              <w:t>综合利用</w:t>
            </w:r>
            <w:r>
              <w:rPr>
                <w:rFonts w:hint="default" w:ascii="Times New Roman" w:hAnsi="Times New Roman" w:eastAsia="宋体" w:cs="Times New Roman"/>
                <w:color w:val="auto"/>
                <w:sz w:val="21"/>
                <w:szCs w:val="21"/>
                <w:highlight w:val="none"/>
              </w:rPr>
              <w:t>；危险废物</w:t>
            </w:r>
            <w:r>
              <w:rPr>
                <w:rFonts w:hint="eastAsia" w:cs="Times New Roman"/>
                <w:color w:val="auto"/>
                <w:sz w:val="21"/>
                <w:szCs w:val="21"/>
                <w:highlight w:val="none"/>
                <w:lang w:val="en-US" w:eastAsia="zh-CN"/>
              </w:rPr>
              <w:t>废包装材料、擦拭废纸、</w:t>
            </w:r>
            <w:r>
              <w:rPr>
                <w:rFonts w:hint="default" w:ascii="Times New Roman" w:hAnsi="Times New Roman" w:eastAsia="宋体" w:cs="Times New Roman"/>
                <w:color w:val="000000"/>
                <w:sz w:val="21"/>
                <w:szCs w:val="21"/>
                <w:highlight w:val="none"/>
                <w:lang w:val="en-US" w:eastAsia="zh-CN"/>
              </w:rPr>
              <w:t>不合格品（LED显示屏模组）</w:t>
            </w:r>
            <w:r>
              <w:rPr>
                <w:rFonts w:hint="eastAsia" w:ascii="Times New Roman" w:hAnsi="Times New Roman" w:eastAsia="宋体" w:cs="Times New Roman"/>
                <w:color w:val="000000"/>
                <w:sz w:val="21"/>
                <w:szCs w:val="21"/>
                <w:highlight w:val="none"/>
                <w:lang w:val="en-US" w:eastAsia="zh-CN"/>
              </w:rPr>
              <w:t>、废机油及油桶、废油抹布及手套、废活性炭及废滤料</w:t>
            </w:r>
            <w:r>
              <w:rPr>
                <w:rFonts w:hint="eastAsia" w:cs="Times New Roman"/>
                <w:color w:val="auto"/>
                <w:sz w:val="21"/>
                <w:szCs w:val="21"/>
                <w:highlight w:val="none"/>
                <w:lang w:val="en-US" w:eastAsia="zh-CN"/>
              </w:rPr>
              <w:t>等</w:t>
            </w:r>
            <w:r>
              <w:rPr>
                <w:rFonts w:hint="eastAsia" w:ascii="宋体" w:hAnsi="宋体" w:cs="宋体"/>
                <w:color w:val="auto"/>
                <w:sz w:val="21"/>
                <w:szCs w:val="21"/>
                <w:highlight w:val="none"/>
                <w:lang w:eastAsia="zh-CN"/>
              </w:rPr>
              <w:t>集中收集后置于危废</w:t>
            </w:r>
            <w:r>
              <w:rPr>
                <w:rFonts w:hint="eastAsia" w:ascii="宋体" w:hAnsi="宋体" w:cs="宋体"/>
                <w:color w:val="auto"/>
                <w:sz w:val="21"/>
                <w:szCs w:val="21"/>
                <w:highlight w:val="none"/>
                <w:lang w:val="en-US" w:eastAsia="zh-CN"/>
              </w:rPr>
              <w:t>暂存间</w:t>
            </w:r>
            <w:r>
              <w:rPr>
                <w:rFonts w:hint="eastAsia" w:ascii="宋体" w:hAnsi="宋体" w:cs="宋体"/>
                <w:color w:val="auto"/>
                <w:sz w:val="21"/>
                <w:szCs w:val="21"/>
                <w:highlight w:val="none"/>
                <w:lang w:eastAsia="zh-CN"/>
              </w:rPr>
              <w:t>，定期委托有资质的单位进行处置。</w:t>
            </w:r>
          </w:p>
        </w:tc>
      </w:tr>
      <w:tr w14:paraId="3ADB2A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9" w:type="dxa"/>
            <w:noWrap w:val="0"/>
            <w:vAlign w:val="center"/>
          </w:tcPr>
          <w:p w14:paraId="0E65A118">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土壤及地下水污染防治措施</w:t>
            </w:r>
          </w:p>
        </w:tc>
        <w:tc>
          <w:tcPr>
            <w:tcW w:w="7991" w:type="dxa"/>
            <w:gridSpan w:val="5"/>
            <w:noWrap w:val="0"/>
            <w:vAlign w:val="center"/>
          </w:tcPr>
          <w:p w14:paraId="72236E38">
            <w:pPr>
              <w:adjustRightInd w:val="0"/>
              <w:snapToGrid w:val="0"/>
              <w:spacing w:line="240" w:lineRule="auto"/>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项目危废</w:t>
            </w:r>
            <w:r>
              <w:rPr>
                <w:rFonts w:hint="default" w:ascii="Times New Roman" w:hAnsi="Times New Roman" w:cs="Times New Roman"/>
                <w:color w:val="auto"/>
                <w:sz w:val="21"/>
                <w:szCs w:val="21"/>
                <w:highlight w:val="none"/>
                <w:lang w:val="en-US" w:eastAsia="zh-CN"/>
              </w:rPr>
              <w:t>暂存间</w:t>
            </w:r>
            <w:r>
              <w:rPr>
                <w:rFonts w:hint="default" w:ascii="Times New Roman" w:hAnsi="Times New Roman" w:cs="Times New Roman"/>
                <w:color w:val="auto"/>
                <w:sz w:val="21"/>
                <w:szCs w:val="21"/>
                <w:highlight w:val="none"/>
              </w:rPr>
              <w:t>进行重点防渗；</w:t>
            </w:r>
            <w:r>
              <w:rPr>
                <w:rFonts w:hint="eastAsia" w:cs="Times New Roman"/>
                <w:color w:val="auto"/>
                <w:kern w:val="0"/>
                <w:sz w:val="21"/>
                <w:szCs w:val="21"/>
                <w:highlight w:val="none"/>
                <w:lang w:eastAsia="zh-CN" w:bidi="ar"/>
              </w:rPr>
              <w:t>原料仓库、成品仓库、</w:t>
            </w:r>
            <w:r>
              <w:rPr>
                <w:rFonts w:hint="default" w:ascii="Times New Roman" w:hAnsi="Times New Roman" w:cs="Times New Roman"/>
                <w:color w:val="auto"/>
                <w:sz w:val="21"/>
                <w:szCs w:val="21"/>
                <w:highlight w:val="none"/>
              </w:rPr>
              <w:t>生产区</w:t>
            </w:r>
            <w:r>
              <w:rPr>
                <w:rFonts w:hint="default" w:ascii="Times New Roman" w:hAnsi="Times New Roman" w:cs="Times New Roman"/>
                <w:color w:val="auto"/>
                <w:kern w:val="0"/>
                <w:sz w:val="21"/>
                <w:szCs w:val="21"/>
                <w:highlight w:val="none"/>
                <w:lang w:bidi="ar"/>
              </w:rPr>
              <w:t>进行一般防渗</w:t>
            </w:r>
            <w:r>
              <w:rPr>
                <w:rFonts w:hint="eastAsia" w:cs="Times New Roman"/>
                <w:color w:val="auto"/>
                <w:kern w:val="0"/>
                <w:sz w:val="21"/>
                <w:szCs w:val="21"/>
                <w:highlight w:val="none"/>
                <w:lang w:eastAsia="zh-CN" w:bidi="ar"/>
              </w:rPr>
              <w:t>；生活办公区一般地面硬化即可</w:t>
            </w:r>
            <w:r>
              <w:rPr>
                <w:rFonts w:hint="default" w:ascii="Times New Roman" w:hAnsi="Times New Roman" w:cs="Times New Roman"/>
                <w:color w:val="auto"/>
                <w:sz w:val="21"/>
                <w:szCs w:val="21"/>
                <w:highlight w:val="none"/>
              </w:rPr>
              <w:t>。</w:t>
            </w:r>
          </w:p>
        </w:tc>
      </w:tr>
      <w:tr w14:paraId="44F4E5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9" w:type="dxa"/>
            <w:noWrap w:val="0"/>
            <w:vAlign w:val="center"/>
          </w:tcPr>
          <w:p w14:paraId="502F2BAE">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生态保护</w:t>
            </w:r>
          </w:p>
          <w:p w14:paraId="36B51190">
            <w:pPr>
              <w:adjustRightInd w:val="0"/>
              <w:snapToGrid w:val="0"/>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措施</w:t>
            </w:r>
          </w:p>
        </w:tc>
        <w:tc>
          <w:tcPr>
            <w:tcW w:w="7991" w:type="dxa"/>
            <w:gridSpan w:val="5"/>
            <w:noWrap w:val="0"/>
            <w:vAlign w:val="center"/>
          </w:tcPr>
          <w:p w14:paraId="57D97422">
            <w:pPr>
              <w:pStyle w:val="41"/>
              <w:adjustRightInd w:val="0"/>
              <w:snapToGrid w:val="0"/>
              <w:spacing w:line="240" w:lineRule="auto"/>
              <w:ind w:firstLine="42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sz w:val="21"/>
                <w:szCs w:val="21"/>
                <w:highlight w:val="none"/>
              </w:rPr>
              <w:t>/</w:t>
            </w:r>
          </w:p>
        </w:tc>
      </w:tr>
      <w:tr w14:paraId="079515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9" w:type="dxa"/>
            <w:noWrap w:val="0"/>
            <w:vAlign w:val="center"/>
          </w:tcPr>
          <w:p w14:paraId="4979D8CE">
            <w:pPr>
              <w:adjustRightInd w:val="0"/>
              <w:snapToGrid w:val="0"/>
              <w:spacing w:line="240" w:lineRule="auto"/>
              <w:jc w:val="center"/>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环境风险</w:t>
            </w:r>
          </w:p>
          <w:p w14:paraId="42C25990">
            <w:pPr>
              <w:adjustRightInd w:val="0"/>
              <w:snapToGrid w:val="0"/>
              <w:spacing w:line="240" w:lineRule="auto"/>
              <w:jc w:val="center"/>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防范措施</w:t>
            </w:r>
          </w:p>
        </w:tc>
        <w:tc>
          <w:tcPr>
            <w:tcW w:w="7991" w:type="dxa"/>
            <w:gridSpan w:val="5"/>
            <w:noWrap w:val="0"/>
            <w:vAlign w:val="center"/>
          </w:tcPr>
          <w:p w14:paraId="0946D712">
            <w:pPr>
              <w:spacing w:line="360" w:lineRule="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①加强厂区环境管理，仓库内原辅料及产品按性质进行分类储放，厂区加强防火；</w:t>
            </w:r>
          </w:p>
          <w:p w14:paraId="54E81CEC">
            <w:pPr>
              <w:spacing w:line="360" w:lineRule="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②危废暂存间进行重点防渗，设置防渗漏托盘。原料仓库、成品仓库、生产区进行一般防渗；</w:t>
            </w:r>
          </w:p>
          <w:p w14:paraId="1B24036B">
            <w:pPr>
              <w:spacing w:line="360" w:lineRule="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③各走道出口等部位要保持畅通，设置疏散标志和安全指示灯；</w:t>
            </w:r>
          </w:p>
          <w:p w14:paraId="0DFA7EE6">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④配备必要的应急救援器材、设备，对消防措施定期检查，保证消防措施的有效性，并定期组织演练；</w:t>
            </w:r>
          </w:p>
        </w:tc>
      </w:tr>
      <w:tr w14:paraId="678366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069" w:type="dxa"/>
            <w:noWrap w:val="0"/>
            <w:vAlign w:val="center"/>
          </w:tcPr>
          <w:p w14:paraId="18F28D15">
            <w:pPr>
              <w:adjustRightInd w:val="0"/>
              <w:snapToGrid w:val="0"/>
              <w:spacing w:line="240" w:lineRule="auto"/>
              <w:jc w:val="center"/>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其他环境</w:t>
            </w:r>
          </w:p>
          <w:p w14:paraId="07C98F4C">
            <w:pPr>
              <w:adjustRightInd w:val="0"/>
              <w:snapToGrid w:val="0"/>
              <w:spacing w:line="240" w:lineRule="auto"/>
              <w:jc w:val="center"/>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管理要求</w:t>
            </w:r>
          </w:p>
        </w:tc>
        <w:tc>
          <w:tcPr>
            <w:tcW w:w="7991" w:type="dxa"/>
            <w:gridSpan w:val="5"/>
            <w:noWrap w:val="0"/>
            <w:vAlign w:val="center"/>
          </w:tcPr>
          <w:p w14:paraId="3EB660BF">
            <w:pPr>
              <w:adjustRightInd w:val="0"/>
              <w:snapToGrid w:val="0"/>
              <w:spacing w:line="360" w:lineRule="auto"/>
              <w:ind w:firstLine="422" w:firstLineChars="200"/>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1、环境管理</w:t>
            </w:r>
          </w:p>
          <w:p w14:paraId="5CC20E02">
            <w:pPr>
              <w:adjustRightInd w:val="0"/>
              <w:snapToGrid w:val="0"/>
              <w:spacing w:line="360" w:lineRule="auto"/>
              <w:ind w:firstLine="420" w:firstLineChars="200"/>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为了更</w:t>
            </w:r>
            <w:r>
              <w:rPr>
                <w:rFonts w:hint="eastAsia" w:cs="Times New Roman"/>
                <w:bCs/>
                <w:color w:val="auto"/>
                <w:sz w:val="21"/>
                <w:szCs w:val="21"/>
                <w:highlight w:val="none"/>
                <w:lang w:eastAsia="zh-CN"/>
              </w:rPr>
              <w:t>好地</w:t>
            </w:r>
            <w:r>
              <w:rPr>
                <w:rFonts w:hint="default" w:ascii="Times New Roman" w:hAnsi="Times New Roman" w:cs="Times New Roman"/>
                <w:bCs/>
                <w:color w:val="auto"/>
                <w:sz w:val="21"/>
                <w:szCs w:val="21"/>
                <w:highlight w:val="none"/>
              </w:rPr>
              <w:t>贯彻执行国家环境保护</w:t>
            </w:r>
            <w:r>
              <w:rPr>
                <w:rFonts w:hint="eastAsia" w:cs="Times New Roman"/>
                <w:bCs/>
                <w:color w:val="auto"/>
                <w:sz w:val="21"/>
                <w:szCs w:val="21"/>
                <w:highlight w:val="none"/>
                <w:lang w:eastAsia="zh-CN"/>
              </w:rPr>
              <w:t>法律法规</w:t>
            </w:r>
            <w:r>
              <w:rPr>
                <w:rFonts w:hint="default" w:ascii="Times New Roman" w:hAnsi="Times New Roman" w:cs="Times New Roman"/>
                <w:bCs/>
                <w:color w:val="auto"/>
                <w:sz w:val="21"/>
                <w:szCs w:val="21"/>
                <w:highlight w:val="none"/>
              </w:rPr>
              <w:t>、政策与标准，及时掌握和了解工程污染治理措施的效果，以及工程所在区域环境质量状况，更好地监控环保设施的运行情况，协调公司与地方环保职能部门的工作，同时保证企业生产管理和环境管理的正常运作，建立环境管理体系与监测制度是非常必要和重要的。</w:t>
            </w:r>
          </w:p>
          <w:p w14:paraId="69E14473">
            <w:pPr>
              <w:adjustRightInd w:val="0"/>
              <w:snapToGrid w:val="0"/>
              <w:spacing w:line="360" w:lineRule="auto"/>
              <w:ind w:firstLine="422" w:firstLineChars="200"/>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2、排污口规范化管理</w:t>
            </w:r>
          </w:p>
          <w:p w14:paraId="564125F8">
            <w:pPr>
              <w:adjustRightInd w:val="0"/>
              <w:snapToGrid w:val="0"/>
              <w:spacing w:line="360" w:lineRule="auto"/>
              <w:ind w:firstLine="420" w:firstLineChars="200"/>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根据国家、地方颁布的有关环境保护规定，厂区</w:t>
            </w:r>
            <w:r>
              <w:rPr>
                <w:rFonts w:hint="eastAsia" w:cs="Times New Roman"/>
                <w:bCs/>
                <w:color w:val="auto"/>
                <w:sz w:val="21"/>
                <w:szCs w:val="21"/>
                <w:highlight w:val="none"/>
                <w:lang w:eastAsia="zh-CN"/>
              </w:rPr>
              <w:t>废气总排放口、</w:t>
            </w:r>
            <w:r>
              <w:rPr>
                <w:rFonts w:hint="default" w:ascii="Times New Roman" w:hAnsi="Times New Roman" w:cs="Times New Roman"/>
                <w:bCs/>
                <w:color w:val="auto"/>
                <w:sz w:val="21"/>
                <w:szCs w:val="21"/>
                <w:highlight w:val="none"/>
              </w:rPr>
              <w:t>废水总排放口、噪声排放源和固废贮存处置场所均应按《环境保护图形标志--排放口(源)》要求设立明显标志，本项目需设置的具体标识见下表，标志牌应设在与之功能相应的醒目处，并保持清晰、完整。</w:t>
            </w:r>
          </w:p>
          <w:p w14:paraId="1859183E">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color w:val="auto"/>
                <w:sz w:val="21"/>
                <w:szCs w:val="21"/>
                <w:highlight w:val="none"/>
              </w:rPr>
            </w:pPr>
            <w:r>
              <w:rPr>
                <w:rFonts w:hint="default" w:ascii="Times New Roman" w:hAnsi="Times New Roman" w:eastAsia="宋体" w:cs="Times New Roman"/>
                <w:b/>
                <w:i w:val="0"/>
                <w:color w:val="auto"/>
                <w:kern w:val="2"/>
                <w:sz w:val="21"/>
                <w:szCs w:val="21"/>
                <w:highlight w:val="none"/>
                <w:lang w:val="en-US" w:eastAsia="zh-CN" w:bidi="ar-SA"/>
              </w:rPr>
              <w:t>表5-1</w:t>
            </w:r>
            <w:r>
              <w:rPr>
                <w:rFonts w:hint="eastAsia" w:ascii="Times New Roman" w:hAnsi="Times New Roman" w:cs="Times New Roman"/>
                <w:b/>
                <w:i w:val="0"/>
                <w:color w:val="auto"/>
                <w:kern w:val="2"/>
                <w:sz w:val="21"/>
                <w:szCs w:val="21"/>
                <w:highlight w:val="none"/>
                <w:lang w:val="en-US" w:eastAsia="zh-CN" w:bidi="ar-SA"/>
              </w:rPr>
              <w:t xml:space="preserve">  </w:t>
            </w:r>
            <w:r>
              <w:rPr>
                <w:rFonts w:hint="default" w:ascii="Times New Roman" w:hAnsi="Times New Roman" w:cs="Times New Roman"/>
                <w:b/>
                <w:color w:val="auto"/>
                <w:sz w:val="21"/>
                <w:szCs w:val="21"/>
                <w:highlight w:val="none"/>
              </w:rPr>
              <w:t>环境保护图形标志一览表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81"/>
              <w:gridCol w:w="1821"/>
              <w:gridCol w:w="1577"/>
              <w:gridCol w:w="1581"/>
              <w:gridCol w:w="2302"/>
            </w:tblGrid>
            <w:tr w14:paraId="77D3C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46705F4C">
                  <w:pPr>
                    <w:adjustRightInd w:val="0"/>
                    <w:snapToGrid w:val="0"/>
                    <w:spacing w:line="240" w:lineRule="auto"/>
                    <w:jc w:val="center"/>
                    <w:rPr>
                      <w:rFonts w:hint="default" w:ascii="Times New Roman" w:hAnsi="Times New Roman" w:cs="Times New Roman"/>
                      <w:b/>
                      <w:bCs/>
                      <w:color w:val="auto"/>
                      <w:spacing w:val="3"/>
                      <w:sz w:val="21"/>
                      <w:szCs w:val="21"/>
                      <w:highlight w:val="none"/>
                    </w:rPr>
                  </w:pPr>
                  <w:r>
                    <w:rPr>
                      <w:rFonts w:hint="default" w:ascii="Times New Roman" w:hAnsi="Times New Roman" w:cs="Times New Roman"/>
                      <w:b/>
                      <w:bCs/>
                      <w:color w:val="auto"/>
                      <w:spacing w:val="3"/>
                      <w:sz w:val="21"/>
                      <w:szCs w:val="21"/>
                      <w:highlight w:val="none"/>
                    </w:rPr>
                    <w:t>序号</w:t>
                  </w:r>
                </w:p>
              </w:tc>
              <w:tc>
                <w:tcPr>
                  <w:tcW w:w="1172" w:type="pct"/>
                  <w:noWrap w:val="0"/>
                  <w:vAlign w:val="center"/>
                </w:tcPr>
                <w:p w14:paraId="2882014F">
                  <w:pPr>
                    <w:adjustRightInd w:val="0"/>
                    <w:snapToGrid w:val="0"/>
                    <w:spacing w:line="240" w:lineRule="auto"/>
                    <w:jc w:val="center"/>
                    <w:rPr>
                      <w:rFonts w:hint="default" w:ascii="Times New Roman" w:hAnsi="Times New Roman" w:cs="Times New Roman"/>
                      <w:b/>
                      <w:bCs/>
                      <w:color w:val="auto"/>
                      <w:spacing w:val="3"/>
                      <w:sz w:val="21"/>
                      <w:szCs w:val="21"/>
                      <w:highlight w:val="none"/>
                    </w:rPr>
                  </w:pPr>
                  <w:r>
                    <w:rPr>
                      <w:rFonts w:hint="default" w:ascii="Times New Roman" w:hAnsi="Times New Roman" w:cs="Times New Roman"/>
                      <w:b/>
                      <w:bCs/>
                      <w:color w:val="auto"/>
                      <w:spacing w:val="3"/>
                      <w:sz w:val="21"/>
                      <w:szCs w:val="21"/>
                      <w:highlight w:val="none"/>
                    </w:rPr>
                    <w:t>提示图形符号</w:t>
                  </w:r>
                </w:p>
              </w:tc>
              <w:tc>
                <w:tcPr>
                  <w:tcW w:w="1015" w:type="pct"/>
                  <w:noWrap w:val="0"/>
                  <w:vAlign w:val="center"/>
                </w:tcPr>
                <w:p w14:paraId="35412C0B">
                  <w:pPr>
                    <w:adjustRightInd w:val="0"/>
                    <w:snapToGrid w:val="0"/>
                    <w:spacing w:line="240" w:lineRule="auto"/>
                    <w:jc w:val="center"/>
                    <w:rPr>
                      <w:rFonts w:hint="default" w:ascii="Times New Roman" w:hAnsi="Times New Roman" w:cs="Times New Roman"/>
                      <w:b/>
                      <w:bCs/>
                      <w:color w:val="auto"/>
                      <w:spacing w:val="3"/>
                      <w:sz w:val="21"/>
                      <w:szCs w:val="21"/>
                      <w:highlight w:val="none"/>
                    </w:rPr>
                  </w:pPr>
                  <w:r>
                    <w:rPr>
                      <w:rFonts w:hint="default" w:ascii="Times New Roman" w:hAnsi="Times New Roman" w:cs="Times New Roman"/>
                      <w:b/>
                      <w:bCs/>
                      <w:color w:val="auto"/>
                      <w:spacing w:val="3"/>
                      <w:sz w:val="21"/>
                      <w:szCs w:val="21"/>
                      <w:highlight w:val="none"/>
                    </w:rPr>
                    <w:t>警示图形符号</w:t>
                  </w:r>
                </w:p>
              </w:tc>
              <w:tc>
                <w:tcPr>
                  <w:tcW w:w="1018" w:type="pct"/>
                  <w:noWrap w:val="0"/>
                  <w:vAlign w:val="center"/>
                </w:tcPr>
                <w:p w14:paraId="1A2EF430">
                  <w:pPr>
                    <w:adjustRightInd w:val="0"/>
                    <w:snapToGrid w:val="0"/>
                    <w:spacing w:line="240" w:lineRule="auto"/>
                    <w:jc w:val="center"/>
                    <w:rPr>
                      <w:rFonts w:hint="default" w:ascii="Times New Roman" w:hAnsi="Times New Roman" w:cs="Times New Roman"/>
                      <w:b/>
                      <w:bCs/>
                      <w:color w:val="auto"/>
                      <w:spacing w:val="3"/>
                      <w:sz w:val="21"/>
                      <w:szCs w:val="21"/>
                      <w:highlight w:val="none"/>
                    </w:rPr>
                  </w:pPr>
                  <w:r>
                    <w:rPr>
                      <w:rFonts w:hint="default" w:ascii="Times New Roman" w:hAnsi="Times New Roman" w:cs="Times New Roman"/>
                      <w:b/>
                      <w:bCs/>
                      <w:color w:val="auto"/>
                      <w:spacing w:val="3"/>
                      <w:sz w:val="21"/>
                      <w:szCs w:val="21"/>
                      <w:highlight w:val="none"/>
                    </w:rPr>
                    <w:t>名称</w:t>
                  </w:r>
                </w:p>
              </w:tc>
              <w:tc>
                <w:tcPr>
                  <w:tcW w:w="1482" w:type="pct"/>
                  <w:noWrap w:val="0"/>
                  <w:vAlign w:val="center"/>
                </w:tcPr>
                <w:p w14:paraId="2188D953">
                  <w:pPr>
                    <w:adjustRightInd w:val="0"/>
                    <w:snapToGrid w:val="0"/>
                    <w:spacing w:line="240" w:lineRule="auto"/>
                    <w:jc w:val="center"/>
                    <w:rPr>
                      <w:rFonts w:hint="default" w:ascii="Times New Roman" w:hAnsi="Times New Roman" w:cs="Times New Roman"/>
                      <w:b/>
                      <w:bCs/>
                      <w:color w:val="auto"/>
                      <w:spacing w:val="3"/>
                      <w:sz w:val="21"/>
                      <w:szCs w:val="21"/>
                      <w:highlight w:val="none"/>
                    </w:rPr>
                  </w:pPr>
                  <w:r>
                    <w:rPr>
                      <w:rFonts w:hint="default" w:ascii="Times New Roman" w:hAnsi="Times New Roman" w:cs="Times New Roman"/>
                      <w:b/>
                      <w:bCs/>
                      <w:color w:val="auto"/>
                      <w:spacing w:val="3"/>
                      <w:sz w:val="21"/>
                      <w:szCs w:val="21"/>
                      <w:highlight w:val="none"/>
                    </w:rPr>
                    <w:t>功能</w:t>
                  </w:r>
                </w:p>
              </w:tc>
            </w:tr>
            <w:tr w14:paraId="7B35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4FA65150">
                  <w:pPr>
                    <w:pStyle w:val="60"/>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p>
              </w:tc>
              <w:tc>
                <w:tcPr>
                  <w:tcW w:w="1172" w:type="pct"/>
                  <w:noWrap w:val="0"/>
                  <w:vAlign w:val="center"/>
                </w:tcPr>
                <w:p w14:paraId="0F97D11B">
                  <w:pPr>
                    <w:pStyle w:val="60"/>
                    <w:spacing w:line="240" w:lineRule="auto"/>
                    <w:rPr>
                      <w:rFonts w:hint="default" w:ascii="Times New Roman" w:hAnsi="Times New Roman" w:cs="Times New Roman"/>
                      <w:color w:val="auto"/>
                      <w:sz w:val="21"/>
                      <w:szCs w:val="21"/>
                      <w:highlight w:val="none"/>
                    </w:rPr>
                  </w:pPr>
                  <w:r>
                    <w:rPr>
                      <w:color w:val="auto"/>
                      <w:position w:val="-13"/>
                      <w:sz w:val="21"/>
                      <w:szCs w:val="21"/>
                      <w:highlight w:val="none"/>
                    </w:rPr>
                    <w:drawing>
                      <wp:inline distT="0" distB="0" distL="0" distR="0">
                        <wp:extent cx="771525" cy="635000"/>
                        <wp:effectExtent l="0" t="0" r="9525" b="1270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25"/>
                                <a:stretch>
                                  <a:fillRect/>
                                </a:stretch>
                              </pic:blipFill>
                              <pic:spPr>
                                <a:xfrm>
                                  <a:off x="0" y="0"/>
                                  <a:ext cx="771525" cy="635000"/>
                                </a:xfrm>
                                <a:prstGeom prst="rect">
                                  <a:avLst/>
                                </a:prstGeom>
                              </pic:spPr>
                            </pic:pic>
                          </a:graphicData>
                        </a:graphic>
                      </wp:inline>
                    </w:drawing>
                  </w:r>
                </w:p>
              </w:tc>
              <w:tc>
                <w:tcPr>
                  <w:tcW w:w="1015" w:type="pct"/>
                  <w:noWrap w:val="0"/>
                  <w:vAlign w:val="center"/>
                </w:tcPr>
                <w:p w14:paraId="5FD926A3">
                  <w:pPr>
                    <w:pStyle w:val="60"/>
                    <w:spacing w:line="240" w:lineRule="auto"/>
                    <w:rPr>
                      <w:rFonts w:hint="default" w:ascii="Times New Roman" w:hAnsi="Times New Roman" w:cs="Times New Roman"/>
                      <w:color w:val="auto"/>
                      <w:sz w:val="21"/>
                      <w:szCs w:val="21"/>
                      <w:highlight w:val="none"/>
                    </w:rPr>
                  </w:pPr>
                  <w:r>
                    <w:rPr>
                      <w:color w:val="auto"/>
                      <w:sz w:val="21"/>
                      <w:szCs w:val="21"/>
                      <w:highlight w:val="none"/>
                    </w:rPr>
                    <w:drawing>
                      <wp:inline distT="0" distB="0" distL="114300" distR="114300">
                        <wp:extent cx="648970" cy="631190"/>
                        <wp:effectExtent l="0" t="0" r="17780" b="165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6"/>
                                <a:srcRect b="21701"/>
                                <a:stretch>
                                  <a:fillRect/>
                                </a:stretch>
                              </pic:blipFill>
                              <pic:spPr>
                                <a:xfrm>
                                  <a:off x="0" y="0"/>
                                  <a:ext cx="648970" cy="631190"/>
                                </a:xfrm>
                                <a:prstGeom prst="rect">
                                  <a:avLst/>
                                </a:prstGeom>
                                <a:noFill/>
                                <a:ln>
                                  <a:noFill/>
                                </a:ln>
                              </pic:spPr>
                            </pic:pic>
                          </a:graphicData>
                        </a:graphic>
                      </wp:inline>
                    </w:drawing>
                  </w:r>
                </w:p>
              </w:tc>
              <w:tc>
                <w:tcPr>
                  <w:tcW w:w="1018" w:type="pct"/>
                  <w:noWrap w:val="0"/>
                  <w:vAlign w:val="center"/>
                </w:tcPr>
                <w:p w14:paraId="667DA9A8">
                  <w:pPr>
                    <w:pStyle w:val="61"/>
                    <w:snapToGrid w:val="0"/>
                    <w:spacing w:line="240" w:lineRule="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废</w:t>
                  </w:r>
                  <w:r>
                    <w:rPr>
                      <w:rFonts w:hint="eastAsia" w:cs="Times New Roman"/>
                      <w:bCs/>
                      <w:color w:val="auto"/>
                      <w:kern w:val="0"/>
                      <w:sz w:val="21"/>
                      <w:szCs w:val="21"/>
                      <w:highlight w:val="none"/>
                      <w:lang w:eastAsia="zh-CN"/>
                    </w:rPr>
                    <w:t>气</w:t>
                  </w:r>
                  <w:r>
                    <w:rPr>
                      <w:rFonts w:hint="default" w:ascii="Times New Roman" w:hAnsi="Times New Roman" w:eastAsia="宋体" w:cs="Times New Roman"/>
                      <w:bCs/>
                      <w:color w:val="auto"/>
                      <w:kern w:val="0"/>
                      <w:sz w:val="21"/>
                      <w:szCs w:val="21"/>
                      <w:highlight w:val="none"/>
                    </w:rPr>
                    <w:t>排放口</w:t>
                  </w:r>
                </w:p>
              </w:tc>
              <w:tc>
                <w:tcPr>
                  <w:tcW w:w="1482" w:type="pct"/>
                  <w:noWrap w:val="0"/>
                  <w:vAlign w:val="center"/>
                </w:tcPr>
                <w:p w14:paraId="14456235">
                  <w:pPr>
                    <w:pStyle w:val="61"/>
                    <w:snapToGrid w:val="0"/>
                    <w:spacing w:line="240" w:lineRule="auto"/>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bCs/>
                      <w:color w:val="auto"/>
                      <w:kern w:val="0"/>
                      <w:sz w:val="21"/>
                      <w:szCs w:val="21"/>
                      <w:highlight w:val="none"/>
                    </w:rPr>
                    <w:t>表示废</w:t>
                  </w:r>
                  <w:r>
                    <w:rPr>
                      <w:rFonts w:hint="eastAsia" w:cs="Times New Roman"/>
                      <w:bCs/>
                      <w:color w:val="auto"/>
                      <w:kern w:val="0"/>
                      <w:sz w:val="21"/>
                      <w:szCs w:val="21"/>
                      <w:highlight w:val="none"/>
                      <w:lang w:eastAsia="zh-CN"/>
                    </w:rPr>
                    <w:t>气</w:t>
                  </w:r>
                  <w:r>
                    <w:rPr>
                      <w:rFonts w:hint="default" w:ascii="Times New Roman" w:hAnsi="Times New Roman" w:eastAsia="宋体" w:cs="Times New Roman"/>
                      <w:bCs/>
                      <w:color w:val="auto"/>
                      <w:kern w:val="0"/>
                      <w:sz w:val="21"/>
                      <w:szCs w:val="21"/>
                      <w:highlight w:val="none"/>
                    </w:rPr>
                    <w:t>向</w:t>
                  </w:r>
                  <w:r>
                    <w:rPr>
                      <w:rFonts w:hint="eastAsia" w:cs="Times New Roman"/>
                      <w:bCs/>
                      <w:color w:val="auto"/>
                      <w:kern w:val="0"/>
                      <w:sz w:val="21"/>
                      <w:szCs w:val="21"/>
                      <w:highlight w:val="none"/>
                      <w:lang w:eastAsia="zh-CN"/>
                    </w:rPr>
                    <w:t>大气</w:t>
                  </w:r>
                  <w:r>
                    <w:rPr>
                      <w:rFonts w:hint="default" w:ascii="Times New Roman" w:hAnsi="Times New Roman" w:eastAsia="宋体" w:cs="Times New Roman"/>
                      <w:bCs/>
                      <w:color w:val="auto"/>
                      <w:kern w:val="0"/>
                      <w:sz w:val="21"/>
                      <w:szCs w:val="21"/>
                      <w:highlight w:val="none"/>
                    </w:rPr>
                    <w:t>排放</w:t>
                  </w:r>
                </w:p>
              </w:tc>
            </w:tr>
            <w:tr w14:paraId="58D8F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76780285">
                  <w:pPr>
                    <w:adjustRightInd w:val="0"/>
                    <w:snapToGrid w:val="0"/>
                    <w:spacing w:line="240" w:lineRule="auto"/>
                    <w:jc w:val="center"/>
                    <w:rPr>
                      <w:rFonts w:hint="default" w:ascii="Times New Roman" w:hAnsi="Times New Roman" w:cs="Times New Roman"/>
                      <w:color w:val="auto"/>
                      <w:spacing w:val="3"/>
                      <w:sz w:val="21"/>
                      <w:szCs w:val="21"/>
                      <w:highlight w:val="none"/>
                    </w:rPr>
                  </w:pPr>
                  <w:r>
                    <w:rPr>
                      <w:rFonts w:hint="default" w:ascii="Times New Roman" w:hAnsi="Times New Roman" w:cs="Times New Roman"/>
                      <w:color w:val="auto"/>
                      <w:spacing w:val="3"/>
                      <w:sz w:val="21"/>
                      <w:szCs w:val="21"/>
                      <w:highlight w:val="none"/>
                    </w:rPr>
                    <w:t>2</w:t>
                  </w:r>
                </w:p>
              </w:tc>
              <w:tc>
                <w:tcPr>
                  <w:tcW w:w="1172" w:type="pct"/>
                  <w:noWrap w:val="0"/>
                  <w:vAlign w:val="center"/>
                </w:tcPr>
                <w:p w14:paraId="55426AA5">
                  <w:pPr>
                    <w:pStyle w:val="60"/>
                    <w:spacing w:line="240" w:lineRule="auto"/>
                    <w:rPr>
                      <w:rFonts w:hint="default" w:ascii="Times New Roman" w:hAnsi="Times New Roman" w:eastAsia="宋体" w:cs="Times New Roman"/>
                      <w:color w:val="auto"/>
                      <w:kern w:val="18"/>
                      <w:sz w:val="21"/>
                      <w:szCs w:val="21"/>
                      <w:highlight w:val="none"/>
                      <w:lang w:val="en-US" w:eastAsia="zh-CN" w:bidi="ar-SA"/>
                    </w:rPr>
                  </w:pPr>
                  <w:r>
                    <w:rPr>
                      <w:rFonts w:hAnsi="Times New Roman"/>
                      <w:color w:val="auto"/>
                      <w:sz w:val="21"/>
                      <w:szCs w:val="21"/>
                      <w:highlight w:val="none"/>
                    </w:rPr>
                    <w:drawing>
                      <wp:inline distT="0" distB="0" distL="114300" distR="114300">
                        <wp:extent cx="770255" cy="622935"/>
                        <wp:effectExtent l="0" t="0" r="10795" b="5715"/>
                        <wp:docPr id="30" name="图片 14" descr="1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descr="13001"/>
                                <pic:cNvPicPr>
                                  <a:picLocks noChangeAspect="1"/>
                                </pic:cNvPicPr>
                              </pic:nvPicPr>
                              <pic:blipFill>
                                <a:blip r:embed="rId27"/>
                                <a:stretch>
                                  <a:fillRect/>
                                </a:stretch>
                              </pic:blipFill>
                              <pic:spPr>
                                <a:xfrm>
                                  <a:off x="0" y="0"/>
                                  <a:ext cx="770255" cy="622935"/>
                                </a:xfrm>
                                <a:prstGeom prst="rect">
                                  <a:avLst/>
                                </a:prstGeom>
                                <a:noFill/>
                                <a:ln>
                                  <a:noFill/>
                                </a:ln>
                              </pic:spPr>
                            </pic:pic>
                          </a:graphicData>
                        </a:graphic>
                      </wp:inline>
                    </w:drawing>
                  </w:r>
                </w:p>
              </w:tc>
              <w:tc>
                <w:tcPr>
                  <w:tcW w:w="1015" w:type="pct"/>
                  <w:noWrap w:val="0"/>
                  <w:vAlign w:val="center"/>
                </w:tcPr>
                <w:p w14:paraId="0A46587A">
                  <w:pPr>
                    <w:pStyle w:val="60"/>
                    <w:spacing w:line="240" w:lineRule="auto"/>
                    <w:rPr>
                      <w:rFonts w:hint="default" w:ascii="Times New Roman" w:hAnsi="Times New Roman" w:eastAsia="宋体" w:cs="Times New Roman"/>
                      <w:color w:val="auto"/>
                      <w:kern w:val="18"/>
                      <w:sz w:val="21"/>
                      <w:szCs w:val="21"/>
                      <w:highlight w:val="none"/>
                      <w:lang w:val="en-US" w:eastAsia="zh-CN" w:bidi="ar-SA"/>
                    </w:rPr>
                  </w:pPr>
                  <w:r>
                    <w:rPr>
                      <w:rFonts w:hint="default" w:ascii="Times New Roman" w:hAnsi="Times New Roman" w:cs="Times New Roman"/>
                      <w:color w:val="auto"/>
                      <w:sz w:val="21"/>
                      <w:szCs w:val="21"/>
                      <w:highlight w:val="none"/>
                    </w:rPr>
                    <w:drawing>
                      <wp:inline distT="0" distB="0" distL="114300" distR="114300">
                        <wp:extent cx="666115" cy="632460"/>
                        <wp:effectExtent l="0" t="0" r="635" b="15240"/>
                        <wp:docPr id="32" name="图片 15" descr="1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descr="13002"/>
                                <pic:cNvPicPr>
                                  <a:picLocks noChangeAspect="1"/>
                                </pic:cNvPicPr>
                              </pic:nvPicPr>
                              <pic:blipFill>
                                <a:blip r:embed="rId28"/>
                                <a:stretch>
                                  <a:fillRect/>
                                </a:stretch>
                              </pic:blipFill>
                              <pic:spPr>
                                <a:xfrm>
                                  <a:off x="0" y="0"/>
                                  <a:ext cx="666115" cy="632460"/>
                                </a:xfrm>
                                <a:prstGeom prst="rect">
                                  <a:avLst/>
                                </a:prstGeom>
                                <a:noFill/>
                                <a:ln>
                                  <a:noFill/>
                                </a:ln>
                              </pic:spPr>
                            </pic:pic>
                          </a:graphicData>
                        </a:graphic>
                      </wp:inline>
                    </w:drawing>
                  </w:r>
                </w:p>
              </w:tc>
              <w:tc>
                <w:tcPr>
                  <w:tcW w:w="1018" w:type="pct"/>
                  <w:noWrap w:val="0"/>
                  <w:vAlign w:val="center"/>
                </w:tcPr>
                <w:p w14:paraId="0BEC0831">
                  <w:pPr>
                    <w:pStyle w:val="61"/>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rPr>
                    <w:t>废水排放口</w:t>
                  </w:r>
                </w:p>
              </w:tc>
              <w:tc>
                <w:tcPr>
                  <w:tcW w:w="1482" w:type="pct"/>
                  <w:noWrap w:val="0"/>
                  <w:vAlign w:val="center"/>
                </w:tcPr>
                <w:p w14:paraId="40341BEA">
                  <w:pPr>
                    <w:pStyle w:val="61"/>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rPr>
                    <w:t>表示废水向水体排放</w:t>
                  </w:r>
                </w:p>
              </w:tc>
            </w:tr>
            <w:tr w14:paraId="37357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50DFA094">
                  <w:pPr>
                    <w:adjustRightInd w:val="0"/>
                    <w:snapToGrid w:val="0"/>
                    <w:spacing w:line="240" w:lineRule="auto"/>
                    <w:jc w:val="center"/>
                    <w:rPr>
                      <w:rFonts w:hint="default" w:ascii="Times New Roman" w:hAnsi="Times New Roman" w:cs="Times New Roman"/>
                      <w:color w:val="auto"/>
                      <w:spacing w:val="3"/>
                      <w:sz w:val="21"/>
                      <w:szCs w:val="21"/>
                      <w:highlight w:val="none"/>
                    </w:rPr>
                  </w:pPr>
                  <w:r>
                    <w:rPr>
                      <w:rFonts w:hint="default" w:ascii="Times New Roman" w:hAnsi="Times New Roman" w:cs="Times New Roman"/>
                      <w:color w:val="auto"/>
                      <w:spacing w:val="3"/>
                      <w:sz w:val="21"/>
                      <w:szCs w:val="21"/>
                      <w:highlight w:val="none"/>
                    </w:rPr>
                    <w:t>3</w:t>
                  </w:r>
                </w:p>
              </w:tc>
              <w:tc>
                <w:tcPr>
                  <w:tcW w:w="1172" w:type="pct"/>
                  <w:noWrap w:val="0"/>
                  <w:vAlign w:val="center"/>
                </w:tcPr>
                <w:p w14:paraId="5E54D2EA">
                  <w:pPr>
                    <w:adjustRightInd w:val="0"/>
                    <w:snapToGrid w:val="0"/>
                    <w:spacing w:line="240" w:lineRule="auto"/>
                    <w:jc w:val="center"/>
                    <w:rPr>
                      <w:rFonts w:hint="default" w:ascii="Times New Roman" w:hAnsi="Times New Roman" w:eastAsia="宋体" w:cs="Times New Roman"/>
                      <w:color w:val="auto"/>
                      <w:spacing w:val="3"/>
                      <w:kern w:val="2"/>
                      <w:sz w:val="21"/>
                      <w:szCs w:val="21"/>
                      <w:highlight w:val="none"/>
                      <w:lang w:val="en-US" w:eastAsia="zh-CN" w:bidi="ar-SA"/>
                    </w:rPr>
                  </w:pPr>
                  <w:r>
                    <w:rPr>
                      <w:rFonts w:hAnsi="Times New Roman"/>
                      <w:color w:val="auto"/>
                      <w:sz w:val="21"/>
                      <w:szCs w:val="21"/>
                      <w:highlight w:val="none"/>
                    </w:rPr>
                    <w:drawing>
                      <wp:inline distT="0" distB="0" distL="114300" distR="114300">
                        <wp:extent cx="764540" cy="648335"/>
                        <wp:effectExtent l="0" t="0" r="16510" b="18415"/>
                        <wp:docPr id="33" name="图片 16" descr="200602201518049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descr="200602201518049853"/>
                                <pic:cNvPicPr>
                                  <a:picLocks noChangeAspect="1"/>
                                </pic:cNvPicPr>
                              </pic:nvPicPr>
                              <pic:blipFill>
                                <a:blip r:embed="rId29"/>
                                <a:stretch>
                                  <a:fillRect/>
                                </a:stretch>
                              </pic:blipFill>
                              <pic:spPr>
                                <a:xfrm>
                                  <a:off x="0" y="0"/>
                                  <a:ext cx="764540" cy="648335"/>
                                </a:xfrm>
                                <a:prstGeom prst="rect">
                                  <a:avLst/>
                                </a:prstGeom>
                                <a:noFill/>
                                <a:ln>
                                  <a:noFill/>
                                </a:ln>
                              </pic:spPr>
                            </pic:pic>
                          </a:graphicData>
                        </a:graphic>
                      </wp:inline>
                    </w:drawing>
                  </w:r>
                </w:p>
              </w:tc>
              <w:tc>
                <w:tcPr>
                  <w:tcW w:w="1015" w:type="pct"/>
                  <w:noWrap w:val="0"/>
                  <w:vAlign w:val="center"/>
                </w:tcPr>
                <w:p w14:paraId="261959DB">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Ansi="Times New Roman"/>
                      <w:color w:val="auto"/>
                      <w:sz w:val="21"/>
                      <w:szCs w:val="21"/>
                      <w:highlight w:val="none"/>
                    </w:rPr>
                    <w:drawing>
                      <wp:inline distT="0" distB="0" distL="114300" distR="114300">
                        <wp:extent cx="691515" cy="640715"/>
                        <wp:effectExtent l="0" t="0" r="13335" b="6985"/>
                        <wp:docPr id="34" name="图片 17" descr="20060220151901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7" descr="200602201519018631"/>
                                <pic:cNvPicPr>
                                  <a:picLocks noChangeAspect="1"/>
                                </pic:cNvPicPr>
                              </pic:nvPicPr>
                              <pic:blipFill>
                                <a:blip r:embed="rId30"/>
                                <a:stretch>
                                  <a:fillRect/>
                                </a:stretch>
                              </pic:blipFill>
                              <pic:spPr>
                                <a:xfrm>
                                  <a:off x="0" y="0"/>
                                  <a:ext cx="691515" cy="640715"/>
                                </a:xfrm>
                                <a:prstGeom prst="rect">
                                  <a:avLst/>
                                </a:prstGeom>
                                <a:noFill/>
                                <a:ln>
                                  <a:noFill/>
                                </a:ln>
                              </pic:spPr>
                            </pic:pic>
                          </a:graphicData>
                        </a:graphic>
                      </wp:inline>
                    </w:drawing>
                  </w:r>
                </w:p>
              </w:tc>
              <w:tc>
                <w:tcPr>
                  <w:tcW w:w="1018" w:type="pct"/>
                  <w:noWrap w:val="0"/>
                  <w:vAlign w:val="center"/>
                </w:tcPr>
                <w:p w14:paraId="07C42125">
                  <w:pPr>
                    <w:pStyle w:val="61"/>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噪声排放源</w:t>
                  </w:r>
                </w:p>
              </w:tc>
              <w:tc>
                <w:tcPr>
                  <w:tcW w:w="1482" w:type="pct"/>
                  <w:noWrap w:val="0"/>
                  <w:vAlign w:val="center"/>
                </w:tcPr>
                <w:p w14:paraId="7AE64B4E">
                  <w:pPr>
                    <w:pStyle w:val="61"/>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表示噪声向外环境排放</w:t>
                  </w:r>
                </w:p>
              </w:tc>
            </w:tr>
            <w:tr w14:paraId="651A6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569A54EF">
                  <w:pPr>
                    <w:adjustRightInd w:val="0"/>
                    <w:snapToGrid w:val="0"/>
                    <w:spacing w:line="240" w:lineRule="auto"/>
                    <w:jc w:val="center"/>
                    <w:rPr>
                      <w:rFonts w:hint="default" w:ascii="Times New Roman" w:hAnsi="Times New Roman" w:cs="Times New Roman"/>
                      <w:color w:val="auto"/>
                      <w:spacing w:val="3"/>
                      <w:sz w:val="21"/>
                      <w:szCs w:val="21"/>
                      <w:highlight w:val="none"/>
                    </w:rPr>
                  </w:pPr>
                  <w:r>
                    <w:rPr>
                      <w:rFonts w:hint="default" w:ascii="Times New Roman" w:hAnsi="Times New Roman" w:cs="Times New Roman"/>
                      <w:color w:val="auto"/>
                      <w:spacing w:val="3"/>
                      <w:sz w:val="21"/>
                      <w:szCs w:val="21"/>
                      <w:highlight w:val="none"/>
                    </w:rPr>
                    <w:t>4</w:t>
                  </w:r>
                </w:p>
              </w:tc>
              <w:tc>
                <w:tcPr>
                  <w:tcW w:w="1172" w:type="pct"/>
                  <w:noWrap w:val="0"/>
                  <w:vAlign w:val="center"/>
                </w:tcPr>
                <w:p w14:paraId="77459949">
                  <w:pPr>
                    <w:adjustRightInd w:val="0"/>
                    <w:snapToGrid w:val="0"/>
                    <w:spacing w:line="240" w:lineRule="auto"/>
                    <w:jc w:val="center"/>
                    <w:rPr>
                      <w:rFonts w:hint="default" w:ascii="Times New Roman" w:hAnsi="Times New Roman" w:eastAsia="宋体" w:cs="Times New Roman"/>
                      <w:b/>
                      <w:color w:val="auto"/>
                      <w:spacing w:val="3"/>
                      <w:kern w:val="2"/>
                      <w:sz w:val="21"/>
                      <w:szCs w:val="21"/>
                      <w:highlight w:val="none"/>
                      <w:lang w:val="en-US" w:eastAsia="zh-CN" w:bidi="ar-SA"/>
                    </w:rPr>
                  </w:pPr>
                  <w:r>
                    <w:rPr>
                      <w:rFonts w:hAnsi="Times New Roman"/>
                      <w:color w:val="auto"/>
                      <w:sz w:val="21"/>
                      <w:szCs w:val="21"/>
                      <w:highlight w:val="none"/>
                    </w:rPr>
                    <w:drawing>
                      <wp:inline distT="0" distB="0" distL="114300" distR="114300">
                        <wp:extent cx="763270" cy="642620"/>
                        <wp:effectExtent l="0" t="0" r="17780" b="5080"/>
                        <wp:docPr id="35" name="图片 18" descr="1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8" descr="14001"/>
                                <pic:cNvPicPr>
                                  <a:picLocks noChangeAspect="1"/>
                                </pic:cNvPicPr>
                              </pic:nvPicPr>
                              <pic:blipFill>
                                <a:blip r:embed="rId31"/>
                                <a:stretch>
                                  <a:fillRect/>
                                </a:stretch>
                              </pic:blipFill>
                              <pic:spPr>
                                <a:xfrm>
                                  <a:off x="0" y="0"/>
                                  <a:ext cx="763270" cy="642620"/>
                                </a:xfrm>
                                <a:prstGeom prst="rect">
                                  <a:avLst/>
                                </a:prstGeom>
                                <a:noFill/>
                                <a:ln>
                                  <a:noFill/>
                                </a:ln>
                              </pic:spPr>
                            </pic:pic>
                          </a:graphicData>
                        </a:graphic>
                      </wp:inline>
                    </w:drawing>
                  </w:r>
                </w:p>
              </w:tc>
              <w:tc>
                <w:tcPr>
                  <w:tcW w:w="1015" w:type="pct"/>
                  <w:noWrap w:val="0"/>
                  <w:vAlign w:val="center"/>
                </w:tcPr>
                <w:p w14:paraId="3C5AAC59">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Ansi="Times New Roman"/>
                      <w:color w:val="auto"/>
                      <w:sz w:val="21"/>
                      <w:szCs w:val="21"/>
                      <w:highlight w:val="none"/>
                    </w:rPr>
                    <w:drawing>
                      <wp:inline distT="0" distB="0" distL="114300" distR="114300">
                        <wp:extent cx="715645" cy="671195"/>
                        <wp:effectExtent l="0" t="0" r="8255" b="14605"/>
                        <wp:docPr id="36" name="图片 19" descr="1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9" descr="14002"/>
                                <pic:cNvPicPr>
                                  <a:picLocks noChangeAspect="1"/>
                                </pic:cNvPicPr>
                              </pic:nvPicPr>
                              <pic:blipFill>
                                <a:blip r:embed="rId32"/>
                                <a:stretch>
                                  <a:fillRect/>
                                </a:stretch>
                              </pic:blipFill>
                              <pic:spPr>
                                <a:xfrm>
                                  <a:off x="0" y="0"/>
                                  <a:ext cx="715645" cy="671195"/>
                                </a:xfrm>
                                <a:prstGeom prst="rect">
                                  <a:avLst/>
                                </a:prstGeom>
                                <a:noFill/>
                                <a:ln>
                                  <a:noFill/>
                                </a:ln>
                              </pic:spPr>
                            </pic:pic>
                          </a:graphicData>
                        </a:graphic>
                      </wp:inline>
                    </w:drawing>
                  </w:r>
                </w:p>
              </w:tc>
              <w:tc>
                <w:tcPr>
                  <w:tcW w:w="1018" w:type="pct"/>
                  <w:noWrap w:val="0"/>
                  <w:vAlign w:val="center"/>
                </w:tcPr>
                <w:p w14:paraId="7B57EB4C">
                  <w:pPr>
                    <w:pStyle w:val="61"/>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一般固体废物</w:t>
                  </w:r>
                </w:p>
              </w:tc>
              <w:tc>
                <w:tcPr>
                  <w:tcW w:w="1482" w:type="pct"/>
                  <w:noWrap w:val="0"/>
                  <w:vAlign w:val="center"/>
                </w:tcPr>
                <w:p w14:paraId="6E703EB9">
                  <w:pPr>
                    <w:pStyle w:val="61"/>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cs="Times New Roman"/>
                      <w:bCs/>
                      <w:color w:val="auto"/>
                      <w:kern w:val="0"/>
                      <w:sz w:val="21"/>
                      <w:szCs w:val="21"/>
                      <w:highlight w:val="none"/>
                      <w:lang w:val="en-US" w:eastAsia="zh-CN"/>
                    </w:rPr>
                    <w:t>表示</w:t>
                  </w:r>
                  <w:r>
                    <w:rPr>
                      <w:rFonts w:hint="default" w:ascii="Times New Roman" w:hAnsi="Times New Roman" w:cs="Times New Roman"/>
                      <w:bCs/>
                      <w:color w:val="auto"/>
                      <w:kern w:val="0"/>
                      <w:sz w:val="21"/>
                      <w:szCs w:val="21"/>
                      <w:highlight w:val="none"/>
                    </w:rPr>
                    <w:t>一般固体废物贮存、处置场</w:t>
                  </w:r>
                </w:p>
              </w:tc>
            </w:tr>
            <w:tr w14:paraId="6341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0E361606">
                  <w:pPr>
                    <w:adjustRightInd w:val="0"/>
                    <w:snapToGrid w:val="0"/>
                    <w:spacing w:line="240" w:lineRule="auto"/>
                    <w:jc w:val="center"/>
                    <w:rPr>
                      <w:rFonts w:hint="eastAsia" w:ascii="Times New Roman" w:hAnsi="Times New Roman" w:eastAsia="宋体" w:cs="Times New Roman"/>
                      <w:color w:val="auto"/>
                      <w:spacing w:val="3"/>
                      <w:sz w:val="21"/>
                      <w:szCs w:val="21"/>
                      <w:highlight w:val="none"/>
                      <w:lang w:val="en-US" w:eastAsia="zh-CN"/>
                    </w:rPr>
                  </w:pPr>
                  <w:r>
                    <w:rPr>
                      <w:rFonts w:hint="eastAsia" w:cs="Times New Roman"/>
                      <w:color w:val="auto"/>
                      <w:spacing w:val="3"/>
                      <w:sz w:val="21"/>
                      <w:szCs w:val="21"/>
                      <w:highlight w:val="none"/>
                      <w:lang w:val="en-US" w:eastAsia="zh-CN"/>
                    </w:rPr>
                    <w:t>5</w:t>
                  </w:r>
                </w:p>
              </w:tc>
              <w:tc>
                <w:tcPr>
                  <w:tcW w:w="1172" w:type="pct"/>
                  <w:noWrap w:val="0"/>
                  <w:vAlign w:val="center"/>
                </w:tcPr>
                <w:p w14:paraId="06CC691E">
                  <w:pPr>
                    <w:adjustRightInd w:val="0"/>
                    <w:snapToGrid w:val="0"/>
                    <w:spacing w:line="240" w:lineRule="auto"/>
                    <w:jc w:val="center"/>
                    <w:rPr>
                      <w:rFonts w:hint="default" w:ascii="Times New Roman" w:hAnsi="Times New Roman" w:eastAsia="宋体" w:cs="Times New Roman"/>
                      <w:color w:val="auto"/>
                      <w:spacing w:val="3"/>
                      <w:kern w:val="2"/>
                      <w:sz w:val="21"/>
                      <w:szCs w:val="21"/>
                      <w:highlight w:val="none"/>
                      <w:lang w:val="en-US" w:eastAsia="zh-CN" w:bidi="ar-SA"/>
                    </w:rPr>
                  </w:pPr>
                  <w:r>
                    <w:rPr>
                      <w:rFonts w:hint="eastAsia" w:cs="Times New Roman"/>
                      <w:color w:val="auto"/>
                      <w:spacing w:val="3"/>
                      <w:kern w:val="2"/>
                      <w:sz w:val="21"/>
                      <w:szCs w:val="21"/>
                      <w:highlight w:val="none"/>
                      <w:lang w:val="en-US" w:eastAsia="zh-CN" w:bidi="ar-SA"/>
                    </w:rPr>
                    <w:t>/</w:t>
                  </w:r>
                </w:p>
              </w:tc>
              <w:tc>
                <w:tcPr>
                  <w:tcW w:w="1015" w:type="pct"/>
                  <w:noWrap w:val="0"/>
                  <w:vAlign w:val="center"/>
                </w:tcPr>
                <w:p w14:paraId="5C89F189">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color w:val="auto"/>
                      <w:sz w:val="21"/>
                      <w:szCs w:val="21"/>
                      <w:highlight w:val="none"/>
                    </w:rPr>
                    <w:drawing>
                      <wp:inline distT="0" distB="0" distL="114300" distR="114300">
                        <wp:extent cx="741680" cy="668020"/>
                        <wp:effectExtent l="0" t="0" r="1270" b="17780"/>
                        <wp:docPr id="3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0"/>
                                <pic:cNvPicPr>
                                  <a:picLocks noChangeAspect="1"/>
                                </pic:cNvPicPr>
                              </pic:nvPicPr>
                              <pic:blipFill>
                                <a:blip r:embed="rId33"/>
                                <a:stretch>
                                  <a:fillRect/>
                                </a:stretch>
                              </pic:blipFill>
                              <pic:spPr>
                                <a:xfrm>
                                  <a:off x="0" y="0"/>
                                  <a:ext cx="741680" cy="668020"/>
                                </a:xfrm>
                                <a:prstGeom prst="rect">
                                  <a:avLst/>
                                </a:prstGeom>
                                <a:noFill/>
                                <a:ln>
                                  <a:noFill/>
                                </a:ln>
                              </pic:spPr>
                            </pic:pic>
                          </a:graphicData>
                        </a:graphic>
                      </wp:inline>
                    </w:drawing>
                  </w:r>
                </w:p>
              </w:tc>
              <w:tc>
                <w:tcPr>
                  <w:tcW w:w="1018" w:type="pct"/>
                  <w:noWrap w:val="0"/>
                  <w:vAlign w:val="center"/>
                </w:tcPr>
                <w:p w14:paraId="4F4DEA6C">
                  <w:pPr>
                    <w:pStyle w:val="61"/>
                    <w:snapToGrid w:val="0"/>
                    <w:spacing w:line="240" w:lineRule="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cs="Times New Roman"/>
                      <w:bCs/>
                      <w:color w:val="auto"/>
                      <w:kern w:val="0"/>
                      <w:sz w:val="21"/>
                      <w:szCs w:val="21"/>
                      <w:highlight w:val="none"/>
                    </w:rPr>
                    <w:t>危险固体废物</w:t>
                  </w:r>
                </w:p>
              </w:tc>
              <w:tc>
                <w:tcPr>
                  <w:tcW w:w="1482" w:type="pct"/>
                  <w:noWrap w:val="0"/>
                  <w:vAlign w:val="center"/>
                </w:tcPr>
                <w:p w14:paraId="153292D2">
                  <w:pPr>
                    <w:pStyle w:val="61"/>
                    <w:snapToGrid w:val="0"/>
                    <w:spacing w:line="240" w:lineRule="auto"/>
                    <w:rPr>
                      <w:rFonts w:hint="eastAsia"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cs="Times New Roman"/>
                      <w:bCs/>
                      <w:color w:val="auto"/>
                      <w:kern w:val="0"/>
                      <w:sz w:val="21"/>
                      <w:szCs w:val="21"/>
                      <w:highlight w:val="none"/>
                      <w:lang w:val="en-US" w:eastAsia="zh-CN"/>
                    </w:rPr>
                    <w:t>表示</w:t>
                  </w:r>
                  <w:r>
                    <w:rPr>
                      <w:rFonts w:hint="default" w:ascii="Times New Roman" w:hAnsi="Times New Roman" w:cs="Times New Roman"/>
                      <w:bCs/>
                      <w:color w:val="auto"/>
                      <w:kern w:val="0"/>
                      <w:sz w:val="21"/>
                      <w:szCs w:val="21"/>
                      <w:highlight w:val="none"/>
                    </w:rPr>
                    <w:t>危险固体废物贮存、处置场</w:t>
                  </w:r>
                </w:p>
              </w:tc>
            </w:tr>
          </w:tbl>
          <w:p w14:paraId="3A618533">
            <w:pPr>
              <w:adjustRightInd w:val="0"/>
              <w:snapToGrid w:val="0"/>
              <w:spacing w:line="360" w:lineRule="auto"/>
              <w:ind w:firstLine="422" w:firstLineChars="200"/>
              <w:rPr>
                <w:rFonts w:hint="eastAsia"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3、项目“三同时”要求</w:t>
            </w:r>
          </w:p>
          <w:p w14:paraId="2B068FFF">
            <w:pPr>
              <w:adjustRightInd w:val="0"/>
              <w:snapToGrid w:val="0"/>
              <w:spacing w:line="360" w:lineRule="auto"/>
              <w:ind w:firstLine="420" w:firstLineChars="200"/>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（1）污染防治措施必须与主体工程同时设计、同时施工、同时投产使用。</w:t>
            </w:r>
          </w:p>
          <w:p w14:paraId="00B37C61">
            <w:pPr>
              <w:adjustRightInd w:val="0"/>
              <w:snapToGrid w:val="0"/>
              <w:spacing w:line="360" w:lineRule="auto"/>
              <w:ind w:firstLine="420" w:firstLineChars="200"/>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（2）完成排污口规范化建设，应在排污口设置统一标志。</w:t>
            </w:r>
          </w:p>
          <w:p w14:paraId="00582E34">
            <w:pPr>
              <w:adjustRightInd w:val="0"/>
              <w:snapToGrid w:val="0"/>
              <w:spacing w:line="360" w:lineRule="auto"/>
              <w:ind w:firstLine="420" w:firstLineChars="200"/>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（3）防治污染设施必须经验收合格后，建设项目方可正式投入生产。</w:t>
            </w:r>
          </w:p>
          <w:p w14:paraId="5F187E11">
            <w:pPr>
              <w:adjustRightInd w:val="0"/>
              <w:snapToGrid w:val="0"/>
              <w:spacing w:line="360" w:lineRule="auto"/>
              <w:ind w:firstLine="422" w:firstLineChars="200"/>
              <w:rPr>
                <w:rFonts w:hint="eastAsia"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4、排污许可登记</w:t>
            </w:r>
          </w:p>
          <w:p w14:paraId="3EE5B36F">
            <w:pPr>
              <w:adjustRightInd w:val="0"/>
              <w:snapToGrid w:val="0"/>
              <w:spacing w:line="360" w:lineRule="auto"/>
              <w:ind w:firstLine="420" w:firstLineChars="200"/>
              <w:rPr>
                <w:rFonts w:hint="eastAsia"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bCs/>
                <w:color w:val="auto"/>
                <w:sz w:val="21"/>
                <w:szCs w:val="21"/>
                <w:highlight w:val="none"/>
              </w:rPr>
              <w:t>根据《排污许可管理条例》（国务院令第736号），排污单位应当按照条例规定申请取得排污许可证，未取得排污许可证的，不得排放污染物。</w:t>
            </w:r>
            <w:r>
              <w:rPr>
                <w:rFonts w:hint="eastAsia" w:ascii="Times New Roman" w:hAnsi="Times New Roman" w:eastAsia="宋体" w:cs="Times New Roman"/>
                <w:bCs/>
                <w:color w:val="auto"/>
                <w:sz w:val="21"/>
                <w:szCs w:val="21"/>
                <w:highlight w:val="none"/>
                <w:lang w:eastAsia="zh-CN"/>
              </w:rPr>
              <w:t>对照</w:t>
            </w:r>
            <w:r>
              <w:rPr>
                <w:rFonts w:hint="default" w:ascii="Times New Roman" w:hAnsi="Times New Roman" w:eastAsia="宋体" w:cs="Times New Roman"/>
                <w:bCs/>
                <w:color w:val="auto"/>
                <w:sz w:val="21"/>
                <w:szCs w:val="21"/>
                <w:highlight w:val="none"/>
              </w:rPr>
              <w:t>《</w:t>
            </w:r>
            <w:bookmarkStart w:id="4" w:name="OLE_LINK3"/>
            <w:r>
              <w:rPr>
                <w:rFonts w:hint="default" w:ascii="Times New Roman" w:hAnsi="Times New Roman" w:eastAsia="宋体" w:cs="Times New Roman"/>
                <w:bCs/>
                <w:color w:val="auto"/>
                <w:sz w:val="21"/>
                <w:szCs w:val="21"/>
                <w:highlight w:val="none"/>
              </w:rPr>
              <w:t>固定污染源排污许可分类管理名录（2019版）</w:t>
            </w:r>
            <w:bookmarkEnd w:id="4"/>
            <w:r>
              <w:rPr>
                <w:rFonts w:hint="default" w:ascii="Times New Roman" w:hAnsi="Times New Roman" w:eastAsia="宋体" w:cs="Times New Roman"/>
                <w:bCs/>
                <w:color w:val="auto"/>
                <w:sz w:val="21"/>
                <w:szCs w:val="21"/>
                <w:highlight w:val="none"/>
              </w:rPr>
              <w:t>》，本项目属于固定污染源排污许可分类管理名录表中的</w:t>
            </w:r>
            <w:r>
              <w:rPr>
                <w:rFonts w:hint="eastAsia" w:cs="Times New Roman"/>
                <w:bCs/>
                <w:color w:val="auto"/>
                <w:sz w:val="21"/>
                <w:szCs w:val="21"/>
                <w:highlight w:val="none"/>
                <w:lang w:eastAsia="zh-CN"/>
              </w:rPr>
              <w:t>“</w:t>
            </w:r>
            <w:r>
              <w:rPr>
                <w:rFonts w:hint="default" w:ascii="Times New Roman" w:hAnsi="Times New Roman" w:eastAsia="宋体" w:cs="Times New Roman"/>
                <w:bCs/>
                <w:color w:val="auto"/>
                <w:sz w:val="21"/>
                <w:szCs w:val="21"/>
                <w:highlight w:val="none"/>
              </w:rPr>
              <w:t>三十四、计算机、通信和其他电子设备制造业39</w:t>
            </w:r>
            <w:r>
              <w:rPr>
                <w:rFonts w:hint="eastAsia" w:ascii="Times New Roman" w:hAnsi="Times New Roman" w:eastAsia="宋体" w:cs="Times New Roman"/>
                <w:bCs/>
                <w:color w:val="auto"/>
                <w:sz w:val="21"/>
                <w:szCs w:val="21"/>
                <w:highlight w:val="none"/>
                <w:lang w:val="en-US" w:eastAsia="zh-CN"/>
              </w:rPr>
              <w:t>-</w:t>
            </w:r>
            <w:r>
              <w:rPr>
                <w:rFonts w:hint="default" w:ascii="Times New Roman" w:hAnsi="Times New Roman" w:eastAsia="宋体" w:cs="Times New Roman"/>
                <w:bCs/>
                <w:color w:val="auto"/>
                <w:sz w:val="21"/>
                <w:szCs w:val="21"/>
                <w:highlight w:val="none"/>
              </w:rPr>
              <w:t>89电子器件制造397</w:t>
            </w:r>
            <w:r>
              <w:rPr>
                <w:rFonts w:hint="eastAsia" w:ascii="Times New Roman" w:hAnsi="Times New Roman" w:eastAsia="宋体" w:cs="Times New Roman"/>
                <w:bCs/>
                <w:color w:val="auto"/>
                <w:sz w:val="21"/>
                <w:szCs w:val="21"/>
                <w:highlight w:val="none"/>
                <w:lang w:val="en-US" w:eastAsia="zh-CN"/>
              </w:rPr>
              <w:t>-</w:t>
            </w:r>
            <w:r>
              <w:rPr>
                <w:rFonts w:hint="default" w:ascii="Times New Roman" w:hAnsi="Times New Roman" w:eastAsia="宋体" w:cs="Times New Roman"/>
                <w:bCs/>
                <w:color w:val="auto"/>
                <w:sz w:val="21"/>
                <w:szCs w:val="21"/>
                <w:highlight w:val="none"/>
              </w:rPr>
              <w:t>其他</w:t>
            </w:r>
            <w:r>
              <w:rPr>
                <w:rFonts w:hint="eastAsia" w:ascii="Times New Roman" w:hAnsi="Times New Roman" w:eastAsia="宋体" w:cs="Times New Roman"/>
                <w:bCs/>
                <w:color w:val="auto"/>
                <w:sz w:val="21"/>
                <w:szCs w:val="21"/>
                <w:highlight w:val="none"/>
                <w:lang w:eastAsia="zh-CN"/>
              </w:rPr>
              <w:t>，</w:t>
            </w:r>
            <w:r>
              <w:rPr>
                <w:rFonts w:hint="eastAsia" w:cs="Times New Roman"/>
                <w:bCs/>
                <w:color w:val="auto"/>
                <w:sz w:val="21"/>
                <w:szCs w:val="21"/>
                <w:highlight w:val="none"/>
                <w:lang w:eastAsia="zh-CN"/>
              </w:rPr>
              <w:t>”</w:t>
            </w:r>
            <w:r>
              <w:rPr>
                <w:rFonts w:hint="default" w:ascii="Times New Roman" w:hAnsi="Times New Roman" w:eastAsia="宋体" w:cs="Times New Roman"/>
                <w:bCs/>
                <w:color w:val="auto"/>
                <w:sz w:val="21"/>
                <w:szCs w:val="21"/>
                <w:highlight w:val="none"/>
              </w:rPr>
              <w:t>属于登记管理</w:t>
            </w:r>
            <w:r>
              <w:rPr>
                <w:rFonts w:hint="eastAsia" w:ascii="Times New Roman" w:hAnsi="Times New Roman" w:eastAsia="宋体" w:cs="Times New Roman"/>
                <w:bCs/>
                <w:color w:val="auto"/>
                <w:sz w:val="21"/>
                <w:szCs w:val="21"/>
                <w:highlight w:val="none"/>
                <w:lang w:eastAsia="zh-CN"/>
              </w:rPr>
              <w:t>，</w:t>
            </w:r>
            <w:r>
              <w:rPr>
                <w:rFonts w:hint="eastAsia" w:cs="Times New Roman"/>
                <w:bCs/>
                <w:color w:val="auto"/>
                <w:sz w:val="21"/>
                <w:szCs w:val="21"/>
                <w:highlight w:val="none"/>
                <w:lang w:val="en-US" w:eastAsia="zh-CN"/>
              </w:rPr>
              <w:t>同时属于</w:t>
            </w:r>
            <w:r>
              <w:rPr>
                <w:rFonts w:hint="default" w:ascii="Times New Roman" w:hAnsi="Times New Roman" w:eastAsia="宋体" w:cs="Times New Roman"/>
                <w:bCs/>
                <w:color w:val="auto"/>
                <w:sz w:val="21"/>
                <w:szCs w:val="21"/>
                <w:highlight w:val="none"/>
              </w:rPr>
              <w:t>固定污染源排污许可分类管理名录表中的</w:t>
            </w:r>
            <w:r>
              <w:rPr>
                <w:rFonts w:hint="eastAsia" w:cs="Times New Roman"/>
                <w:bCs/>
                <w:color w:val="auto"/>
                <w:sz w:val="21"/>
                <w:szCs w:val="21"/>
                <w:highlight w:val="none"/>
                <w:lang w:eastAsia="zh-CN"/>
              </w:rPr>
              <w:t>“</w:t>
            </w:r>
            <w:r>
              <w:rPr>
                <w:rFonts w:hint="eastAsia" w:cs="Times New Roman"/>
                <w:bCs/>
                <w:color w:val="auto"/>
                <w:sz w:val="21"/>
                <w:szCs w:val="21"/>
                <w:highlight w:val="none"/>
                <w:lang w:val="en-US" w:eastAsia="zh-CN"/>
              </w:rPr>
              <w:t>二十四</w:t>
            </w:r>
            <w:r>
              <w:rPr>
                <w:rFonts w:hint="default" w:ascii="Times New Roman" w:hAnsi="Times New Roman" w:eastAsia="宋体" w:cs="Times New Roman"/>
                <w:bCs/>
                <w:color w:val="auto"/>
                <w:sz w:val="21"/>
                <w:szCs w:val="21"/>
                <w:highlight w:val="none"/>
              </w:rPr>
              <w:t>、</w:t>
            </w:r>
            <w:r>
              <w:rPr>
                <w:rFonts w:hint="eastAsia" w:cs="Times New Roman"/>
                <w:bCs/>
                <w:color w:val="auto"/>
                <w:sz w:val="21"/>
                <w:szCs w:val="21"/>
                <w:highlight w:val="none"/>
                <w:lang w:val="en-US" w:eastAsia="zh-CN"/>
              </w:rPr>
              <w:t>橡胶和塑料制品业29</w:t>
            </w:r>
            <w:r>
              <w:rPr>
                <w:rFonts w:hint="eastAsia" w:ascii="Times New Roman" w:hAnsi="Times New Roman" w:eastAsia="宋体" w:cs="Times New Roman"/>
                <w:bCs/>
                <w:color w:val="auto"/>
                <w:sz w:val="21"/>
                <w:szCs w:val="21"/>
                <w:highlight w:val="none"/>
                <w:lang w:val="en-US" w:eastAsia="zh-CN"/>
              </w:rPr>
              <w:t>-</w:t>
            </w:r>
            <w:r>
              <w:rPr>
                <w:rFonts w:hint="eastAsia" w:cs="Times New Roman"/>
                <w:bCs/>
                <w:color w:val="auto"/>
                <w:sz w:val="21"/>
                <w:szCs w:val="21"/>
                <w:highlight w:val="none"/>
                <w:lang w:val="en-US" w:eastAsia="zh-CN"/>
              </w:rPr>
              <w:t>62塑料制品业292</w:t>
            </w:r>
            <w:r>
              <w:rPr>
                <w:rFonts w:hint="eastAsia" w:ascii="Times New Roman" w:hAnsi="Times New Roman" w:eastAsia="宋体" w:cs="Times New Roman"/>
                <w:bCs/>
                <w:color w:val="auto"/>
                <w:sz w:val="21"/>
                <w:szCs w:val="21"/>
                <w:highlight w:val="none"/>
                <w:lang w:val="en-US" w:eastAsia="zh-CN"/>
              </w:rPr>
              <w:t>-</w:t>
            </w:r>
            <w:r>
              <w:rPr>
                <w:rFonts w:hint="default" w:ascii="Times New Roman" w:hAnsi="Times New Roman" w:eastAsia="宋体" w:cs="Times New Roman"/>
                <w:bCs/>
                <w:color w:val="auto"/>
                <w:sz w:val="21"/>
                <w:szCs w:val="21"/>
                <w:highlight w:val="none"/>
              </w:rPr>
              <w:t>其他</w:t>
            </w:r>
            <w:r>
              <w:rPr>
                <w:rFonts w:hint="eastAsia" w:ascii="Times New Roman" w:hAnsi="Times New Roman" w:eastAsia="宋体" w:cs="Times New Roman"/>
                <w:bCs/>
                <w:color w:val="auto"/>
                <w:sz w:val="21"/>
                <w:szCs w:val="21"/>
                <w:highlight w:val="none"/>
                <w:lang w:eastAsia="zh-CN"/>
              </w:rPr>
              <w:t>，</w:t>
            </w:r>
            <w:r>
              <w:rPr>
                <w:rFonts w:hint="eastAsia" w:cs="Times New Roman"/>
                <w:bCs/>
                <w:color w:val="auto"/>
                <w:sz w:val="21"/>
                <w:szCs w:val="21"/>
                <w:highlight w:val="none"/>
                <w:lang w:eastAsia="zh-CN"/>
              </w:rPr>
              <w:t>”</w:t>
            </w:r>
            <w:r>
              <w:rPr>
                <w:rFonts w:hint="eastAsia" w:cs="Times New Roman"/>
                <w:bCs/>
                <w:color w:val="auto"/>
                <w:sz w:val="21"/>
                <w:szCs w:val="21"/>
                <w:highlight w:val="none"/>
                <w:lang w:val="en-US" w:eastAsia="zh-CN"/>
              </w:rPr>
              <w:t>属于登记管理，综上所述，项目排污许可类别为登记管理，</w:t>
            </w:r>
            <w:r>
              <w:rPr>
                <w:rFonts w:hint="default" w:ascii="Times New Roman" w:hAnsi="Times New Roman" w:cs="Times New Roman"/>
                <w:bCs/>
                <w:color w:val="auto"/>
                <w:spacing w:val="0"/>
                <w:sz w:val="21"/>
                <w:szCs w:val="21"/>
                <w:highlight w:val="none"/>
              </w:rPr>
              <w:t>建设单位在实际排污行为发生前</w:t>
            </w:r>
            <w:r>
              <w:rPr>
                <w:rFonts w:hint="eastAsia" w:ascii="Times New Roman" w:hAnsi="Times New Roman" w:cs="Times New Roman"/>
                <w:bCs/>
                <w:color w:val="auto"/>
                <w:spacing w:val="0"/>
                <w:sz w:val="21"/>
                <w:szCs w:val="21"/>
                <w:highlight w:val="none"/>
                <w:lang w:eastAsia="zh-CN"/>
              </w:rPr>
              <w:t>，应</w:t>
            </w:r>
            <w:r>
              <w:rPr>
                <w:rFonts w:hint="default" w:ascii="Times New Roman" w:hAnsi="Times New Roman" w:cs="Times New Roman"/>
                <w:bCs/>
                <w:color w:val="auto"/>
                <w:spacing w:val="0"/>
                <w:sz w:val="21"/>
                <w:szCs w:val="21"/>
                <w:highlight w:val="none"/>
              </w:rPr>
              <w:t>申领排污许可</w:t>
            </w:r>
            <w:r>
              <w:rPr>
                <w:rFonts w:hint="eastAsia" w:ascii="Times New Roman" w:hAnsi="Times New Roman" w:cs="Times New Roman"/>
                <w:bCs/>
                <w:color w:val="auto"/>
                <w:spacing w:val="0"/>
                <w:sz w:val="21"/>
                <w:szCs w:val="21"/>
                <w:highlight w:val="none"/>
                <w:lang w:eastAsia="zh-CN"/>
              </w:rPr>
              <w:t>登记。</w:t>
            </w:r>
          </w:p>
          <w:p w14:paraId="10FDFD45">
            <w:pPr>
              <w:numPr>
                <w:ilvl w:val="0"/>
                <w:numId w:val="0"/>
              </w:numPr>
              <w:adjustRightInd w:val="0"/>
              <w:snapToGrid w:val="0"/>
              <w:spacing w:line="360" w:lineRule="auto"/>
              <w:ind w:firstLine="422" w:firstLineChars="200"/>
              <w:rPr>
                <w:rFonts w:hint="eastAsia" w:ascii="Times New Roman" w:hAnsi="Times New Roman" w:eastAsia="宋体" w:cs="Times New Roman"/>
                <w:b/>
                <w:bCs w:val="0"/>
                <w:color w:val="auto"/>
                <w:sz w:val="21"/>
                <w:szCs w:val="21"/>
                <w:highlight w:val="none"/>
                <w:lang w:val="en-US" w:eastAsia="zh-CN"/>
              </w:rPr>
            </w:pPr>
            <w:r>
              <w:rPr>
                <w:rFonts w:hint="eastAsia" w:cs="Times New Roman"/>
                <w:b/>
                <w:bCs w:val="0"/>
                <w:color w:val="auto"/>
                <w:kern w:val="2"/>
                <w:sz w:val="21"/>
                <w:szCs w:val="21"/>
                <w:highlight w:val="none"/>
                <w:lang w:val="en-US" w:eastAsia="zh-CN" w:bidi="ar-SA"/>
              </w:rPr>
              <w:t>5</w:t>
            </w:r>
            <w:r>
              <w:rPr>
                <w:rFonts w:hint="eastAsia" w:ascii="Times New Roman" w:hAnsi="Times New Roman" w:eastAsia="宋体" w:cs="Times New Roman"/>
                <w:b/>
                <w:bCs w:val="0"/>
                <w:color w:val="auto"/>
                <w:kern w:val="2"/>
                <w:sz w:val="21"/>
                <w:szCs w:val="21"/>
                <w:highlight w:val="none"/>
                <w:lang w:val="en-US" w:eastAsia="zh-CN" w:bidi="ar-SA"/>
              </w:rPr>
              <w:t>、</w:t>
            </w:r>
            <w:r>
              <w:rPr>
                <w:rFonts w:hint="eastAsia" w:ascii="Times New Roman" w:hAnsi="Times New Roman" w:eastAsia="宋体" w:cs="Times New Roman"/>
                <w:b/>
                <w:bCs w:val="0"/>
                <w:color w:val="auto"/>
                <w:sz w:val="21"/>
                <w:szCs w:val="21"/>
                <w:highlight w:val="none"/>
                <w:lang w:val="en-US" w:eastAsia="zh-CN"/>
              </w:rPr>
              <w:t>环保投资预估</w:t>
            </w:r>
          </w:p>
          <w:p w14:paraId="0806CB73">
            <w:pPr>
              <w:pStyle w:val="44"/>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i w:val="0"/>
                <w:color w:val="auto"/>
                <w:kern w:val="2"/>
                <w:sz w:val="21"/>
                <w:szCs w:val="21"/>
                <w:highlight w:val="none"/>
                <w:lang w:val="en-US" w:eastAsia="zh-CN" w:bidi="ar-SA"/>
              </w:rPr>
              <w:t>表5-2</w:t>
            </w:r>
            <w:r>
              <w:rPr>
                <w:rFonts w:hint="eastAsia" w:ascii="Times New Roman" w:hAnsi="Times New Roman" w:cs="Times New Roman"/>
                <w:b/>
                <w:bCs w:val="0"/>
                <w:i w:val="0"/>
                <w:color w:val="auto"/>
                <w:kern w:val="2"/>
                <w:sz w:val="21"/>
                <w:szCs w:val="21"/>
                <w:highlight w:val="none"/>
                <w:lang w:val="en-US" w:eastAsia="zh-CN" w:bidi="ar-SA"/>
              </w:rPr>
              <w:t xml:space="preserve">  </w:t>
            </w:r>
            <w:r>
              <w:rPr>
                <w:rFonts w:hint="eastAsia" w:ascii="Times New Roman" w:hAnsi="Times New Roman" w:eastAsia="宋体" w:cs="Times New Roman"/>
                <w:b/>
                <w:bCs w:val="0"/>
                <w:color w:val="auto"/>
                <w:sz w:val="21"/>
                <w:szCs w:val="21"/>
                <w:highlight w:val="none"/>
                <w:lang w:val="en-US" w:eastAsia="zh-CN"/>
              </w:rPr>
              <w:t>环保设施及其估算一览表</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1"/>
              <w:gridCol w:w="1514"/>
              <w:gridCol w:w="2854"/>
              <w:gridCol w:w="1158"/>
              <w:gridCol w:w="825"/>
            </w:tblGrid>
            <w:tr w14:paraId="3FCA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9" w:type="pct"/>
                  <w:noWrap w:val="0"/>
                  <w:vAlign w:val="center"/>
                </w:tcPr>
                <w:p w14:paraId="2C506A0C">
                  <w:pPr>
                    <w:adjustRightInd w:val="0"/>
                    <w:snapToGrid w:val="0"/>
                    <w:spacing w:line="240" w:lineRule="auto"/>
                    <w:jc w:val="center"/>
                    <w:rPr>
                      <w:rFonts w:hint="eastAsia" w:ascii="Times New Roman" w:hAnsi="Times New Roman" w:eastAsia="宋体" w:cs="Times New Roman"/>
                      <w:b/>
                      <w:bCs w:val="0"/>
                      <w:color w:val="auto"/>
                      <w:sz w:val="21"/>
                      <w:szCs w:val="21"/>
                      <w:highlight w:val="none"/>
                      <w:vertAlign w:val="baseline"/>
                      <w:lang w:eastAsia="zh-CN"/>
                    </w:rPr>
                  </w:pPr>
                  <w:r>
                    <w:rPr>
                      <w:rFonts w:hint="eastAsia" w:ascii="Times New Roman" w:hAnsi="Times New Roman" w:eastAsia="宋体" w:cs="Times New Roman"/>
                      <w:b/>
                      <w:bCs w:val="0"/>
                      <w:color w:val="auto"/>
                      <w:sz w:val="21"/>
                      <w:szCs w:val="21"/>
                      <w:highlight w:val="none"/>
                      <w:vertAlign w:val="baseline"/>
                      <w:lang w:eastAsia="zh-CN"/>
                    </w:rPr>
                    <w:t>污染类别</w:t>
                  </w:r>
                </w:p>
              </w:tc>
              <w:tc>
                <w:tcPr>
                  <w:tcW w:w="975" w:type="pct"/>
                  <w:noWrap w:val="0"/>
                  <w:vAlign w:val="center"/>
                </w:tcPr>
                <w:p w14:paraId="0A4F4A36">
                  <w:pPr>
                    <w:adjustRightInd w:val="0"/>
                    <w:snapToGrid w:val="0"/>
                    <w:spacing w:line="240" w:lineRule="auto"/>
                    <w:jc w:val="center"/>
                    <w:rPr>
                      <w:rFonts w:hint="eastAsia" w:ascii="Times New Roman" w:hAnsi="Times New Roman" w:eastAsia="宋体" w:cs="Times New Roman"/>
                      <w:b/>
                      <w:bCs w:val="0"/>
                      <w:color w:val="auto"/>
                      <w:sz w:val="21"/>
                      <w:szCs w:val="21"/>
                      <w:highlight w:val="none"/>
                      <w:vertAlign w:val="baseline"/>
                      <w:lang w:eastAsia="zh-CN"/>
                    </w:rPr>
                  </w:pPr>
                  <w:r>
                    <w:rPr>
                      <w:rFonts w:hint="eastAsia" w:ascii="Times New Roman" w:hAnsi="Times New Roman" w:eastAsia="宋体" w:cs="Times New Roman"/>
                      <w:b/>
                      <w:bCs w:val="0"/>
                      <w:color w:val="auto"/>
                      <w:sz w:val="21"/>
                      <w:szCs w:val="21"/>
                      <w:highlight w:val="none"/>
                      <w:vertAlign w:val="baseline"/>
                      <w:lang w:eastAsia="zh-CN"/>
                    </w:rPr>
                    <w:t>污染物</w:t>
                  </w:r>
                </w:p>
              </w:tc>
              <w:tc>
                <w:tcPr>
                  <w:tcW w:w="2583" w:type="pct"/>
                  <w:gridSpan w:val="2"/>
                  <w:noWrap w:val="0"/>
                  <w:vAlign w:val="center"/>
                </w:tcPr>
                <w:p w14:paraId="42563E59">
                  <w:pPr>
                    <w:adjustRightInd w:val="0"/>
                    <w:snapToGrid w:val="0"/>
                    <w:spacing w:line="240" w:lineRule="auto"/>
                    <w:jc w:val="center"/>
                    <w:rPr>
                      <w:rFonts w:hint="eastAsia" w:ascii="Times New Roman" w:hAnsi="Times New Roman" w:eastAsia="宋体" w:cs="Times New Roman"/>
                      <w:b/>
                      <w:bCs w:val="0"/>
                      <w:color w:val="auto"/>
                      <w:sz w:val="21"/>
                      <w:szCs w:val="21"/>
                      <w:highlight w:val="none"/>
                      <w:vertAlign w:val="baseline"/>
                      <w:lang w:eastAsia="zh-CN"/>
                    </w:rPr>
                  </w:pPr>
                  <w:r>
                    <w:rPr>
                      <w:rFonts w:hint="eastAsia" w:ascii="Times New Roman" w:hAnsi="Times New Roman" w:eastAsia="宋体" w:cs="Times New Roman"/>
                      <w:b/>
                      <w:bCs w:val="0"/>
                      <w:color w:val="auto"/>
                      <w:sz w:val="21"/>
                      <w:szCs w:val="21"/>
                      <w:highlight w:val="none"/>
                      <w:vertAlign w:val="baseline"/>
                      <w:lang w:eastAsia="zh-CN"/>
                    </w:rPr>
                    <w:t>环保措施</w:t>
                  </w:r>
                </w:p>
              </w:tc>
              <w:tc>
                <w:tcPr>
                  <w:tcW w:w="531" w:type="pct"/>
                  <w:noWrap w:val="0"/>
                  <w:vAlign w:val="center"/>
                </w:tcPr>
                <w:p w14:paraId="35DE8534">
                  <w:pPr>
                    <w:adjustRightInd w:val="0"/>
                    <w:snapToGrid w:val="0"/>
                    <w:spacing w:line="240" w:lineRule="auto"/>
                    <w:jc w:val="center"/>
                    <w:rPr>
                      <w:rFonts w:hint="default" w:ascii="Times New Roman" w:hAnsi="Times New Roman" w:eastAsia="宋体" w:cs="Times New Roman"/>
                      <w:b/>
                      <w:bCs w:val="0"/>
                      <w:color w:val="auto"/>
                      <w:sz w:val="21"/>
                      <w:szCs w:val="21"/>
                      <w:highlight w:val="none"/>
                      <w:vertAlign w:val="baseline"/>
                      <w:lang w:val="en-US" w:eastAsia="zh-CN"/>
                    </w:rPr>
                  </w:pPr>
                  <w:r>
                    <w:rPr>
                      <w:rFonts w:hint="eastAsia" w:ascii="Times New Roman" w:hAnsi="Times New Roman" w:eastAsia="宋体" w:cs="Times New Roman"/>
                      <w:b/>
                      <w:bCs w:val="0"/>
                      <w:color w:val="auto"/>
                      <w:sz w:val="21"/>
                      <w:szCs w:val="21"/>
                      <w:highlight w:val="none"/>
                      <w:vertAlign w:val="baseline"/>
                      <w:lang w:eastAsia="zh-CN"/>
                    </w:rPr>
                    <w:t>投资</w:t>
                  </w:r>
                  <w:r>
                    <w:rPr>
                      <w:rFonts w:hint="eastAsia" w:ascii="Times New Roman" w:hAnsi="Times New Roman" w:eastAsia="宋体" w:cs="Times New Roman"/>
                      <w:b/>
                      <w:bCs w:val="0"/>
                      <w:color w:val="auto"/>
                      <w:sz w:val="21"/>
                      <w:szCs w:val="21"/>
                      <w:highlight w:val="none"/>
                      <w:vertAlign w:val="baseline"/>
                      <w:lang w:val="en-US" w:eastAsia="zh-CN"/>
                    </w:rPr>
                    <w:t>/万元</w:t>
                  </w:r>
                </w:p>
              </w:tc>
            </w:tr>
            <w:tr w14:paraId="34B79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909" w:type="pct"/>
                  <w:vMerge w:val="restart"/>
                  <w:noWrap w:val="0"/>
                  <w:vAlign w:val="center"/>
                </w:tcPr>
                <w:p w14:paraId="6825F0EF">
                  <w:pPr>
                    <w:adjustRightInd w:val="0"/>
                    <w:snapToGrid w:val="0"/>
                    <w:spacing w:line="240" w:lineRule="auto"/>
                    <w:jc w:val="center"/>
                    <w:rPr>
                      <w:rFonts w:hint="eastAsia" w:ascii="Times New Roman" w:hAnsi="Times New Roman" w:eastAsia="宋体" w:cs="Times New Roman"/>
                      <w:bCs/>
                      <w:color w:val="auto"/>
                      <w:sz w:val="21"/>
                      <w:szCs w:val="21"/>
                      <w:highlight w:val="none"/>
                      <w:vertAlign w:val="baseline"/>
                      <w:lang w:eastAsia="zh-CN"/>
                    </w:rPr>
                  </w:pPr>
                  <w:r>
                    <w:rPr>
                      <w:rFonts w:hint="eastAsia" w:ascii="Times New Roman" w:hAnsi="Times New Roman" w:eastAsia="宋体" w:cs="Times New Roman"/>
                      <w:bCs/>
                      <w:color w:val="auto"/>
                      <w:sz w:val="21"/>
                      <w:szCs w:val="21"/>
                      <w:highlight w:val="none"/>
                      <w:vertAlign w:val="baseline"/>
                      <w:lang w:eastAsia="zh-CN"/>
                    </w:rPr>
                    <w:t>废气</w:t>
                  </w:r>
                </w:p>
              </w:tc>
              <w:tc>
                <w:tcPr>
                  <w:tcW w:w="975" w:type="pct"/>
                  <w:noWrap w:val="0"/>
                  <w:vAlign w:val="center"/>
                </w:tcPr>
                <w:p w14:paraId="4868D90A">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cs="Times New Roman"/>
                      <w:bCs/>
                      <w:color w:val="auto"/>
                      <w:sz w:val="21"/>
                      <w:szCs w:val="21"/>
                      <w:highlight w:val="none"/>
                      <w:vertAlign w:val="baseline"/>
                      <w:lang w:val="en-US" w:eastAsia="zh-CN"/>
                    </w:rPr>
                    <w:t>锡膏印刷废气</w:t>
                  </w:r>
                </w:p>
              </w:tc>
              <w:tc>
                <w:tcPr>
                  <w:tcW w:w="1838" w:type="pct"/>
                  <w:noWrap w:val="0"/>
                  <w:vAlign w:val="center"/>
                </w:tcPr>
                <w:p w14:paraId="066BDFFA">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cs="Times New Roman"/>
                      <w:color w:val="auto"/>
                      <w:sz w:val="21"/>
                      <w:szCs w:val="21"/>
                      <w:highlight w:val="none"/>
                      <w:lang w:val="en-US" w:eastAsia="zh-CN"/>
                    </w:rPr>
                    <w:t>集气罩+</w:t>
                  </w:r>
                  <w:r>
                    <w:rPr>
                      <w:rFonts w:hint="eastAsia" w:cs="Times New Roman"/>
                      <w:color w:val="auto"/>
                      <w:kern w:val="2"/>
                      <w:sz w:val="21"/>
                      <w:szCs w:val="21"/>
                      <w:highlight w:val="none"/>
                      <w:lang w:val="en-US" w:eastAsia="zh-CN"/>
                    </w:rPr>
                    <w:t>干式过滤器+</w:t>
                  </w:r>
                  <w:r>
                    <w:rPr>
                      <w:rFonts w:hint="eastAsia" w:cs="Times New Roman"/>
                      <w:color w:val="auto"/>
                      <w:sz w:val="21"/>
                      <w:szCs w:val="21"/>
                      <w:highlight w:val="none"/>
                      <w:lang w:val="en-US" w:eastAsia="zh-CN"/>
                    </w:rPr>
                    <w:t>二级活性炭吸附装置+23m高排气筒</w:t>
                  </w:r>
                </w:p>
              </w:tc>
              <w:tc>
                <w:tcPr>
                  <w:tcW w:w="745" w:type="pct"/>
                  <w:vMerge w:val="restart"/>
                  <w:noWrap w:val="0"/>
                  <w:vAlign w:val="center"/>
                </w:tcPr>
                <w:p w14:paraId="707E0813">
                  <w:pPr>
                    <w:adjustRightInd w:val="0"/>
                    <w:snapToGrid w:val="0"/>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共用1套</w:t>
                  </w:r>
                  <w:r>
                    <w:rPr>
                      <w:rFonts w:hint="eastAsia" w:cs="Times New Roman"/>
                      <w:color w:val="auto"/>
                      <w:kern w:val="2"/>
                      <w:sz w:val="21"/>
                      <w:szCs w:val="21"/>
                      <w:highlight w:val="none"/>
                      <w:lang w:val="en-US" w:eastAsia="zh-CN"/>
                    </w:rPr>
                    <w:t>干式过滤器+</w:t>
                  </w:r>
                  <w:r>
                    <w:rPr>
                      <w:rFonts w:hint="eastAsia" w:cs="Times New Roman"/>
                      <w:color w:val="auto"/>
                      <w:sz w:val="21"/>
                      <w:szCs w:val="21"/>
                      <w:highlight w:val="none"/>
                      <w:lang w:val="en-US" w:eastAsia="zh-CN"/>
                    </w:rPr>
                    <w:t>二级活性炭吸附装置及1根23米高排气筒</w:t>
                  </w:r>
                </w:p>
              </w:tc>
              <w:tc>
                <w:tcPr>
                  <w:tcW w:w="531" w:type="pct"/>
                  <w:vMerge w:val="restart"/>
                  <w:noWrap w:val="0"/>
                  <w:vAlign w:val="center"/>
                </w:tcPr>
                <w:p w14:paraId="0E638492">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cs="Times New Roman"/>
                      <w:bCs/>
                      <w:color w:val="auto"/>
                      <w:sz w:val="21"/>
                      <w:szCs w:val="21"/>
                      <w:highlight w:val="none"/>
                      <w:vertAlign w:val="baseline"/>
                      <w:lang w:val="en-US" w:eastAsia="zh-CN"/>
                    </w:rPr>
                    <w:t>85</w:t>
                  </w:r>
                </w:p>
              </w:tc>
            </w:tr>
            <w:tr w14:paraId="44C05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909" w:type="pct"/>
                  <w:vMerge w:val="continue"/>
                  <w:noWrap w:val="0"/>
                  <w:vAlign w:val="center"/>
                </w:tcPr>
                <w:p w14:paraId="045D1364">
                  <w:pPr>
                    <w:adjustRightInd w:val="0"/>
                    <w:snapToGrid w:val="0"/>
                    <w:spacing w:line="240" w:lineRule="auto"/>
                    <w:jc w:val="center"/>
                    <w:rPr>
                      <w:rFonts w:hint="eastAsia" w:ascii="Times New Roman" w:hAnsi="Times New Roman" w:eastAsia="宋体" w:cs="Times New Roman"/>
                      <w:bCs/>
                      <w:color w:val="auto"/>
                      <w:sz w:val="21"/>
                      <w:szCs w:val="21"/>
                      <w:highlight w:val="none"/>
                      <w:vertAlign w:val="baseline"/>
                      <w:lang w:eastAsia="zh-CN"/>
                    </w:rPr>
                  </w:pPr>
                </w:p>
              </w:tc>
              <w:tc>
                <w:tcPr>
                  <w:tcW w:w="975" w:type="pct"/>
                  <w:noWrap w:val="0"/>
                  <w:vAlign w:val="center"/>
                </w:tcPr>
                <w:p w14:paraId="05B02AFC">
                  <w:pPr>
                    <w:adjustRightInd w:val="0"/>
                    <w:snapToGrid w:val="0"/>
                    <w:spacing w:line="240" w:lineRule="auto"/>
                    <w:jc w:val="center"/>
                    <w:rPr>
                      <w:rFonts w:hint="default" w:cs="Times New Roman"/>
                      <w:bCs/>
                      <w:color w:val="auto"/>
                      <w:sz w:val="21"/>
                      <w:szCs w:val="21"/>
                      <w:highlight w:val="none"/>
                      <w:vertAlign w:val="baseline"/>
                      <w:lang w:val="en-US" w:eastAsia="zh-CN"/>
                    </w:rPr>
                  </w:pPr>
                  <w:r>
                    <w:rPr>
                      <w:rFonts w:hint="eastAsia" w:cs="Times New Roman"/>
                      <w:bCs/>
                      <w:color w:val="auto"/>
                      <w:sz w:val="21"/>
                      <w:szCs w:val="21"/>
                      <w:highlight w:val="none"/>
                      <w:vertAlign w:val="baseline"/>
                      <w:lang w:val="en-US" w:eastAsia="zh-CN"/>
                    </w:rPr>
                    <w:t>钢网擦拭废气</w:t>
                  </w:r>
                </w:p>
              </w:tc>
              <w:tc>
                <w:tcPr>
                  <w:tcW w:w="1838" w:type="pct"/>
                  <w:noWrap w:val="0"/>
                  <w:vAlign w:val="center"/>
                </w:tcPr>
                <w:p w14:paraId="2F1568C7">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cs="Times New Roman"/>
                      <w:bCs/>
                      <w:color w:val="auto"/>
                      <w:sz w:val="21"/>
                      <w:szCs w:val="21"/>
                      <w:highlight w:val="none"/>
                      <w:vertAlign w:val="baseline"/>
                      <w:lang w:val="en-US" w:eastAsia="zh-CN"/>
                    </w:rPr>
                    <w:t>集气罩+</w:t>
                  </w:r>
                  <w:r>
                    <w:rPr>
                      <w:rFonts w:hint="eastAsia" w:cs="Times New Roman"/>
                      <w:color w:val="auto"/>
                      <w:kern w:val="2"/>
                      <w:sz w:val="21"/>
                      <w:szCs w:val="21"/>
                      <w:highlight w:val="none"/>
                      <w:lang w:val="en-US" w:eastAsia="zh-CN"/>
                    </w:rPr>
                    <w:t>干式过滤器+</w:t>
                  </w:r>
                  <w:r>
                    <w:rPr>
                      <w:rFonts w:hint="eastAsia" w:cs="Times New Roman"/>
                      <w:color w:val="auto"/>
                      <w:sz w:val="21"/>
                      <w:szCs w:val="21"/>
                      <w:highlight w:val="none"/>
                      <w:lang w:val="en-US" w:eastAsia="zh-CN"/>
                    </w:rPr>
                    <w:t>二级活性炭吸附装置+23m高排气筒</w:t>
                  </w:r>
                </w:p>
              </w:tc>
              <w:tc>
                <w:tcPr>
                  <w:tcW w:w="745" w:type="pct"/>
                  <w:vMerge w:val="continue"/>
                  <w:noWrap w:val="0"/>
                  <w:vAlign w:val="center"/>
                </w:tcPr>
                <w:p w14:paraId="33A091C2">
                  <w:pPr>
                    <w:adjustRightInd w:val="0"/>
                    <w:snapToGrid w:val="0"/>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531" w:type="pct"/>
                  <w:vMerge w:val="continue"/>
                  <w:noWrap w:val="0"/>
                  <w:vAlign w:val="center"/>
                </w:tcPr>
                <w:p w14:paraId="3F94205B">
                  <w:pPr>
                    <w:adjustRightInd w:val="0"/>
                    <w:snapToGrid w:val="0"/>
                    <w:spacing w:line="240" w:lineRule="auto"/>
                    <w:jc w:val="center"/>
                    <w:rPr>
                      <w:rFonts w:hint="eastAsia" w:cs="Times New Roman"/>
                      <w:bCs/>
                      <w:color w:val="auto"/>
                      <w:sz w:val="21"/>
                      <w:szCs w:val="21"/>
                      <w:highlight w:val="none"/>
                      <w:vertAlign w:val="baseline"/>
                      <w:lang w:val="en-US" w:eastAsia="zh-CN"/>
                    </w:rPr>
                  </w:pPr>
                </w:p>
              </w:tc>
            </w:tr>
            <w:tr w14:paraId="184E7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5" w:hRule="atLeast"/>
              </w:trPr>
              <w:tc>
                <w:tcPr>
                  <w:tcW w:w="909" w:type="pct"/>
                  <w:vMerge w:val="continue"/>
                  <w:noWrap w:val="0"/>
                  <w:vAlign w:val="center"/>
                </w:tcPr>
                <w:p w14:paraId="66E3473B">
                  <w:pPr>
                    <w:adjustRightInd w:val="0"/>
                    <w:snapToGrid w:val="0"/>
                    <w:spacing w:line="240" w:lineRule="auto"/>
                    <w:jc w:val="center"/>
                    <w:rPr>
                      <w:rFonts w:hint="eastAsia" w:ascii="Times New Roman" w:hAnsi="Times New Roman" w:eastAsia="宋体" w:cs="Times New Roman"/>
                      <w:bCs/>
                      <w:color w:val="auto"/>
                      <w:sz w:val="21"/>
                      <w:szCs w:val="21"/>
                      <w:highlight w:val="none"/>
                      <w:vertAlign w:val="baseline"/>
                      <w:lang w:eastAsia="zh-CN"/>
                    </w:rPr>
                  </w:pPr>
                </w:p>
              </w:tc>
              <w:tc>
                <w:tcPr>
                  <w:tcW w:w="975" w:type="pct"/>
                  <w:noWrap w:val="0"/>
                  <w:vAlign w:val="center"/>
                </w:tcPr>
                <w:p w14:paraId="4B8B410E">
                  <w:pPr>
                    <w:adjustRightInd w:val="0"/>
                    <w:snapToGrid w:val="0"/>
                    <w:spacing w:line="240" w:lineRule="auto"/>
                    <w:jc w:val="center"/>
                    <w:rPr>
                      <w:rFonts w:hint="default" w:cs="Times New Roman"/>
                      <w:bCs/>
                      <w:color w:val="auto"/>
                      <w:sz w:val="21"/>
                      <w:szCs w:val="21"/>
                      <w:highlight w:val="none"/>
                      <w:vertAlign w:val="baseline"/>
                      <w:lang w:val="en-US" w:eastAsia="zh-CN"/>
                    </w:rPr>
                  </w:pPr>
                  <w:r>
                    <w:rPr>
                      <w:rFonts w:hint="eastAsia" w:cs="Times New Roman"/>
                      <w:bCs/>
                      <w:color w:val="auto"/>
                      <w:sz w:val="21"/>
                      <w:szCs w:val="21"/>
                      <w:highlight w:val="none"/>
                      <w:vertAlign w:val="baseline"/>
                      <w:lang w:val="en-US" w:eastAsia="zh-CN"/>
                    </w:rPr>
                    <w:t>回流焊废气</w:t>
                  </w:r>
                </w:p>
              </w:tc>
              <w:tc>
                <w:tcPr>
                  <w:tcW w:w="1838" w:type="pct"/>
                  <w:noWrap w:val="0"/>
                  <w:vAlign w:val="center"/>
                </w:tcPr>
                <w:p w14:paraId="1A9F21F1">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cs="Times New Roman"/>
                      <w:bCs/>
                      <w:color w:val="auto"/>
                      <w:sz w:val="21"/>
                      <w:szCs w:val="21"/>
                      <w:highlight w:val="none"/>
                      <w:vertAlign w:val="baseline"/>
                      <w:lang w:val="en-US" w:eastAsia="zh-CN"/>
                    </w:rPr>
                    <w:t>管道+</w:t>
                  </w:r>
                  <w:r>
                    <w:rPr>
                      <w:rFonts w:hint="eastAsia" w:cs="Times New Roman"/>
                      <w:color w:val="auto"/>
                      <w:kern w:val="2"/>
                      <w:sz w:val="21"/>
                      <w:szCs w:val="21"/>
                      <w:highlight w:val="none"/>
                      <w:lang w:val="en-US" w:eastAsia="zh-CN"/>
                    </w:rPr>
                    <w:t>干式过滤器+</w:t>
                  </w:r>
                  <w:r>
                    <w:rPr>
                      <w:rFonts w:hint="eastAsia" w:cs="Times New Roman"/>
                      <w:color w:val="auto"/>
                      <w:sz w:val="21"/>
                      <w:szCs w:val="21"/>
                      <w:highlight w:val="none"/>
                      <w:lang w:val="en-US" w:eastAsia="zh-CN"/>
                    </w:rPr>
                    <w:t>二级活性炭吸附装置+23m高排气筒</w:t>
                  </w:r>
                </w:p>
              </w:tc>
              <w:tc>
                <w:tcPr>
                  <w:tcW w:w="745" w:type="pct"/>
                  <w:vMerge w:val="continue"/>
                  <w:noWrap w:val="0"/>
                  <w:vAlign w:val="center"/>
                </w:tcPr>
                <w:p w14:paraId="38FB5251">
                  <w:pPr>
                    <w:adjustRightInd w:val="0"/>
                    <w:snapToGrid w:val="0"/>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531" w:type="pct"/>
                  <w:vMerge w:val="continue"/>
                  <w:noWrap w:val="0"/>
                  <w:vAlign w:val="center"/>
                </w:tcPr>
                <w:p w14:paraId="579F4918">
                  <w:pPr>
                    <w:adjustRightInd w:val="0"/>
                    <w:snapToGrid w:val="0"/>
                    <w:spacing w:line="240" w:lineRule="auto"/>
                    <w:jc w:val="center"/>
                    <w:rPr>
                      <w:rFonts w:hint="eastAsia" w:cs="Times New Roman"/>
                      <w:bCs/>
                      <w:color w:val="auto"/>
                      <w:sz w:val="21"/>
                      <w:szCs w:val="21"/>
                      <w:highlight w:val="none"/>
                      <w:vertAlign w:val="baseline"/>
                      <w:lang w:val="en-US" w:eastAsia="zh-CN"/>
                    </w:rPr>
                  </w:pPr>
                </w:p>
              </w:tc>
            </w:tr>
            <w:tr w14:paraId="58B83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909" w:type="pct"/>
                  <w:vMerge w:val="continue"/>
                  <w:noWrap w:val="0"/>
                  <w:vAlign w:val="center"/>
                </w:tcPr>
                <w:p w14:paraId="29CE2FC3">
                  <w:pPr>
                    <w:adjustRightInd w:val="0"/>
                    <w:snapToGrid w:val="0"/>
                    <w:spacing w:line="240" w:lineRule="auto"/>
                    <w:jc w:val="center"/>
                    <w:rPr>
                      <w:rFonts w:hint="eastAsia" w:ascii="Times New Roman" w:hAnsi="Times New Roman" w:eastAsia="宋体" w:cs="Times New Roman"/>
                      <w:bCs/>
                      <w:color w:val="auto"/>
                      <w:sz w:val="21"/>
                      <w:szCs w:val="21"/>
                      <w:highlight w:val="none"/>
                      <w:vertAlign w:val="baseline"/>
                      <w:lang w:eastAsia="zh-CN"/>
                    </w:rPr>
                  </w:pPr>
                </w:p>
              </w:tc>
              <w:tc>
                <w:tcPr>
                  <w:tcW w:w="975" w:type="pct"/>
                  <w:noWrap w:val="0"/>
                  <w:vAlign w:val="center"/>
                </w:tcPr>
                <w:p w14:paraId="0AFF56B8">
                  <w:pPr>
                    <w:adjustRightInd w:val="0"/>
                    <w:snapToGrid w:val="0"/>
                    <w:spacing w:line="240" w:lineRule="auto"/>
                    <w:jc w:val="center"/>
                    <w:rPr>
                      <w:rFonts w:hint="default" w:cs="Times New Roman"/>
                      <w:bCs/>
                      <w:color w:val="auto"/>
                      <w:sz w:val="21"/>
                      <w:szCs w:val="21"/>
                      <w:highlight w:val="none"/>
                      <w:vertAlign w:val="baseline"/>
                      <w:lang w:val="en-US" w:eastAsia="zh-CN"/>
                    </w:rPr>
                  </w:pPr>
                  <w:r>
                    <w:rPr>
                      <w:rFonts w:hint="eastAsia" w:cs="Times New Roman"/>
                      <w:bCs/>
                      <w:color w:val="auto"/>
                      <w:sz w:val="21"/>
                      <w:szCs w:val="21"/>
                      <w:highlight w:val="none"/>
                      <w:vertAlign w:val="baseline"/>
                      <w:lang w:val="en-US" w:eastAsia="zh-CN"/>
                    </w:rPr>
                    <w:t>挤出废气</w:t>
                  </w:r>
                </w:p>
              </w:tc>
              <w:tc>
                <w:tcPr>
                  <w:tcW w:w="1838" w:type="pct"/>
                  <w:noWrap w:val="0"/>
                  <w:vAlign w:val="center"/>
                </w:tcPr>
                <w:p w14:paraId="706023B7">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cs="Times New Roman"/>
                      <w:bCs/>
                      <w:color w:val="auto"/>
                      <w:sz w:val="21"/>
                      <w:szCs w:val="21"/>
                      <w:highlight w:val="none"/>
                      <w:vertAlign w:val="baseline"/>
                      <w:lang w:val="en-US" w:eastAsia="zh-CN"/>
                    </w:rPr>
                    <w:t>集气罩+</w:t>
                  </w:r>
                  <w:r>
                    <w:rPr>
                      <w:rFonts w:hint="eastAsia" w:cs="Times New Roman"/>
                      <w:color w:val="auto"/>
                      <w:kern w:val="2"/>
                      <w:sz w:val="21"/>
                      <w:szCs w:val="21"/>
                      <w:highlight w:val="none"/>
                      <w:lang w:val="en-US" w:eastAsia="zh-CN"/>
                    </w:rPr>
                    <w:t>干式过滤器+</w:t>
                  </w:r>
                  <w:r>
                    <w:rPr>
                      <w:rFonts w:hint="eastAsia" w:cs="Times New Roman"/>
                      <w:color w:val="auto"/>
                      <w:sz w:val="21"/>
                      <w:szCs w:val="21"/>
                      <w:highlight w:val="none"/>
                      <w:lang w:val="en-US" w:eastAsia="zh-CN"/>
                    </w:rPr>
                    <w:t>二级活性炭吸附装置+23m高排气筒</w:t>
                  </w:r>
                </w:p>
              </w:tc>
              <w:tc>
                <w:tcPr>
                  <w:tcW w:w="745" w:type="pct"/>
                  <w:vMerge w:val="continue"/>
                  <w:noWrap w:val="0"/>
                  <w:vAlign w:val="center"/>
                </w:tcPr>
                <w:p w14:paraId="4A8A3479">
                  <w:pPr>
                    <w:adjustRightInd w:val="0"/>
                    <w:snapToGrid w:val="0"/>
                    <w:spacing w:line="240" w:lineRule="auto"/>
                    <w:jc w:val="center"/>
                    <w:rPr>
                      <w:rFonts w:hint="eastAsia" w:ascii="Times New Roman" w:hAnsi="Times New Roman" w:eastAsia="宋体" w:cs="Times New Roman"/>
                      <w:bCs/>
                      <w:color w:val="auto"/>
                      <w:sz w:val="21"/>
                      <w:szCs w:val="21"/>
                      <w:highlight w:val="none"/>
                      <w:vertAlign w:val="baseline"/>
                      <w:lang w:val="en-US" w:eastAsia="zh-CN"/>
                    </w:rPr>
                  </w:pPr>
                </w:p>
              </w:tc>
              <w:tc>
                <w:tcPr>
                  <w:tcW w:w="531" w:type="pct"/>
                  <w:vMerge w:val="continue"/>
                  <w:noWrap w:val="0"/>
                  <w:vAlign w:val="center"/>
                </w:tcPr>
                <w:p w14:paraId="3AB162E4">
                  <w:pPr>
                    <w:adjustRightInd w:val="0"/>
                    <w:snapToGrid w:val="0"/>
                    <w:spacing w:line="240" w:lineRule="auto"/>
                    <w:jc w:val="center"/>
                    <w:rPr>
                      <w:rFonts w:hint="eastAsia" w:cs="Times New Roman"/>
                      <w:bCs/>
                      <w:color w:val="auto"/>
                      <w:sz w:val="21"/>
                      <w:szCs w:val="21"/>
                      <w:highlight w:val="none"/>
                      <w:vertAlign w:val="baseline"/>
                      <w:lang w:val="en-US" w:eastAsia="zh-CN"/>
                    </w:rPr>
                  </w:pPr>
                </w:p>
              </w:tc>
            </w:tr>
            <w:tr w14:paraId="176D8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2" w:hRule="atLeast"/>
              </w:trPr>
              <w:tc>
                <w:tcPr>
                  <w:tcW w:w="909" w:type="pct"/>
                  <w:noWrap w:val="0"/>
                  <w:vAlign w:val="center"/>
                </w:tcPr>
                <w:p w14:paraId="4CFFA31D">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rPr>
                  </w:pPr>
                  <w:r>
                    <w:rPr>
                      <w:rFonts w:hint="eastAsia" w:ascii="Times New Roman" w:hAnsi="Times New Roman" w:eastAsia="宋体" w:cs="Times New Roman"/>
                      <w:bCs/>
                      <w:color w:val="auto"/>
                      <w:sz w:val="21"/>
                      <w:szCs w:val="21"/>
                      <w:highlight w:val="none"/>
                      <w:vertAlign w:val="baseline"/>
                      <w:lang w:eastAsia="zh-CN"/>
                    </w:rPr>
                    <w:t>噪声</w:t>
                  </w:r>
                </w:p>
              </w:tc>
              <w:tc>
                <w:tcPr>
                  <w:tcW w:w="3559" w:type="pct"/>
                  <w:gridSpan w:val="3"/>
                  <w:noWrap w:val="0"/>
                  <w:vAlign w:val="center"/>
                </w:tcPr>
                <w:p w14:paraId="008966B1">
                  <w:pPr>
                    <w:adjustRightInd w:val="0"/>
                    <w:snapToGrid w:val="0"/>
                    <w:spacing w:line="240" w:lineRule="auto"/>
                    <w:jc w:val="center"/>
                    <w:rPr>
                      <w:rFonts w:hint="eastAsia" w:ascii="Times New Roman" w:hAnsi="Times New Roman" w:eastAsia="宋体" w:cs="Times New Roman"/>
                      <w:bCs/>
                      <w:color w:val="auto"/>
                      <w:sz w:val="21"/>
                      <w:szCs w:val="21"/>
                      <w:highlight w:val="none"/>
                      <w:vertAlign w:val="baseline"/>
                      <w:lang w:eastAsia="zh-CN"/>
                    </w:rPr>
                  </w:pPr>
                  <w:r>
                    <w:rPr>
                      <w:rFonts w:hint="default" w:ascii="Times New Roman" w:hAnsi="Times New Roman" w:eastAsia="宋体" w:cs="Times New Roman"/>
                      <w:bCs/>
                      <w:color w:val="auto"/>
                      <w:sz w:val="21"/>
                      <w:szCs w:val="21"/>
                      <w:highlight w:val="none"/>
                      <w:vertAlign w:val="baseline"/>
                    </w:rPr>
                    <w:t>基础减振、车间封闭、隔声门</w:t>
                  </w:r>
                  <w:r>
                    <w:rPr>
                      <w:rFonts w:hint="eastAsia" w:ascii="Times New Roman" w:hAnsi="Times New Roman" w:eastAsia="宋体" w:cs="Times New Roman"/>
                      <w:bCs/>
                      <w:color w:val="auto"/>
                      <w:sz w:val="21"/>
                      <w:szCs w:val="21"/>
                      <w:highlight w:val="none"/>
                      <w:vertAlign w:val="baseline"/>
                      <w:lang w:eastAsia="zh-CN"/>
                    </w:rPr>
                    <w:t>窗</w:t>
                  </w:r>
                </w:p>
              </w:tc>
              <w:tc>
                <w:tcPr>
                  <w:tcW w:w="531" w:type="pct"/>
                  <w:noWrap w:val="0"/>
                  <w:vAlign w:val="center"/>
                </w:tcPr>
                <w:p w14:paraId="641DCA57">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cs="Times New Roman"/>
                      <w:bCs/>
                      <w:color w:val="auto"/>
                      <w:sz w:val="21"/>
                      <w:szCs w:val="21"/>
                      <w:highlight w:val="none"/>
                      <w:vertAlign w:val="baseline"/>
                      <w:lang w:val="en-US" w:eastAsia="zh-CN"/>
                    </w:rPr>
                    <w:t>25</w:t>
                  </w:r>
                </w:p>
              </w:tc>
            </w:tr>
            <w:tr w14:paraId="75B4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9" w:type="pct"/>
                  <w:noWrap w:val="0"/>
                  <w:vAlign w:val="center"/>
                </w:tcPr>
                <w:p w14:paraId="2106C364">
                  <w:pPr>
                    <w:adjustRightInd w:val="0"/>
                    <w:snapToGrid w:val="0"/>
                    <w:spacing w:line="240" w:lineRule="auto"/>
                    <w:jc w:val="center"/>
                    <w:rPr>
                      <w:rFonts w:hint="eastAsia" w:ascii="Times New Roman" w:hAnsi="Times New Roman" w:eastAsia="宋体" w:cs="Times New Roman"/>
                      <w:bCs/>
                      <w:color w:val="auto"/>
                      <w:sz w:val="21"/>
                      <w:szCs w:val="21"/>
                      <w:highlight w:val="none"/>
                      <w:vertAlign w:val="baseline"/>
                      <w:lang w:eastAsia="zh-CN"/>
                    </w:rPr>
                  </w:pPr>
                  <w:r>
                    <w:rPr>
                      <w:rFonts w:hint="eastAsia" w:ascii="Times New Roman" w:hAnsi="Times New Roman" w:eastAsia="宋体" w:cs="Times New Roman"/>
                      <w:bCs/>
                      <w:color w:val="auto"/>
                      <w:sz w:val="21"/>
                      <w:szCs w:val="21"/>
                      <w:highlight w:val="none"/>
                      <w:vertAlign w:val="baseline"/>
                      <w:lang w:eastAsia="zh-CN"/>
                    </w:rPr>
                    <w:t>固废</w:t>
                  </w:r>
                </w:p>
              </w:tc>
              <w:tc>
                <w:tcPr>
                  <w:tcW w:w="3559" w:type="pct"/>
                  <w:gridSpan w:val="3"/>
                  <w:noWrap w:val="0"/>
                  <w:vAlign w:val="center"/>
                </w:tcPr>
                <w:p w14:paraId="2A4A62BF">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rPr>
                  </w:pPr>
                  <w:r>
                    <w:rPr>
                      <w:rFonts w:hint="default" w:ascii="Times New Roman" w:hAnsi="Times New Roman" w:cs="Times New Roman"/>
                      <w:snapToGrid w:val="0"/>
                      <w:color w:val="000000"/>
                      <w:kern w:val="0"/>
                      <w:szCs w:val="21"/>
                      <w:highlight w:val="none"/>
                    </w:rPr>
                    <w:t>一般固废暂存间、危险废物暂存间、垃圾桶</w:t>
                  </w:r>
                </w:p>
              </w:tc>
              <w:tc>
                <w:tcPr>
                  <w:tcW w:w="531" w:type="pct"/>
                  <w:noWrap w:val="0"/>
                  <w:vAlign w:val="center"/>
                </w:tcPr>
                <w:p w14:paraId="17546590">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cs="Times New Roman"/>
                      <w:bCs/>
                      <w:color w:val="auto"/>
                      <w:sz w:val="21"/>
                      <w:szCs w:val="21"/>
                      <w:highlight w:val="none"/>
                      <w:vertAlign w:val="baseline"/>
                      <w:lang w:val="en-US" w:eastAsia="zh-CN"/>
                    </w:rPr>
                    <w:t>5</w:t>
                  </w:r>
                </w:p>
              </w:tc>
            </w:tr>
            <w:tr w14:paraId="6812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9" w:type="pct"/>
                  <w:noWrap w:val="0"/>
                  <w:vAlign w:val="center"/>
                </w:tcPr>
                <w:p w14:paraId="15748F95">
                  <w:pPr>
                    <w:adjustRightInd w:val="0"/>
                    <w:snapToGrid w:val="0"/>
                    <w:spacing w:line="240" w:lineRule="auto"/>
                    <w:jc w:val="center"/>
                    <w:rPr>
                      <w:rFonts w:hint="eastAsia" w:ascii="Times New Roman" w:hAnsi="Times New Roman" w:eastAsia="宋体" w:cs="Times New Roman"/>
                      <w:bCs/>
                      <w:color w:val="auto"/>
                      <w:sz w:val="21"/>
                      <w:szCs w:val="21"/>
                      <w:highlight w:val="none"/>
                      <w:vertAlign w:val="baseline"/>
                      <w:lang w:eastAsia="zh-CN"/>
                    </w:rPr>
                  </w:pPr>
                  <w:r>
                    <w:rPr>
                      <w:rFonts w:hint="eastAsia" w:ascii="Times New Roman" w:hAnsi="Times New Roman" w:eastAsia="宋体" w:cs="Times New Roman"/>
                      <w:bCs/>
                      <w:color w:val="auto"/>
                      <w:sz w:val="21"/>
                      <w:szCs w:val="21"/>
                      <w:highlight w:val="none"/>
                      <w:vertAlign w:val="baseline"/>
                      <w:lang w:eastAsia="zh-CN"/>
                    </w:rPr>
                    <w:t>土壤、地下水</w:t>
                  </w:r>
                </w:p>
              </w:tc>
              <w:tc>
                <w:tcPr>
                  <w:tcW w:w="3559" w:type="pct"/>
                  <w:gridSpan w:val="3"/>
                  <w:noWrap w:val="0"/>
                  <w:vAlign w:val="center"/>
                </w:tcPr>
                <w:p w14:paraId="4A42FDF5">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default" w:ascii="Times New Roman" w:hAnsi="Times New Roman" w:cs="Times New Roman"/>
                      <w:color w:val="auto"/>
                      <w:sz w:val="21"/>
                      <w:szCs w:val="21"/>
                      <w:highlight w:val="none"/>
                    </w:rPr>
                    <w:t>项目危废</w:t>
                  </w:r>
                  <w:r>
                    <w:rPr>
                      <w:rFonts w:hint="eastAsia" w:cs="Times New Roman"/>
                      <w:color w:val="auto"/>
                      <w:sz w:val="21"/>
                      <w:szCs w:val="21"/>
                      <w:highlight w:val="none"/>
                      <w:lang w:val="en-US" w:eastAsia="zh-CN"/>
                    </w:rPr>
                    <w:t>暂存间</w:t>
                  </w:r>
                  <w:r>
                    <w:rPr>
                      <w:rFonts w:hint="default" w:ascii="Times New Roman" w:hAnsi="Times New Roman" w:cs="Times New Roman"/>
                      <w:color w:val="auto"/>
                      <w:sz w:val="21"/>
                      <w:szCs w:val="21"/>
                      <w:highlight w:val="none"/>
                    </w:rPr>
                    <w:t>进行重点防渗</w:t>
                  </w:r>
                  <w:r>
                    <w:rPr>
                      <w:rFonts w:hint="eastAsia" w:cs="Times New Roman"/>
                      <w:color w:val="auto"/>
                      <w:sz w:val="21"/>
                      <w:szCs w:val="21"/>
                      <w:highlight w:val="none"/>
                      <w:lang w:eastAsia="zh-CN"/>
                    </w:rPr>
                    <w:t>，原料仓库、成品仓库、生产区</w:t>
                  </w:r>
                  <w:r>
                    <w:rPr>
                      <w:rFonts w:hint="default" w:ascii="Times New Roman" w:hAnsi="Times New Roman" w:cs="Times New Roman"/>
                      <w:color w:val="auto"/>
                      <w:kern w:val="0"/>
                      <w:sz w:val="21"/>
                      <w:szCs w:val="21"/>
                      <w:highlight w:val="none"/>
                      <w:lang w:bidi="ar"/>
                    </w:rPr>
                    <w:t>进行一般防渗</w:t>
                  </w:r>
                </w:p>
              </w:tc>
              <w:tc>
                <w:tcPr>
                  <w:tcW w:w="531" w:type="pct"/>
                  <w:noWrap w:val="0"/>
                  <w:vAlign w:val="center"/>
                </w:tcPr>
                <w:p w14:paraId="2464A744">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cs="Times New Roman"/>
                      <w:bCs/>
                      <w:color w:val="auto"/>
                      <w:sz w:val="21"/>
                      <w:szCs w:val="21"/>
                      <w:highlight w:val="none"/>
                      <w:vertAlign w:val="baseline"/>
                      <w:lang w:val="en-US" w:eastAsia="zh-CN"/>
                    </w:rPr>
                    <w:t>10</w:t>
                  </w:r>
                </w:p>
              </w:tc>
            </w:tr>
            <w:tr w14:paraId="7D2D6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9" w:type="pct"/>
                  <w:noWrap w:val="0"/>
                  <w:vAlign w:val="center"/>
                </w:tcPr>
                <w:p w14:paraId="3D364E42">
                  <w:pPr>
                    <w:adjustRightInd w:val="0"/>
                    <w:snapToGrid w:val="0"/>
                    <w:spacing w:line="240" w:lineRule="auto"/>
                    <w:jc w:val="center"/>
                    <w:rPr>
                      <w:rFonts w:hint="eastAsia" w:ascii="Times New Roman" w:hAnsi="Times New Roman" w:eastAsia="宋体" w:cs="Times New Roman"/>
                      <w:bCs/>
                      <w:color w:val="auto"/>
                      <w:sz w:val="21"/>
                      <w:szCs w:val="21"/>
                      <w:highlight w:val="none"/>
                      <w:vertAlign w:val="baseline"/>
                      <w:lang w:eastAsia="zh-CN"/>
                    </w:rPr>
                  </w:pPr>
                  <w:r>
                    <w:rPr>
                      <w:rFonts w:hint="eastAsia" w:cs="Times New Roman"/>
                      <w:bCs/>
                      <w:color w:val="auto"/>
                      <w:sz w:val="21"/>
                      <w:szCs w:val="21"/>
                      <w:highlight w:val="none"/>
                      <w:vertAlign w:val="baseline"/>
                      <w:lang w:val="en-US" w:eastAsia="zh-CN"/>
                    </w:rPr>
                    <w:t>风险</w:t>
                  </w:r>
                </w:p>
              </w:tc>
              <w:tc>
                <w:tcPr>
                  <w:tcW w:w="3559" w:type="pct"/>
                  <w:gridSpan w:val="3"/>
                  <w:noWrap w:val="0"/>
                  <w:vAlign w:val="center"/>
                </w:tcPr>
                <w:p w14:paraId="16677D90">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rPr>
                  </w:pPr>
                  <w:r>
                    <w:rPr>
                      <w:rFonts w:hint="default" w:ascii="Times New Roman" w:hAnsi="Times New Roman" w:cs="Times New Roman"/>
                      <w:color w:val="auto"/>
                      <w:sz w:val="21"/>
                      <w:szCs w:val="21"/>
                      <w:highlight w:val="none"/>
                      <w:lang w:val="en-US" w:eastAsia="zh-CN"/>
                    </w:rPr>
                    <w:t>配备必要的</w:t>
                  </w:r>
                  <w:r>
                    <w:rPr>
                      <w:rFonts w:hint="eastAsia" w:cs="Times New Roman"/>
                      <w:color w:val="auto"/>
                      <w:sz w:val="21"/>
                      <w:szCs w:val="21"/>
                      <w:highlight w:val="none"/>
                      <w:lang w:val="en-US" w:eastAsia="zh-CN"/>
                    </w:rPr>
                    <w:t>应急沙袋等</w:t>
                  </w:r>
                  <w:r>
                    <w:rPr>
                      <w:rFonts w:hint="default" w:ascii="Times New Roman" w:hAnsi="Times New Roman" w:cs="Times New Roman"/>
                      <w:color w:val="auto"/>
                      <w:sz w:val="21"/>
                      <w:szCs w:val="21"/>
                      <w:highlight w:val="none"/>
                      <w:lang w:val="en-US" w:eastAsia="zh-CN"/>
                    </w:rPr>
                    <w:t>应急</w:t>
                  </w:r>
                  <w:r>
                    <w:rPr>
                      <w:rFonts w:hint="eastAsia" w:cs="Times New Roman"/>
                      <w:color w:val="auto"/>
                      <w:sz w:val="21"/>
                      <w:szCs w:val="21"/>
                      <w:highlight w:val="none"/>
                      <w:lang w:val="en-US" w:eastAsia="zh-CN"/>
                    </w:rPr>
                    <w:t>、</w:t>
                  </w:r>
                  <w:r>
                    <w:rPr>
                      <w:rFonts w:hint="default" w:ascii="Times New Roman" w:hAnsi="Times New Roman" w:cs="Times New Roman"/>
                      <w:color w:val="auto"/>
                      <w:sz w:val="21"/>
                      <w:szCs w:val="21"/>
                      <w:highlight w:val="none"/>
                      <w:lang w:val="en-US" w:eastAsia="zh-CN"/>
                    </w:rPr>
                    <w:t>救援器材、设备</w:t>
                  </w:r>
                </w:p>
              </w:tc>
              <w:tc>
                <w:tcPr>
                  <w:tcW w:w="531" w:type="pct"/>
                  <w:noWrap w:val="0"/>
                  <w:vAlign w:val="center"/>
                </w:tcPr>
                <w:p w14:paraId="2922FE22">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cs="Times New Roman"/>
                      <w:bCs/>
                      <w:color w:val="auto"/>
                      <w:sz w:val="21"/>
                      <w:szCs w:val="21"/>
                      <w:highlight w:val="none"/>
                      <w:vertAlign w:val="baseline"/>
                      <w:lang w:val="en-US" w:eastAsia="zh-CN"/>
                    </w:rPr>
                    <w:t>5</w:t>
                  </w:r>
                </w:p>
              </w:tc>
            </w:tr>
            <w:tr w14:paraId="7DAB8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68" w:type="pct"/>
                  <w:gridSpan w:val="4"/>
                  <w:noWrap w:val="0"/>
                  <w:vAlign w:val="center"/>
                </w:tcPr>
                <w:p w14:paraId="60A9B4F3">
                  <w:pPr>
                    <w:adjustRightInd w:val="0"/>
                    <w:snapToGrid w:val="0"/>
                    <w:spacing w:line="240" w:lineRule="auto"/>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合计</w:t>
                  </w:r>
                </w:p>
              </w:tc>
              <w:tc>
                <w:tcPr>
                  <w:tcW w:w="531" w:type="pct"/>
                  <w:noWrap w:val="0"/>
                  <w:vAlign w:val="center"/>
                </w:tcPr>
                <w:p w14:paraId="1D74CFAD">
                  <w:pPr>
                    <w:adjustRightInd w:val="0"/>
                    <w:snapToGrid w:val="0"/>
                    <w:spacing w:line="240" w:lineRule="auto"/>
                    <w:jc w:val="center"/>
                    <w:rPr>
                      <w:rFonts w:hint="default" w:ascii="Times New Roman" w:hAnsi="Times New Roman" w:eastAsia="宋体" w:cs="Times New Roman"/>
                      <w:bCs/>
                      <w:color w:val="auto"/>
                      <w:sz w:val="21"/>
                      <w:szCs w:val="21"/>
                      <w:highlight w:val="none"/>
                      <w:vertAlign w:val="baseline"/>
                      <w:lang w:val="en-US" w:eastAsia="zh-CN"/>
                    </w:rPr>
                  </w:pPr>
                  <w:r>
                    <w:rPr>
                      <w:rFonts w:hint="eastAsia" w:cs="Times New Roman"/>
                      <w:bCs/>
                      <w:color w:val="auto"/>
                      <w:sz w:val="21"/>
                      <w:szCs w:val="21"/>
                      <w:highlight w:val="none"/>
                      <w:vertAlign w:val="baseline"/>
                      <w:lang w:val="en-US" w:eastAsia="zh-CN"/>
                    </w:rPr>
                    <w:t>130</w:t>
                  </w:r>
                </w:p>
              </w:tc>
            </w:tr>
          </w:tbl>
          <w:p w14:paraId="4A7F5B1C">
            <w:pPr>
              <w:adjustRightInd w:val="0"/>
              <w:snapToGrid w:val="0"/>
              <w:spacing w:line="360" w:lineRule="auto"/>
              <w:ind w:firstLine="480" w:firstLineChars="200"/>
              <w:rPr>
                <w:rFonts w:hint="eastAsia" w:ascii="Times New Roman" w:hAnsi="Times New Roman" w:cs="Times New Roman"/>
                <w:bCs/>
                <w:color w:val="000000"/>
                <w:sz w:val="24"/>
                <w:szCs w:val="24"/>
                <w:highlight w:val="none"/>
                <w:lang w:eastAsia="zh-CN"/>
              </w:rPr>
            </w:pPr>
            <w:r>
              <w:rPr>
                <w:rFonts w:hint="default" w:ascii="Times New Roman" w:hAnsi="Times New Roman" w:cs="Times New Roman"/>
                <w:bCs/>
                <w:color w:val="000000"/>
                <w:sz w:val="24"/>
                <w:szCs w:val="24"/>
                <w:highlight w:val="none"/>
              </w:rPr>
              <w:t>项目投资总额为</w:t>
            </w:r>
            <w:r>
              <w:rPr>
                <w:rFonts w:hint="eastAsia" w:cs="Times New Roman"/>
                <w:color w:val="auto"/>
                <w:sz w:val="24"/>
                <w:szCs w:val="24"/>
                <w:highlight w:val="none"/>
                <w:lang w:val="en-US" w:eastAsia="zh-CN"/>
              </w:rPr>
              <w:t>35</w:t>
            </w:r>
            <w:r>
              <w:rPr>
                <w:rFonts w:hint="default" w:ascii="Times New Roman" w:hAnsi="Times New Roman" w:cs="Times New Roman"/>
                <w:color w:val="auto"/>
                <w:sz w:val="24"/>
                <w:szCs w:val="24"/>
                <w:highlight w:val="none"/>
                <w:lang w:val="en-US" w:eastAsia="zh-CN"/>
              </w:rPr>
              <w:t>000</w:t>
            </w:r>
            <w:r>
              <w:rPr>
                <w:rFonts w:hint="default" w:ascii="Times New Roman" w:hAnsi="Times New Roman" w:cs="Times New Roman"/>
                <w:bCs/>
                <w:color w:val="000000"/>
                <w:sz w:val="24"/>
                <w:szCs w:val="24"/>
                <w:highlight w:val="none"/>
              </w:rPr>
              <w:t>万元，其中环保投资为</w:t>
            </w:r>
            <w:r>
              <w:rPr>
                <w:rFonts w:hint="eastAsia" w:ascii="Times New Roman" w:hAnsi="Times New Roman" w:cs="Times New Roman"/>
                <w:bCs/>
                <w:color w:val="000000"/>
                <w:sz w:val="24"/>
                <w:szCs w:val="24"/>
                <w:highlight w:val="none"/>
                <w:lang w:val="en-US" w:eastAsia="zh-CN"/>
              </w:rPr>
              <w:t>130</w:t>
            </w:r>
            <w:r>
              <w:rPr>
                <w:rFonts w:hint="default" w:ascii="Times New Roman" w:hAnsi="Times New Roman" w:cs="Times New Roman"/>
                <w:bCs/>
                <w:color w:val="000000"/>
                <w:sz w:val="24"/>
                <w:szCs w:val="24"/>
                <w:highlight w:val="none"/>
              </w:rPr>
              <w:t>万元，占总投资额的</w:t>
            </w:r>
            <w:r>
              <w:rPr>
                <w:rFonts w:hint="eastAsia" w:ascii="Times New Roman" w:hAnsi="Times New Roman" w:cs="Times New Roman"/>
                <w:bCs/>
                <w:color w:val="000000"/>
                <w:sz w:val="24"/>
                <w:szCs w:val="24"/>
                <w:highlight w:val="none"/>
                <w:lang w:val="en-US" w:eastAsia="zh-CN"/>
              </w:rPr>
              <w:t>0.37</w:t>
            </w:r>
            <w:r>
              <w:rPr>
                <w:rFonts w:hint="default" w:ascii="Times New Roman" w:hAnsi="Times New Roman" w:cs="Times New Roman"/>
                <w:bCs/>
                <w:color w:val="000000"/>
                <w:sz w:val="24"/>
                <w:szCs w:val="24"/>
                <w:highlight w:val="none"/>
              </w:rPr>
              <w:t>%</w:t>
            </w:r>
            <w:r>
              <w:rPr>
                <w:rFonts w:hint="eastAsia" w:ascii="Times New Roman" w:hAnsi="Times New Roman" w:cs="Times New Roman"/>
                <w:bCs/>
                <w:color w:val="000000"/>
                <w:sz w:val="24"/>
                <w:szCs w:val="24"/>
                <w:highlight w:val="none"/>
                <w:lang w:eastAsia="zh-CN"/>
              </w:rPr>
              <w:t>。</w:t>
            </w:r>
          </w:p>
          <w:p w14:paraId="4E52A50F">
            <w:pPr>
              <w:adjustRightInd w:val="0"/>
              <w:snapToGrid w:val="0"/>
              <w:spacing w:line="240" w:lineRule="auto"/>
              <w:rPr>
                <w:rFonts w:hint="default" w:ascii="Times New Roman" w:hAnsi="Times New Roman" w:cs="Times New Roman"/>
                <w:color w:val="auto"/>
                <w:sz w:val="21"/>
                <w:szCs w:val="21"/>
                <w:highlight w:val="none"/>
              </w:rPr>
            </w:pPr>
          </w:p>
          <w:p w14:paraId="3C40B6D7">
            <w:pPr>
              <w:adjustRightInd w:val="0"/>
              <w:snapToGrid w:val="0"/>
              <w:spacing w:line="240" w:lineRule="auto"/>
              <w:rPr>
                <w:rFonts w:hint="default" w:ascii="Times New Roman" w:hAnsi="Times New Roman" w:cs="Times New Roman"/>
                <w:color w:val="auto"/>
                <w:sz w:val="21"/>
                <w:szCs w:val="21"/>
                <w:highlight w:val="none"/>
              </w:rPr>
            </w:pPr>
          </w:p>
        </w:tc>
      </w:tr>
    </w:tbl>
    <w:p w14:paraId="59AA9214">
      <w:pPr>
        <w:pStyle w:val="23"/>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cs="Times New Roman"/>
          <w:snapToGrid w:val="0"/>
          <w:color w:val="auto"/>
          <w:highlight w:val="none"/>
        </w:rPr>
        <w:br w:type="page"/>
      </w:r>
      <w:r>
        <w:rPr>
          <w:rFonts w:hint="default" w:ascii="Times New Roman" w:hAnsi="Times New Roman" w:eastAsia="黑体" w:cs="Times New Roman"/>
          <w:snapToGrid w:val="0"/>
          <w:color w:val="auto"/>
          <w:sz w:val="30"/>
          <w:szCs w:val="30"/>
          <w:highlight w:val="none"/>
        </w:rPr>
        <w:t>六、结论</w:t>
      </w:r>
    </w:p>
    <w:tbl>
      <w:tblPr>
        <w:tblStyle w:val="2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737E9F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center"/>
          </w:tcPr>
          <w:p w14:paraId="011BAC21">
            <w:pPr>
              <w:spacing w:line="360" w:lineRule="auto"/>
              <w:ind w:firstLine="480" w:firstLineChars="200"/>
              <w:jc w:val="left"/>
              <w:rPr>
                <w:rFonts w:hint="default" w:ascii="Times New Roman" w:hAnsi="Times New Roman" w:cs="Times New Roman"/>
                <w:color w:val="auto"/>
                <w:sz w:val="24"/>
                <w:highlight w:val="none"/>
              </w:rPr>
            </w:pPr>
            <w:r>
              <w:rPr>
                <w:rFonts w:hint="eastAsia" w:cs="Times New Roman"/>
                <w:color w:val="auto"/>
                <w:sz w:val="24"/>
                <w:szCs w:val="24"/>
                <w:highlight w:val="none"/>
                <w:lang w:val="en-US" w:eastAsia="zh-CN"/>
              </w:rPr>
              <w:t>安徽神州半导体有限公司年产7000万件LED显示屏模组、2000万个显示屏模组器件项目符</w:t>
            </w:r>
            <w:r>
              <w:rPr>
                <w:rFonts w:hint="default" w:ascii="Times New Roman" w:hAnsi="Times New Roman" w:cs="Times New Roman"/>
                <w:color w:val="auto"/>
                <w:sz w:val="24"/>
                <w:szCs w:val="24"/>
                <w:highlight w:val="none"/>
              </w:rPr>
              <w:t>合国家产业政策</w:t>
            </w:r>
            <w:r>
              <w:rPr>
                <w:rFonts w:hint="eastAsia" w:cs="Times New Roman"/>
                <w:color w:val="auto"/>
                <w:sz w:val="24"/>
                <w:szCs w:val="24"/>
                <w:highlight w:val="none"/>
                <w:lang w:val="en-US" w:eastAsia="zh-CN"/>
              </w:rPr>
              <w:t>和</w:t>
            </w:r>
            <w:r>
              <w:rPr>
                <w:rFonts w:hint="default" w:ascii="Times New Roman" w:hAnsi="Times New Roman" w:cs="Times New Roman"/>
                <w:color w:val="auto"/>
                <w:sz w:val="24"/>
                <w:szCs w:val="24"/>
                <w:highlight w:val="none"/>
              </w:rPr>
              <w:t>相关规划要求。项目在</w:t>
            </w:r>
            <w:r>
              <w:rPr>
                <w:rFonts w:hint="eastAsia" w:ascii="Times New Roman" w:hAnsi="Times New Roman" w:cs="Times New Roman"/>
                <w:color w:val="auto"/>
                <w:sz w:val="24"/>
                <w:szCs w:val="24"/>
                <w:highlight w:val="none"/>
                <w:lang w:eastAsia="zh-CN"/>
              </w:rPr>
              <w:t>落实本报告</w:t>
            </w:r>
            <w:r>
              <w:rPr>
                <w:rFonts w:hint="default" w:ascii="Times New Roman" w:hAnsi="Times New Roman" w:cs="Times New Roman"/>
                <w:color w:val="auto"/>
                <w:sz w:val="24"/>
                <w:szCs w:val="24"/>
                <w:highlight w:val="none"/>
              </w:rPr>
              <w:t>提出的各项污染防治措施前提条件下，各项污染物可以做到达标排放，排放的各</w:t>
            </w:r>
            <w:r>
              <w:rPr>
                <w:rFonts w:hint="eastAsia" w:cs="Times New Roman"/>
                <w:color w:val="auto"/>
                <w:sz w:val="24"/>
                <w:szCs w:val="24"/>
                <w:highlight w:val="none"/>
                <w:lang w:val="en-US" w:eastAsia="zh-CN"/>
              </w:rPr>
              <w:t>类</w:t>
            </w:r>
            <w:r>
              <w:rPr>
                <w:rFonts w:hint="default" w:ascii="Times New Roman" w:hAnsi="Times New Roman" w:cs="Times New Roman"/>
                <w:color w:val="auto"/>
                <w:sz w:val="24"/>
                <w:szCs w:val="24"/>
                <w:highlight w:val="none"/>
              </w:rPr>
              <w:t>污染物对</w:t>
            </w:r>
            <w:r>
              <w:rPr>
                <w:rFonts w:hint="eastAsia" w:cs="Times New Roman"/>
                <w:color w:val="auto"/>
                <w:sz w:val="24"/>
                <w:szCs w:val="24"/>
                <w:highlight w:val="none"/>
                <w:lang w:val="en-US" w:eastAsia="zh-CN"/>
              </w:rPr>
              <w:t>外环境影响较小，均在可以接受的范围内</w:t>
            </w:r>
            <w:r>
              <w:rPr>
                <w:rFonts w:hint="default" w:ascii="Times New Roman" w:hAnsi="Times New Roman" w:cs="Times New Roman"/>
                <w:color w:val="auto"/>
                <w:sz w:val="24"/>
                <w:szCs w:val="24"/>
                <w:highlight w:val="none"/>
              </w:rPr>
              <w:t>。项目在建设过程中，应严格执行环保设施与主体工程同时设计、同时施工、同时投产的“三同时”制度。在此基础上，从环境影响的角度出发，</w:t>
            </w:r>
            <w:r>
              <w:rPr>
                <w:rFonts w:hint="eastAsia" w:cs="Times New Roman"/>
                <w:color w:val="auto"/>
                <w:sz w:val="24"/>
                <w:szCs w:val="24"/>
                <w:highlight w:val="none"/>
                <w:lang w:val="en-US" w:eastAsia="zh-CN"/>
              </w:rPr>
              <w:t>本</w:t>
            </w:r>
            <w:r>
              <w:rPr>
                <w:rFonts w:hint="default" w:ascii="Times New Roman" w:hAnsi="Times New Roman" w:cs="Times New Roman"/>
                <w:color w:val="auto"/>
                <w:sz w:val="24"/>
                <w:szCs w:val="24"/>
                <w:highlight w:val="none"/>
              </w:rPr>
              <w:t>项目建设可行。</w:t>
            </w:r>
          </w:p>
        </w:tc>
      </w:tr>
    </w:tbl>
    <w:p w14:paraId="0FD4B6CE">
      <w:pPr>
        <w:rPr>
          <w:rFonts w:hint="default" w:ascii="Times New Roman" w:hAnsi="Times New Roman" w:cs="Times New Roman"/>
          <w:color w:val="auto"/>
          <w:highlight w:val="none"/>
        </w:rPr>
        <w:sectPr>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14:paraId="0647A56B">
      <w:pPr>
        <w:pStyle w:val="23"/>
        <w:adjustRightInd w:val="0"/>
        <w:snapToGrid w:val="0"/>
        <w:spacing w:before="0" w:beforeAutospacing="0" w:after="0" w:afterAutospacing="0" w:line="360" w:lineRule="auto"/>
        <w:outlineLvl w:val="0"/>
        <w:rPr>
          <w:rFonts w:hint="default" w:ascii="Times New Roman" w:hAnsi="Times New Roman" w:eastAsia="黑体" w:cs="Times New Roman"/>
          <w:snapToGrid w:val="0"/>
          <w:color w:val="auto"/>
          <w:sz w:val="32"/>
          <w:szCs w:val="32"/>
          <w:highlight w:val="none"/>
        </w:rPr>
      </w:pPr>
      <w:r>
        <w:rPr>
          <w:rFonts w:hint="default" w:ascii="Times New Roman" w:hAnsi="Times New Roman" w:eastAsia="黑体" w:cs="Times New Roman"/>
          <w:snapToGrid w:val="0"/>
          <w:color w:val="auto"/>
          <w:sz w:val="32"/>
          <w:szCs w:val="32"/>
          <w:highlight w:val="none"/>
        </w:rPr>
        <w:t>附表</w:t>
      </w:r>
    </w:p>
    <w:p w14:paraId="3D978A22">
      <w:pPr>
        <w:pStyle w:val="23"/>
        <w:adjustRightInd w:val="0"/>
        <w:snapToGrid w:val="0"/>
        <w:spacing w:before="0" w:beforeAutospacing="0" w:after="0" w:afterAutospacing="0"/>
        <w:jc w:val="center"/>
        <w:outlineLvl w:val="0"/>
        <w:rPr>
          <w:rFonts w:hint="default" w:ascii="Times New Roman" w:hAnsi="Times New Roman" w:eastAsia="方正小标宋_GBK" w:cs="Times New Roman"/>
          <w:snapToGrid w:val="0"/>
          <w:color w:val="auto"/>
          <w:sz w:val="38"/>
          <w:szCs w:val="38"/>
          <w:highlight w:val="none"/>
        </w:rPr>
      </w:pPr>
      <w:r>
        <w:rPr>
          <w:rFonts w:hint="default" w:ascii="Times New Roman" w:hAnsi="Times New Roman" w:eastAsia="方正小标宋_GBK" w:cs="Times New Roman"/>
          <w:snapToGrid w:val="0"/>
          <w:color w:val="auto"/>
          <w:sz w:val="38"/>
          <w:szCs w:val="38"/>
          <w:highlight w:val="none"/>
        </w:rPr>
        <w:t>建设项目污染物排放量汇总表</w:t>
      </w:r>
    </w:p>
    <w:tbl>
      <w:tblPr>
        <w:tblStyle w:val="25"/>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3005"/>
        <w:gridCol w:w="1455"/>
        <w:gridCol w:w="1056"/>
        <w:gridCol w:w="1496"/>
        <w:gridCol w:w="1874"/>
        <w:gridCol w:w="1984"/>
        <w:gridCol w:w="1895"/>
      </w:tblGrid>
      <w:tr w14:paraId="5ABEDE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tcBorders>
              <w:tl2br w:val="single" w:color="auto" w:sz="4" w:space="0"/>
            </w:tcBorders>
            <w:noWrap w:val="0"/>
            <w:tcMar>
              <w:left w:w="28" w:type="dxa"/>
              <w:right w:w="28" w:type="dxa"/>
            </w:tcMar>
            <w:vAlign w:val="center"/>
          </w:tcPr>
          <w:p w14:paraId="35F8758A">
            <w:pPr>
              <w:pStyle w:val="51"/>
              <w:spacing w:beforeLines="0" w:afterLines="0" w:line="240" w:lineRule="auto"/>
              <w:jc w:val="right"/>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项目</w:t>
            </w:r>
          </w:p>
          <w:p w14:paraId="7CC3CF8B">
            <w:pPr>
              <w:pStyle w:val="51"/>
              <w:spacing w:beforeLines="0" w:afterLines="0" w:line="240" w:lineRule="auto"/>
              <w:jc w:val="left"/>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分类</w:t>
            </w:r>
          </w:p>
        </w:tc>
        <w:tc>
          <w:tcPr>
            <w:tcW w:w="1113" w:type="pct"/>
            <w:noWrap w:val="0"/>
            <w:tcMar>
              <w:left w:w="28" w:type="dxa"/>
              <w:right w:w="28" w:type="dxa"/>
            </w:tcMar>
            <w:vAlign w:val="center"/>
          </w:tcPr>
          <w:p w14:paraId="5FBDDED3">
            <w:pPr>
              <w:pStyle w:val="51"/>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污染物名称</w:t>
            </w:r>
          </w:p>
        </w:tc>
        <w:tc>
          <w:tcPr>
            <w:tcW w:w="539" w:type="pct"/>
            <w:noWrap w:val="0"/>
            <w:tcMar>
              <w:left w:w="28" w:type="dxa"/>
              <w:right w:w="28" w:type="dxa"/>
            </w:tcMar>
            <w:vAlign w:val="center"/>
          </w:tcPr>
          <w:p w14:paraId="4D44B4E9">
            <w:pPr>
              <w:pStyle w:val="51"/>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现有工程</w:t>
            </w:r>
          </w:p>
          <w:p w14:paraId="19351097">
            <w:pPr>
              <w:pStyle w:val="51"/>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排放量（固体废物产生量）</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1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①</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p>
        </w:tc>
        <w:tc>
          <w:tcPr>
            <w:tcW w:w="391" w:type="pct"/>
            <w:noWrap w:val="0"/>
            <w:tcMar>
              <w:left w:w="28" w:type="dxa"/>
              <w:right w:w="28" w:type="dxa"/>
            </w:tcMar>
            <w:vAlign w:val="center"/>
          </w:tcPr>
          <w:p w14:paraId="7A6C3039">
            <w:pPr>
              <w:pStyle w:val="51"/>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现有工程许可排放量②</w:t>
            </w:r>
          </w:p>
        </w:tc>
        <w:tc>
          <w:tcPr>
            <w:tcW w:w="554" w:type="pct"/>
            <w:noWrap w:val="0"/>
            <w:tcMar>
              <w:left w:w="28" w:type="dxa"/>
              <w:right w:w="28" w:type="dxa"/>
            </w:tcMar>
            <w:vAlign w:val="center"/>
          </w:tcPr>
          <w:p w14:paraId="4D1A8B2F">
            <w:pPr>
              <w:pStyle w:val="51"/>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在建工程排放量（固体废物产生量）</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3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③</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p>
        </w:tc>
        <w:tc>
          <w:tcPr>
            <w:tcW w:w="694" w:type="pct"/>
            <w:noWrap w:val="0"/>
            <w:tcMar>
              <w:left w:w="28" w:type="dxa"/>
              <w:right w:w="28" w:type="dxa"/>
            </w:tcMar>
            <w:vAlign w:val="center"/>
          </w:tcPr>
          <w:p w14:paraId="3A9FA22C">
            <w:pPr>
              <w:pStyle w:val="51"/>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本项目排放量（固体废物产生量）</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4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④</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p>
        </w:tc>
        <w:tc>
          <w:tcPr>
            <w:tcW w:w="735" w:type="pct"/>
            <w:noWrap w:val="0"/>
            <w:tcMar>
              <w:left w:w="28" w:type="dxa"/>
              <w:right w:w="28" w:type="dxa"/>
            </w:tcMar>
            <w:vAlign w:val="center"/>
          </w:tcPr>
          <w:p w14:paraId="0C562137">
            <w:pPr>
              <w:pStyle w:val="51"/>
              <w:spacing w:beforeLines="0" w:afterLines="0" w:line="240" w:lineRule="auto"/>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t>本项目建成后全厂排放量（固体废物产生量）</w: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instrText xml:space="preserve"> = 6 \* GB3 \* MERGEFORMAT </w:instrTex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⑥</w: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end"/>
            </w:r>
          </w:p>
        </w:tc>
        <w:tc>
          <w:tcPr>
            <w:tcW w:w="702" w:type="pct"/>
            <w:noWrap w:val="0"/>
            <w:tcMar>
              <w:left w:w="28" w:type="dxa"/>
              <w:right w:w="28" w:type="dxa"/>
            </w:tcMar>
            <w:vAlign w:val="center"/>
          </w:tcPr>
          <w:p w14:paraId="10C5126E">
            <w:pPr>
              <w:pStyle w:val="51"/>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变化量</w:t>
            </w:r>
          </w:p>
          <w:p w14:paraId="0B02DA87">
            <w:pPr>
              <w:pStyle w:val="51"/>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7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⑦</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p>
        </w:tc>
      </w:tr>
      <w:tr w14:paraId="7ED728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restart"/>
            <w:noWrap w:val="0"/>
            <w:vAlign w:val="center"/>
          </w:tcPr>
          <w:p w14:paraId="220DBD6B">
            <w:pPr>
              <w:pStyle w:val="51"/>
              <w:spacing w:beforeLines="0" w:afterLines="0" w:line="240" w:lineRule="auto"/>
              <w:rPr>
                <w:rFonts w:hint="eastAsia" w:ascii="Times New Roman" w:hAnsi="Times New Roman" w:eastAsia="宋体" w:cs="Times New Roman"/>
                <w:snapToGrid w:val="0"/>
                <w:color w:val="000000" w:themeColor="text1"/>
                <w:kern w:val="21"/>
                <w:sz w:val="21"/>
                <w:szCs w:val="21"/>
                <w:highlight w:val="none"/>
                <w:lang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t>废气</w:t>
            </w:r>
          </w:p>
        </w:tc>
        <w:tc>
          <w:tcPr>
            <w:tcW w:w="1113" w:type="pct"/>
            <w:noWrap w:val="0"/>
            <w:vAlign w:val="center"/>
          </w:tcPr>
          <w:p w14:paraId="5AD13B26">
            <w:pPr>
              <w:pStyle w:val="51"/>
              <w:spacing w:beforeLines="0" w:afterLines="0" w:line="240" w:lineRule="auto"/>
              <w:rPr>
                <w:rFonts w:hint="eastAsia" w:ascii="Times New Roman" w:hAnsi="Times New Roman" w:eastAsia="宋体" w:cs="Times New Roman"/>
                <w:snapToGrid w:val="0"/>
                <w:color w:val="000000" w:themeColor="text1"/>
                <w:kern w:val="21"/>
                <w:sz w:val="21"/>
                <w:szCs w:val="21"/>
                <w:highlight w:val="none"/>
                <w:lang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t>非甲烷总烃</w:t>
            </w:r>
          </w:p>
        </w:tc>
        <w:tc>
          <w:tcPr>
            <w:tcW w:w="539" w:type="pct"/>
            <w:noWrap w:val="0"/>
            <w:vAlign w:val="center"/>
          </w:tcPr>
          <w:p w14:paraId="3538BC18">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30F55C4D">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1728FFD2">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21B3EB5F">
            <w:pPr>
              <w:keepNext w:val="0"/>
              <w:keepLines w:val="0"/>
              <w:widowControl/>
              <w:suppressLineNumbers w:val="0"/>
              <w:spacing w:line="240" w:lineRule="auto"/>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2.439</w:t>
            </w:r>
          </w:p>
        </w:tc>
        <w:tc>
          <w:tcPr>
            <w:tcW w:w="735" w:type="pct"/>
            <w:noWrap w:val="0"/>
            <w:vAlign w:val="center"/>
          </w:tcPr>
          <w:p w14:paraId="390B79DF">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2.439</w:t>
            </w:r>
          </w:p>
        </w:tc>
        <w:tc>
          <w:tcPr>
            <w:tcW w:w="702" w:type="pct"/>
            <w:noWrap w:val="0"/>
            <w:vAlign w:val="center"/>
          </w:tcPr>
          <w:p w14:paraId="1AD628A5">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w:t>
            </w: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2.439</w:t>
            </w:r>
          </w:p>
        </w:tc>
      </w:tr>
      <w:tr w14:paraId="31D261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0EEE2EA1">
            <w:pPr>
              <w:pStyle w:val="51"/>
              <w:spacing w:beforeLines="0" w:afterLines="0" w:line="240" w:lineRule="auto"/>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pPr>
          </w:p>
        </w:tc>
        <w:tc>
          <w:tcPr>
            <w:tcW w:w="1113" w:type="pct"/>
            <w:noWrap w:val="0"/>
            <w:vAlign w:val="center"/>
          </w:tcPr>
          <w:p w14:paraId="2533C866">
            <w:pPr>
              <w:pStyle w:val="51"/>
              <w:spacing w:beforeLines="0" w:afterLines="0" w:line="240" w:lineRule="auto"/>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t>颗粒物</w:t>
            </w:r>
          </w:p>
        </w:tc>
        <w:tc>
          <w:tcPr>
            <w:tcW w:w="539" w:type="pct"/>
            <w:noWrap w:val="0"/>
            <w:vAlign w:val="center"/>
          </w:tcPr>
          <w:p w14:paraId="0B6108DC">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4DBBCDAA">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24249F62">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59E48480">
            <w:pPr>
              <w:spacing w:line="240" w:lineRule="auto"/>
              <w:jc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sz w:val="21"/>
                <w:szCs w:val="21"/>
                <w:highlight w:val="none"/>
                <w:lang w:val="en-US" w:eastAsia="zh-CN"/>
              </w:rPr>
              <w:t>0.033</w:t>
            </w:r>
          </w:p>
        </w:tc>
        <w:tc>
          <w:tcPr>
            <w:tcW w:w="735" w:type="pct"/>
            <w:noWrap w:val="0"/>
            <w:vAlign w:val="center"/>
          </w:tcPr>
          <w:p w14:paraId="0EEFD6CE">
            <w:pPr>
              <w:spacing w:line="240" w:lineRule="auto"/>
              <w:jc w:val="center"/>
              <w:rPr>
                <w:rFonts w:hint="default" w:ascii="Times New Roman" w:hAnsi="Times New Roman"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b w:val="0"/>
                <w:bCs/>
                <w:color w:val="000000"/>
                <w:sz w:val="21"/>
                <w:szCs w:val="21"/>
                <w:highlight w:val="none"/>
                <w:lang w:val="en-US" w:eastAsia="zh-CN"/>
              </w:rPr>
              <w:t>0.033</w:t>
            </w:r>
          </w:p>
        </w:tc>
        <w:tc>
          <w:tcPr>
            <w:tcW w:w="702" w:type="pct"/>
            <w:noWrap w:val="0"/>
            <w:vAlign w:val="center"/>
          </w:tcPr>
          <w:p w14:paraId="04A2B925">
            <w:pPr>
              <w:spacing w:line="240" w:lineRule="auto"/>
              <w:jc w:val="center"/>
              <w:rPr>
                <w:rFonts w:hint="default" w:ascii="Times New Roman" w:hAnsi="Times New Roman"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b w:val="0"/>
                <w:bCs/>
                <w:color w:val="000000"/>
                <w:sz w:val="21"/>
                <w:szCs w:val="21"/>
                <w:highlight w:val="none"/>
                <w:lang w:val="en-US" w:eastAsia="zh-CN"/>
              </w:rPr>
              <w:t>+0.033</w:t>
            </w:r>
          </w:p>
        </w:tc>
      </w:tr>
      <w:tr w14:paraId="679D29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13551DC3">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113" w:type="pct"/>
            <w:noWrap w:val="0"/>
            <w:vAlign w:val="center"/>
          </w:tcPr>
          <w:p w14:paraId="6085FA5C">
            <w:pPr>
              <w:pStyle w:val="51"/>
              <w:spacing w:beforeLines="0" w:afterLines="0" w:line="240" w:lineRule="auto"/>
              <w:rPr>
                <w:rFonts w:hint="eastAsia" w:ascii="Times New Roman" w:hAnsi="Times New Roman" w:eastAsia="宋体" w:cs="Times New Roman"/>
                <w:snapToGrid w:val="0"/>
                <w:color w:val="000000" w:themeColor="text1"/>
                <w:kern w:val="21"/>
                <w:sz w:val="21"/>
                <w:szCs w:val="21"/>
                <w:highlight w:val="none"/>
                <w:lang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t>锡及其化合物</w:t>
            </w:r>
          </w:p>
        </w:tc>
        <w:tc>
          <w:tcPr>
            <w:tcW w:w="539" w:type="pct"/>
            <w:noWrap w:val="0"/>
            <w:vAlign w:val="center"/>
          </w:tcPr>
          <w:p w14:paraId="3070FE23">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74560D35">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1B117B49">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69274A48">
            <w:pPr>
              <w:spacing w:line="240" w:lineRule="auto"/>
              <w:jc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olor w:val="000000"/>
                <w:sz w:val="21"/>
                <w:szCs w:val="21"/>
                <w:highlight w:val="none"/>
                <w:lang w:val="en-US" w:eastAsia="zh-CN"/>
              </w:rPr>
              <w:t>0.009</w:t>
            </w:r>
          </w:p>
        </w:tc>
        <w:tc>
          <w:tcPr>
            <w:tcW w:w="735" w:type="pct"/>
            <w:noWrap w:val="0"/>
            <w:vAlign w:val="center"/>
          </w:tcPr>
          <w:p w14:paraId="7439D0A2">
            <w:pPr>
              <w:spacing w:line="240" w:lineRule="auto"/>
              <w:jc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sz w:val="21"/>
                <w:szCs w:val="21"/>
                <w:highlight w:val="none"/>
                <w:lang w:val="en-US" w:eastAsia="zh-CN"/>
              </w:rPr>
              <w:t>0.009</w:t>
            </w:r>
          </w:p>
        </w:tc>
        <w:tc>
          <w:tcPr>
            <w:tcW w:w="702" w:type="pct"/>
            <w:noWrap w:val="0"/>
            <w:vAlign w:val="center"/>
          </w:tcPr>
          <w:p w14:paraId="7FEE7D21">
            <w:pPr>
              <w:spacing w:line="240" w:lineRule="auto"/>
              <w:jc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sz w:val="21"/>
                <w:szCs w:val="21"/>
                <w:highlight w:val="none"/>
                <w:lang w:val="en-US" w:eastAsia="zh-CN"/>
              </w:rPr>
              <w:t>+0.009</w:t>
            </w:r>
          </w:p>
        </w:tc>
      </w:tr>
      <w:tr w14:paraId="36E3EA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052BD1B4">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113" w:type="pct"/>
            <w:shd w:val="clear" w:color="auto" w:fill="auto"/>
            <w:noWrap w:val="0"/>
            <w:vAlign w:val="center"/>
          </w:tcPr>
          <w:p w14:paraId="13698654">
            <w:pPr>
              <w:snapToGrid w:val="0"/>
              <w:spacing w:line="240" w:lineRule="auto"/>
              <w:jc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甲苯</w:t>
            </w:r>
          </w:p>
        </w:tc>
        <w:tc>
          <w:tcPr>
            <w:tcW w:w="539" w:type="pct"/>
            <w:noWrap w:val="0"/>
            <w:vAlign w:val="center"/>
          </w:tcPr>
          <w:p w14:paraId="5C8123C2">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7D090E02">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5365A116">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1162AED3">
            <w:pPr>
              <w:jc w:val="center"/>
              <w:rPr>
                <w:rFonts w:hint="eastAsia" w:ascii="Times New Roman" w:hAnsi="Times New Roman" w:eastAsia="宋体" w:cs="Times New Roman"/>
                <w:b w:val="0"/>
                <w:bCs/>
                <w:color w:val="000000"/>
                <w:sz w:val="21"/>
                <w:szCs w:val="21"/>
                <w:highlight w:val="none"/>
                <w:lang w:val="en-US" w:eastAsia="zh-CN"/>
              </w:rPr>
            </w:pPr>
            <w:r>
              <w:rPr>
                <w:rFonts w:hint="default" w:ascii="Times New Roman" w:hAnsi="Times New Roman" w:cs="Times New Roman"/>
                <w:b w:val="0"/>
                <w:bCs/>
                <w:color w:val="000000"/>
                <w:sz w:val="21"/>
                <w:szCs w:val="21"/>
                <w:highlight w:val="none"/>
              </w:rPr>
              <w:t>0.0</w:t>
            </w:r>
            <w:r>
              <w:rPr>
                <w:rFonts w:hint="eastAsia" w:ascii="Times New Roman" w:hAnsi="Times New Roman" w:cs="Times New Roman"/>
                <w:b w:val="0"/>
                <w:bCs/>
                <w:color w:val="000000"/>
                <w:sz w:val="21"/>
                <w:szCs w:val="21"/>
                <w:highlight w:val="none"/>
                <w:lang w:val="en-US" w:eastAsia="zh-CN"/>
              </w:rPr>
              <w:t>75</w:t>
            </w:r>
            <w:r>
              <w:rPr>
                <w:rFonts w:hint="eastAsia" w:cs="Times New Roman"/>
                <w:b w:val="0"/>
                <w:bCs/>
                <w:color w:val="000000"/>
                <w:sz w:val="21"/>
                <w:szCs w:val="21"/>
                <w:highlight w:val="none"/>
                <w:lang w:val="en-US" w:eastAsia="zh-CN"/>
              </w:rPr>
              <w:t>×10</w:t>
            </w:r>
            <w:r>
              <w:rPr>
                <w:rFonts w:hint="eastAsia" w:cs="Times New Roman"/>
                <w:b w:val="0"/>
                <w:bCs/>
                <w:color w:val="000000"/>
                <w:sz w:val="21"/>
                <w:szCs w:val="21"/>
                <w:highlight w:val="none"/>
                <w:vertAlign w:val="superscript"/>
                <w:lang w:val="en-US" w:eastAsia="zh-CN"/>
              </w:rPr>
              <w:t>-6</w:t>
            </w:r>
          </w:p>
        </w:tc>
        <w:tc>
          <w:tcPr>
            <w:tcW w:w="735" w:type="pct"/>
            <w:shd w:val="clear" w:color="auto" w:fill="auto"/>
            <w:noWrap w:val="0"/>
            <w:vAlign w:val="center"/>
          </w:tcPr>
          <w:p w14:paraId="16606778">
            <w:pPr>
              <w:jc w:val="center"/>
              <w:rPr>
                <w:rFonts w:hint="eastAsia" w:ascii="Times New Roman" w:hAnsi="Times New Roman" w:eastAsia="宋体" w:cs="Times New Roman"/>
                <w:b w:val="0"/>
                <w:bCs/>
                <w:color w:val="000000"/>
                <w:kern w:val="2"/>
                <w:sz w:val="21"/>
                <w:szCs w:val="21"/>
                <w:highlight w:val="none"/>
                <w:lang w:val="en-US" w:eastAsia="zh-CN" w:bidi="ar-SA"/>
              </w:rPr>
            </w:pPr>
            <w:r>
              <w:rPr>
                <w:rFonts w:hint="default" w:ascii="Times New Roman" w:hAnsi="Times New Roman" w:cs="Times New Roman"/>
                <w:b w:val="0"/>
                <w:bCs/>
                <w:color w:val="000000"/>
                <w:sz w:val="21"/>
                <w:szCs w:val="21"/>
                <w:highlight w:val="none"/>
              </w:rPr>
              <w:t>0.0</w:t>
            </w:r>
            <w:r>
              <w:rPr>
                <w:rFonts w:hint="eastAsia" w:ascii="Times New Roman" w:hAnsi="Times New Roman" w:cs="Times New Roman"/>
                <w:b w:val="0"/>
                <w:bCs/>
                <w:color w:val="000000"/>
                <w:sz w:val="21"/>
                <w:szCs w:val="21"/>
                <w:highlight w:val="none"/>
                <w:lang w:val="en-US" w:eastAsia="zh-CN"/>
              </w:rPr>
              <w:t>75</w:t>
            </w:r>
            <w:r>
              <w:rPr>
                <w:rFonts w:hint="eastAsia" w:cs="Times New Roman"/>
                <w:b w:val="0"/>
                <w:bCs/>
                <w:color w:val="000000"/>
                <w:sz w:val="21"/>
                <w:szCs w:val="21"/>
                <w:highlight w:val="none"/>
                <w:lang w:val="en-US" w:eastAsia="zh-CN"/>
              </w:rPr>
              <w:t>×10</w:t>
            </w:r>
            <w:r>
              <w:rPr>
                <w:rFonts w:hint="eastAsia" w:cs="Times New Roman"/>
                <w:b w:val="0"/>
                <w:bCs/>
                <w:color w:val="000000"/>
                <w:sz w:val="21"/>
                <w:szCs w:val="21"/>
                <w:highlight w:val="none"/>
                <w:vertAlign w:val="superscript"/>
                <w:lang w:val="en-US" w:eastAsia="zh-CN"/>
              </w:rPr>
              <w:t>-6</w:t>
            </w:r>
          </w:p>
        </w:tc>
        <w:tc>
          <w:tcPr>
            <w:tcW w:w="702" w:type="pct"/>
            <w:shd w:val="clear" w:color="auto" w:fill="auto"/>
            <w:noWrap w:val="0"/>
            <w:vAlign w:val="center"/>
          </w:tcPr>
          <w:p w14:paraId="1C109D40">
            <w:pPr>
              <w:jc w:val="center"/>
              <w:rPr>
                <w:rFonts w:hint="eastAsia" w:ascii="Times New Roman" w:hAnsi="Times New Roman" w:eastAsia="宋体" w:cs="Times New Roman"/>
                <w:b w:val="0"/>
                <w:bCs/>
                <w:color w:val="000000"/>
                <w:kern w:val="2"/>
                <w:sz w:val="21"/>
                <w:szCs w:val="21"/>
                <w:highlight w:val="none"/>
                <w:lang w:val="en-US" w:eastAsia="zh-CN" w:bidi="ar-SA"/>
              </w:rPr>
            </w:pPr>
            <w:r>
              <w:rPr>
                <w:rFonts w:hint="eastAsia" w:ascii="Times New Roman" w:hAnsi="Times New Roman" w:cs="Times New Roman"/>
                <w:b w:val="0"/>
                <w:bCs/>
                <w:color w:val="000000"/>
                <w:sz w:val="21"/>
                <w:szCs w:val="21"/>
                <w:highlight w:val="none"/>
                <w:lang w:val="en-US" w:eastAsia="zh-CN"/>
              </w:rPr>
              <w:t>+</w:t>
            </w:r>
            <w:r>
              <w:rPr>
                <w:rFonts w:hint="default" w:ascii="Times New Roman" w:hAnsi="Times New Roman" w:cs="Times New Roman"/>
                <w:b w:val="0"/>
                <w:bCs/>
                <w:color w:val="000000"/>
                <w:sz w:val="21"/>
                <w:szCs w:val="21"/>
                <w:highlight w:val="none"/>
              </w:rPr>
              <w:t>0.0</w:t>
            </w:r>
            <w:r>
              <w:rPr>
                <w:rFonts w:hint="eastAsia" w:ascii="Times New Roman" w:hAnsi="Times New Roman" w:cs="Times New Roman"/>
                <w:b w:val="0"/>
                <w:bCs/>
                <w:color w:val="000000"/>
                <w:sz w:val="21"/>
                <w:szCs w:val="21"/>
                <w:highlight w:val="none"/>
                <w:lang w:val="en-US" w:eastAsia="zh-CN"/>
              </w:rPr>
              <w:t>75</w:t>
            </w:r>
            <w:r>
              <w:rPr>
                <w:rFonts w:hint="eastAsia" w:cs="Times New Roman"/>
                <w:b w:val="0"/>
                <w:bCs/>
                <w:color w:val="000000"/>
                <w:sz w:val="21"/>
                <w:szCs w:val="21"/>
                <w:highlight w:val="none"/>
                <w:lang w:val="en-US" w:eastAsia="zh-CN"/>
              </w:rPr>
              <w:t>×10</w:t>
            </w:r>
            <w:r>
              <w:rPr>
                <w:rFonts w:hint="eastAsia" w:cs="Times New Roman"/>
                <w:b w:val="0"/>
                <w:bCs/>
                <w:color w:val="000000"/>
                <w:sz w:val="21"/>
                <w:szCs w:val="21"/>
                <w:highlight w:val="none"/>
                <w:vertAlign w:val="superscript"/>
                <w:lang w:val="en-US" w:eastAsia="zh-CN"/>
              </w:rPr>
              <w:t>-6</w:t>
            </w:r>
          </w:p>
        </w:tc>
      </w:tr>
      <w:tr w14:paraId="7DE797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6E0AA8DF">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113" w:type="pct"/>
            <w:shd w:val="clear" w:color="auto" w:fill="auto"/>
            <w:noWrap w:val="0"/>
            <w:vAlign w:val="center"/>
          </w:tcPr>
          <w:p w14:paraId="53951D7F">
            <w:pPr>
              <w:snapToGrid w:val="0"/>
              <w:spacing w:line="240" w:lineRule="auto"/>
              <w:jc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乙苯</w:t>
            </w:r>
          </w:p>
        </w:tc>
        <w:tc>
          <w:tcPr>
            <w:tcW w:w="539" w:type="pct"/>
            <w:noWrap w:val="0"/>
            <w:vAlign w:val="center"/>
          </w:tcPr>
          <w:p w14:paraId="1B5A048A">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46DD82F4">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79E91DC8">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0AB47C02">
            <w:pPr>
              <w:jc w:val="center"/>
              <w:rPr>
                <w:rFonts w:hint="eastAsia" w:ascii="Times New Roman" w:hAnsi="Times New Roman" w:eastAsia="宋体" w:cs="Times New Roman"/>
                <w:b w:val="0"/>
                <w:bCs/>
                <w:color w:val="000000"/>
                <w:sz w:val="21"/>
                <w:szCs w:val="21"/>
                <w:highlight w:val="none"/>
                <w:lang w:val="en-US" w:eastAsia="zh-CN"/>
              </w:rPr>
            </w:pPr>
            <w:r>
              <w:rPr>
                <w:rFonts w:hint="eastAsia" w:cs="Times New Roman"/>
                <w:b w:val="0"/>
                <w:bCs/>
                <w:color w:val="000000"/>
                <w:sz w:val="21"/>
                <w:szCs w:val="21"/>
                <w:highlight w:val="none"/>
                <w:lang w:val="en-US" w:eastAsia="zh-CN"/>
              </w:rPr>
              <w:t>0.039×10</w:t>
            </w:r>
            <w:r>
              <w:rPr>
                <w:rFonts w:hint="eastAsia" w:cs="Times New Roman"/>
                <w:b w:val="0"/>
                <w:bCs/>
                <w:color w:val="000000"/>
                <w:sz w:val="21"/>
                <w:szCs w:val="21"/>
                <w:highlight w:val="none"/>
                <w:vertAlign w:val="superscript"/>
                <w:lang w:val="en-US" w:eastAsia="zh-CN"/>
              </w:rPr>
              <w:t>-6</w:t>
            </w:r>
          </w:p>
        </w:tc>
        <w:tc>
          <w:tcPr>
            <w:tcW w:w="735" w:type="pct"/>
            <w:shd w:val="clear" w:color="auto" w:fill="auto"/>
            <w:noWrap w:val="0"/>
            <w:vAlign w:val="center"/>
          </w:tcPr>
          <w:p w14:paraId="77C7069E">
            <w:pPr>
              <w:jc w:val="center"/>
              <w:rPr>
                <w:rFonts w:hint="eastAsia" w:ascii="Times New Roman" w:hAnsi="Times New Roman" w:eastAsia="宋体" w:cs="Times New Roman"/>
                <w:b w:val="0"/>
                <w:bCs/>
                <w:color w:val="000000"/>
                <w:kern w:val="2"/>
                <w:sz w:val="21"/>
                <w:szCs w:val="21"/>
                <w:highlight w:val="none"/>
                <w:lang w:val="en-US" w:eastAsia="zh-CN" w:bidi="ar-SA"/>
              </w:rPr>
            </w:pPr>
            <w:r>
              <w:rPr>
                <w:rFonts w:hint="eastAsia" w:cs="Times New Roman"/>
                <w:b w:val="0"/>
                <w:bCs/>
                <w:color w:val="000000"/>
                <w:sz w:val="21"/>
                <w:szCs w:val="21"/>
                <w:highlight w:val="none"/>
                <w:lang w:val="en-US" w:eastAsia="zh-CN"/>
              </w:rPr>
              <w:t>0.039×10</w:t>
            </w:r>
            <w:r>
              <w:rPr>
                <w:rFonts w:hint="eastAsia" w:cs="Times New Roman"/>
                <w:b w:val="0"/>
                <w:bCs/>
                <w:color w:val="000000"/>
                <w:sz w:val="21"/>
                <w:szCs w:val="21"/>
                <w:highlight w:val="none"/>
                <w:vertAlign w:val="superscript"/>
                <w:lang w:val="en-US" w:eastAsia="zh-CN"/>
              </w:rPr>
              <w:t>-6</w:t>
            </w:r>
          </w:p>
        </w:tc>
        <w:tc>
          <w:tcPr>
            <w:tcW w:w="702" w:type="pct"/>
            <w:shd w:val="clear" w:color="auto" w:fill="auto"/>
            <w:noWrap w:val="0"/>
            <w:vAlign w:val="center"/>
          </w:tcPr>
          <w:p w14:paraId="24A13ED2">
            <w:pPr>
              <w:jc w:val="center"/>
              <w:rPr>
                <w:rFonts w:hint="eastAsia" w:ascii="Times New Roman" w:hAnsi="Times New Roman" w:eastAsia="宋体" w:cs="Times New Roman"/>
                <w:b w:val="0"/>
                <w:bCs/>
                <w:color w:val="000000"/>
                <w:kern w:val="2"/>
                <w:sz w:val="21"/>
                <w:szCs w:val="21"/>
                <w:highlight w:val="none"/>
                <w:lang w:val="en-US" w:eastAsia="zh-CN" w:bidi="ar-SA"/>
              </w:rPr>
            </w:pPr>
            <w:r>
              <w:rPr>
                <w:rFonts w:hint="eastAsia" w:cs="Times New Roman"/>
                <w:b w:val="0"/>
                <w:bCs/>
                <w:color w:val="000000"/>
                <w:sz w:val="21"/>
                <w:szCs w:val="21"/>
                <w:highlight w:val="none"/>
                <w:lang w:val="en-US" w:eastAsia="zh-CN"/>
              </w:rPr>
              <w:t>+0.039×10</w:t>
            </w:r>
            <w:r>
              <w:rPr>
                <w:rFonts w:hint="eastAsia" w:cs="Times New Roman"/>
                <w:b w:val="0"/>
                <w:bCs/>
                <w:color w:val="000000"/>
                <w:sz w:val="21"/>
                <w:szCs w:val="21"/>
                <w:highlight w:val="none"/>
                <w:vertAlign w:val="superscript"/>
                <w:lang w:val="en-US" w:eastAsia="zh-CN"/>
              </w:rPr>
              <w:t>-6</w:t>
            </w:r>
          </w:p>
        </w:tc>
      </w:tr>
      <w:tr w14:paraId="112425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0207F193">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113" w:type="pct"/>
            <w:shd w:val="clear" w:color="auto" w:fill="auto"/>
            <w:noWrap w:val="0"/>
            <w:vAlign w:val="center"/>
          </w:tcPr>
          <w:p w14:paraId="167CCCE5">
            <w:pPr>
              <w:snapToGrid w:val="0"/>
              <w:spacing w:line="240" w:lineRule="auto"/>
              <w:jc w:val="center"/>
              <w:rPr>
                <w:rFonts w:hint="eastAsia" w:ascii="Times New Roman" w:hAnsi="Times New Roman" w:eastAsia="宋体" w:cs="Times New Roman"/>
                <w:color w:val="000000"/>
                <w:kern w:val="0"/>
                <w:sz w:val="21"/>
                <w:szCs w:val="21"/>
                <w:highlight w:val="none"/>
                <w:lang w:val="en-US" w:eastAsia="zh-CN" w:bidi="ar"/>
              </w:rPr>
            </w:pPr>
            <w:r>
              <w:rPr>
                <w:rFonts w:hint="eastAsia" w:cs="Times New Roman"/>
                <w:color w:val="000000"/>
                <w:kern w:val="0"/>
                <w:sz w:val="21"/>
                <w:szCs w:val="21"/>
                <w:highlight w:val="none"/>
                <w:lang w:val="en-US" w:eastAsia="zh-CN" w:bidi="ar"/>
              </w:rPr>
              <w:t>苯乙烯</w:t>
            </w:r>
          </w:p>
        </w:tc>
        <w:tc>
          <w:tcPr>
            <w:tcW w:w="539" w:type="pct"/>
            <w:noWrap w:val="0"/>
            <w:vAlign w:val="center"/>
          </w:tcPr>
          <w:p w14:paraId="4EFFE115">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02571913">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29A5F069">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036E880F">
            <w:pPr>
              <w:jc w:val="center"/>
              <w:rPr>
                <w:rFonts w:hint="eastAsia" w:ascii="Times New Roman" w:hAnsi="Times New Roman" w:eastAsia="宋体" w:cs="Times New Roman"/>
                <w:b w:val="0"/>
                <w:bCs/>
                <w:color w:val="000000"/>
                <w:sz w:val="21"/>
                <w:szCs w:val="21"/>
                <w:highlight w:val="none"/>
                <w:lang w:val="en-US" w:eastAsia="zh-CN"/>
              </w:rPr>
            </w:pPr>
            <w:r>
              <w:rPr>
                <w:rFonts w:hint="eastAsia" w:cs="Times New Roman"/>
                <w:b w:val="0"/>
                <w:bCs/>
                <w:color w:val="000000"/>
                <w:sz w:val="21"/>
                <w:szCs w:val="21"/>
                <w:highlight w:val="none"/>
                <w:lang w:val="en-US" w:eastAsia="zh-CN"/>
              </w:rPr>
              <w:t>0.023×10</w:t>
            </w:r>
            <w:r>
              <w:rPr>
                <w:rFonts w:hint="eastAsia" w:cs="Times New Roman"/>
                <w:b w:val="0"/>
                <w:bCs/>
                <w:color w:val="000000"/>
                <w:sz w:val="21"/>
                <w:szCs w:val="21"/>
                <w:highlight w:val="none"/>
                <w:vertAlign w:val="superscript"/>
                <w:lang w:val="en-US" w:eastAsia="zh-CN"/>
              </w:rPr>
              <w:t>-6</w:t>
            </w:r>
          </w:p>
        </w:tc>
        <w:tc>
          <w:tcPr>
            <w:tcW w:w="735" w:type="pct"/>
            <w:shd w:val="clear" w:color="auto" w:fill="auto"/>
            <w:noWrap w:val="0"/>
            <w:vAlign w:val="center"/>
          </w:tcPr>
          <w:p w14:paraId="1F5A53BF">
            <w:pPr>
              <w:jc w:val="center"/>
              <w:rPr>
                <w:rFonts w:hint="eastAsia" w:ascii="Times New Roman" w:hAnsi="Times New Roman" w:eastAsia="宋体" w:cs="Times New Roman"/>
                <w:b w:val="0"/>
                <w:bCs/>
                <w:color w:val="000000"/>
                <w:kern w:val="2"/>
                <w:sz w:val="21"/>
                <w:szCs w:val="21"/>
                <w:highlight w:val="none"/>
                <w:lang w:val="en-US" w:eastAsia="zh-CN" w:bidi="ar-SA"/>
              </w:rPr>
            </w:pPr>
            <w:r>
              <w:rPr>
                <w:rFonts w:hint="eastAsia" w:cs="Times New Roman"/>
                <w:b w:val="0"/>
                <w:bCs/>
                <w:color w:val="000000"/>
                <w:sz w:val="21"/>
                <w:szCs w:val="21"/>
                <w:highlight w:val="none"/>
                <w:lang w:val="en-US" w:eastAsia="zh-CN"/>
              </w:rPr>
              <w:t>0.023×10</w:t>
            </w:r>
            <w:r>
              <w:rPr>
                <w:rFonts w:hint="eastAsia" w:cs="Times New Roman"/>
                <w:b w:val="0"/>
                <w:bCs/>
                <w:color w:val="000000"/>
                <w:sz w:val="21"/>
                <w:szCs w:val="21"/>
                <w:highlight w:val="none"/>
                <w:vertAlign w:val="superscript"/>
                <w:lang w:val="en-US" w:eastAsia="zh-CN"/>
              </w:rPr>
              <w:t>-6</w:t>
            </w:r>
          </w:p>
        </w:tc>
        <w:tc>
          <w:tcPr>
            <w:tcW w:w="702" w:type="pct"/>
            <w:shd w:val="clear" w:color="auto" w:fill="auto"/>
            <w:noWrap w:val="0"/>
            <w:vAlign w:val="center"/>
          </w:tcPr>
          <w:p w14:paraId="134E5EE6">
            <w:pPr>
              <w:jc w:val="center"/>
              <w:rPr>
                <w:rFonts w:hint="eastAsia" w:ascii="Times New Roman" w:hAnsi="Times New Roman" w:eastAsia="宋体" w:cs="Times New Roman"/>
                <w:b w:val="0"/>
                <w:bCs/>
                <w:color w:val="000000"/>
                <w:kern w:val="2"/>
                <w:sz w:val="21"/>
                <w:szCs w:val="21"/>
                <w:highlight w:val="none"/>
                <w:lang w:val="en-US" w:eastAsia="zh-CN" w:bidi="ar-SA"/>
              </w:rPr>
            </w:pPr>
            <w:r>
              <w:rPr>
                <w:rFonts w:hint="eastAsia" w:cs="Times New Roman"/>
                <w:b w:val="0"/>
                <w:bCs/>
                <w:color w:val="000000"/>
                <w:sz w:val="21"/>
                <w:szCs w:val="21"/>
                <w:highlight w:val="none"/>
                <w:lang w:val="en-US" w:eastAsia="zh-CN"/>
              </w:rPr>
              <w:t>+0.023×10</w:t>
            </w:r>
            <w:r>
              <w:rPr>
                <w:rFonts w:hint="eastAsia" w:cs="Times New Roman"/>
                <w:b w:val="0"/>
                <w:bCs/>
                <w:color w:val="000000"/>
                <w:sz w:val="21"/>
                <w:szCs w:val="21"/>
                <w:highlight w:val="none"/>
                <w:vertAlign w:val="superscript"/>
                <w:lang w:val="en-US" w:eastAsia="zh-CN"/>
              </w:rPr>
              <w:t>-6</w:t>
            </w:r>
          </w:p>
        </w:tc>
      </w:tr>
      <w:tr w14:paraId="0F87F7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restart"/>
            <w:noWrap w:val="0"/>
            <w:vAlign w:val="center"/>
          </w:tcPr>
          <w:p w14:paraId="21568618">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t>废水</w:t>
            </w:r>
          </w:p>
        </w:tc>
        <w:tc>
          <w:tcPr>
            <w:tcW w:w="1113" w:type="pct"/>
            <w:noWrap w:val="0"/>
            <w:vAlign w:val="center"/>
          </w:tcPr>
          <w:p w14:paraId="051891BC">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lang w:val="en-US" w:eastAsia="zh-CN" w:bidi="ar-SA"/>
                <w14:textFill>
                  <w14:solidFill>
                    <w14:schemeClr w14:val="tx1"/>
                  </w14:solidFill>
                </w14:textFill>
              </w:rPr>
            </w:pPr>
            <w: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t>COD</w:t>
            </w:r>
          </w:p>
        </w:tc>
        <w:tc>
          <w:tcPr>
            <w:tcW w:w="539" w:type="pct"/>
            <w:noWrap w:val="0"/>
            <w:vAlign w:val="center"/>
          </w:tcPr>
          <w:p w14:paraId="226366D7">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365EA5BA">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5003BAB2">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27C6A941">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0.124</w:t>
            </w:r>
          </w:p>
        </w:tc>
        <w:tc>
          <w:tcPr>
            <w:tcW w:w="735" w:type="pct"/>
            <w:shd w:val="clear" w:color="auto" w:fill="auto"/>
            <w:noWrap w:val="0"/>
            <w:vAlign w:val="center"/>
          </w:tcPr>
          <w:p w14:paraId="6820D0B2">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0.124</w:t>
            </w:r>
          </w:p>
        </w:tc>
        <w:tc>
          <w:tcPr>
            <w:tcW w:w="702" w:type="pct"/>
            <w:shd w:val="clear" w:color="auto" w:fill="auto"/>
            <w:noWrap w:val="0"/>
            <w:vAlign w:val="center"/>
          </w:tcPr>
          <w:p w14:paraId="5E1910EB">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+0.124</w:t>
            </w:r>
          </w:p>
        </w:tc>
      </w:tr>
      <w:tr w14:paraId="25EC67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57DCF91A">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113" w:type="pct"/>
            <w:noWrap w:val="0"/>
            <w:vAlign w:val="center"/>
          </w:tcPr>
          <w:p w14:paraId="6C41EC0E">
            <w:pPr>
              <w:widowControl/>
              <w:spacing w:line="240" w:lineRule="auto"/>
              <w:jc w:val="center"/>
              <w:rPr>
                <w:rFonts w:hint="default" w:ascii="Times New Roman" w:hAnsi="Times New Roman" w:cs="Times New Roman"/>
                <w:snapToGrid w:val="0"/>
                <w:color w:val="000000" w:themeColor="text1"/>
                <w:kern w:val="21"/>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BOD</w:t>
            </w:r>
            <w:r>
              <w:rPr>
                <w:rFonts w:hint="default" w:ascii="Times New Roman" w:hAnsi="Times New Roman" w:cs="Times New Roman"/>
                <w:color w:val="000000" w:themeColor="text1"/>
                <w:sz w:val="21"/>
                <w:szCs w:val="21"/>
                <w:highlight w:val="none"/>
                <w:vertAlign w:val="subscript"/>
                <w14:textFill>
                  <w14:solidFill>
                    <w14:schemeClr w14:val="tx1"/>
                  </w14:solidFill>
                </w14:textFill>
              </w:rPr>
              <w:t>5</w:t>
            </w:r>
          </w:p>
        </w:tc>
        <w:tc>
          <w:tcPr>
            <w:tcW w:w="539" w:type="pct"/>
            <w:noWrap w:val="0"/>
            <w:vAlign w:val="center"/>
          </w:tcPr>
          <w:p w14:paraId="0E09C4EB">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0AF8C9F8">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64ACA324">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78419E78">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0.025</w:t>
            </w:r>
          </w:p>
        </w:tc>
        <w:tc>
          <w:tcPr>
            <w:tcW w:w="735" w:type="pct"/>
            <w:shd w:val="clear" w:color="auto" w:fill="auto"/>
            <w:noWrap w:val="0"/>
            <w:vAlign w:val="center"/>
          </w:tcPr>
          <w:p w14:paraId="11BAE3BB">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0.025</w:t>
            </w:r>
          </w:p>
        </w:tc>
        <w:tc>
          <w:tcPr>
            <w:tcW w:w="702" w:type="pct"/>
            <w:shd w:val="clear" w:color="auto" w:fill="auto"/>
            <w:noWrap w:val="0"/>
            <w:vAlign w:val="center"/>
          </w:tcPr>
          <w:p w14:paraId="5CA00FCA">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+0.025</w:t>
            </w:r>
          </w:p>
        </w:tc>
      </w:tr>
      <w:tr w14:paraId="791208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464E20C9">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113" w:type="pct"/>
            <w:noWrap w:val="0"/>
            <w:vAlign w:val="center"/>
          </w:tcPr>
          <w:p w14:paraId="26909596">
            <w:pPr>
              <w:widowControl/>
              <w:spacing w:line="240" w:lineRule="auto"/>
              <w:jc w:val="center"/>
              <w:rPr>
                <w:rFonts w:hint="default" w:ascii="Times New Roman" w:hAnsi="Times New Roman" w:cs="Times New Roman"/>
                <w:snapToGrid w:val="0"/>
                <w:color w:val="000000" w:themeColor="text1"/>
                <w:kern w:val="21"/>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SS</w:t>
            </w:r>
          </w:p>
        </w:tc>
        <w:tc>
          <w:tcPr>
            <w:tcW w:w="539" w:type="pct"/>
            <w:noWrap w:val="0"/>
            <w:vAlign w:val="center"/>
          </w:tcPr>
          <w:p w14:paraId="475D4A98">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582F5A00">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37FD4C97">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1D4CF677">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0.025</w:t>
            </w:r>
          </w:p>
        </w:tc>
        <w:tc>
          <w:tcPr>
            <w:tcW w:w="735" w:type="pct"/>
            <w:shd w:val="clear" w:color="auto" w:fill="auto"/>
            <w:noWrap w:val="0"/>
            <w:vAlign w:val="center"/>
          </w:tcPr>
          <w:p w14:paraId="5391BDDA">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0.025</w:t>
            </w:r>
          </w:p>
        </w:tc>
        <w:tc>
          <w:tcPr>
            <w:tcW w:w="702" w:type="pct"/>
            <w:shd w:val="clear" w:color="auto" w:fill="auto"/>
            <w:noWrap w:val="0"/>
            <w:vAlign w:val="center"/>
          </w:tcPr>
          <w:p w14:paraId="76924498">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+0.025</w:t>
            </w:r>
          </w:p>
        </w:tc>
      </w:tr>
      <w:tr w14:paraId="68232C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73D4D0C3">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113" w:type="pct"/>
            <w:noWrap w:val="0"/>
            <w:vAlign w:val="center"/>
          </w:tcPr>
          <w:p w14:paraId="671DC1EC">
            <w:pPr>
              <w:widowControl/>
              <w:spacing w:line="240" w:lineRule="auto"/>
              <w:jc w:val="center"/>
              <w:rPr>
                <w:rFonts w:hint="default" w:ascii="Times New Roman" w:hAnsi="Times New Roman" w:cs="Times New Roman"/>
                <w:snapToGrid w:val="0"/>
                <w:color w:val="000000" w:themeColor="text1"/>
                <w:kern w:val="21"/>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NH</w:t>
            </w:r>
            <w:r>
              <w:rPr>
                <w:rFonts w:hint="default" w:ascii="Times New Roman" w:hAnsi="Times New Roman" w:cs="Times New Roman"/>
                <w:color w:val="000000" w:themeColor="text1"/>
                <w:sz w:val="21"/>
                <w:szCs w:val="21"/>
                <w:highlight w:val="none"/>
                <w:vertAlign w:val="subscript"/>
                <w14:textFill>
                  <w14:solidFill>
                    <w14:schemeClr w14:val="tx1"/>
                  </w14:solidFill>
                </w14:textFill>
              </w:rPr>
              <w:t>3</w:t>
            </w:r>
            <w:r>
              <w:rPr>
                <w:rFonts w:hint="default" w:ascii="Times New Roman" w:hAnsi="Times New Roman" w:cs="Times New Roman"/>
                <w:color w:val="000000" w:themeColor="text1"/>
                <w:sz w:val="21"/>
                <w:szCs w:val="21"/>
                <w:highlight w:val="none"/>
                <w14:textFill>
                  <w14:solidFill>
                    <w14:schemeClr w14:val="tx1"/>
                  </w14:solidFill>
                </w14:textFill>
              </w:rPr>
              <w:t>-N</w:t>
            </w:r>
          </w:p>
        </w:tc>
        <w:tc>
          <w:tcPr>
            <w:tcW w:w="539" w:type="pct"/>
            <w:noWrap w:val="0"/>
            <w:vAlign w:val="center"/>
          </w:tcPr>
          <w:p w14:paraId="6CF315E4">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5274B9C3">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3E4EE2F2">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18E7D637">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0.012</w:t>
            </w:r>
          </w:p>
        </w:tc>
        <w:tc>
          <w:tcPr>
            <w:tcW w:w="735" w:type="pct"/>
            <w:shd w:val="clear" w:color="auto" w:fill="auto"/>
            <w:noWrap w:val="0"/>
            <w:vAlign w:val="center"/>
          </w:tcPr>
          <w:p w14:paraId="13B1E341">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0.012</w:t>
            </w:r>
          </w:p>
        </w:tc>
        <w:tc>
          <w:tcPr>
            <w:tcW w:w="702" w:type="pct"/>
            <w:shd w:val="clear" w:color="auto" w:fill="auto"/>
            <w:noWrap w:val="0"/>
            <w:vAlign w:val="center"/>
          </w:tcPr>
          <w:p w14:paraId="7F661C46">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+0.012</w:t>
            </w:r>
          </w:p>
        </w:tc>
      </w:tr>
      <w:tr w14:paraId="16F562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restart"/>
            <w:noWrap w:val="0"/>
            <w:vAlign w:val="center"/>
          </w:tcPr>
          <w:p w14:paraId="09DA581D">
            <w:pPr>
              <w:pStyle w:val="51"/>
              <w:spacing w:beforeLines="0" w:afterLines="0" w:line="240" w:lineRule="auto"/>
              <w:rPr>
                <w:rFonts w:hint="default" w:ascii="Times New Roman" w:hAnsi="Times New Roman" w:eastAsia="宋体"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一般固废</w:t>
            </w:r>
          </w:p>
        </w:tc>
        <w:tc>
          <w:tcPr>
            <w:tcW w:w="1113" w:type="pct"/>
            <w:shd w:val="clear" w:color="auto" w:fill="auto"/>
            <w:noWrap w:val="0"/>
            <w:vAlign w:val="center"/>
          </w:tcPr>
          <w:p w14:paraId="64A482A0">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eastAsia="宋体" w:cs="Times New Roman"/>
                <w:color w:val="000000"/>
                <w:sz w:val="21"/>
                <w:szCs w:val="21"/>
                <w:highlight w:val="none"/>
                <w:lang w:val="en-US" w:eastAsia="zh-CN"/>
              </w:rPr>
              <w:t>锡焊焊渣</w:t>
            </w:r>
          </w:p>
        </w:tc>
        <w:tc>
          <w:tcPr>
            <w:tcW w:w="539" w:type="pct"/>
            <w:noWrap w:val="0"/>
            <w:vAlign w:val="center"/>
          </w:tcPr>
          <w:p w14:paraId="0BEAFED9">
            <w:pPr>
              <w:spacing w:beforeLines="0" w:afterLines="0" w:line="240" w:lineRule="auto"/>
              <w:jc w:val="center"/>
              <w:rPr>
                <w:rFonts w:hint="default" w:ascii="Times New Roman" w:hAnsi="Times New Roman" w:cs="Times New Roman"/>
                <w:color w:val="000000" w:themeColor="text1"/>
                <w:kern w:val="2"/>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65C25CC8">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123FE25D">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shd w:val="clear" w:color="auto" w:fill="auto"/>
            <w:noWrap w:val="0"/>
            <w:vAlign w:val="center"/>
          </w:tcPr>
          <w:p w14:paraId="01DBF9EC">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eastAsia="宋体" w:cs="Times New Roman"/>
                <w:color w:val="000000"/>
                <w:sz w:val="21"/>
                <w:szCs w:val="21"/>
                <w:highlight w:val="none"/>
                <w:lang w:val="en-US" w:eastAsia="zh-CN"/>
              </w:rPr>
              <w:t>1.602</w:t>
            </w:r>
          </w:p>
        </w:tc>
        <w:tc>
          <w:tcPr>
            <w:tcW w:w="735" w:type="pct"/>
            <w:shd w:val="clear" w:color="auto" w:fill="auto"/>
            <w:noWrap w:val="0"/>
            <w:vAlign w:val="center"/>
          </w:tcPr>
          <w:p w14:paraId="79C38DE6">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eastAsia="宋体" w:cs="Times New Roman"/>
                <w:color w:val="000000"/>
                <w:sz w:val="21"/>
                <w:szCs w:val="21"/>
                <w:highlight w:val="none"/>
                <w:lang w:val="en-US" w:eastAsia="zh-CN"/>
              </w:rPr>
              <w:t>1.602</w:t>
            </w:r>
          </w:p>
        </w:tc>
        <w:tc>
          <w:tcPr>
            <w:tcW w:w="702" w:type="pct"/>
            <w:shd w:val="clear" w:color="auto" w:fill="auto"/>
            <w:noWrap w:val="0"/>
            <w:vAlign w:val="center"/>
          </w:tcPr>
          <w:p w14:paraId="469AC5BB">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eastAsia" w:eastAsia="宋体" w:cs="Times New Roman"/>
                <w:color w:val="000000"/>
                <w:sz w:val="21"/>
                <w:szCs w:val="21"/>
                <w:highlight w:val="none"/>
                <w:lang w:val="en-US" w:eastAsia="zh-CN"/>
              </w:rPr>
              <w:t>+</w:t>
            </w:r>
            <w:r>
              <w:rPr>
                <w:rFonts w:hint="default" w:eastAsia="宋体" w:cs="Times New Roman"/>
                <w:color w:val="000000"/>
                <w:sz w:val="21"/>
                <w:szCs w:val="21"/>
                <w:highlight w:val="none"/>
                <w:lang w:val="en-US" w:eastAsia="zh-CN"/>
              </w:rPr>
              <w:t>1.602</w:t>
            </w:r>
          </w:p>
        </w:tc>
      </w:tr>
      <w:tr w14:paraId="77B9CA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0AF1E093">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113" w:type="pct"/>
            <w:shd w:val="clear" w:color="auto" w:fill="auto"/>
            <w:noWrap w:val="0"/>
            <w:vAlign w:val="center"/>
          </w:tcPr>
          <w:p w14:paraId="7273F144">
            <w:pPr>
              <w:pStyle w:val="62"/>
              <w:spacing w:line="240" w:lineRule="auto"/>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不合格品（显示屏模组器件）</w:t>
            </w:r>
          </w:p>
        </w:tc>
        <w:tc>
          <w:tcPr>
            <w:tcW w:w="539" w:type="pct"/>
            <w:noWrap w:val="0"/>
            <w:vAlign w:val="center"/>
          </w:tcPr>
          <w:p w14:paraId="09E484D7">
            <w:pPr>
              <w:spacing w:beforeLines="0" w:afterLines="0" w:line="240" w:lineRule="auto"/>
              <w:jc w:val="center"/>
              <w:rPr>
                <w:rFonts w:hint="default" w:ascii="Times New Roman" w:hAnsi="Times New Roman" w:cs="Times New Roman"/>
                <w:color w:val="000000" w:themeColor="text1"/>
                <w:kern w:val="2"/>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4B9DE3D9">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2A8510ED">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shd w:val="clear" w:color="auto" w:fill="auto"/>
            <w:noWrap w:val="0"/>
            <w:vAlign w:val="center"/>
          </w:tcPr>
          <w:p w14:paraId="1F387B0A">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600个/a</w:t>
            </w:r>
          </w:p>
        </w:tc>
        <w:tc>
          <w:tcPr>
            <w:tcW w:w="735" w:type="pct"/>
            <w:shd w:val="clear" w:color="auto" w:fill="auto"/>
            <w:noWrap w:val="0"/>
            <w:vAlign w:val="center"/>
          </w:tcPr>
          <w:p w14:paraId="319D2BA7">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600个/a</w:t>
            </w:r>
          </w:p>
        </w:tc>
        <w:tc>
          <w:tcPr>
            <w:tcW w:w="702" w:type="pct"/>
            <w:shd w:val="clear" w:color="auto" w:fill="auto"/>
            <w:noWrap w:val="0"/>
            <w:vAlign w:val="center"/>
          </w:tcPr>
          <w:p w14:paraId="23FC4854">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w:t>
            </w:r>
            <w:r>
              <w:rPr>
                <w:rFonts w:hint="default" w:ascii="Times New Roman" w:hAnsi="Times New Roman" w:eastAsia="宋体" w:cs="Times New Roman"/>
                <w:color w:val="000000"/>
                <w:sz w:val="21"/>
                <w:szCs w:val="21"/>
                <w:highlight w:val="none"/>
                <w:lang w:val="en-US" w:eastAsia="zh-CN"/>
              </w:rPr>
              <w:t>600个/a</w:t>
            </w:r>
          </w:p>
        </w:tc>
      </w:tr>
      <w:tr w14:paraId="719A49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42903B29">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113" w:type="pct"/>
            <w:shd w:val="clear" w:color="auto" w:fill="auto"/>
            <w:noWrap w:val="0"/>
            <w:vAlign w:val="center"/>
          </w:tcPr>
          <w:p w14:paraId="560CA543">
            <w:pPr>
              <w:pStyle w:val="62"/>
              <w:spacing w:line="240" w:lineRule="auto"/>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废边角料</w:t>
            </w:r>
          </w:p>
        </w:tc>
        <w:tc>
          <w:tcPr>
            <w:tcW w:w="539" w:type="pct"/>
            <w:noWrap w:val="0"/>
            <w:vAlign w:val="center"/>
          </w:tcPr>
          <w:p w14:paraId="7EE5B96F">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391" w:type="pct"/>
            <w:noWrap w:val="0"/>
            <w:vAlign w:val="center"/>
          </w:tcPr>
          <w:p w14:paraId="2E15D66F">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554" w:type="pct"/>
            <w:noWrap w:val="0"/>
            <w:vAlign w:val="center"/>
          </w:tcPr>
          <w:p w14:paraId="13A49D24">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694" w:type="pct"/>
            <w:shd w:val="clear" w:color="auto" w:fill="auto"/>
            <w:noWrap w:val="0"/>
            <w:vAlign w:val="center"/>
          </w:tcPr>
          <w:p w14:paraId="2A67BF32">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0.054</w:t>
            </w:r>
          </w:p>
        </w:tc>
        <w:tc>
          <w:tcPr>
            <w:tcW w:w="735" w:type="pct"/>
            <w:shd w:val="clear" w:color="auto" w:fill="auto"/>
            <w:noWrap w:val="0"/>
            <w:vAlign w:val="center"/>
          </w:tcPr>
          <w:p w14:paraId="6A81D108">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0.054</w:t>
            </w:r>
          </w:p>
        </w:tc>
        <w:tc>
          <w:tcPr>
            <w:tcW w:w="702" w:type="pct"/>
            <w:shd w:val="clear" w:color="auto" w:fill="auto"/>
            <w:noWrap w:val="0"/>
            <w:vAlign w:val="center"/>
          </w:tcPr>
          <w:p w14:paraId="394CA11A">
            <w:pPr>
              <w:pStyle w:val="62"/>
              <w:spacing w:line="240" w:lineRule="auto"/>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w:t>
            </w:r>
            <w:r>
              <w:rPr>
                <w:rFonts w:hint="default" w:ascii="Times New Roman" w:hAnsi="Times New Roman" w:eastAsia="宋体" w:cs="Times New Roman"/>
                <w:color w:val="000000"/>
                <w:sz w:val="21"/>
                <w:szCs w:val="21"/>
                <w:highlight w:val="none"/>
                <w:lang w:val="en-US" w:eastAsia="zh-CN"/>
              </w:rPr>
              <w:t>0.054</w:t>
            </w:r>
          </w:p>
        </w:tc>
      </w:tr>
      <w:tr w14:paraId="63D068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6BBB5C97">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113" w:type="pct"/>
            <w:shd w:val="clear" w:color="auto" w:fill="auto"/>
            <w:noWrap w:val="0"/>
            <w:vAlign w:val="center"/>
          </w:tcPr>
          <w:p w14:paraId="68859462">
            <w:pPr>
              <w:pStyle w:val="62"/>
              <w:spacing w:line="240" w:lineRule="auto"/>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default" w:eastAsia="宋体" w:cs="Times New Roman"/>
                <w:color w:val="000000"/>
                <w:sz w:val="21"/>
                <w:szCs w:val="21"/>
                <w:highlight w:val="none"/>
                <w:lang w:val="en-US" w:eastAsia="zh-CN"/>
              </w:rPr>
              <w:t>废包装箱</w:t>
            </w:r>
          </w:p>
        </w:tc>
        <w:tc>
          <w:tcPr>
            <w:tcW w:w="539" w:type="pct"/>
            <w:noWrap w:val="0"/>
            <w:vAlign w:val="center"/>
          </w:tcPr>
          <w:p w14:paraId="015063C9">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391" w:type="pct"/>
            <w:noWrap w:val="0"/>
            <w:vAlign w:val="center"/>
          </w:tcPr>
          <w:p w14:paraId="1DFEEE76">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554" w:type="pct"/>
            <w:noWrap w:val="0"/>
            <w:vAlign w:val="center"/>
          </w:tcPr>
          <w:p w14:paraId="5E0A81C3">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694" w:type="pct"/>
            <w:shd w:val="clear" w:color="auto" w:fill="auto"/>
            <w:noWrap w:val="0"/>
            <w:vAlign w:val="center"/>
          </w:tcPr>
          <w:p w14:paraId="7538AF0C">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2</w:t>
            </w:r>
          </w:p>
        </w:tc>
        <w:tc>
          <w:tcPr>
            <w:tcW w:w="735" w:type="pct"/>
            <w:shd w:val="clear" w:color="auto" w:fill="auto"/>
            <w:noWrap w:val="0"/>
            <w:vAlign w:val="center"/>
          </w:tcPr>
          <w:p w14:paraId="20DCB013">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2</w:t>
            </w:r>
          </w:p>
        </w:tc>
        <w:tc>
          <w:tcPr>
            <w:tcW w:w="702" w:type="pct"/>
            <w:shd w:val="clear" w:color="auto" w:fill="auto"/>
            <w:noWrap w:val="0"/>
            <w:vAlign w:val="center"/>
          </w:tcPr>
          <w:p w14:paraId="430483B3">
            <w:pPr>
              <w:pStyle w:val="62"/>
              <w:spacing w:line="240" w:lineRule="auto"/>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+2</w:t>
            </w:r>
          </w:p>
        </w:tc>
      </w:tr>
      <w:tr w14:paraId="7608FE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restart"/>
            <w:noWrap w:val="0"/>
            <w:vAlign w:val="center"/>
          </w:tcPr>
          <w:p w14:paraId="6B1F1FE1">
            <w:pPr>
              <w:pStyle w:val="51"/>
              <w:spacing w:beforeLines="0" w:afterLines="0" w:line="240" w:lineRule="auto"/>
              <w:rPr>
                <w:rFonts w:hint="default" w:ascii="Times New Roman" w:hAnsi="Times New Roman" w:eastAsia="宋体"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危险废物</w:t>
            </w:r>
          </w:p>
        </w:tc>
        <w:tc>
          <w:tcPr>
            <w:tcW w:w="1113" w:type="pct"/>
            <w:shd w:val="clear" w:color="auto" w:fill="auto"/>
            <w:noWrap w:val="0"/>
            <w:vAlign w:val="center"/>
          </w:tcPr>
          <w:p w14:paraId="5CE1720D">
            <w:pPr>
              <w:pStyle w:val="62"/>
              <w:spacing w:line="240" w:lineRule="auto"/>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default" w:eastAsia="宋体" w:cs="Times New Roman"/>
                <w:color w:val="000000"/>
                <w:sz w:val="21"/>
                <w:szCs w:val="21"/>
                <w:highlight w:val="none"/>
                <w:lang w:val="en-US" w:eastAsia="zh-CN"/>
              </w:rPr>
              <w:t>废包装材料</w:t>
            </w:r>
          </w:p>
        </w:tc>
        <w:tc>
          <w:tcPr>
            <w:tcW w:w="539" w:type="pct"/>
            <w:noWrap w:val="0"/>
            <w:vAlign w:val="center"/>
          </w:tcPr>
          <w:p w14:paraId="26168D6D">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343883A9">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5892D257">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shd w:val="clear" w:color="auto" w:fill="auto"/>
            <w:noWrap w:val="0"/>
            <w:vAlign w:val="center"/>
          </w:tcPr>
          <w:p w14:paraId="4F70A6DA">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eastAsia="宋体" w:cs="Times New Roman"/>
                <w:color w:val="000000"/>
                <w:sz w:val="21"/>
                <w:szCs w:val="21"/>
                <w:highlight w:val="none"/>
                <w:lang w:val="en-US" w:eastAsia="zh-CN"/>
              </w:rPr>
              <w:t>9.616</w:t>
            </w:r>
          </w:p>
        </w:tc>
        <w:tc>
          <w:tcPr>
            <w:tcW w:w="735" w:type="pct"/>
            <w:shd w:val="clear" w:color="auto" w:fill="auto"/>
            <w:noWrap w:val="0"/>
            <w:vAlign w:val="center"/>
          </w:tcPr>
          <w:p w14:paraId="4B6DB8F3">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eastAsia="宋体" w:cs="Times New Roman"/>
                <w:color w:val="000000"/>
                <w:sz w:val="21"/>
                <w:szCs w:val="21"/>
                <w:highlight w:val="none"/>
                <w:lang w:val="en-US" w:eastAsia="zh-CN"/>
              </w:rPr>
              <w:t>9.616</w:t>
            </w:r>
          </w:p>
        </w:tc>
        <w:tc>
          <w:tcPr>
            <w:tcW w:w="702" w:type="pct"/>
            <w:shd w:val="clear" w:color="auto" w:fill="auto"/>
            <w:noWrap w:val="0"/>
            <w:vAlign w:val="center"/>
          </w:tcPr>
          <w:p w14:paraId="7AE6A26C">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eastAsia" w:eastAsia="宋体" w:cs="Times New Roman"/>
                <w:color w:val="000000"/>
                <w:sz w:val="21"/>
                <w:szCs w:val="21"/>
                <w:highlight w:val="none"/>
                <w:lang w:val="en-US" w:eastAsia="zh-CN"/>
              </w:rPr>
              <w:t>+</w:t>
            </w:r>
            <w:r>
              <w:rPr>
                <w:rFonts w:hint="default" w:eastAsia="宋体" w:cs="Times New Roman"/>
                <w:color w:val="000000"/>
                <w:sz w:val="21"/>
                <w:szCs w:val="21"/>
                <w:highlight w:val="none"/>
                <w:lang w:val="en-US" w:eastAsia="zh-CN"/>
              </w:rPr>
              <w:t>9.616</w:t>
            </w:r>
          </w:p>
        </w:tc>
      </w:tr>
      <w:tr w14:paraId="2F5A07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5BD8FE99">
            <w:pPr>
              <w:pStyle w:val="51"/>
              <w:spacing w:beforeLines="0" w:afterLines="0" w:line="240" w:lineRule="auto"/>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1113" w:type="pct"/>
            <w:shd w:val="clear" w:color="auto" w:fill="auto"/>
            <w:noWrap w:val="0"/>
            <w:vAlign w:val="center"/>
          </w:tcPr>
          <w:p w14:paraId="383E597E">
            <w:pPr>
              <w:pStyle w:val="62"/>
              <w:spacing w:line="240" w:lineRule="auto"/>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擦拭废纸</w:t>
            </w:r>
          </w:p>
        </w:tc>
        <w:tc>
          <w:tcPr>
            <w:tcW w:w="539" w:type="pct"/>
            <w:noWrap w:val="0"/>
            <w:vAlign w:val="center"/>
          </w:tcPr>
          <w:p w14:paraId="278B468D">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391" w:type="pct"/>
            <w:noWrap w:val="0"/>
            <w:vAlign w:val="center"/>
          </w:tcPr>
          <w:p w14:paraId="208E794B">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554" w:type="pct"/>
            <w:noWrap w:val="0"/>
            <w:vAlign w:val="center"/>
          </w:tcPr>
          <w:p w14:paraId="499C31DC">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694" w:type="pct"/>
            <w:shd w:val="clear" w:color="auto" w:fill="auto"/>
            <w:noWrap w:val="0"/>
            <w:vAlign w:val="center"/>
          </w:tcPr>
          <w:p w14:paraId="778B7335">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1</w:t>
            </w:r>
          </w:p>
        </w:tc>
        <w:tc>
          <w:tcPr>
            <w:tcW w:w="735" w:type="pct"/>
            <w:shd w:val="clear" w:color="auto" w:fill="auto"/>
            <w:noWrap w:val="0"/>
            <w:vAlign w:val="center"/>
          </w:tcPr>
          <w:p w14:paraId="4236A0AA">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1</w:t>
            </w:r>
          </w:p>
        </w:tc>
        <w:tc>
          <w:tcPr>
            <w:tcW w:w="702" w:type="pct"/>
            <w:shd w:val="clear" w:color="auto" w:fill="auto"/>
            <w:noWrap w:val="0"/>
            <w:vAlign w:val="center"/>
          </w:tcPr>
          <w:p w14:paraId="091839DA">
            <w:pPr>
              <w:pStyle w:val="62"/>
              <w:spacing w:line="240" w:lineRule="auto"/>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w:t>
            </w:r>
            <w:r>
              <w:rPr>
                <w:rFonts w:hint="default" w:ascii="Times New Roman" w:hAnsi="Times New Roman" w:eastAsia="宋体" w:cs="Times New Roman"/>
                <w:color w:val="000000"/>
                <w:sz w:val="21"/>
                <w:szCs w:val="21"/>
                <w:highlight w:val="none"/>
                <w:lang w:val="en-US" w:eastAsia="zh-CN"/>
              </w:rPr>
              <w:t>1</w:t>
            </w:r>
          </w:p>
        </w:tc>
      </w:tr>
      <w:tr w14:paraId="4569B2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3AA5ACE1">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113" w:type="pct"/>
            <w:shd w:val="clear" w:color="auto" w:fill="auto"/>
            <w:noWrap w:val="0"/>
            <w:vAlign w:val="center"/>
          </w:tcPr>
          <w:p w14:paraId="639231E0">
            <w:pPr>
              <w:pStyle w:val="62"/>
              <w:spacing w:line="240" w:lineRule="auto"/>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不合格品（LED显示屏模组）</w:t>
            </w:r>
          </w:p>
        </w:tc>
        <w:tc>
          <w:tcPr>
            <w:tcW w:w="539" w:type="pct"/>
            <w:noWrap w:val="0"/>
            <w:vAlign w:val="center"/>
          </w:tcPr>
          <w:p w14:paraId="34822801">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03A5FF49">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66DBE4FC">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shd w:val="clear" w:color="auto" w:fill="auto"/>
            <w:noWrap w:val="0"/>
            <w:vAlign w:val="center"/>
          </w:tcPr>
          <w:p w14:paraId="29DFD042">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2100件/a</w:t>
            </w:r>
          </w:p>
        </w:tc>
        <w:tc>
          <w:tcPr>
            <w:tcW w:w="735" w:type="pct"/>
            <w:shd w:val="clear" w:color="auto" w:fill="auto"/>
            <w:noWrap w:val="0"/>
            <w:vAlign w:val="center"/>
          </w:tcPr>
          <w:p w14:paraId="21DC399C">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2100件/a</w:t>
            </w:r>
          </w:p>
        </w:tc>
        <w:tc>
          <w:tcPr>
            <w:tcW w:w="702" w:type="pct"/>
            <w:shd w:val="clear" w:color="auto" w:fill="auto"/>
            <w:noWrap w:val="0"/>
            <w:vAlign w:val="center"/>
          </w:tcPr>
          <w:p w14:paraId="4E917F81">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w:t>
            </w:r>
            <w:r>
              <w:rPr>
                <w:rFonts w:hint="default" w:ascii="Times New Roman" w:hAnsi="Times New Roman" w:eastAsia="宋体" w:cs="Times New Roman"/>
                <w:color w:val="000000"/>
                <w:sz w:val="21"/>
                <w:szCs w:val="21"/>
                <w:highlight w:val="none"/>
                <w:lang w:val="en-US" w:eastAsia="zh-CN"/>
              </w:rPr>
              <w:t>2100件/a</w:t>
            </w:r>
          </w:p>
        </w:tc>
      </w:tr>
      <w:tr w14:paraId="56C74A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55A4F392">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113" w:type="pct"/>
            <w:shd w:val="clear" w:color="auto" w:fill="auto"/>
            <w:noWrap w:val="0"/>
            <w:vAlign w:val="center"/>
          </w:tcPr>
          <w:p w14:paraId="7CB52EEB">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废机油及油桶</w:t>
            </w:r>
          </w:p>
        </w:tc>
        <w:tc>
          <w:tcPr>
            <w:tcW w:w="539" w:type="pct"/>
            <w:shd w:val="clear" w:color="auto" w:fill="auto"/>
            <w:noWrap w:val="0"/>
            <w:vAlign w:val="center"/>
          </w:tcPr>
          <w:p w14:paraId="605E2527">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shd w:val="clear" w:color="auto" w:fill="auto"/>
            <w:noWrap w:val="0"/>
            <w:vAlign w:val="center"/>
          </w:tcPr>
          <w:p w14:paraId="5219416E">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shd w:val="clear" w:color="auto" w:fill="auto"/>
            <w:noWrap w:val="0"/>
            <w:vAlign w:val="center"/>
          </w:tcPr>
          <w:p w14:paraId="53E0F256">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shd w:val="clear" w:color="auto" w:fill="auto"/>
            <w:noWrap w:val="0"/>
            <w:vAlign w:val="center"/>
          </w:tcPr>
          <w:p w14:paraId="7EF471DD">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0.984</w:t>
            </w:r>
          </w:p>
        </w:tc>
        <w:tc>
          <w:tcPr>
            <w:tcW w:w="735" w:type="pct"/>
            <w:shd w:val="clear" w:color="auto" w:fill="auto"/>
            <w:noWrap w:val="0"/>
            <w:vAlign w:val="center"/>
          </w:tcPr>
          <w:p w14:paraId="5C0586F7">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0.984</w:t>
            </w:r>
          </w:p>
        </w:tc>
        <w:tc>
          <w:tcPr>
            <w:tcW w:w="702" w:type="pct"/>
            <w:shd w:val="clear" w:color="auto" w:fill="auto"/>
            <w:noWrap w:val="0"/>
            <w:vAlign w:val="center"/>
          </w:tcPr>
          <w:p w14:paraId="45035B96">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w:t>
            </w:r>
            <w:r>
              <w:rPr>
                <w:rFonts w:hint="default" w:ascii="Times New Roman" w:hAnsi="Times New Roman" w:eastAsia="宋体" w:cs="Times New Roman"/>
                <w:color w:val="000000"/>
                <w:sz w:val="21"/>
                <w:szCs w:val="21"/>
                <w:highlight w:val="none"/>
                <w:lang w:val="en-US" w:eastAsia="zh-CN"/>
              </w:rPr>
              <w:t>0.984</w:t>
            </w:r>
          </w:p>
        </w:tc>
      </w:tr>
      <w:tr w14:paraId="56CAE9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4BF1E208">
            <w:pPr>
              <w:pStyle w:val="51"/>
              <w:spacing w:beforeLines="0" w:afterLines="0" w:line="240" w:lineRule="auto"/>
              <w:rPr>
                <w:rFonts w:hint="default" w:ascii="Times New Roman" w:hAnsi="Times New Roman" w:eastAsia="宋体" w:cs="Times New Roman"/>
                <w:snapToGrid w:val="0"/>
                <w:color w:val="000000" w:themeColor="text1"/>
                <w:kern w:val="21"/>
                <w:sz w:val="21"/>
                <w:szCs w:val="21"/>
                <w:highlight w:val="none"/>
                <w:lang w:val="en-US" w:eastAsia="zh-CN"/>
                <w14:textFill>
                  <w14:solidFill>
                    <w14:schemeClr w14:val="tx1"/>
                  </w14:solidFill>
                </w14:textFill>
              </w:rPr>
            </w:pPr>
          </w:p>
        </w:tc>
        <w:tc>
          <w:tcPr>
            <w:tcW w:w="1113" w:type="pct"/>
            <w:shd w:val="clear" w:color="auto" w:fill="auto"/>
            <w:noWrap w:val="0"/>
            <w:vAlign w:val="center"/>
          </w:tcPr>
          <w:p w14:paraId="16563494">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废油抹布及手套</w:t>
            </w:r>
          </w:p>
        </w:tc>
        <w:tc>
          <w:tcPr>
            <w:tcW w:w="539" w:type="pct"/>
            <w:noWrap w:val="0"/>
            <w:vAlign w:val="center"/>
          </w:tcPr>
          <w:p w14:paraId="38D5817D">
            <w:pPr>
              <w:spacing w:beforeLines="0" w:afterLines="0" w:line="240" w:lineRule="auto"/>
              <w:jc w:val="center"/>
              <w:rPr>
                <w:rFonts w:hint="default" w:ascii="Times New Roman" w:hAnsi="Times New Roman" w:cs="Times New Roman"/>
                <w:color w:val="000000" w:themeColor="text1"/>
                <w:kern w:val="2"/>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2A0479B6">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0273E437">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shd w:val="clear" w:color="auto" w:fill="auto"/>
            <w:noWrap w:val="0"/>
            <w:vAlign w:val="center"/>
          </w:tcPr>
          <w:p w14:paraId="289DC54C">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0.5</w:t>
            </w:r>
          </w:p>
        </w:tc>
        <w:tc>
          <w:tcPr>
            <w:tcW w:w="735" w:type="pct"/>
            <w:shd w:val="clear" w:color="auto" w:fill="auto"/>
            <w:noWrap w:val="0"/>
            <w:vAlign w:val="center"/>
          </w:tcPr>
          <w:p w14:paraId="73134B46">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0.5</w:t>
            </w:r>
          </w:p>
        </w:tc>
        <w:tc>
          <w:tcPr>
            <w:tcW w:w="702" w:type="pct"/>
            <w:shd w:val="clear" w:color="auto" w:fill="auto"/>
            <w:noWrap w:val="0"/>
            <w:vAlign w:val="center"/>
          </w:tcPr>
          <w:p w14:paraId="421E359B">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w:t>
            </w:r>
            <w:r>
              <w:rPr>
                <w:rFonts w:hint="default" w:ascii="Times New Roman" w:hAnsi="Times New Roman" w:eastAsia="宋体" w:cs="Times New Roman"/>
                <w:color w:val="000000"/>
                <w:kern w:val="2"/>
                <w:sz w:val="21"/>
                <w:szCs w:val="21"/>
                <w:highlight w:val="none"/>
                <w:lang w:val="en-US" w:eastAsia="zh-CN" w:bidi="ar-SA"/>
              </w:rPr>
              <w:t>0.5</w:t>
            </w:r>
          </w:p>
        </w:tc>
      </w:tr>
      <w:tr w14:paraId="67D1F3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4D0C9964">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113" w:type="pct"/>
            <w:shd w:val="clear" w:color="auto" w:fill="auto"/>
            <w:noWrap w:val="0"/>
            <w:vAlign w:val="center"/>
          </w:tcPr>
          <w:p w14:paraId="29B1BC69">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废活性炭</w:t>
            </w:r>
          </w:p>
        </w:tc>
        <w:tc>
          <w:tcPr>
            <w:tcW w:w="539" w:type="pct"/>
            <w:noWrap w:val="0"/>
            <w:vAlign w:val="center"/>
          </w:tcPr>
          <w:p w14:paraId="183AD207">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3F662D10">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5B0EEDD7">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shd w:val="clear" w:color="auto" w:fill="auto"/>
            <w:noWrap w:val="0"/>
            <w:vAlign w:val="center"/>
          </w:tcPr>
          <w:p w14:paraId="181C9319">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83.564</w:t>
            </w:r>
          </w:p>
        </w:tc>
        <w:tc>
          <w:tcPr>
            <w:tcW w:w="735" w:type="pct"/>
            <w:shd w:val="clear" w:color="auto" w:fill="auto"/>
            <w:noWrap w:val="0"/>
            <w:vAlign w:val="center"/>
          </w:tcPr>
          <w:p w14:paraId="5F6C5C91">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t>83.564</w:t>
            </w:r>
          </w:p>
        </w:tc>
        <w:tc>
          <w:tcPr>
            <w:tcW w:w="702" w:type="pct"/>
            <w:shd w:val="clear" w:color="auto" w:fill="auto"/>
            <w:noWrap w:val="0"/>
            <w:vAlign w:val="center"/>
          </w:tcPr>
          <w:p w14:paraId="0676D799">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w:t>
            </w:r>
            <w:r>
              <w:rPr>
                <w:rFonts w:hint="default" w:ascii="Times New Roman" w:hAnsi="Times New Roman" w:eastAsia="宋体" w:cs="Times New Roman"/>
                <w:color w:val="000000"/>
                <w:kern w:val="2"/>
                <w:sz w:val="21"/>
                <w:szCs w:val="21"/>
                <w:highlight w:val="none"/>
                <w:lang w:val="en-US" w:eastAsia="zh-CN" w:bidi="ar-SA"/>
              </w:rPr>
              <w:t>83.564</w:t>
            </w:r>
          </w:p>
        </w:tc>
      </w:tr>
      <w:tr w14:paraId="0366A8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vMerge w:val="continue"/>
            <w:noWrap w:val="0"/>
            <w:vAlign w:val="center"/>
          </w:tcPr>
          <w:p w14:paraId="1868407E">
            <w:pPr>
              <w:pStyle w:val="51"/>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p>
        </w:tc>
        <w:tc>
          <w:tcPr>
            <w:tcW w:w="1113" w:type="pct"/>
            <w:shd w:val="clear" w:color="auto" w:fill="auto"/>
            <w:noWrap w:val="0"/>
            <w:vAlign w:val="center"/>
          </w:tcPr>
          <w:p w14:paraId="1509671D">
            <w:pPr>
              <w:pStyle w:val="62"/>
              <w:spacing w:line="240" w:lineRule="auto"/>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default" w:eastAsia="宋体" w:cs="Times New Roman"/>
                <w:color w:val="000000"/>
                <w:sz w:val="21"/>
                <w:szCs w:val="21"/>
                <w:highlight w:val="none"/>
                <w:lang w:val="en-US" w:eastAsia="zh-CN"/>
              </w:rPr>
              <w:t>废滤料</w:t>
            </w:r>
          </w:p>
        </w:tc>
        <w:tc>
          <w:tcPr>
            <w:tcW w:w="539" w:type="pct"/>
            <w:noWrap w:val="0"/>
            <w:vAlign w:val="center"/>
          </w:tcPr>
          <w:p w14:paraId="253C0C5A">
            <w:pPr>
              <w:spacing w:beforeLines="0" w:afterLines="0" w:line="240" w:lineRule="auto"/>
              <w:jc w:val="center"/>
              <w:rPr>
                <w:rFonts w:hint="default" w:ascii="Times New Roman" w:hAnsi="Times New Roman" w:cs="Times New Roman"/>
                <w:color w:val="000000" w:themeColor="text1"/>
                <w:kern w:val="2"/>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0B892C78">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79B9A78C">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shd w:val="clear" w:color="auto" w:fill="auto"/>
            <w:noWrap w:val="0"/>
            <w:vAlign w:val="center"/>
          </w:tcPr>
          <w:p w14:paraId="2FACE7C3">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eastAsia="宋体" w:cs="Times New Roman"/>
                <w:color w:val="000000"/>
                <w:sz w:val="21"/>
                <w:szCs w:val="21"/>
                <w:highlight w:val="none"/>
                <w:lang w:val="en-US" w:eastAsia="zh-CN"/>
              </w:rPr>
              <w:t>0.286</w:t>
            </w:r>
          </w:p>
        </w:tc>
        <w:tc>
          <w:tcPr>
            <w:tcW w:w="735" w:type="pct"/>
            <w:shd w:val="clear" w:color="auto" w:fill="auto"/>
            <w:noWrap w:val="0"/>
            <w:vAlign w:val="center"/>
          </w:tcPr>
          <w:p w14:paraId="69A1D018">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default" w:eastAsia="宋体" w:cs="Times New Roman"/>
                <w:color w:val="000000"/>
                <w:sz w:val="21"/>
                <w:szCs w:val="21"/>
                <w:highlight w:val="none"/>
                <w:lang w:val="en-US" w:eastAsia="zh-CN"/>
              </w:rPr>
              <w:t>0.286</w:t>
            </w:r>
          </w:p>
        </w:tc>
        <w:tc>
          <w:tcPr>
            <w:tcW w:w="702" w:type="pct"/>
            <w:shd w:val="clear" w:color="auto" w:fill="auto"/>
            <w:noWrap w:val="0"/>
            <w:vAlign w:val="center"/>
          </w:tcPr>
          <w:p w14:paraId="63376EE7">
            <w:pPr>
              <w:pStyle w:val="62"/>
              <w:spacing w:line="240" w:lineRule="auto"/>
              <w:ind w:firstLine="0" w:firstLineChars="0"/>
              <w:jc w:val="center"/>
              <w:rPr>
                <w:rFonts w:hint="default" w:ascii="Times New Roman" w:hAnsi="Times New Roman" w:eastAsia="宋体" w:cs="Times New Roman"/>
                <w:color w:val="000000"/>
                <w:kern w:val="2"/>
                <w:sz w:val="21"/>
                <w:szCs w:val="21"/>
                <w:highlight w:val="none"/>
                <w:lang w:val="en-US" w:eastAsia="zh-CN" w:bidi="ar-SA"/>
              </w:rPr>
            </w:pPr>
            <w:r>
              <w:rPr>
                <w:rFonts w:hint="eastAsia" w:eastAsia="宋体" w:cs="Times New Roman"/>
                <w:color w:val="000000"/>
                <w:sz w:val="21"/>
                <w:szCs w:val="21"/>
                <w:highlight w:val="none"/>
                <w:lang w:val="en-US" w:eastAsia="zh-CN"/>
              </w:rPr>
              <w:t>+</w:t>
            </w:r>
            <w:r>
              <w:rPr>
                <w:rFonts w:hint="default" w:eastAsia="宋体" w:cs="Times New Roman"/>
                <w:color w:val="000000"/>
                <w:sz w:val="21"/>
                <w:szCs w:val="21"/>
                <w:highlight w:val="none"/>
                <w:lang w:val="en-US" w:eastAsia="zh-CN"/>
              </w:rPr>
              <w:t>0.286</w:t>
            </w:r>
          </w:p>
        </w:tc>
      </w:tr>
      <w:tr w14:paraId="52047C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8" w:type="pct"/>
            <w:noWrap w:val="0"/>
            <w:vAlign w:val="center"/>
          </w:tcPr>
          <w:p w14:paraId="2A5B8500">
            <w:pPr>
              <w:pStyle w:val="51"/>
              <w:spacing w:beforeLines="0" w:afterLines="0" w:line="240" w:lineRule="auto"/>
              <w:rPr>
                <w:rFonts w:hint="default" w:ascii="Times New Roman" w:hAnsi="Times New Roman" w:eastAsia="宋体"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生活垃圾</w:t>
            </w:r>
          </w:p>
        </w:tc>
        <w:tc>
          <w:tcPr>
            <w:tcW w:w="1113" w:type="pct"/>
            <w:noWrap w:val="0"/>
            <w:vAlign w:val="center"/>
          </w:tcPr>
          <w:p w14:paraId="0D673B8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生活垃圾</w:t>
            </w:r>
          </w:p>
        </w:tc>
        <w:tc>
          <w:tcPr>
            <w:tcW w:w="539" w:type="pct"/>
            <w:noWrap w:val="0"/>
            <w:vAlign w:val="center"/>
          </w:tcPr>
          <w:p w14:paraId="0909031D">
            <w:pPr>
              <w:spacing w:beforeLines="0" w:afterLines="0" w:line="240" w:lineRule="auto"/>
              <w:jc w:val="center"/>
              <w:rPr>
                <w:rFonts w:hint="default" w:ascii="Times New Roman" w:hAnsi="Times New Roman" w:cs="Times New Roman"/>
                <w:color w:val="000000" w:themeColor="text1"/>
                <w:kern w:val="2"/>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5E560B2F">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615845FC">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754B362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22.5</w:t>
            </w:r>
          </w:p>
        </w:tc>
        <w:tc>
          <w:tcPr>
            <w:tcW w:w="735" w:type="pct"/>
            <w:noWrap w:val="0"/>
            <w:vAlign w:val="center"/>
          </w:tcPr>
          <w:p w14:paraId="40F6ACC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22.5</w:t>
            </w:r>
          </w:p>
        </w:tc>
        <w:tc>
          <w:tcPr>
            <w:tcW w:w="702" w:type="pct"/>
            <w:noWrap w:val="0"/>
            <w:vAlign w:val="center"/>
          </w:tcPr>
          <w:p w14:paraId="7F09F7B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+22.5</w:t>
            </w:r>
          </w:p>
        </w:tc>
      </w:tr>
    </w:tbl>
    <w:p w14:paraId="1829591C">
      <w:pPr>
        <w:widowControl w:val="0"/>
        <w:spacing w:line="360" w:lineRule="auto"/>
        <w:jc w:val="both"/>
        <w:rPr>
          <w:rFonts w:hint="default" w:ascii="Times New Roman" w:hAnsi="Times New Roman" w:eastAsia="黑体" w:cs="Times New Roman"/>
          <w:color w:val="auto"/>
          <w:kern w:val="2"/>
          <w:sz w:val="21"/>
          <w:szCs w:val="21"/>
          <w:highlight w:val="none"/>
          <w:lang w:val="en-US" w:eastAsia="zh-CN" w:bidi="ar-SA"/>
        </w:rPr>
      </w:pPr>
      <w:r>
        <w:rPr>
          <w:rFonts w:hint="default" w:ascii="Times New Roman" w:hAnsi="Times New Roman" w:cs="Times New Roman"/>
          <w:snapToGrid w:val="0"/>
          <w:color w:val="auto"/>
          <w:kern w:val="21"/>
          <w:sz w:val="21"/>
          <w:szCs w:val="21"/>
          <w:highlight w:val="none"/>
        </w:rPr>
        <w:t>注：</w:t>
      </w:r>
      <w:r>
        <w:rPr>
          <w:rFonts w:hint="default" w:ascii="Times New Roman" w:hAnsi="Times New Roman" w:cs="Times New Roman"/>
          <w:snapToGrid w:val="0"/>
          <w:color w:val="auto"/>
          <w:spacing w:val="-16"/>
          <w:kern w:val="21"/>
          <w:sz w:val="21"/>
          <w:szCs w:val="21"/>
          <w:highlight w:val="none"/>
        </w:rPr>
        <w:fldChar w:fldCharType="begin"/>
      </w:r>
      <w:r>
        <w:rPr>
          <w:rFonts w:hint="default" w:ascii="Times New Roman" w:hAnsi="Times New Roman" w:cs="Times New Roman"/>
          <w:snapToGrid w:val="0"/>
          <w:color w:val="auto"/>
          <w:spacing w:val="-16"/>
          <w:kern w:val="21"/>
          <w:sz w:val="21"/>
          <w:szCs w:val="21"/>
          <w:highlight w:val="none"/>
        </w:rPr>
        <w:instrText xml:space="preserve"> = 6 \* GB3 \* MERGEFORMAT </w:instrText>
      </w:r>
      <w:r>
        <w:rPr>
          <w:rFonts w:hint="default" w:ascii="Times New Roman" w:hAnsi="Times New Roman" w:cs="Times New Roman"/>
          <w:snapToGrid w:val="0"/>
          <w:color w:val="auto"/>
          <w:spacing w:val="-16"/>
          <w:kern w:val="21"/>
          <w:sz w:val="21"/>
          <w:szCs w:val="21"/>
          <w:highlight w:val="none"/>
        </w:rPr>
        <w:fldChar w:fldCharType="separate"/>
      </w:r>
      <w:r>
        <w:rPr>
          <w:rFonts w:hint="default" w:ascii="Times New Roman" w:hAnsi="Times New Roman" w:cs="Times New Roman"/>
          <w:color w:val="auto"/>
          <w:sz w:val="21"/>
          <w:szCs w:val="21"/>
          <w:highlight w:val="none"/>
        </w:rPr>
        <w:t>⑥</w:t>
      </w:r>
      <w:r>
        <w:rPr>
          <w:rFonts w:hint="default" w:ascii="Times New Roman" w:hAnsi="Times New Roman" w:cs="Times New Roman"/>
          <w:snapToGrid w:val="0"/>
          <w:color w:val="auto"/>
          <w:spacing w:val="-16"/>
          <w:kern w:val="21"/>
          <w:sz w:val="21"/>
          <w:szCs w:val="21"/>
          <w:highlight w:val="none"/>
        </w:rPr>
        <w:fldChar w:fldCharType="end"/>
      </w:r>
      <w:r>
        <w:rPr>
          <w:rFonts w:hint="default" w:ascii="Times New Roman" w:hAnsi="Times New Roman" w:cs="Times New Roman"/>
          <w:snapToGrid w:val="0"/>
          <w:color w:val="auto"/>
          <w:spacing w:val="-1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1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①</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3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③</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4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④</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16"/>
          <w:kern w:val="21"/>
          <w:sz w:val="21"/>
          <w:szCs w:val="21"/>
          <w:highlight w:val="none"/>
        </w:rPr>
        <w:fldChar w:fldCharType="begin"/>
      </w:r>
      <w:r>
        <w:rPr>
          <w:rFonts w:hint="default" w:ascii="Times New Roman" w:hAnsi="Times New Roman" w:cs="Times New Roman"/>
          <w:snapToGrid w:val="0"/>
          <w:color w:val="auto"/>
          <w:spacing w:val="-16"/>
          <w:kern w:val="21"/>
          <w:sz w:val="21"/>
          <w:szCs w:val="21"/>
          <w:highlight w:val="none"/>
        </w:rPr>
        <w:instrText xml:space="preserve"> = 5 \* GB3 \* MERGEFORMAT </w:instrText>
      </w:r>
      <w:r>
        <w:rPr>
          <w:rFonts w:hint="default" w:ascii="Times New Roman" w:hAnsi="Times New Roman" w:cs="Times New Roman"/>
          <w:snapToGrid w:val="0"/>
          <w:color w:val="auto"/>
          <w:spacing w:val="-16"/>
          <w:kern w:val="21"/>
          <w:sz w:val="21"/>
          <w:szCs w:val="21"/>
          <w:highlight w:val="none"/>
        </w:rPr>
        <w:fldChar w:fldCharType="separate"/>
      </w:r>
      <w:r>
        <w:rPr>
          <w:rFonts w:hint="default" w:ascii="Times New Roman" w:hAnsi="Times New Roman" w:cs="Times New Roman"/>
          <w:color w:val="auto"/>
          <w:sz w:val="21"/>
          <w:szCs w:val="21"/>
          <w:highlight w:val="none"/>
        </w:rPr>
        <w:t>⑤</w:t>
      </w:r>
      <w:r>
        <w:rPr>
          <w:rFonts w:hint="default" w:ascii="Times New Roman" w:hAnsi="Times New Roman" w:cs="Times New Roman"/>
          <w:snapToGrid w:val="0"/>
          <w:color w:val="auto"/>
          <w:spacing w:val="-16"/>
          <w:kern w:val="21"/>
          <w:sz w:val="21"/>
          <w:szCs w:val="21"/>
          <w:highlight w:val="none"/>
        </w:rPr>
        <w:fldChar w:fldCharType="end"/>
      </w:r>
      <w:r>
        <w:rPr>
          <w:rFonts w:hint="default" w:ascii="Times New Roman" w:hAnsi="Times New Roman" w:cs="Times New Roman"/>
          <w:snapToGrid w:val="0"/>
          <w:color w:val="auto"/>
          <w:spacing w:val="-1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7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⑦</w:t>
      </w:r>
      <w:r>
        <w:rPr>
          <w:rFonts w:hint="default" w:ascii="Times New Roman" w:hAnsi="Times New Roman" w:cs="Times New Roman"/>
          <w:snapToGrid w:val="0"/>
          <w:color w:val="auto"/>
          <w:spacing w:val="-6"/>
          <w:kern w:val="21"/>
          <w:sz w:val="21"/>
          <w:szCs w:val="21"/>
          <w:highlight w:val="none"/>
        </w:rPr>
        <w:fldChar w:fldCharType="end"/>
      </w:r>
      <w:r>
        <w:rPr>
          <w:rFonts w:hint="default" w:ascii="Times New Roman" w:hAnsi="Times New Roman" w:cs="Times New Roman"/>
          <w:snapToGrid w:val="0"/>
          <w:color w:val="auto"/>
          <w:spacing w:val="-6"/>
          <w:kern w:val="21"/>
          <w:sz w:val="21"/>
          <w:szCs w:val="21"/>
          <w:highlight w:val="none"/>
        </w:rPr>
        <w:t>=</w:t>
      </w:r>
      <w:r>
        <w:rPr>
          <w:rFonts w:hint="default" w:ascii="Times New Roman" w:hAnsi="Times New Roman" w:cs="Times New Roman"/>
          <w:snapToGrid w:val="0"/>
          <w:color w:val="auto"/>
          <w:spacing w:val="-16"/>
          <w:kern w:val="21"/>
          <w:sz w:val="21"/>
          <w:szCs w:val="21"/>
          <w:highlight w:val="none"/>
        </w:rPr>
        <w:fldChar w:fldCharType="begin"/>
      </w:r>
      <w:r>
        <w:rPr>
          <w:rFonts w:hint="default" w:ascii="Times New Roman" w:hAnsi="Times New Roman" w:cs="Times New Roman"/>
          <w:snapToGrid w:val="0"/>
          <w:color w:val="auto"/>
          <w:spacing w:val="-16"/>
          <w:kern w:val="21"/>
          <w:sz w:val="21"/>
          <w:szCs w:val="21"/>
          <w:highlight w:val="none"/>
        </w:rPr>
        <w:instrText xml:space="preserve"> = 6 \* GB3 \* MERGEFORMAT </w:instrText>
      </w:r>
      <w:r>
        <w:rPr>
          <w:rFonts w:hint="default" w:ascii="Times New Roman" w:hAnsi="Times New Roman" w:cs="Times New Roman"/>
          <w:snapToGrid w:val="0"/>
          <w:color w:val="auto"/>
          <w:spacing w:val="-16"/>
          <w:kern w:val="21"/>
          <w:sz w:val="21"/>
          <w:szCs w:val="21"/>
          <w:highlight w:val="none"/>
        </w:rPr>
        <w:fldChar w:fldCharType="separate"/>
      </w:r>
      <w:r>
        <w:rPr>
          <w:rFonts w:hint="default" w:ascii="Times New Roman" w:hAnsi="Times New Roman" w:cs="Times New Roman"/>
          <w:color w:val="auto"/>
          <w:sz w:val="21"/>
          <w:szCs w:val="21"/>
          <w:highlight w:val="none"/>
        </w:rPr>
        <w:t>⑥</w:t>
      </w:r>
      <w:r>
        <w:rPr>
          <w:rFonts w:hint="default" w:ascii="Times New Roman" w:hAnsi="Times New Roman" w:cs="Times New Roman"/>
          <w:snapToGrid w:val="0"/>
          <w:color w:val="auto"/>
          <w:spacing w:val="-16"/>
          <w:kern w:val="21"/>
          <w:sz w:val="21"/>
          <w:szCs w:val="21"/>
          <w:highlight w:val="none"/>
        </w:rPr>
        <w:fldChar w:fldCharType="end"/>
      </w:r>
      <w:r>
        <w:rPr>
          <w:rFonts w:hint="default" w:ascii="Times New Roman" w:hAnsi="Times New Roman" w:cs="Times New Roman"/>
          <w:snapToGrid w:val="0"/>
          <w:color w:val="auto"/>
          <w:spacing w:val="-16"/>
          <w:kern w:val="21"/>
          <w:sz w:val="21"/>
          <w:szCs w:val="21"/>
          <w:highlight w:val="none"/>
        </w:rPr>
        <w:t>-</w:t>
      </w:r>
      <w:r>
        <w:rPr>
          <w:rFonts w:hint="default" w:ascii="Times New Roman" w:hAnsi="Times New Roman" w:cs="Times New Roman"/>
          <w:snapToGrid w:val="0"/>
          <w:color w:val="auto"/>
          <w:spacing w:val="-6"/>
          <w:kern w:val="21"/>
          <w:sz w:val="21"/>
          <w:szCs w:val="21"/>
          <w:highlight w:val="none"/>
        </w:rPr>
        <w:fldChar w:fldCharType="begin"/>
      </w:r>
      <w:r>
        <w:rPr>
          <w:rFonts w:hint="default" w:ascii="Times New Roman" w:hAnsi="Times New Roman" w:cs="Times New Roman"/>
          <w:snapToGrid w:val="0"/>
          <w:color w:val="auto"/>
          <w:spacing w:val="-6"/>
          <w:kern w:val="21"/>
          <w:sz w:val="21"/>
          <w:szCs w:val="21"/>
          <w:highlight w:val="none"/>
        </w:rPr>
        <w:instrText xml:space="preserve"> = 1 \* GB3 \* MERGEFORMAT </w:instrText>
      </w:r>
      <w:r>
        <w:rPr>
          <w:rFonts w:hint="default" w:ascii="Times New Roman" w:hAnsi="Times New Roman" w:cs="Times New Roman"/>
          <w:snapToGrid w:val="0"/>
          <w:color w:val="auto"/>
          <w:spacing w:val="-6"/>
          <w:kern w:val="21"/>
          <w:sz w:val="21"/>
          <w:szCs w:val="21"/>
          <w:highlight w:val="none"/>
        </w:rPr>
        <w:fldChar w:fldCharType="separate"/>
      </w:r>
      <w:r>
        <w:rPr>
          <w:rFonts w:hint="default" w:ascii="Times New Roman" w:hAnsi="Times New Roman" w:cs="Times New Roman"/>
          <w:color w:val="auto"/>
          <w:sz w:val="21"/>
          <w:szCs w:val="21"/>
          <w:highlight w:val="none"/>
        </w:rPr>
        <w:t>①</w:t>
      </w:r>
      <w:r>
        <w:rPr>
          <w:rFonts w:hint="default" w:ascii="Times New Roman" w:hAnsi="Times New Roman" w:cs="Times New Roman"/>
          <w:snapToGrid w:val="0"/>
          <w:color w:val="auto"/>
          <w:spacing w:val="-6"/>
          <w:kern w:val="21"/>
          <w:sz w:val="21"/>
          <w:szCs w:val="21"/>
          <w:highlight w:val="none"/>
        </w:rPr>
        <w:fldChar w:fldCharType="end"/>
      </w:r>
      <w:r>
        <w:rPr>
          <w:rFonts w:hint="eastAsia" w:ascii="Times New Roman" w:hAnsi="Times New Roman" w:cs="Times New Roman"/>
          <w:snapToGrid w:val="0"/>
          <w:color w:val="auto"/>
          <w:spacing w:val="-6"/>
          <w:kern w:val="21"/>
          <w:sz w:val="21"/>
          <w:szCs w:val="21"/>
          <w:highlight w:val="none"/>
          <w:lang w:eastAsia="zh-CN"/>
        </w:rPr>
        <w:t>，</w:t>
      </w:r>
      <w:r>
        <w:rPr>
          <w:rFonts w:hint="default" w:ascii="Times New Roman" w:hAnsi="Times New Roman" w:eastAsia="宋体" w:cs="Times New Roman"/>
          <w:snapToGrid w:val="0"/>
          <w:color w:val="auto"/>
          <w:spacing w:val="-6"/>
          <w:kern w:val="21"/>
          <w:sz w:val="21"/>
          <w:szCs w:val="21"/>
          <w:highlight w:val="none"/>
          <w:lang w:val="en-US" w:eastAsia="zh-CN" w:bidi="ar-SA"/>
        </w:rPr>
        <w:t>单位：t/a</w:t>
      </w:r>
    </w:p>
    <w:p w14:paraId="553C3744">
      <w:pPr>
        <w:rPr>
          <w:color w:val="auto"/>
          <w:highlight w:val="none"/>
        </w:rPr>
      </w:pPr>
    </w:p>
    <w:sectPr>
      <w:footerReference r:id="rId6" w:type="default"/>
      <w:pgSz w:w="16838" w:h="11906" w:orient="landscape"/>
      <w:pgMar w:top="1531" w:right="1701" w:bottom="1531" w:left="1701" w:header="851" w:footer="851"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Arial Black">
    <w:panose1 w:val="020B0A04020102020204"/>
    <w:charset w:val="00"/>
    <w:family w:val="swiss"/>
    <w:pitch w:val="default"/>
    <w:sig w:usb0="A00002AF" w:usb1="400078FB" w:usb2="00000000" w:usb3="00000000" w:csb0="6000009F" w:csb1="DFD7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9BCA5">
    <w:pPr>
      <w:pStyle w:val="18"/>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ECEB6">
    <w:pPr>
      <w:pStyle w:val="18"/>
      <w:framePr w:wrap="around" w:vAnchor="text" w:hAnchor="margin" w:xAlign="center" w:y="1"/>
      <w:rPr>
        <w:rStyle w:val="29"/>
      </w:rPr>
    </w:pPr>
    <w:r>
      <w:fldChar w:fldCharType="begin"/>
    </w:r>
    <w:r>
      <w:rPr>
        <w:rStyle w:val="29"/>
      </w:rPr>
      <w:instrText xml:space="preserve">PAGE  </w:instrText>
    </w:r>
    <w:r>
      <w:fldChar w:fldCharType="end"/>
    </w:r>
  </w:p>
  <w:p w14:paraId="0BA3C1D8">
    <w:pPr>
      <w:pStyle w:val="1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C8EF1">
    <w:pPr>
      <w:pStyle w:val="18"/>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562622">
                          <w:pPr>
                            <w:pStyle w:val="18"/>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m7FqcoBAACb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FtQ5dvKXHc4sTPP3+cfz2eH74T&#10;9KFAfYAa8+4CZqbhvR9wbWY/oDPzHlS0+YuMCMZR3tNFXjkkIvKj1XK1qjAkMDZfEJ89PQ8R0gfp&#10;LclGQyPOr8jKj58gjalzSq7m/K02pszQuL8ciJk9LPc+9pitNOyGidDOtyfk0+PoG+pw0ykxHx0q&#10;m7dkNuJs7GbjEKLed2WNcj0I7w4Jmyi95Qoj7FQYZ1bYTfuVl+LPe8l6+qc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m7FqcoBAACbAwAADgAAAAAAAAABACAAAAAeAQAAZHJzL2Uyb0Rv&#10;Yy54bWxQSwUGAAAAAAYABgBZAQAAWgUAAAAA&#10;">
              <v:fill on="f" focussize="0,0"/>
              <v:stroke on="f"/>
              <v:imagedata o:title=""/>
              <o:lock v:ext="edit" aspectratio="f"/>
              <v:textbox inset="0mm,0mm,0mm,0mm" style="mso-fit-shape-to-text:t;">
                <w:txbxContent>
                  <w:p w14:paraId="5C562622">
                    <w:pPr>
                      <w:pStyle w:val="18"/>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AB905">
    <w:pPr>
      <w:pStyle w:val="18"/>
      <w:ind w:right="360" w:firstLine="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7DBEE5">
                          <w:pPr>
                            <w:pStyle w:val="18"/>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47DBEE5">
                    <w:pPr>
                      <w:pStyle w:val="18"/>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45AAD8"/>
    <w:multiLevelType w:val="singleLevel"/>
    <w:tmpl w:val="8A45AAD8"/>
    <w:lvl w:ilvl="0" w:tentative="0">
      <w:start w:val="2"/>
      <w:numFmt w:val="decimal"/>
      <w:suff w:val="nothing"/>
      <w:lvlText w:val="（%1）"/>
      <w:lvlJc w:val="left"/>
    </w:lvl>
  </w:abstractNum>
  <w:abstractNum w:abstractNumId="1">
    <w:nsid w:val="9BEB4B5F"/>
    <w:multiLevelType w:val="singleLevel"/>
    <w:tmpl w:val="9BEB4B5F"/>
    <w:lvl w:ilvl="0" w:tentative="0">
      <w:start w:val="5"/>
      <w:numFmt w:val="decimal"/>
      <w:suff w:val="nothing"/>
      <w:lvlText w:val="%1、"/>
      <w:lvlJc w:val="left"/>
    </w:lvl>
  </w:abstractNum>
  <w:abstractNum w:abstractNumId="2">
    <w:nsid w:val="A60E4568"/>
    <w:multiLevelType w:val="singleLevel"/>
    <w:tmpl w:val="A60E4568"/>
    <w:lvl w:ilvl="0" w:tentative="0">
      <w:start w:val="1"/>
      <w:numFmt w:val="decimal"/>
      <w:suff w:val="nothing"/>
      <w:lvlText w:val="（%1）"/>
      <w:lvlJc w:val="left"/>
    </w:lvl>
  </w:abstractNum>
  <w:abstractNum w:abstractNumId="3">
    <w:nsid w:val="D48AB83D"/>
    <w:multiLevelType w:val="singleLevel"/>
    <w:tmpl w:val="D48AB83D"/>
    <w:lvl w:ilvl="0" w:tentative="0">
      <w:start w:val="2"/>
      <w:numFmt w:val="decimal"/>
      <w:suff w:val="nothing"/>
      <w:lvlText w:val="%1、"/>
      <w:lvlJc w:val="left"/>
    </w:lvl>
  </w:abstractNum>
  <w:abstractNum w:abstractNumId="4">
    <w:nsid w:val="D75B625F"/>
    <w:multiLevelType w:val="singleLevel"/>
    <w:tmpl w:val="D75B625F"/>
    <w:lvl w:ilvl="0" w:tentative="0">
      <w:start w:val="11"/>
      <w:numFmt w:val="upperLetter"/>
      <w:suff w:val="nothing"/>
      <w:lvlText w:val="%1-"/>
      <w:lvlJc w:val="left"/>
    </w:lvl>
  </w:abstractNum>
  <w:abstractNum w:abstractNumId="5">
    <w:nsid w:val="DCB5FF8E"/>
    <w:multiLevelType w:val="singleLevel"/>
    <w:tmpl w:val="DCB5FF8E"/>
    <w:lvl w:ilvl="0" w:tentative="0">
      <w:start w:val="1"/>
      <w:numFmt w:val="bullet"/>
      <w:lvlText w:val=""/>
      <w:lvlJc w:val="left"/>
      <w:pPr>
        <w:ind w:left="420" w:hanging="420"/>
      </w:pPr>
      <w:rPr>
        <w:rFonts w:hint="default" w:ascii="Wingdings" w:hAnsi="Wingdings"/>
      </w:rPr>
    </w:lvl>
  </w:abstractNum>
  <w:abstractNum w:abstractNumId="6">
    <w:nsid w:val="FFE5B16A"/>
    <w:multiLevelType w:val="singleLevel"/>
    <w:tmpl w:val="FFE5B16A"/>
    <w:lvl w:ilvl="0" w:tentative="0">
      <w:start w:val="8"/>
      <w:numFmt w:val="decimal"/>
      <w:suff w:val="nothing"/>
      <w:lvlText w:val="%1、"/>
      <w:lvlJc w:val="left"/>
    </w:lvl>
  </w:abstractNum>
  <w:abstractNum w:abstractNumId="7">
    <w:nsid w:val="29067519"/>
    <w:multiLevelType w:val="multilevel"/>
    <w:tmpl w:val="29067519"/>
    <w:lvl w:ilvl="0" w:tentative="0">
      <w:start w:val="1"/>
      <w:numFmt w:val="decimal"/>
      <w:lvlText w:val="%1"/>
      <w:lvlJc w:val="left"/>
      <w:pPr>
        <w:tabs>
          <w:tab w:val="left" w:pos="567"/>
        </w:tabs>
        <w:ind w:left="0" w:firstLine="0"/>
      </w:pPr>
      <w:rPr>
        <w:rFonts w:hint="eastAsia"/>
      </w:rPr>
    </w:lvl>
    <w:lvl w:ilvl="1" w:tentative="0">
      <w:start w:val="1"/>
      <w:numFmt w:val="decimal"/>
      <w:lvlText w:val="%1.%2"/>
      <w:lvlJc w:val="left"/>
      <w:pPr>
        <w:tabs>
          <w:tab w:val="left" w:pos="652"/>
        </w:tabs>
        <w:ind w:left="0" w:firstLine="0"/>
      </w:pPr>
      <w:rPr>
        <w:rFonts w:hint="eastAsia"/>
      </w:rPr>
    </w:lvl>
    <w:lvl w:ilvl="2" w:tentative="0">
      <w:start w:val="1"/>
      <w:numFmt w:val="decimal"/>
      <w:pStyle w:val="4"/>
      <w:lvlText w:val="%1.%2.%3"/>
      <w:lvlJc w:val="left"/>
      <w:pPr>
        <w:tabs>
          <w:tab w:val="left" w:pos="794"/>
        </w:tabs>
        <w:ind w:left="0" w:firstLine="0"/>
      </w:pPr>
      <w:rPr>
        <w:rFonts w:hint="eastAsia"/>
      </w:rPr>
    </w:lvl>
    <w:lvl w:ilvl="3" w:tentative="0">
      <w:start w:val="1"/>
      <w:numFmt w:val="decimal"/>
      <w:pStyle w:val="5"/>
      <w:lvlText w:val="%1.%2.%3.%4"/>
      <w:lvlJc w:val="left"/>
      <w:pPr>
        <w:tabs>
          <w:tab w:val="left" w:pos="907"/>
        </w:tabs>
        <w:ind w:left="0" w:firstLine="0"/>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8">
    <w:nsid w:val="31AD8BF0"/>
    <w:multiLevelType w:val="singleLevel"/>
    <w:tmpl w:val="31AD8BF0"/>
    <w:lvl w:ilvl="0" w:tentative="0">
      <w:start w:val="1"/>
      <w:numFmt w:val="bullet"/>
      <w:pStyle w:val="8"/>
      <w:lvlText w:val=""/>
      <w:lvlJc w:val="left"/>
      <w:pPr>
        <w:tabs>
          <w:tab w:val="left" w:pos="1620"/>
        </w:tabs>
        <w:ind w:left="1620" w:hanging="360"/>
      </w:pPr>
      <w:rPr>
        <w:rFonts w:hint="default" w:ascii="Wingdings" w:hAnsi="Wingdings"/>
      </w:rPr>
    </w:lvl>
  </w:abstractNum>
  <w:abstractNum w:abstractNumId="9">
    <w:nsid w:val="41862CA9"/>
    <w:multiLevelType w:val="multilevel"/>
    <w:tmpl w:val="41862CA9"/>
    <w:lvl w:ilvl="0" w:tentative="0">
      <w:start w:val="1"/>
      <w:numFmt w:val="decimal"/>
      <w:suff w:val="space"/>
      <w:lvlText w:val="%1"/>
      <w:lvlJc w:val="left"/>
      <w:pPr>
        <w:ind w:left="0" w:firstLine="0"/>
      </w:pPr>
      <w:rPr>
        <w:rFonts w:hint="eastAsia"/>
        <w:sz w:val="30"/>
        <w:szCs w:val="30"/>
      </w:rPr>
    </w:lvl>
    <w:lvl w:ilvl="1" w:tentative="0">
      <w:start w:val="1"/>
      <w:numFmt w:val="decimal"/>
      <w:pStyle w:val="47"/>
      <w:suff w:val="space"/>
      <w:lvlText w:val="%1.%2"/>
      <w:lvlJc w:val="left"/>
      <w:pPr>
        <w:ind w:left="1560" w:firstLine="0"/>
      </w:pPr>
      <w:rPr>
        <w:rFonts w:hint="default" w:ascii="Arial" w:hAnsi="Arial"/>
      </w:rPr>
    </w:lvl>
    <w:lvl w:ilvl="2" w:tentative="0">
      <w:start w:val="1"/>
      <w:numFmt w:val="decimal"/>
      <w:suff w:val="space"/>
      <w:lvlText w:val="%1.%2.%3"/>
      <w:lvlJc w:val="left"/>
      <w:pPr>
        <w:ind w:left="994" w:hanging="426"/>
      </w:pPr>
      <w:rPr>
        <w:rFonts w:hint="default" w:ascii="Arial" w:hAnsi="Arial"/>
      </w:rPr>
    </w:lvl>
    <w:lvl w:ilvl="3" w:tentative="0">
      <w:start w:val="1"/>
      <w:numFmt w:val="decimal"/>
      <w:suff w:val="nothing"/>
      <w:lvlText w:val="%1.%2.%3.%4"/>
      <w:lvlJc w:val="left"/>
      <w:pPr>
        <w:ind w:left="851" w:hanging="851"/>
      </w:pPr>
      <w:rPr>
        <w:rFonts w:hint="eastAsia" w:ascii="Arial" w:hAnsi="Arial"/>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7"/>
  </w:num>
  <w:num w:numId="2">
    <w:abstractNumId w:val="8"/>
  </w:num>
  <w:num w:numId="3">
    <w:abstractNumId w:val="9"/>
  </w:num>
  <w:num w:numId="4">
    <w:abstractNumId w:val="3"/>
  </w:num>
  <w:num w:numId="5">
    <w:abstractNumId w:val="2"/>
  </w:num>
  <w:num w:numId="6">
    <w:abstractNumId w:val="6"/>
  </w:num>
  <w:num w:numId="7">
    <w:abstractNumId w:val="1"/>
  </w:num>
  <w:num w:numId="8">
    <w:abstractNumId w:val="0"/>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dkN2I1NjYyZjc2ZGZlMmEwMWMzMTBhNDk5MWIyMzkifQ=="/>
  </w:docVars>
  <w:rsids>
    <w:rsidRoot w:val="00172A27"/>
    <w:rsid w:val="00054D06"/>
    <w:rsid w:val="00463A31"/>
    <w:rsid w:val="01727770"/>
    <w:rsid w:val="01FD6580"/>
    <w:rsid w:val="02581525"/>
    <w:rsid w:val="027564A5"/>
    <w:rsid w:val="029E1A2D"/>
    <w:rsid w:val="03215DBB"/>
    <w:rsid w:val="053B6F93"/>
    <w:rsid w:val="0569542A"/>
    <w:rsid w:val="056A1C9B"/>
    <w:rsid w:val="058E17C3"/>
    <w:rsid w:val="05C623E3"/>
    <w:rsid w:val="05E13E96"/>
    <w:rsid w:val="070C63F7"/>
    <w:rsid w:val="071E655A"/>
    <w:rsid w:val="079A06DE"/>
    <w:rsid w:val="079C288F"/>
    <w:rsid w:val="07AA035F"/>
    <w:rsid w:val="092501CF"/>
    <w:rsid w:val="09A3577C"/>
    <w:rsid w:val="0A5C592B"/>
    <w:rsid w:val="0B6947A3"/>
    <w:rsid w:val="0BBE182A"/>
    <w:rsid w:val="0BDB0ED0"/>
    <w:rsid w:val="0C252478"/>
    <w:rsid w:val="0C604F3E"/>
    <w:rsid w:val="0C7F5F9C"/>
    <w:rsid w:val="0D1673AC"/>
    <w:rsid w:val="0DA05C67"/>
    <w:rsid w:val="0E8D7575"/>
    <w:rsid w:val="0F7E62D9"/>
    <w:rsid w:val="0FF0332E"/>
    <w:rsid w:val="0FF5693E"/>
    <w:rsid w:val="0FF842C0"/>
    <w:rsid w:val="104C06C7"/>
    <w:rsid w:val="10AD7440"/>
    <w:rsid w:val="11C80EC8"/>
    <w:rsid w:val="11D61824"/>
    <w:rsid w:val="128C3AEF"/>
    <w:rsid w:val="12971BF6"/>
    <w:rsid w:val="13052050"/>
    <w:rsid w:val="13946E8F"/>
    <w:rsid w:val="14AD361F"/>
    <w:rsid w:val="14E37374"/>
    <w:rsid w:val="15C9134E"/>
    <w:rsid w:val="161746CA"/>
    <w:rsid w:val="16344D33"/>
    <w:rsid w:val="163D6EA7"/>
    <w:rsid w:val="171C7F0A"/>
    <w:rsid w:val="175A3EB4"/>
    <w:rsid w:val="17DF6A6A"/>
    <w:rsid w:val="17F6116D"/>
    <w:rsid w:val="1864257A"/>
    <w:rsid w:val="18990C62"/>
    <w:rsid w:val="18C07424"/>
    <w:rsid w:val="18E92A80"/>
    <w:rsid w:val="193C71B3"/>
    <w:rsid w:val="198E5044"/>
    <w:rsid w:val="1AF45ED1"/>
    <w:rsid w:val="1AF960D3"/>
    <w:rsid w:val="1B1A031F"/>
    <w:rsid w:val="1B445F3D"/>
    <w:rsid w:val="1B50209A"/>
    <w:rsid w:val="1B800327"/>
    <w:rsid w:val="1C7063D2"/>
    <w:rsid w:val="1C743077"/>
    <w:rsid w:val="1CB3587E"/>
    <w:rsid w:val="1D7F6B6F"/>
    <w:rsid w:val="1D9C429A"/>
    <w:rsid w:val="1DC23E4B"/>
    <w:rsid w:val="1DC87107"/>
    <w:rsid w:val="1E6051B9"/>
    <w:rsid w:val="1ED866A8"/>
    <w:rsid w:val="1F4B791A"/>
    <w:rsid w:val="1F9C76EA"/>
    <w:rsid w:val="1FC801A6"/>
    <w:rsid w:val="1FEB7E18"/>
    <w:rsid w:val="200044BA"/>
    <w:rsid w:val="20386654"/>
    <w:rsid w:val="20657ACC"/>
    <w:rsid w:val="21277ACF"/>
    <w:rsid w:val="214F038F"/>
    <w:rsid w:val="21993F42"/>
    <w:rsid w:val="22F03825"/>
    <w:rsid w:val="231F3D24"/>
    <w:rsid w:val="23224B94"/>
    <w:rsid w:val="23B116FA"/>
    <w:rsid w:val="23EC7CB0"/>
    <w:rsid w:val="24FC2162"/>
    <w:rsid w:val="253601CD"/>
    <w:rsid w:val="259F60C6"/>
    <w:rsid w:val="2645680C"/>
    <w:rsid w:val="264B6B28"/>
    <w:rsid w:val="284D3B11"/>
    <w:rsid w:val="287C746C"/>
    <w:rsid w:val="28B75797"/>
    <w:rsid w:val="2A0D35F0"/>
    <w:rsid w:val="2ACB1EB6"/>
    <w:rsid w:val="2B137238"/>
    <w:rsid w:val="2B367DA6"/>
    <w:rsid w:val="2B585482"/>
    <w:rsid w:val="2BF93498"/>
    <w:rsid w:val="2D0D141A"/>
    <w:rsid w:val="2D1678B4"/>
    <w:rsid w:val="2D262473"/>
    <w:rsid w:val="2D341935"/>
    <w:rsid w:val="2E5C2C7D"/>
    <w:rsid w:val="2EBA0502"/>
    <w:rsid w:val="2EC8458C"/>
    <w:rsid w:val="2F9D4B30"/>
    <w:rsid w:val="2FAD4F57"/>
    <w:rsid w:val="2FF40230"/>
    <w:rsid w:val="305129F5"/>
    <w:rsid w:val="308D07F9"/>
    <w:rsid w:val="318C6359"/>
    <w:rsid w:val="31CF72EA"/>
    <w:rsid w:val="31DF64D1"/>
    <w:rsid w:val="32081E13"/>
    <w:rsid w:val="33145172"/>
    <w:rsid w:val="33313131"/>
    <w:rsid w:val="33DC600E"/>
    <w:rsid w:val="34395EDF"/>
    <w:rsid w:val="34E640EB"/>
    <w:rsid w:val="34F82753"/>
    <w:rsid w:val="350A3B8A"/>
    <w:rsid w:val="36032F7B"/>
    <w:rsid w:val="36411618"/>
    <w:rsid w:val="365229F4"/>
    <w:rsid w:val="368F63A5"/>
    <w:rsid w:val="36C5130F"/>
    <w:rsid w:val="37156E30"/>
    <w:rsid w:val="377E425D"/>
    <w:rsid w:val="378E335C"/>
    <w:rsid w:val="38056B0D"/>
    <w:rsid w:val="38DE55D9"/>
    <w:rsid w:val="38EF5A38"/>
    <w:rsid w:val="390B0AC4"/>
    <w:rsid w:val="39963687"/>
    <w:rsid w:val="39FA5B5D"/>
    <w:rsid w:val="3A185B96"/>
    <w:rsid w:val="3A3B015B"/>
    <w:rsid w:val="3AA806E8"/>
    <w:rsid w:val="3C16201A"/>
    <w:rsid w:val="3C89666F"/>
    <w:rsid w:val="3D724D77"/>
    <w:rsid w:val="3D7C3203"/>
    <w:rsid w:val="3E2B5FF4"/>
    <w:rsid w:val="3E3F1342"/>
    <w:rsid w:val="3E651CB1"/>
    <w:rsid w:val="3EEB3B06"/>
    <w:rsid w:val="3FB44627"/>
    <w:rsid w:val="40285976"/>
    <w:rsid w:val="407B331A"/>
    <w:rsid w:val="4091030E"/>
    <w:rsid w:val="40A345AE"/>
    <w:rsid w:val="40E61B4B"/>
    <w:rsid w:val="427220B5"/>
    <w:rsid w:val="42DD535D"/>
    <w:rsid w:val="42EA1FE0"/>
    <w:rsid w:val="42FB3EAF"/>
    <w:rsid w:val="432F752F"/>
    <w:rsid w:val="433C2869"/>
    <w:rsid w:val="43632D4D"/>
    <w:rsid w:val="439C1268"/>
    <w:rsid w:val="43F90C6E"/>
    <w:rsid w:val="445A1933"/>
    <w:rsid w:val="46757834"/>
    <w:rsid w:val="46EB164F"/>
    <w:rsid w:val="478B7CD5"/>
    <w:rsid w:val="48493F5F"/>
    <w:rsid w:val="487B18D3"/>
    <w:rsid w:val="4898493C"/>
    <w:rsid w:val="48B2721C"/>
    <w:rsid w:val="497A3BC5"/>
    <w:rsid w:val="4A111BC6"/>
    <w:rsid w:val="4AFE15AB"/>
    <w:rsid w:val="4B185DFB"/>
    <w:rsid w:val="4B6C2C5F"/>
    <w:rsid w:val="4C786019"/>
    <w:rsid w:val="4CF37CC9"/>
    <w:rsid w:val="4D855537"/>
    <w:rsid w:val="4DF01686"/>
    <w:rsid w:val="4E0F194B"/>
    <w:rsid w:val="4E43602F"/>
    <w:rsid w:val="4EB946C7"/>
    <w:rsid w:val="4ED52EED"/>
    <w:rsid w:val="4F105ABD"/>
    <w:rsid w:val="4F245B9D"/>
    <w:rsid w:val="507702EA"/>
    <w:rsid w:val="510A7A1B"/>
    <w:rsid w:val="51507FF3"/>
    <w:rsid w:val="51E6296E"/>
    <w:rsid w:val="52267124"/>
    <w:rsid w:val="525A7F74"/>
    <w:rsid w:val="52D74407"/>
    <w:rsid w:val="530A54F1"/>
    <w:rsid w:val="53E30341"/>
    <w:rsid w:val="53EA723C"/>
    <w:rsid w:val="540F24E4"/>
    <w:rsid w:val="54100030"/>
    <w:rsid w:val="5485155F"/>
    <w:rsid w:val="550E7556"/>
    <w:rsid w:val="55357FF4"/>
    <w:rsid w:val="55651BAC"/>
    <w:rsid w:val="559D75F7"/>
    <w:rsid w:val="55D62C2D"/>
    <w:rsid w:val="562459EB"/>
    <w:rsid w:val="564D7C60"/>
    <w:rsid w:val="56B83077"/>
    <w:rsid w:val="56F46C70"/>
    <w:rsid w:val="570C4BF6"/>
    <w:rsid w:val="57286615"/>
    <w:rsid w:val="572C3D72"/>
    <w:rsid w:val="57F71D1B"/>
    <w:rsid w:val="58693A3C"/>
    <w:rsid w:val="58702DD9"/>
    <w:rsid w:val="58AE249C"/>
    <w:rsid w:val="58B423F9"/>
    <w:rsid w:val="58E763B0"/>
    <w:rsid w:val="59035B31"/>
    <w:rsid w:val="59B1021D"/>
    <w:rsid w:val="5AD51017"/>
    <w:rsid w:val="5AFF7905"/>
    <w:rsid w:val="5B1F2726"/>
    <w:rsid w:val="5B263367"/>
    <w:rsid w:val="5B363FB6"/>
    <w:rsid w:val="5B842949"/>
    <w:rsid w:val="5B9F3509"/>
    <w:rsid w:val="5CC013BE"/>
    <w:rsid w:val="5CE328F1"/>
    <w:rsid w:val="5E066927"/>
    <w:rsid w:val="5E4A7968"/>
    <w:rsid w:val="5E744166"/>
    <w:rsid w:val="5EB74B79"/>
    <w:rsid w:val="5F957EFD"/>
    <w:rsid w:val="5FBC2A02"/>
    <w:rsid w:val="5FE0134B"/>
    <w:rsid w:val="600141D5"/>
    <w:rsid w:val="600C566C"/>
    <w:rsid w:val="607E2E3B"/>
    <w:rsid w:val="60D04B61"/>
    <w:rsid w:val="60FE5CE6"/>
    <w:rsid w:val="61B006EC"/>
    <w:rsid w:val="620A21B1"/>
    <w:rsid w:val="62B12A60"/>
    <w:rsid w:val="62C70A97"/>
    <w:rsid w:val="62CE19D6"/>
    <w:rsid w:val="62E96ED1"/>
    <w:rsid w:val="636E5628"/>
    <w:rsid w:val="63A5278D"/>
    <w:rsid w:val="63A90EE2"/>
    <w:rsid w:val="63C21D05"/>
    <w:rsid w:val="63E54445"/>
    <w:rsid w:val="6406435F"/>
    <w:rsid w:val="643447E4"/>
    <w:rsid w:val="643C3612"/>
    <w:rsid w:val="64766B8C"/>
    <w:rsid w:val="64A644B8"/>
    <w:rsid w:val="64FE437C"/>
    <w:rsid w:val="65A92F30"/>
    <w:rsid w:val="663568D1"/>
    <w:rsid w:val="66940E54"/>
    <w:rsid w:val="671D35ED"/>
    <w:rsid w:val="67EC27B5"/>
    <w:rsid w:val="680B57A7"/>
    <w:rsid w:val="68282249"/>
    <w:rsid w:val="68355FA4"/>
    <w:rsid w:val="68A929A0"/>
    <w:rsid w:val="690D3B6E"/>
    <w:rsid w:val="693365A4"/>
    <w:rsid w:val="6A641533"/>
    <w:rsid w:val="6ABE09E2"/>
    <w:rsid w:val="6B595A40"/>
    <w:rsid w:val="6B6553CA"/>
    <w:rsid w:val="6B7D7247"/>
    <w:rsid w:val="6C8B2DA7"/>
    <w:rsid w:val="6CC15498"/>
    <w:rsid w:val="6D8A69D1"/>
    <w:rsid w:val="6D9B0FB6"/>
    <w:rsid w:val="6DC92C5F"/>
    <w:rsid w:val="6DF942F2"/>
    <w:rsid w:val="6DFD5327"/>
    <w:rsid w:val="6EAD16FA"/>
    <w:rsid w:val="6F1865EB"/>
    <w:rsid w:val="6FB47B94"/>
    <w:rsid w:val="6FE6429A"/>
    <w:rsid w:val="70602C28"/>
    <w:rsid w:val="70770EB2"/>
    <w:rsid w:val="70810D0B"/>
    <w:rsid w:val="71624A5B"/>
    <w:rsid w:val="722A3062"/>
    <w:rsid w:val="727716CF"/>
    <w:rsid w:val="72CF3695"/>
    <w:rsid w:val="72F40693"/>
    <w:rsid w:val="73777832"/>
    <w:rsid w:val="737D60E3"/>
    <w:rsid w:val="745D4373"/>
    <w:rsid w:val="746740F9"/>
    <w:rsid w:val="74B3733F"/>
    <w:rsid w:val="75AF6552"/>
    <w:rsid w:val="78395DAD"/>
    <w:rsid w:val="78516D57"/>
    <w:rsid w:val="787933AD"/>
    <w:rsid w:val="78930B18"/>
    <w:rsid w:val="79155A22"/>
    <w:rsid w:val="79AD5803"/>
    <w:rsid w:val="7AF13B8F"/>
    <w:rsid w:val="7B68274C"/>
    <w:rsid w:val="7BB37C24"/>
    <w:rsid w:val="7BE14690"/>
    <w:rsid w:val="7C617073"/>
    <w:rsid w:val="7CA13075"/>
    <w:rsid w:val="7D257A27"/>
    <w:rsid w:val="7DA24D3F"/>
    <w:rsid w:val="7DB128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qFormat="1"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1"/>
    <w:next w:val="1"/>
    <w:autoRedefine/>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qFormat/>
    <w:uiPriority w:val="0"/>
    <w:pPr>
      <w:numPr>
        <w:ilvl w:val="2"/>
        <w:numId w:val="1"/>
      </w:numPr>
      <w:spacing w:before="120" w:beforeLines="50" w:after="120" w:afterLines="50"/>
      <w:outlineLvl w:val="2"/>
    </w:pPr>
    <w:rPr>
      <w:rFonts w:eastAsia="华文中宋"/>
      <w:b/>
      <w:bCs/>
      <w:sz w:val="28"/>
      <w:szCs w:val="32"/>
    </w:rPr>
  </w:style>
  <w:style w:type="paragraph" w:styleId="5">
    <w:name w:val="heading 4"/>
    <w:basedOn w:val="1"/>
    <w:next w:val="1"/>
    <w:autoRedefine/>
    <w:qFormat/>
    <w:uiPriority w:val="0"/>
    <w:pPr>
      <w:numPr>
        <w:ilvl w:val="3"/>
        <w:numId w:val="1"/>
      </w:numPr>
      <w:spacing w:before="120" w:beforeLines="50" w:after="120" w:afterLines="50"/>
      <w:outlineLvl w:val="3"/>
    </w:pPr>
    <w:rPr>
      <w:rFonts w:eastAsia="华文中宋"/>
      <w:b/>
      <w:bCs/>
      <w:sz w:val="24"/>
      <w:szCs w:val="28"/>
    </w:rPr>
  </w:style>
  <w:style w:type="paragraph" w:styleId="6">
    <w:name w:val="heading 5"/>
    <w:basedOn w:val="1"/>
    <w:next w:val="1"/>
    <w:qFormat/>
    <w:uiPriority w:val="9"/>
    <w:pPr>
      <w:keepNext/>
      <w:keepLines/>
      <w:spacing w:before="280" w:after="290" w:line="376" w:lineRule="auto"/>
      <w:outlineLvl w:val="4"/>
    </w:pPr>
    <w:rPr>
      <w:b/>
      <w:bCs/>
      <w:sz w:val="28"/>
      <w:szCs w:val="28"/>
    </w:rPr>
  </w:style>
  <w:style w:type="character" w:default="1" w:styleId="27">
    <w:name w:val="Default Paragraph Font"/>
    <w:autoRedefine/>
    <w:semiHidden/>
    <w:qFormat/>
    <w:uiPriority w:val="0"/>
  </w:style>
  <w:style w:type="table" w:default="1" w:styleId="25">
    <w:name w:val="Normal Table"/>
    <w:autoRedefine/>
    <w:semiHidden/>
    <w:qFormat/>
    <w:uiPriority w:val="0"/>
    <w:tblPr>
      <w:tblCellMar>
        <w:top w:w="0" w:type="dxa"/>
        <w:left w:w="108" w:type="dxa"/>
        <w:bottom w:w="0" w:type="dxa"/>
        <w:right w:w="108" w:type="dxa"/>
      </w:tblCellMar>
    </w:tblPr>
  </w:style>
  <w:style w:type="paragraph" w:styleId="7">
    <w:name w:val="Note Heading"/>
    <w:basedOn w:val="1"/>
    <w:next w:val="1"/>
    <w:unhideWhenUsed/>
    <w:qFormat/>
    <w:uiPriority w:val="0"/>
    <w:pPr>
      <w:jc w:val="center"/>
    </w:pPr>
  </w:style>
  <w:style w:type="paragraph" w:styleId="8">
    <w:name w:val="List Bullet 4"/>
    <w:basedOn w:val="1"/>
    <w:autoRedefine/>
    <w:qFormat/>
    <w:uiPriority w:val="0"/>
    <w:pPr>
      <w:numPr>
        <w:ilvl w:val="0"/>
        <w:numId w:val="2"/>
      </w:numPr>
    </w:pPr>
  </w:style>
  <w:style w:type="paragraph" w:styleId="9">
    <w:name w:val="Normal Indent"/>
    <w:basedOn w:val="1"/>
    <w:next w:val="10"/>
    <w:autoRedefine/>
    <w:qFormat/>
    <w:uiPriority w:val="0"/>
    <w:pPr>
      <w:ind w:firstLine="420"/>
    </w:pPr>
    <w:rPr>
      <w:rFonts w:ascii="宋体"/>
      <w:kern w:val="0"/>
      <w:sz w:val="24"/>
      <w:szCs w:val="20"/>
    </w:rPr>
  </w:style>
  <w:style w:type="paragraph" w:styleId="10">
    <w:name w:val="Body Text First Indent 2"/>
    <w:basedOn w:val="11"/>
    <w:next w:val="1"/>
    <w:qFormat/>
    <w:uiPriority w:val="0"/>
    <w:pPr>
      <w:ind w:firstLine="420" w:firstLineChars="200"/>
    </w:pPr>
    <w:rPr>
      <w:kern w:val="0"/>
    </w:rPr>
  </w:style>
  <w:style w:type="paragraph" w:styleId="11">
    <w:name w:val="Body Text Indent"/>
    <w:basedOn w:val="1"/>
    <w:next w:val="1"/>
    <w:qFormat/>
    <w:uiPriority w:val="0"/>
    <w:pPr>
      <w:spacing w:after="120"/>
      <w:ind w:left="420" w:leftChars="200"/>
    </w:pPr>
    <w:rPr>
      <w:kern w:val="0"/>
      <w:sz w:val="24"/>
      <w:szCs w:val="20"/>
    </w:rPr>
  </w:style>
  <w:style w:type="paragraph" w:styleId="12">
    <w:name w:val="annotation text"/>
    <w:basedOn w:val="1"/>
    <w:qFormat/>
    <w:uiPriority w:val="0"/>
    <w:pPr>
      <w:jc w:val="left"/>
    </w:pPr>
  </w:style>
  <w:style w:type="paragraph" w:styleId="13">
    <w:name w:val="Salutation"/>
    <w:basedOn w:val="1"/>
    <w:next w:val="1"/>
    <w:qFormat/>
    <w:uiPriority w:val="0"/>
  </w:style>
  <w:style w:type="paragraph" w:styleId="14">
    <w:name w:val="Body Text"/>
    <w:basedOn w:val="1"/>
    <w:next w:val="15"/>
    <w:autoRedefine/>
    <w:qFormat/>
    <w:uiPriority w:val="0"/>
    <w:pPr>
      <w:ind w:left="2327"/>
    </w:pPr>
    <w:rPr>
      <w:rFonts w:hint="eastAsia" w:ascii="宋体" w:hAnsi="宋体"/>
      <w:sz w:val="32"/>
    </w:rPr>
  </w:style>
  <w:style w:type="paragraph" w:customStyle="1" w:styleId="15">
    <w:name w:val="xl27"/>
    <w:basedOn w:val="1"/>
    <w:autoRedefine/>
    <w:qFormat/>
    <w:uiPriority w:val="0"/>
    <w:pPr>
      <w:widowControl/>
      <w:pBdr>
        <w:top w:val="single" w:color="auto" w:sz="4" w:space="0"/>
        <w:left w:val="single" w:color="auto" w:sz="4" w:space="0"/>
        <w:bottom w:val="single" w:color="auto" w:sz="4" w:space="0"/>
        <w:right w:val="single" w:color="auto" w:sz="4" w:space="0"/>
      </w:pBdr>
      <w:adjustRightInd w:val="0"/>
      <w:snapToGrid w:val="0"/>
      <w:spacing w:before="100" w:beforeAutospacing="1" w:after="100" w:afterAutospacing="1" w:line="360" w:lineRule="auto"/>
      <w:ind w:firstLine="200" w:firstLineChars="200"/>
      <w:jc w:val="center"/>
      <w:textAlignment w:val="center"/>
    </w:pPr>
    <w:rPr>
      <w:rFonts w:hint="eastAsia" w:ascii="PMingLiU" w:eastAsia="PMingLiU"/>
      <w:kern w:val="0"/>
      <w:sz w:val="16"/>
      <w:szCs w:val="16"/>
      <w:lang w:eastAsia="zh-TW"/>
    </w:rPr>
  </w:style>
  <w:style w:type="paragraph" w:styleId="16">
    <w:name w:val="Plain Text"/>
    <w:basedOn w:val="1"/>
    <w:next w:val="13"/>
    <w:autoRedefine/>
    <w:qFormat/>
    <w:uiPriority w:val="0"/>
    <w:rPr>
      <w:rFonts w:ascii="宋体" w:hAnsi="Courier New"/>
      <w:szCs w:val="21"/>
    </w:rPr>
  </w:style>
  <w:style w:type="paragraph" w:styleId="17">
    <w:name w:val="Body Text Indent 2"/>
    <w:basedOn w:val="1"/>
    <w:next w:val="10"/>
    <w:autoRedefine/>
    <w:qFormat/>
    <w:uiPriority w:val="0"/>
    <w:pPr>
      <w:spacing w:after="120" w:afterLines="0" w:line="480" w:lineRule="auto"/>
      <w:ind w:left="420" w:leftChars="200"/>
    </w:pPr>
    <w:rPr>
      <w:rFonts w:ascii="Times New Roman" w:hAnsi="Times New Roman"/>
      <w:szCs w:val="24"/>
    </w:rPr>
  </w:style>
  <w:style w:type="paragraph" w:styleId="18">
    <w:name w:val="footer"/>
    <w:basedOn w:val="1"/>
    <w:autoRedefine/>
    <w:qFormat/>
    <w:uiPriority w:val="99"/>
    <w:pPr>
      <w:tabs>
        <w:tab w:val="center" w:pos="4153"/>
        <w:tab w:val="right" w:pos="8306"/>
      </w:tabs>
      <w:snapToGrid w:val="0"/>
      <w:jc w:val="left"/>
    </w:pPr>
    <w:rPr>
      <w:kern w:val="0"/>
      <w:sz w:val="18"/>
      <w:szCs w:val="20"/>
    </w:rPr>
  </w:style>
  <w:style w:type="paragraph" w:styleId="19">
    <w:name w:val="envelope return"/>
    <w:basedOn w:val="1"/>
    <w:autoRedefine/>
    <w:qFormat/>
    <w:uiPriority w:val="0"/>
    <w:pPr>
      <w:snapToGrid w:val="0"/>
      <w:spacing w:line="480" w:lineRule="exact"/>
    </w:pPr>
    <w:rPr>
      <w:rFonts w:ascii="Arial" w:hAnsi="Arial" w:cs="Arial"/>
      <w:szCs w:val="24"/>
    </w:rPr>
  </w:style>
  <w:style w:type="paragraph" w:styleId="2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1">
    <w:name w:val="toc 1"/>
    <w:basedOn w:val="1"/>
    <w:next w:val="1"/>
    <w:qFormat/>
    <w:uiPriority w:val="0"/>
    <w:pPr>
      <w:widowControl/>
      <w:spacing w:line="400" w:lineRule="exact"/>
      <w:jc w:val="left"/>
    </w:pPr>
    <w:rPr>
      <w:rFonts w:cs="宋体"/>
      <w:kern w:val="0"/>
      <w:sz w:val="20"/>
    </w:rPr>
  </w:style>
  <w:style w:type="paragraph" w:styleId="22">
    <w:name w:val="Body Text 2"/>
    <w:basedOn w:val="1"/>
    <w:next w:val="1"/>
    <w:autoRedefine/>
    <w:unhideWhenUsed/>
    <w:qFormat/>
    <w:uiPriority w:val="99"/>
    <w:pPr>
      <w:spacing w:after="120" w:line="480" w:lineRule="auto"/>
    </w:pPr>
    <w:rPr>
      <w:kern w:val="0"/>
      <w:sz w:val="20"/>
    </w:rPr>
  </w:style>
  <w:style w:type="paragraph" w:styleId="23">
    <w:name w:val="Normal (Web)"/>
    <w:basedOn w:val="1"/>
    <w:autoRedefine/>
    <w:qFormat/>
    <w:uiPriority w:val="0"/>
    <w:pPr>
      <w:widowControl/>
      <w:spacing w:before="100" w:beforeAutospacing="1" w:after="100" w:afterAutospacing="1"/>
      <w:jc w:val="left"/>
    </w:pPr>
    <w:rPr>
      <w:rFonts w:ascii="宋体" w:hAnsi="宋体"/>
      <w:kern w:val="0"/>
      <w:sz w:val="24"/>
      <w:szCs w:val="20"/>
    </w:rPr>
  </w:style>
  <w:style w:type="paragraph" w:styleId="24">
    <w:name w:val="Body Text First Indent"/>
    <w:basedOn w:val="1"/>
    <w:autoRedefine/>
    <w:unhideWhenUsed/>
    <w:qFormat/>
    <w:uiPriority w:val="0"/>
    <w:pPr>
      <w:ind w:firstLine="420" w:firstLineChars="100"/>
    </w:pPr>
  </w:style>
  <w:style w:type="table" w:styleId="26">
    <w:name w:val="Table Grid"/>
    <w:basedOn w:val="25"/>
    <w:autoRedefine/>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rPr>
  </w:style>
  <w:style w:type="character" w:styleId="29">
    <w:name w:val="page number"/>
    <w:autoRedefine/>
    <w:qFormat/>
    <w:uiPriority w:val="0"/>
  </w:style>
  <w:style w:type="character" w:styleId="30">
    <w:name w:val="Hyperlink"/>
    <w:basedOn w:val="27"/>
    <w:qFormat/>
    <w:uiPriority w:val="0"/>
    <w:rPr>
      <w:color w:val="0000FF"/>
      <w:u w:val="single"/>
    </w:rPr>
  </w:style>
  <w:style w:type="character" w:styleId="31">
    <w:name w:val="annotation reference"/>
    <w:semiHidden/>
    <w:qFormat/>
    <w:uiPriority w:val="0"/>
    <w:rPr>
      <w:sz w:val="21"/>
    </w:rPr>
  </w:style>
  <w:style w:type="character" w:customStyle="1" w:styleId="32">
    <w:name w:val="font01"/>
    <w:basedOn w:val="27"/>
    <w:qFormat/>
    <w:uiPriority w:val="0"/>
    <w:rPr>
      <w:rFonts w:hint="eastAsia" w:ascii="宋体" w:hAnsi="宋体" w:eastAsia="宋体" w:cs="宋体"/>
      <w:color w:val="000000"/>
      <w:sz w:val="24"/>
      <w:szCs w:val="24"/>
      <w:u w:val="none"/>
    </w:rPr>
  </w:style>
  <w:style w:type="paragraph" w:customStyle="1" w:styleId="33">
    <w:name w:val="Default"/>
    <w:basedOn w:val="34"/>
    <w:next w:val="35"/>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34">
    <w:name w:val="List Paragraph"/>
    <w:basedOn w:val="1"/>
    <w:autoRedefine/>
    <w:qFormat/>
    <w:uiPriority w:val="34"/>
    <w:pPr>
      <w:ind w:firstLine="420" w:firstLineChars="200"/>
    </w:pPr>
  </w:style>
  <w:style w:type="paragraph" w:customStyle="1" w:styleId="35">
    <w:name w:val="样式35"/>
    <w:basedOn w:val="14"/>
    <w:autoRedefine/>
    <w:qFormat/>
    <w:uiPriority w:val="0"/>
    <w:pPr>
      <w:adjustRightInd w:val="0"/>
      <w:spacing w:line="312" w:lineRule="auto"/>
      <w:ind w:firstLine="567"/>
    </w:pPr>
    <w:rPr>
      <w:rFonts w:ascii="宋体"/>
      <w:kern w:val="0"/>
      <w:sz w:val="28"/>
      <w:szCs w:val="20"/>
    </w:rPr>
  </w:style>
  <w:style w:type="paragraph" w:customStyle="1" w:styleId="36">
    <w:name w:val="A正文"/>
    <w:basedOn w:val="1"/>
    <w:next w:val="14"/>
    <w:autoRedefine/>
    <w:qFormat/>
    <w:uiPriority w:val="0"/>
    <w:pPr>
      <w:widowControl/>
      <w:overflowPunct w:val="0"/>
      <w:autoSpaceDE w:val="0"/>
      <w:autoSpaceDN w:val="0"/>
      <w:adjustRightInd w:val="0"/>
      <w:snapToGrid w:val="0"/>
      <w:spacing w:line="360" w:lineRule="auto"/>
      <w:ind w:firstLine="200" w:firstLineChars="200"/>
      <w:jc w:val="left"/>
      <w:textAlignment w:val="baseline"/>
    </w:pPr>
    <w:rPr>
      <w:rFonts w:eastAsia="仿宋_GB2312"/>
      <w:kern w:val="0"/>
      <w:sz w:val="24"/>
      <w:szCs w:val="20"/>
    </w:rPr>
  </w:style>
  <w:style w:type="paragraph" w:customStyle="1" w:styleId="37">
    <w:name w:val="环评表头"/>
    <w:basedOn w:val="1"/>
    <w:next w:val="38"/>
    <w:autoRedefine/>
    <w:qFormat/>
    <w:uiPriority w:val="0"/>
    <w:pPr>
      <w:wordWrap w:val="0"/>
      <w:adjustRightInd w:val="0"/>
      <w:spacing w:line="360" w:lineRule="auto"/>
      <w:ind w:left="0"/>
      <w:jc w:val="center"/>
    </w:pPr>
    <w:rPr>
      <w:rFonts w:ascii="Times New Roman" w:hAnsi="Times New Roman" w:eastAsia="宋体" w:cs="Times New Roman"/>
      <w:b/>
      <w:sz w:val="24"/>
      <w:szCs w:val="22"/>
    </w:rPr>
  </w:style>
  <w:style w:type="paragraph" w:customStyle="1" w:styleId="38">
    <w:name w:val="表格题目"/>
    <w:basedOn w:val="1"/>
    <w:autoRedefine/>
    <w:qFormat/>
    <w:uiPriority w:val="0"/>
    <w:pPr>
      <w:spacing w:line="240" w:lineRule="atLeast"/>
      <w:jc w:val="center"/>
    </w:pPr>
    <w:rPr>
      <w:rFonts w:ascii="黑体" w:hAnsi="宋体" w:eastAsia="黑体"/>
      <w:sz w:val="24"/>
      <w:szCs w:val="24"/>
    </w:rPr>
  </w:style>
  <w:style w:type="paragraph" w:customStyle="1" w:styleId="39">
    <w:name w:val="环评表表格内容"/>
    <w:basedOn w:val="1"/>
    <w:next w:val="40"/>
    <w:autoRedefine/>
    <w:qFormat/>
    <w:uiPriority w:val="0"/>
    <w:pPr>
      <w:snapToGrid w:val="0"/>
      <w:spacing w:line="240" w:lineRule="auto"/>
      <w:jc w:val="center"/>
    </w:pPr>
    <w:rPr>
      <w:rFonts w:hint="default" w:ascii="Times New Roman" w:hAnsi="Times New Roman"/>
      <w:bCs/>
      <w:sz w:val="21"/>
      <w:szCs w:val="18"/>
    </w:rPr>
  </w:style>
  <w:style w:type="paragraph" w:customStyle="1" w:styleId="40">
    <w:name w:val="表格文字"/>
    <w:basedOn w:val="1"/>
    <w:autoRedefine/>
    <w:qFormat/>
    <w:uiPriority w:val="0"/>
    <w:pPr>
      <w:jc w:val="center"/>
    </w:pPr>
    <w:rPr>
      <w:rFonts w:ascii="方正仿宋_GB2312" w:hAnsi="Arial Black" w:eastAsia="方正仿宋_GB2312"/>
      <w:kern w:val="44"/>
      <w:sz w:val="24"/>
    </w:rPr>
  </w:style>
  <w:style w:type="paragraph" w:customStyle="1" w:styleId="41">
    <w:name w:val="正文格式"/>
    <w:basedOn w:val="1"/>
    <w:autoRedefine/>
    <w:qFormat/>
    <w:uiPriority w:val="0"/>
    <w:pPr>
      <w:spacing w:line="360" w:lineRule="auto"/>
      <w:ind w:firstLine="544" w:firstLineChars="200"/>
    </w:pPr>
    <w:rPr>
      <w:sz w:val="24"/>
      <w:szCs w:val="20"/>
    </w:rPr>
  </w:style>
  <w:style w:type="table" w:customStyle="1" w:styleId="42">
    <w:name w:val="Table Normal"/>
    <w:autoRedefine/>
    <w:unhideWhenUsed/>
    <w:qFormat/>
    <w:uiPriority w:val="0"/>
    <w:tblPr>
      <w:tblCellMar>
        <w:top w:w="0" w:type="dxa"/>
        <w:left w:w="0" w:type="dxa"/>
        <w:bottom w:w="0" w:type="dxa"/>
        <w:right w:w="0" w:type="dxa"/>
      </w:tblCellMar>
    </w:tblPr>
  </w:style>
  <w:style w:type="paragraph" w:customStyle="1" w:styleId="43">
    <w:name w:val="正文修改"/>
    <w:basedOn w:val="1"/>
    <w:autoRedefine/>
    <w:qFormat/>
    <w:uiPriority w:val="0"/>
    <w:pPr>
      <w:spacing w:line="360" w:lineRule="auto"/>
      <w:ind w:firstLine="200" w:firstLineChars="200"/>
    </w:pPr>
    <w:rPr>
      <w:rFonts w:cs="宋体"/>
      <w:kern w:val="0"/>
      <w:sz w:val="24"/>
      <w:szCs w:val="20"/>
    </w:rPr>
  </w:style>
  <w:style w:type="paragraph" w:customStyle="1" w:styleId="44">
    <w:name w:val="5级表头"/>
    <w:basedOn w:val="34"/>
    <w:autoRedefine/>
    <w:qFormat/>
    <w:uiPriority w:val="0"/>
    <w:pPr>
      <w:autoSpaceDE w:val="0"/>
      <w:spacing w:beforeAutospacing="0" w:afterAutospacing="0"/>
      <w:ind w:firstLine="0" w:firstLineChars="0"/>
      <w:jc w:val="center"/>
    </w:pPr>
    <w:rPr>
      <w:rFonts w:ascii="宋体" w:hAnsi="宋体" w:eastAsia="宋体" w:cs="Times New Roman"/>
      <w:b/>
      <w:kern w:val="2"/>
      <w:sz w:val="21"/>
      <w:szCs w:val="21"/>
    </w:rPr>
  </w:style>
  <w:style w:type="paragraph" w:customStyle="1" w:styleId="45">
    <w:name w:val="市环科院正文"/>
    <w:basedOn w:val="1"/>
    <w:autoRedefine/>
    <w:qFormat/>
    <w:uiPriority w:val="0"/>
    <w:pPr>
      <w:spacing w:line="300" w:lineRule="auto"/>
      <w:ind w:firstLine="480" w:firstLineChars="200"/>
    </w:pPr>
    <w:rPr>
      <w:sz w:val="24"/>
    </w:rPr>
  </w:style>
  <w:style w:type="paragraph" w:customStyle="1" w:styleId="46">
    <w:name w:val="标题4"/>
    <w:basedOn w:val="1"/>
    <w:autoRedefine/>
    <w:qFormat/>
    <w:uiPriority w:val="0"/>
    <w:pPr>
      <w:autoSpaceDE w:val="0"/>
      <w:autoSpaceDN w:val="0"/>
      <w:adjustRightInd w:val="0"/>
      <w:spacing w:line="360" w:lineRule="auto"/>
      <w:jc w:val="left"/>
      <w:textAlignment w:val="baseline"/>
    </w:pPr>
    <w:rPr>
      <w:b/>
      <w:snapToGrid w:val="0"/>
      <w:kern w:val="0"/>
      <w:szCs w:val="20"/>
    </w:rPr>
  </w:style>
  <w:style w:type="paragraph" w:customStyle="1" w:styleId="47">
    <w:name w:val="标题2"/>
    <w:basedOn w:val="3"/>
    <w:autoRedefine/>
    <w:qFormat/>
    <w:uiPriority w:val="0"/>
    <w:pPr>
      <w:numPr>
        <w:ilvl w:val="1"/>
        <w:numId w:val="3"/>
      </w:numPr>
      <w:spacing w:before="0" w:after="0" w:line="440" w:lineRule="exact"/>
    </w:pPr>
    <w:rPr>
      <w:kern w:val="0"/>
      <w:sz w:val="28"/>
    </w:rPr>
  </w:style>
  <w:style w:type="paragraph" w:customStyle="1" w:styleId="48">
    <w:name w:val="1正文段落"/>
    <w:basedOn w:val="1"/>
    <w:autoRedefine/>
    <w:qFormat/>
    <w:uiPriority w:val="0"/>
    <w:pPr>
      <w:spacing w:line="360" w:lineRule="auto"/>
      <w:ind w:firstLine="480" w:firstLineChars="200"/>
      <w:jc w:val="left"/>
    </w:pPr>
    <w:rPr>
      <w:snapToGrid w:val="0"/>
      <w:kern w:val="0"/>
      <w:sz w:val="24"/>
      <w:szCs w:val="24"/>
    </w:rPr>
  </w:style>
  <w:style w:type="paragraph" w:customStyle="1" w:styleId="49">
    <w:name w:val="Table Text"/>
    <w:basedOn w:val="1"/>
    <w:autoRedefine/>
    <w:semiHidden/>
    <w:qFormat/>
    <w:uiPriority w:val="0"/>
    <w:rPr>
      <w:rFonts w:ascii="宋体" w:hAnsi="宋体" w:eastAsia="宋体" w:cs="宋体"/>
      <w:sz w:val="24"/>
      <w:szCs w:val="24"/>
      <w:lang w:val="en-US" w:eastAsia="en-US" w:bidi="ar-SA"/>
    </w:rPr>
  </w:style>
  <w:style w:type="paragraph" w:customStyle="1" w:styleId="50">
    <w:name w:val="表头"/>
    <w:basedOn w:val="9"/>
    <w:next w:val="1"/>
    <w:autoRedefine/>
    <w:qFormat/>
    <w:uiPriority w:val="0"/>
    <w:pPr>
      <w:spacing w:before="120" w:beforeLines="50" w:after="120" w:afterLines="50"/>
      <w:jc w:val="center"/>
    </w:pPr>
    <w:rPr>
      <w:rFonts w:eastAsia="黑体"/>
    </w:rPr>
  </w:style>
  <w:style w:type="paragraph" w:customStyle="1" w:styleId="51">
    <w:name w:val="表格"/>
    <w:basedOn w:val="16"/>
    <w:next w:val="1"/>
    <w:autoRedefine/>
    <w:qFormat/>
    <w:uiPriority w:val="0"/>
    <w:pPr>
      <w:adjustRightInd w:val="0"/>
      <w:snapToGrid w:val="0"/>
      <w:spacing w:beforeLines="10" w:afterLines="10" w:line="259" w:lineRule="auto"/>
      <w:jc w:val="center"/>
    </w:pPr>
    <w:rPr>
      <w:rFonts w:ascii="宋体"/>
      <w:kern w:val="0"/>
      <w:szCs w:val="20"/>
    </w:rPr>
  </w:style>
  <w:style w:type="paragraph" w:customStyle="1" w:styleId="52">
    <w:name w:val="报告表正文"/>
    <w:basedOn w:val="53"/>
    <w:autoRedefine/>
    <w:qFormat/>
    <w:uiPriority w:val="0"/>
    <w:pPr>
      <w:adjustRightInd w:val="0"/>
      <w:spacing w:line="312" w:lineRule="auto"/>
      <w:ind w:left="113" w:right="113" w:firstLine="482"/>
      <w:jc w:val="left"/>
      <w:textAlignment w:val="baseline"/>
    </w:pPr>
    <w:rPr>
      <w:kern w:val="0"/>
      <w:sz w:val="24"/>
      <w:szCs w:val="20"/>
    </w:rPr>
  </w:style>
  <w:style w:type="paragraph" w:customStyle="1" w:styleId="53">
    <w:name w:val="列表1"/>
    <w:basedOn w:val="1"/>
    <w:qFormat/>
    <w:uiPriority w:val="0"/>
    <w:pPr>
      <w:spacing w:line="400" w:lineRule="exact"/>
      <w:jc w:val="center"/>
    </w:pPr>
    <w:rPr>
      <w:rFonts w:ascii="宋体" w:hAnsi="宋体" w:eastAsia="仿宋_GB2312"/>
      <w:sz w:val="24"/>
      <w:szCs w:val="20"/>
    </w:rPr>
  </w:style>
  <w:style w:type="paragraph" w:customStyle="1" w:styleId="54">
    <w:name w:val="环评报告正文"/>
    <w:basedOn w:val="1"/>
    <w:autoRedefine/>
    <w:qFormat/>
    <w:uiPriority w:val="0"/>
    <w:pPr>
      <w:spacing w:line="360" w:lineRule="auto"/>
      <w:ind w:firstLine="480" w:firstLineChars="200"/>
      <w:jc w:val="left"/>
    </w:pPr>
    <w:rPr>
      <w:color w:val="000000"/>
      <w:sz w:val="24"/>
      <w:szCs w:val="20"/>
    </w:rPr>
  </w:style>
  <w:style w:type="paragraph" w:customStyle="1" w:styleId="55">
    <w:name w:val="正文lcc"/>
    <w:basedOn w:val="1"/>
    <w:autoRedefine/>
    <w:qFormat/>
    <w:uiPriority w:val="0"/>
    <w:pPr>
      <w:snapToGrid w:val="0"/>
      <w:spacing w:line="360" w:lineRule="auto"/>
      <w:ind w:firstLine="480" w:firstLineChars="200"/>
    </w:pPr>
    <w:rPr>
      <w:color w:val="000000"/>
      <w:sz w:val="24"/>
      <w:szCs w:val="20"/>
    </w:rPr>
  </w:style>
  <w:style w:type="paragraph" w:customStyle="1" w:styleId="56">
    <w:name w:val="列出段落1"/>
    <w:basedOn w:val="1"/>
    <w:autoRedefine/>
    <w:qFormat/>
    <w:uiPriority w:val="34"/>
    <w:pPr>
      <w:widowControl/>
      <w:spacing w:line="360" w:lineRule="auto"/>
      <w:ind w:firstLine="420" w:firstLineChars="200"/>
    </w:pPr>
    <w:rPr>
      <w:kern w:val="0"/>
      <w:sz w:val="24"/>
      <w:szCs w:val="20"/>
    </w:rPr>
  </w:style>
  <w:style w:type="paragraph" w:customStyle="1" w:styleId="57">
    <w:name w:val="_正文格式"/>
    <w:basedOn w:val="1"/>
    <w:autoRedefine/>
    <w:qFormat/>
    <w:uiPriority w:val="0"/>
    <w:pPr>
      <w:spacing w:line="480" w:lineRule="exact"/>
      <w:ind w:firstLine="567"/>
    </w:pPr>
    <w:rPr>
      <w:rFonts w:eastAsia="方正仿宋_GB2312"/>
      <w:sz w:val="28"/>
    </w:rPr>
  </w:style>
  <w:style w:type="paragraph" w:customStyle="1" w:styleId="58">
    <w:name w:val="1级标题"/>
    <w:basedOn w:val="2"/>
    <w:autoRedefine/>
    <w:qFormat/>
    <w:uiPriority w:val="0"/>
    <w:pPr>
      <w:keepNext w:val="0"/>
      <w:keepLines w:val="0"/>
      <w:tabs>
        <w:tab w:val="left" w:pos="360"/>
      </w:tabs>
      <w:spacing w:before="0" w:after="0" w:line="360" w:lineRule="auto"/>
    </w:pPr>
    <w:rPr>
      <w:rFonts w:ascii="黑体" w:eastAsia="黑体"/>
      <w:sz w:val="30"/>
      <w:szCs w:val="30"/>
    </w:rPr>
  </w:style>
  <w:style w:type="character" w:customStyle="1" w:styleId="59">
    <w:name w:val="hxtj3"/>
    <w:autoRedefine/>
    <w:qFormat/>
    <w:uiPriority w:val="0"/>
    <w:rPr>
      <w:color w:val="000000"/>
      <w:sz w:val="18"/>
      <w:szCs w:val="18"/>
      <w:u w:val="none"/>
    </w:rPr>
  </w:style>
  <w:style w:type="paragraph" w:customStyle="1" w:styleId="60">
    <w:name w:val="表格中文字"/>
    <w:autoRedefine/>
    <w:qFormat/>
    <w:uiPriority w:val="0"/>
    <w:pPr>
      <w:jc w:val="center"/>
    </w:pPr>
    <w:rPr>
      <w:rFonts w:ascii="Times New Roman" w:hAnsi="宋体" w:eastAsia="宋体" w:cs="Times New Roman"/>
      <w:kern w:val="18"/>
      <w:sz w:val="24"/>
      <w:szCs w:val="24"/>
      <w:lang w:val="en-US" w:eastAsia="zh-CN" w:bidi="ar-SA"/>
    </w:rPr>
  </w:style>
  <w:style w:type="paragraph" w:customStyle="1" w:styleId="61">
    <w:name w:val="正文文本 21"/>
    <w:basedOn w:val="1"/>
    <w:autoRedefine/>
    <w:qFormat/>
    <w:uiPriority w:val="0"/>
    <w:pPr>
      <w:adjustRightInd w:val="0"/>
      <w:jc w:val="center"/>
      <w:textAlignment w:val="baseline"/>
    </w:pPr>
    <w:rPr>
      <w:sz w:val="24"/>
      <w:szCs w:val="20"/>
    </w:rPr>
  </w:style>
  <w:style w:type="paragraph" w:customStyle="1" w:styleId="62">
    <w:name w:val="正文4号"/>
    <w:autoRedefine/>
    <w:qFormat/>
    <w:uiPriority w:val="0"/>
    <w:pPr>
      <w:widowControl w:val="0"/>
      <w:adjustRightInd w:val="0"/>
      <w:snapToGrid w:val="0"/>
      <w:spacing w:line="360" w:lineRule="auto"/>
      <w:ind w:firstLine="200" w:firstLineChars="200"/>
      <w:jc w:val="both"/>
    </w:pPr>
    <w:rPr>
      <w:rFonts w:ascii="Times New Roman" w:hAnsi="Times New Roman" w:eastAsia="Times New Roman" w:cs="Times New Roman"/>
      <w:kern w:val="2"/>
      <w:sz w:val="24"/>
      <w:szCs w:val="24"/>
      <w:lang w:val="en-US" w:eastAsia="zh-CN" w:bidi="ar-SA"/>
    </w:rPr>
  </w:style>
  <w:style w:type="character" w:customStyle="1" w:styleId="63">
    <w:name w:val="font21"/>
    <w:basedOn w:val="27"/>
    <w:autoRedefine/>
    <w:qFormat/>
    <w:uiPriority w:val="0"/>
    <w:rPr>
      <w:rFonts w:hint="default" w:ascii="Times New Roman" w:hAnsi="Times New Roman" w:cs="Times New Roman"/>
      <w:color w:val="000000"/>
      <w:sz w:val="21"/>
      <w:szCs w:val="21"/>
      <w:u w:val="none"/>
    </w:rPr>
  </w:style>
  <w:style w:type="character" w:customStyle="1" w:styleId="64">
    <w:name w:val="font11"/>
    <w:basedOn w:val="27"/>
    <w:autoRedefine/>
    <w:qFormat/>
    <w:uiPriority w:val="0"/>
    <w:rPr>
      <w:rFonts w:hint="eastAsia" w:ascii="宋体" w:hAnsi="宋体" w:eastAsia="宋体" w:cs="宋体"/>
      <w:color w:val="000000"/>
      <w:sz w:val="21"/>
      <w:szCs w:val="21"/>
      <w:u w:val="none"/>
    </w:rPr>
  </w:style>
  <w:style w:type="paragraph" w:customStyle="1" w:styleId="65">
    <w:name w:val="k正文"/>
    <w:basedOn w:val="1"/>
    <w:autoRedefine/>
    <w:qFormat/>
    <w:uiPriority w:val="0"/>
    <w:pPr>
      <w:adjustRightInd w:val="0"/>
      <w:snapToGrid w:val="0"/>
      <w:spacing w:line="360" w:lineRule="auto"/>
      <w:ind w:firstLine="539"/>
    </w:pPr>
    <w:rPr>
      <w:rFonts w:eastAsia="仿宋_GB2312"/>
      <w:sz w:val="28"/>
      <w:szCs w:val="20"/>
    </w:rPr>
  </w:style>
  <w:style w:type="character" w:customStyle="1" w:styleId="66">
    <w:name w:val="font41"/>
    <w:basedOn w:val="27"/>
    <w:qFormat/>
    <w:uiPriority w:val="0"/>
    <w:rPr>
      <w:rFonts w:hint="eastAsia" w:ascii="宋体" w:hAnsi="宋体" w:eastAsia="宋体" w:cs="宋体"/>
      <w:color w:val="000000"/>
      <w:sz w:val="21"/>
      <w:szCs w:val="21"/>
      <w:u w:val="none"/>
    </w:rPr>
  </w:style>
  <w:style w:type="character" w:customStyle="1" w:styleId="67">
    <w:name w:val="font31"/>
    <w:basedOn w:val="27"/>
    <w:qFormat/>
    <w:uiPriority w:val="0"/>
    <w:rPr>
      <w:rFonts w:hint="default" w:ascii="Times New Roman" w:hAnsi="Times New Roman" w:cs="Times New Roman"/>
      <w:color w:val="000000"/>
      <w:sz w:val="21"/>
      <w:szCs w:val="21"/>
      <w:u w:val="none"/>
    </w:rPr>
  </w:style>
  <w:style w:type="paragraph" w:customStyle="1" w:styleId="68">
    <w:name w:val="文本"/>
    <w:basedOn w:val="1"/>
    <w:qFormat/>
    <w:uiPriority w:val="0"/>
    <w:pPr>
      <w:autoSpaceDE w:val="0"/>
      <w:autoSpaceDN w:val="0"/>
      <w:adjustRightInd w:val="0"/>
      <w:snapToGrid w:val="0"/>
      <w:spacing w:line="360" w:lineRule="auto"/>
      <w:ind w:firstLine="720" w:firstLineChars="200"/>
      <w:jc w:val="both"/>
    </w:pPr>
    <w:rPr>
      <w:rFonts w:ascii="Times New Roman" w:hAnsi="Times New Roman" w:eastAsia="宋体" w:cs="Times New Roman"/>
      <w:kern w:val="0"/>
      <w:sz w:val="24"/>
      <w:szCs w:val="21"/>
    </w:rPr>
  </w:style>
  <w:style w:type="paragraph" w:customStyle="1" w:styleId="69">
    <w:name w:val="表格内容"/>
    <w:basedOn w:val="70"/>
    <w:next w:val="1"/>
    <w:qFormat/>
    <w:uiPriority w:val="0"/>
    <w:pPr>
      <w:adjustRightInd w:val="0"/>
      <w:snapToGrid w:val="0"/>
      <w:jc w:val="center"/>
    </w:pPr>
    <w:rPr>
      <w:rFonts w:ascii="Times New Roman" w:hAnsi="Times New Roman" w:eastAsia="宋体" w:cs="Times New Roman"/>
      <w:b w:val="0"/>
    </w:rPr>
  </w:style>
  <w:style w:type="paragraph" w:customStyle="1" w:styleId="70">
    <w:name w:val="表格标题"/>
    <w:basedOn w:val="1"/>
    <w:next w:val="69"/>
    <w:qFormat/>
    <w:uiPriority w:val="0"/>
    <w:pPr>
      <w:adjustRightInd w:val="0"/>
      <w:snapToGrid w:val="0"/>
      <w:spacing w:line="240" w:lineRule="auto"/>
      <w:ind w:firstLine="0" w:firstLineChars="0"/>
      <w:jc w:val="center"/>
    </w:pPr>
    <w:rPr>
      <w:rFonts w:hint="eastAsia" w:ascii="宋体" w:hAnsi="宋体" w:eastAsia="宋体" w:cs="宋体"/>
      <w:b/>
      <w:sz w:val="21"/>
      <w:szCs w:val="21"/>
    </w:rPr>
  </w:style>
  <w:style w:type="character" w:customStyle="1" w:styleId="71">
    <w:name w:val="font51"/>
    <w:basedOn w:val="27"/>
    <w:qFormat/>
    <w:uiPriority w:val="0"/>
    <w:rPr>
      <w:rFonts w:hint="default" w:ascii="Times New Roman" w:hAnsi="Times New Roman" w:cs="Times New Roman"/>
      <w:b/>
      <w:bCs/>
      <w:color w:val="000000"/>
      <w:sz w:val="21"/>
      <w:szCs w:val="21"/>
      <w:u w:val="none"/>
    </w:rPr>
  </w:style>
  <w:style w:type="character" w:customStyle="1" w:styleId="72">
    <w:name w:val="font61"/>
    <w:basedOn w:val="27"/>
    <w:qFormat/>
    <w:uiPriority w:val="0"/>
    <w:rPr>
      <w:rFonts w:hint="default" w:ascii="Times New Roman" w:hAnsi="Times New Roman" w:cs="Times New Roman"/>
      <w:b/>
      <w:bCs/>
      <w:color w:val="000000"/>
      <w:sz w:val="21"/>
      <w:szCs w:val="21"/>
      <w:u w:val="none"/>
      <w:vertAlign w:val="superscript"/>
    </w:rPr>
  </w:style>
  <w:style w:type="character" w:customStyle="1" w:styleId="73">
    <w:name w:val="font71"/>
    <w:basedOn w:val="27"/>
    <w:qFormat/>
    <w:uiPriority w:val="0"/>
    <w:rPr>
      <w:rFonts w:ascii="Courier New" w:hAnsi="Courier New" w:cs="Courier New"/>
      <w:b/>
      <w:bCs/>
      <w:color w:val="000000"/>
      <w:sz w:val="21"/>
      <w:szCs w:val="21"/>
      <w:u w:val="none"/>
    </w:rPr>
  </w:style>
  <w:style w:type="character" w:customStyle="1" w:styleId="74">
    <w:name w:val="font81"/>
    <w:basedOn w:val="27"/>
    <w:qFormat/>
    <w:uiPriority w:val="0"/>
    <w:rPr>
      <w:rFonts w:hint="default" w:ascii="Times New Roman" w:hAnsi="Times New Roman" w:cs="Times New Roman"/>
      <w:color w:val="000000"/>
      <w:sz w:val="21"/>
      <w:szCs w:val="21"/>
      <w:u w:val="none"/>
    </w:rPr>
  </w:style>
  <w:style w:type="character" w:customStyle="1" w:styleId="75">
    <w:name w:val="font91"/>
    <w:basedOn w:val="27"/>
    <w:qFormat/>
    <w:uiPriority w:val="0"/>
    <w:rPr>
      <w:rFonts w:hint="eastAsia" w:ascii="宋体" w:hAnsi="宋体" w:eastAsia="宋体" w:cs="宋体"/>
      <w:color w:val="000000"/>
      <w:sz w:val="21"/>
      <w:szCs w:val="21"/>
      <w:u w:val="none"/>
    </w:rPr>
  </w:style>
  <w:style w:type="paragraph" w:customStyle="1" w:styleId="76">
    <w:name w:val="样式3"/>
    <w:basedOn w:val="21"/>
    <w:next w:val="77"/>
    <w:autoRedefine/>
    <w:qFormat/>
    <w:uiPriority w:val="0"/>
    <w:pPr>
      <w:autoSpaceDE w:val="0"/>
      <w:autoSpaceDN w:val="0"/>
      <w:snapToGrid w:val="0"/>
      <w:spacing w:before="120" w:line="460" w:lineRule="atLeast"/>
      <w:jc w:val="center"/>
    </w:pPr>
    <w:rPr>
      <w:rFonts w:eastAsia="黑体"/>
      <w:sz w:val="28"/>
      <w:szCs w:val="20"/>
    </w:rPr>
  </w:style>
  <w:style w:type="paragraph" w:customStyle="1" w:styleId="77">
    <w:name w:val="目录 53"/>
    <w:basedOn w:val="1"/>
    <w:next w:val="1"/>
    <w:autoRedefine/>
    <w:qFormat/>
    <w:uiPriority w:val="0"/>
    <w:pPr>
      <w:ind w:left="840"/>
    </w:pPr>
    <w:rPr>
      <w:rFonts w:cs="宋体"/>
      <w:color w:val="000000"/>
    </w:rPr>
  </w:style>
  <w:style w:type="paragraph" w:customStyle="1" w:styleId="78">
    <w:name w:val="11表格"/>
    <w:basedOn w:val="1"/>
    <w:autoRedefine/>
    <w:qFormat/>
    <w:uiPriority w:val="0"/>
    <w:pPr>
      <w:spacing w:line="360" w:lineRule="exact"/>
      <w:jc w:val="center"/>
    </w:pPr>
    <w:rPr>
      <w:kern w:val="0"/>
      <w:sz w:val="18"/>
      <w:szCs w:val="18"/>
    </w:rPr>
  </w:style>
  <w:style w:type="paragraph" w:customStyle="1" w:styleId="79">
    <w:name w:val="正文lcc2"/>
    <w:basedOn w:val="14"/>
    <w:qFormat/>
    <w:uiPriority w:val="0"/>
    <w:pPr>
      <w:ind w:firstLine="200" w:firstLineChars="200"/>
    </w:pPr>
    <w:rPr>
      <w:rFonts w:ascii="Times New Roman" w:hAnsi="Times New Roman"/>
    </w:rPr>
  </w:style>
  <w:style w:type="paragraph" w:customStyle="1" w:styleId="80">
    <w:name w:val="表格正文"/>
    <w:basedOn w:val="9"/>
    <w:next w:val="1"/>
    <w:qFormat/>
    <w:uiPriority w:val="0"/>
    <w:pPr>
      <w:widowControl/>
      <w:tabs>
        <w:tab w:val="left" w:pos="495"/>
      </w:tabs>
      <w:spacing w:line="360" w:lineRule="exact"/>
    </w:pPr>
    <w:rPr>
      <w:sz w:val="21"/>
    </w:rPr>
  </w:style>
  <w:style w:type="paragraph" w:customStyle="1" w:styleId="81">
    <w:name w:val="表头-用"/>
    <w:basedOn w:val="1"/>
    <w:qFormat/>
    <w:uiPriority w:val="0"/>
    <w:pPr>
      <w:spacing w:line="360" w:lineRule="auto"/>
      <w:jc w:val="center"/>
    </w:pPr>
    <w:rPr>
      <w:b/>
      <w:color w:val="000000"/>
      <w:szCs w:val="22"/>
    </w:rPr>
  </w:style>
  <w:style w:type="paragraph" w:customStyle="1" w:styleId="82">
    <w:name w:val="表中文字"/>
    <w:basedOn w:val="1"/>
    <w:qFormat/>
    <w:uiPriority w:val="99"/>
    <w:pPr>
      <w:spacing w:line="300" w:lineRule="exact"/>
      <w:ind w:firstLine="723" w:firstLineChars="200"/>
      <w:jc w:val="center"/>
    </w:pPr>
    <w:rPr>
      <w:rFonts w:cs="宋体"/>
      <w:color w:val="000000"/>
      <w:sz w:val="24"/>
    </w:rPr>
  </w:style>
  <w:style w:type="paragraph" w:customStyle="1" w:styleId="83">
    <w:name w:val="标题5-ckg"/>
    <w:basedOn w:val="6"/>
    <w:qFormat/>
    <w:uiPriority w:val="0"/>
    <w:pPr>
      <w:tabs>
        <w:tab w:val="left" w:pos="700"/>
      </w:tabs>
      <w:autoSpaceDE w:val="0"/>
      <w:autoSpaceDN w:val="0"/>
      <w:spacing w:before="0" w:after="0" w:line="460" w:lineRule="exact"/>
      <w:jc w:val="center"/>
    </w:pPr>
    <w:rPr>
      <w:kern w:val="2"/>
      <w:sz w:val="24"/>
      <w:szCs w:val="21"/>
    </w:rPr>
  </w:style>
  <w:style w:type="paragraph" w:customStyle="1" w:styleId="84">
    <w:name w:val="表格内容自定"/>
    <w:basedOn w:val="1"/>
    <w:qFormat/>
    <w:uiPriority w:val="0"/>
    <w:pPr>
      <w:spacing w:line="280" w:lineRule="exact"/>
      <w:jc w:val="center"/>
    </w:pPr>
    <w:rPr>
      <w:kern w:val="0"/>
      <w:sz w:val="18"/>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23.png"/><Relationship Id="rId32" Type="http://schemas.openxmlformats.org/officeDocument/2006/relationships/image" Target="media/image22.png"/><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footer" Target="foot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jpeg"/><Relationship Id="rId24" Type="http://schemas.openxmlformats.org/officeDocument/2006/relationships/image" Target="media/image14.png"/><Relationship Id="rId23" Type="http://schemas.openxmlformats.org/officeDocument/2006/relationships/image" Target="media/image13.pn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emf"/><Relationship Id="rId14" Type="http://schemas.openxmlformats.org/officeDocument/2006/relationships/oleObject" Target="embeddings/oleObject3.bin"/><Relationship Id="rId13" Type="http://schemas.openxmlformats.org/officeDocument/2006/relationships/image" Target="media/image4.emf"/><Relationship Id="rId12" Type="http://schemas.openxmlformats.org/officeDocument/2006/relationships/oleObject" Target="embeddings/oleObject2.bin"/><Relationship Id="rId11" Type="http://schemas.openxmlformats.org/officeDocument/2006/relationships/image" Target="media/image3.e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Info spid="_x0000_s1032"/>
    <customShpInfo spid="_x0000_s1027"/>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80</Pages>
  <Words>16782</Words>
  <Characters>17858</Characters>
  <Lines>0</Lines>
  <Paragraphs>0</Paragraphs>
  <TotalTime>4</TotalTime>
  <ScaleCrop>false</ScaleCrop>
  <LinksUpToDate>false</LinksUpToDate>
  <CharactersWithSpaces>17880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2024-08-22T09:01:00Z</dcterms:created>
  <dc:creator>Administrator</dc:creator>
  <cp:lastModifiedBy>雪</cp:lastModifiedBy>
  <dcterms:modified xsi:type="dcterms:W3CDTF">2025-09-25T04:58:17Z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5F6221E8BE524F309B71FD90F5315796_13</vt:lpwstr>
  </property>
  <property fmtid="{D5CDD505-2E9C-101B-9397-08002B2CF9AE}" pid="4" name="KSOTemplateDocerSaveRecord">
    <vt:lpwstr>eyJoZGlkIjoiMTU1MjhlMjM4M2UzMzdlOWZhNzYyODU3Zjk4ZTg3OWQiLCJ1c2VySWQiOiI0NDg5NjQ3ODUifQ==</vt:lpwstr>
  </property>
</Properties>
</file>