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EFDD5">
      <w:pPr>
        <w:tabs>
          <w:tab w:val="left" w:pos="1050"/>
        </w:tabs>
        <w:rPr>
          <w:rFonts w:hint="default" w:ascii="Times New Roman" w:hAnsi="Times New Roman" w:eastAsia="方正仿宋_GB2312" w:cs="Times New Roman"/>
          <w:color w:val="auto"/>
          <w:sz w:val="36"/>
          <w:szCs w:val="36"/>
          <w:highlight w:val="none"/>
        </w:rPr>
      </w:pPr>
    </w:p>
    <w:p w14:paraId="3AFDE96B">
      <w:pPr>
        <w:rPr>
          <w:rFonts w:hint="default" w:ascii="Times New Roman" w:hAnsi="Times New Roman" w:eastAsia="方正仿宋_GB2312" w:cs="Times New Roman"/>
          <w:color w:val="auto"/>
          <w:sz w:val="36"/>
          <w:szCs w:val="36"/>
          <w:highlight w:val="none"/>
        </w:rPr>
      </w:pPr>
    </w:p>
    <w:p w14:paraId="3546811C">
      <w:pPr>
        <w:rPr>
          <w:rFonts w:hint="default" w:ascii="Times New Roman" w:hAnsi="Times New Roman" w:eastAsia="方正仿宋_GB2312" w:cs="Times New Roman"/>
          <w:color w:val="auto"/>
          <w:sz w:val="36"/>
          <w:szCs w:val="36"/>
          <w:highlight w:val="none"/>
        </w:rPr>
      </w:pPr>
    </w:p>
    <w:p w14:paraId="5D472535">
      <w:pPr>
        <w:pStyle w:val="19"/>
        <w:rPr>
          <w:rFonts w:hint="default" w:ascii="Times New Roman" w:hAnsi="Times New Roman" w:cs="Times New Roman"/>
          <w:color w:val="auto"/>
          <w:highlight w:val="none"/>
        </w:rPr>
      </w:pPr>
    </w:p>
    <w:p w14:paraId="5A37D08A">
      <w:pPr>
        <w:adjustRightInd w:val="0"/>
        <w:snapToGrid w:val="0"/>
        <w:jc w:val="center"/>
        <w:outlineLvl w:val="0"/>
        <w:rPr>
          <w:rFonts w:hint="default" w:ascii="Times New Roman" w:hAnsi="Times New Roman" w:eastAsia="方正小标宋_GBK" w:cs="Times New Roman"/>
          <w:bCs/>
          <w:color w:val="auto"/>
          <w:sz w:val="72"/>
          <w:szCs w:val="72"/>
          <w:highlight w:val="none"/>
        </w:rPr>
      </w:pPr>
      <w:r>
        <w:rPr>
          <w:rFonts w:hint="default" w:ascii="Times New Roman" w:hAnsi="Times New Roman" w:eastAsia="方正小标宋_GBK" w:cs="Times New Roman"/>
          <w:bCs/>
          <w:color w:val="auto"/>
          <w:sz w:val="72"/>
          <w:szCs w:val="72"/>
          <w:highlight w:val="none"/>
        </w:rPr>
        <w:t>建设项目环境影响报告表</w:t>
      </w:r>
    </w:p>
    <w:p w14:paraId="7363BF27">
      <w:pPr>
        <w:adjustRightInd w:val="0"/>
        <w:snapToGrid w:val="0"/>
        <w:spacing w:before="192" w:beforeLines="80"/>
        <w:jc w:val="center"/>
        <w:rPr>
          <w:rFonts w:hint="default" w:ascii="Times New Roman" w:hAnsi="Times New Roman" w:eastAsia="楷体_GB2312" w:cs="Times New Roman"/>
          <w:bCs/>
          <w:color w:val="auto"/>
          <w:sz w:val="48"/>
          <w:szCs w:val="48"/>
          <w:highlight w:val="none"/>
        </w:rPr>
      </w:pPr>
      <w:r>
        <w:rPr>
          <w:rFonts w:hint="default" w:ascii="Times New Roman" w:hAnsi="Times New Roman" w:eastAsia="楷体_GB2312" w:cs="Times New Roman"/>
          <w:bCs/>
          <w:color w:val="auto"/>
          <w:sz w:val="48"/>
          <w:szCs w:val="48"/>
          <w:highlight w:val="none"/>
        </w:rPr>
        <w:t>（污染影响类）</w:t>
      </w:r>
    </w:p>
    <w:p w14:paraId="1202ACCD">
      <w:pPr>
        <w:adjustRightInd w:val="0"/>
        <w:snapToGrid w:val="0"/>
        <w:spacing w:line="288" w:lineRule="auto"/>
        <w:jc w:val="center"/>
        <w:outlineLvl w:val="0"/>
        <w:rPr>
          <w:rFonts w:hint="default" w:ascii="Times New Roman" w:hAnsi="Times New Roman" w:eastAsia="华文仿宋" w:cs="Times New Roman"/>
          <w:color w:val="auto"/>
          <w:kern w:val="44"/>
          <w:sz w:val="44"/>
          <w:szCs w:val="44"/>
          <w:highlight w:val="none"/>
        </w:rPr>
      </w:pPr>
    </w:p>
    <w:p w14:paraId="4AA204F4">
      <w:pPr>
        <w:jc w:val="center"/>
        <w:rPr>
          <w:rFonts w:hint="default" w:ascii="Times New Roman" w:hAnsi="Times New Roman" w:eastAsia="仿宋" w:cs="Times New Roman"/>
          <w:color w:val="auto"/>
          <w:sz w:val="52"/>
          <w:szCs w:val="52"/>
          <w:highlight w:val="none"/>
        </w:rPr>
      </w:pPr>
    </w:p>
    <w:p w14:paraId="79FF6AC5">
      <w:pPr>
        <w:ind w:firstLine="1040"/>
        <w:rPr>
          <w:rFonts w:hint="default" w:ascii="Times New Roman" w:hAnsi="Times New Roman" w:eastAsia="仿宋" w:cs="Times New Roman"/>
          <w:color w:val="auto"/>
          <w:sz w:val="44"/>
          <w:szCs w:val="44"/>
          <w:highlight w:val="none"/>
        </w:rPr>
      </w:pPr>
    </w:p>
    <w:p w14:paraId="7D21C709">
      <w:pPr>
        <w:ind w:firstLine="1040"/>
        <w:rPr>
          <w:rFonts w:hint="default" w:ascii="Times New Roman" w:hAnsi="Times New Roman" w:eastAsia="仿宋" w:cs="Times New Roman"/>
          <w:color w:val="auto"/>
          <w:sz w:val="44"/>
          <w:szCs w:val="44"/>
          <w:highlight w:val="none"/>
        </w:rPr>
      </w:pPr>
    </w:p>
    <w:p w14:paraId="463FE51E">
      <w:pPr>
        <w:ind w:firstLine="1040"/>
        <w:jc w:val="center"/>
        <w:rPr>
          <w:rFonts w:hint="default" w:ascii="Times New Roman" w:hAnsi="Times New Roman" w:eastAsia="仿宋" w:cs="Times New Roman"/>
          <w:color w:val="auto"/>
          <w:sz w:val="44"/>
          <w:szCs w:val="44"/>
          <w:highlight w:val="none"/>
        </w:rPr>
      </w:pPr>
    </w:p>
    <w:p w14:paraId="06A89F75">
      <w:pPr>
        <w:adjustRightInd w:val="0"/>
        <w:snapToGrid w:val="0"/>
        <w:spacing w:line="288" w:lineRule="auto"/>
        <w:ind w:left="2518" w:leftChars="342" w:hanging="1800" w:hangingChars="500"/>
        <w:jc w:val="left"/>
        <w:rPr>
          <w:rFonts w:hint="default" w:ascii="Times New Roman" w:hAnsi="Times New Roman" w:eastAsia="宋体" w:cs="Times New Roman"/>
          <w:color w:val="auto"/>
          <w:sz w:val="36"/>
          <w:szCs w:val="36"/>
          <w:highlight w:val="none"/>
          <w:lang w:val="en-US" w:eastAsia="zh-CN"/>
        </w:rPr>
      </w:pPr>
      <w:r>
        <w:rPr>
          <w:rFonts w:hint="default" w:ascii="Times New Roman" w:hAnsi="Times New Roman" w:eastAsia="宋体" w:cs="Times New Roman"/>
          <w:color w:val="auto"/>
          <w:sz w:val="36"/>
          <w:szCs w:val="36"/>
          <w:highlight w:val="none"/>
        </w:rPr>
        <w:t>项目名称：</w:t>
      </w:r>
      <w:r>
        <w:rPr>
          <w:rFonts w:hint="default" w:ascii="Times New Roman" w:hAnsi="Times New Roman" w:eastAsia="宋体" w:cs="Times New Roman"/>
          <w:color w:val="auto"/>
          <w:sz w:val="36"/>
          <w:szCs w:val="36"/>
          <w:highlight w:val="none"/>
          <w:u w:val="single"/>
          <w:lang w:eastAsia="zh-CN"/>
        </w:rPr>
        <w:t>年产</w:t>
      </w:r>
      <w:r>
        <w:rPr>
          <w:rFonts w:hint="eastAsia" w:cs="Times New Roman"/>
          <w:color w:val="auto"/>
          <w:sz w:val="36"/>
          <w:szCs w:val="36"/>
          <w:highlight w:val="none"/>
          <w:u w:val="single"/>
          <w:lang w:val="en-US" w:eastAsia="zh-CN"/>
        </w:rPr>
        <w:t>24</w:t>
      </w:r>
      <w:r>
        <w:rPr>
          <w:rFonts w:hint="default" w:ascii="Times New Roman" w:hAnsi="Times New Roman" w:eastAsia="宋体" w:cs="Times New Roman"/>
          <w:color w:val="auto"/>
          <w:sz w:val="36"/>
          <w:szCs w:val="36"/>
          <w:highlight w:val="none"/>
          <w:u w:val="single"/>
          <w:lang w:val="en-US" w:eastAsia="zh-CN"/>
        </w:rPr>
        <w:t>0万</w:t>
      </w:r>
      <w:r>
        <w:rPr>
          <w:rFonts w:hint="eastAsia" w:cs="Times New Roman"/>
          <w:color w:val="auto"/>
          <w:sz w:val="36"/>
          <w:szCs w:val="36"/>
          <w:highlight w:val="none"/>
          <w:u w:val="single"/>
          <w:lang w:val="en-US" w:eastAsia="zh-CN"/>
        </w:rPr>
        <w:t>件</w:t>
      </w:r>
      <w:r>
        <w:rPr>
          <w:rFonts w:hint="default" w:ascii="Times New Roman" w:hAnsi="Times New Roman" w:eastAsia="宋体" w:cs="Times New Roman"/>
          <w:color w:val="auto"/>
          <w:sz w:val="36"/>
          <w:szCs w:val="36"/>
          <w:highlight w:val="none"/>
          <w:u w:val="single"/>
          <w:lang w:val="en-US" w:eastAsia="zh-CN"/>
        </w:rPr>
        <w:t>LED显示模组产品</w:t>
      </w:r>
      <w:r>
        <w:rPr>
          <w:rFonts w:hint="default" w:ascii="Times New Roman" w:hAnsi="Times New Roman" w:eastAsia="宋体" w:cs="Times New Roman"/>
          <w:color w:val="auto"/>
          <w:sz w:val="36"/>
          <w:szCs w:val="36"/>
          <w:highlight w:val="none"/>
          <w:u w:val="single"/>
          <w:lang w:eastAsia="zh-CN"/>
        </w:rPr>
        <w:t>项目</w:t>
      </w:r>
    </w:p>
    <w:p w14:paraId="6959BD8A">
      <w:pPr>
        <w:adjustRightInd w:val="0"/>
        <w:snapToGrid w:val="0"/>
        <w:spacing w:line="288" w:lineRule="auto"/>
        <w:jc w:val="center"/>
        <w:rPr>
          <w:rFonts w:hint="default" w:ascii="Times New Roman" w:hAnsi="Times New Roman" w:eastAsia="宋体" w:cs="Times New Roman"/>
          <w:color w:val="auto"/>
          <w:sz w:val="36"/>
          <w:szCs w:val="36"/>
          <w:highlight w:val="none"/>
          <w:u w:val="single"/>
          <w:lang w:val="en-US" w:eastAsia="zh-CN"/>
        </w:rPr>
      </w:pPr>
      <w:r>
        <w:rPr>
          <w:rFonts w:hint="default" w:ascii="Times New Roman" w:hAnsi="Times New Roman" w:eastAsia="宋体" w:cs="Times New Roman"/>
          <w:color w:val="auto"/>
          <w:sz w:val="36"/>
          <w:szCs w:val="36"/>
          <w:highlight w:val="none"/>
        </w:rPr>
        <w:t>建设单位（盖章）：</w:t>
      </w:r>
      <w:r>
        <w:rPr>
          <w:rFonts w:hint="default" w:ascii="Times New Roman" w:hAnsi="Times New Roman" w:eastAsia="宋体" w:cs="Times New Roman"/>
          <w:color w:val="auto"/>
          <w:sz w:val="36"/>
          <w:szCs w:val="36"/>
          <w:highlight w:val="none"/>
          <w:u w:val="single"/>
          <w:lang w:eastAsia="zh-CN"/>
        </w:rPr>
        <w:t>安徽</w:t>
      </w:r>
      <w:r>
        <w:rPr>
          <w:rFonts w:hint="eastAsia" w:cs="Times New Roman"/>
          <w:color w:val="auto"/>
          <w:sz w:val="36"/>
          <w:szCs w:val="36"/>
          <w:highlight w:val="none"/>
          <w:u w:val="single"/>
          <w:lang w:val="en-US" w:eastAsia="zh-CN"/>
        </w:rPr>
        <w:t>沐希半导体</w:t>
      </w:r>
      <w:r>
        <w:rPr>
          <w:rFonts w:hint="default" w:ascii="Times New Roman" w:hAnsi="Times New Roman" w:eastAsia="宋体" w:cs="Times New Roman"/>
          <w:color w:val="auto"/>
          <w:sz w:val="36"/>
          <w:szCs w:val="36"/>
          <w:highlight w:val="none"/>
          <w:u w:val="single"/>
          <w:lang w:eastAsia="zh-CN"/>
        </w:rPr>
        <w:t>有限公司</w:t>
      </w:r>
    </w:p>
    <w:p w14:paraId="288AA32A">
      <w:pPr>
        <w:adjustRightInd w:val="0"/>
        <w:snapToGrid w:val="0"/>
        <w:spacing w:line="288" w:lineRule="auto"/>
        <w:ind w:firstLine="720" w:firstLineChars="200"/>
        <w:rPr>
          <w:rFonts w:hint="default" w:ascii="Times New Roman" w:hAnsi="Times New Roman" w:eastAsia="宋体" w:cs="Times New Roman"/>
          <w:color w:val="auto"/>
          <w:sz w:val="36"/>
          <w:szCs w:val="36"/>
          <w:highlight w:val="none"/>
          <w:u w:val="single"/>
          <w:lang w:val="en-US" w:eastAsia="zh-CN"/>
        </w:rPr>
      </w:pPr>
      <w:r>
        <w:rPr>
          <w:rFonts w:hint="default" w:ascii="Times New Roman" w:hAnsi="Times New Roman" w:eastAsia="宋体" w:cs="Times New Roman"/>
          <w:color w:val="auto"/>
          <w:sz w:val="36"/>
          <w:szCs w:val="36"/>
          <w:highlight w:val="none"/>
        </w:rPr>
        <w:t>编制日期：</w:t>
      </w:r>
      <w:r>
        <w:rPr>
          <w:rFonts w:hint="default" w:ascii="Times New Roman" w:hAnsi="Times New Roman" w:eastAsia="宋体" w:cs="Times New Roman"/>
          <w:color w:val="auto"/>
          <w:sz w:val="36"/>
          <w:szCs w:val="36"/>
          <w:highlight w:val="none"/>
          <w:u w:val="single"/>
          <w:lang w:val="en-US" w:eastAsia="zh-CN"/>
        </w:rPr>
        <w:t xml:space="preserve">           2</w:t>
      </w:r>
      <w:r>
        <w:rPr>
          <w:rFonts w:hint="default" w:ascii="Times New Roman" w:hAnsi="Times New Roman" w:eastAsia="宋体" w:cs="Times New Roman"/>
          <w:color w:val="auto"/>
          <w:sz w:val="36"/>
          <w:szCs w:val="36"/>
          <w:highlight w:val="none"/>
          <w:u w:val="single"/>
        </w:rPr>
        <w:t>02</w:t>
      </w:r>
      <w:r>
        <w:rPr>
          <w:rFonts w:hint="eastAsia" w:cs="Times New Roman"/>
          <w:color w:val="auto"/>
          <w:sz w:val="36"/>
          <w:szCs w:val="36"/>
          <w:highlight w:val="none"/>
          <w:u w:val="single"/>
          <w:lang w:val="en-US" w:eastAsia="zh-CN"/>
        </w:rPr>
        <w:t>5</w:t>
      </w:r>
      <w:r>
        <w:rPr>
          <w:rFonts w:hint="default" w:ascii="Times New Roman" w:hAnsi="Times New Roman" w:eastAsia="宋体" w:cs="Times New Roman"/>
          <w:color w:val="auto"/>
          <w:sz w:val="36"/>
          <w:szCs w:val="36"/>
          <w:highlight w:val="none"/>
          <w:u w:val="single"/>
        </w:rPr>
        <w:t>年</w:t>
      </w:r>
      <w:r>
        <w:rPr>
          <w:rFonts w:hint="eastAsia" w:cs="Times New Roman"/>
          <w:color w:val="auto"/>
          <w:sz w:val="36"/>
          <w:szCs w:val="36"/>
          <w:highlight w:val="none"/>
          <w:u w:val="single"/>
          <w:lang w:val="en-US" w:eastAsia="zh-CN"/>
        </w:rPr>
        <w:t>9</w:t>
      </w:r>
      <w:r>
        <w:rPr>
          <w:rFonts w:hint="default" w:ascii="Times New Roman" w:hAnsi="Times New Roman" w:eastAsia="宋体" w:cs="Times New Roman"/>
          <w:color w:val="auto"/>
          <w:sz w:val="36"/>
          <w:szCs w:val="36"/>
          <w:highlight w:val="none"/>
          <w:u w:val="single"/>
        </w:rPr>
        <w:t>月</w:t>
      </w:r>
      <w:r>
        <w:rPr>
          <w:rFonts w:hint="default" w:ascii="Times New Roman" w:hAnsi="Times New Roman" w:eastAsia="宋体" w:cs="Times New Roman"/>
          <w:color w:val="auto"/>
          <w:sz w:val="36"/>
          <w:szCs w:val="36"/>
          <w:highlight w:val="none"/>
          <w:u w:val="single"/>
          <w:lang w:val="en-US" w:eastAsia="zh-CN"/>
        </w:rPr>
        <w:t xml:space="preserve">         </w:t>
      </w:r>
    </w:p>
    <w:p w14:paraId="3CE4F224">
      <w:pPr>
        <w:adjustRightInd w:val="0"/>
        <w:snapToGrid w:val="0"/>
        <w:spacing w:line="288" w:lineRule="auto"/>
        <w:ind w:firstLine="1040"/>
        <w:rPr>
          <w:rFonts w:hint="default" w:ascii="Times New Roman" w:hAnsi="Times New Roman" w:eastAsia="宋体" w:cs="Times New Roman"/>
          <w:color w:val="auto"/>
          <w:sz w:val="36"/>
          <w:szCs w:val="36"/>
          <w:highlight w:val="none"/>
          <w:u w:val="single"/>
        </w:rPr>
      </w:pPr>
      <w:bookmarkStart w:id="0" w:name="_Hlk57884087"/>
    </w:p>
    <w:p w14:paraId="3F403C9A">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37299B27">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bookmarkStart w:id="7" w:name="_GoBack"/>
      <w:bookmarkEnd w:id="7"/>
    </w:p>
    <w:p w14:paraId="38CF3321">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5A92A9B2">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bookmarkEnd w:id="0"/>
    <w:p w14:paraId="011F3125">
      <w:pPr>
        <w:adjustRightInd w:val="0"/>
        <w:snapToGrid w:val="0"/>
        <w:spacing w:line="288" w:lineRule="auto"/>
        <w:jc w:val="center"/>
        <w:rPr>
          <w:rFonts w:hint="default" w:ascii="Times New Roman" w:hAnsi="Times New Roman" w:eastAsia="楷体_GB2312" w:cs="Times New Roman"/>
          <w:color w:val="auto"/>
          <w:sz w:val="36"/>
          <w:szCs w:val="36"/>
          <w:highlight w:val="none"/>
        </w:rPr>
      </w:pPr>
      <w:r>
        <w:rPr>
          <w:rFonts w:hint="default" w:ascii="Times New Roman" w:hAnsi="Times New Roman" w:eastAsia="楷体_GB2312" w:cs="Times New Roman"/>
          <w:color w:val="auto"/>
          <w:sz w:val="36"/>
          <w:szCs w:val="36"/>
          <w:highlight w:val="none"/>
        </w:rPr>
        <w:t>中华人民共和国生态环境部制</w:t>
      </w:r>
    </w:p>
    <w:p w14:paraId="2C995D2F">
      <w:pPr>
        <w:adjustRightInd w:val="0"/>
        <w:snapToGrid w:val="0"/>
        <w:spacing w:line="288" w:lineRule="auto"/>
        <w:rPr>
          <w:rFonts w:hint="default" w:ascii="Times New Roman" w:hAnsi="Times New Roman" w:eastAsia="方正仿宋_GB2312" w:cs="Times New Roman"/>
          <w:color w:val="auto"/>
          <w:sz w:val="36"/>
          <w:szCs w:val="36"/>
          <w:highlight w:val="none"/>
        </w:rPr>
        <w:sectPr>
          <w:footerReference r:id="rId3" w:type="default"/>
          <w:footerReference r:id="rId4" w:type="even"/>
          <w:pgSz w:w="11906" w:h="16838"/>
          <w:pgMar w:top="1701" w:right="1531" w:bottom="1701" w:left="1531" w:header="851" w:footer="1077" w:gutter="0"/>
          <w:pgNumType w:start="3"/>
          <w:cols w:space="720" w:num="1"/>
          <w:docGrid w:linePitch="312" w:charSpace="0"/>
        </w:sectPr>
      </w:pPr>
    </w:p>
    <w:p w14:paraId="5DFB70D8">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一、建设项目基本情况</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17"/>
        <w:gridCol w:w="2399"/>
        <w:gridCol w:w="1673"/>
        <w:gridCol w:w="3725"/>
      </w:tblGrid>
      <w:tr w14:paraId="6B4A50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890B71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建设项目名称</w:t>
            </w:r>
          </w:p>
        </w:tc>
        <w:tc>
          <w:tcPr>
            <w:tcW w:w="7797" w:type="dxa"/>
            <w:gridSpan w:val="3"/>
            <w:noWrap w:val="0"/>
            <w:vAlign w:val="center"/>
          </w:tcPr>
          <w:p w14:paraId="1A5E111A">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年产240万件LED显示模组产品</w:t>
            </w:r>
            <w:r>
              <w:rPr>
                <w:rFonts w:hint="eastAsia" w:ascii="Times New Roman" w:hAnsi="Times New Roman" w:eastAsia="宋体" w:cs="Times New Roman"/>
                <w:color w:val="auto"/>
                <w:sz w:val="24"/>
                <w:szCs w:val="24"/>
                <w:highlight w:val="none"/>
                <w:lang w:val="en-US" w:eastAsia="zh-CN"/>
              </w:rPr>
              <w:t>项目</w:t>
            </w:r>
          </w:p>
        </w:tc>
      </w:tr>
      <w:tr w14:paraId="732E72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14E8D22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项目代码</w:t>
            </w:r>
          </w:p>
        </w:tc>
        <w:tc>
          <w:tcPr>
            <w:tcW w:w="7797" w:type="dxa"/>
            <w:gridSpan w:val="3"/>
            <w:noWrap w:val="0"/>
            <w:vAlign w:val="center"/>
          </w:tcPr>
          <w:p w14:paraId="48E3E9DB">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24</w:t>
            </w:r>
            <w:r>
              <w:rPr>
                <w:rFonts w:hint="eastAsia" w:cs="Times New Roman"/>
                <w:color w:val="auto"/>
                <w:sz w:val="24"/>
                <w:szCs w:val="24"/>
                <w:highlight w:val="none"/>
                <w:lang w:val="en-US" w:eastAsia="zh-CN"/>
              </w:rPr>
              <w:t>12</w:t>
            </w:r>
            <w:r>
              <w:rPr>
                <w:rFonts w:hint="eastAsia" w:ascii="Times New Roman" w:hAnsi="Times New Roman" w:cs="Times New Roman"/>
                <w:color w:val="auto"/>
                <w:sz w:val="24"/>
                <w:szCs w:val="24"/>
                <w:highlight w:val="none"/>
                <w:lang w:val="en-US" w:eastAsia="zh-CN"/>
              </w:rPr>
              <w:t>-3417</w:t>
            </w:r>
            <w:r>
              <w:rPr>
                <w:rFonts w:hint="eastAsia" w:cs="Times New Roman"/>
                <w:color w:val="auto"/>
                <w:sz w:val="24"/>
                <w:szCs w:val="24"/>
                <w:highlight w:val="none"/>
                <w:lang w:val="en-US" w:eastAsia="zh-CN"/>
              </w:rPr>
              <w:t>63</w:t>
            </w:r>
            <w:r>
              <w:rPr>
                <w:rFonts w:hint="eastAsia" w:ascii="Times New Roman" w:hAnsi="Times New Roman" w:cs="Times New Roman"/>
                <w:color w:val="auto"/>
                <w:sz w:val="24"/>
                <w:szCs w:val="24"/>
                <w:highlight w:val="none"/>
                <w:lang w:val="en-US" w:eastAsia="zh-CN"/>
              </w:rPr>
              <w:t>-04-01-</w:t>
            </w:r>
            <w:r>
              <w:rPr>
                <w:rFonts w:hint="eastAsia" w:cs="Times New Roman"/>
                <w:color w:val="auto"/>
                <w:sz w:val="24"/>
                <w:szCs w:val="24"/>
                <w:highlight w:val="none"/>
                <w:lang w:val="en-US" w:eastAsia="zh-CN"/>
              </w:rPr>
              <w:t>557609</w:t>
            </w:r>
          </w:p>
        </w:tc>
      </w:tr>
      <w:tr w14:paraId="11CD43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6C3000B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建设单位联系人</w:t>
            </w:r>
          </w:p>
        </w:tc>
        <w:tc>
          <w:tcPr>
            <w:tcW w:w="2399" w:type="dxa"/>
            <w:noWrap w:val="0"/>
            <w:vAlign w:val="center"/>
          </w:tcPr>
          <w:p w14:paraId="7B8C6819">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乔付力</w:t>
            </w:r>
          </w:p>
        </w:tc>
        <w:tc>
          <w:tcPr>
            <w:tcW w:w="1673" w:type="dxa"/>
            <w:noWrap w:val="0"/>
            <w:vAlign w:val="center"/>
          </w:tcPr>
          <w:p w14:paraId="617755B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联系方式</w:t>
            </w:r>
          </w:p>
        </w:tc>
        <w:tc>
          <w:tcPr>
            <w:tcW w:w="3725" w:type="dxa"/>
            <w:noWrap w:val="0"/>
            <w:vAlign w:val="center"/>
          </w:tcPr>
          <w:p w14:paraId="40B789E3">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bCs/>
                <w:szCs w:val="21"/>
                <w:lang w:val="en-US" w:eastAsia="zh-CN"/>
              </w:rPr>
              <w:t>15516876515</w:t>
            </w:r>
          </w:p>
        </w:tc>
      </w:tr>
      <w:tr w14:paraId="6F21A0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5BBAD11">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建设地点</w:t>
            </w:r>
          </w:p>
        </w:tc>
        <w:tc>
          <w:tcPr>
            <w:tcW w:w="7797" w:type="dxa"/>
            <w:gridSpan w:val="3"/>
            <w:noWrap w:val="0"/>
            <w:vAlign w:val="center"/>
          </w:tcPr>
          <w:p w14:paraId="319DEDB4">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安徽省池州市</w:t>
            </w:r>
            <w:r>
              <w:rPr>
                <w:rFonts w:hint="eastAsia" w:cs="Times New Roman"/>
                <w:color w:val="auto"/>
                <w:sz w:val="24"/>
                <w:szCs w:val="24"/>
                <w:highlight w:val="none"/>
                <w:lang w:val="en-US" w:eastAsia="zh-CN"/>
              </w:rPr>
              <w:t>皖江江南新兴产业集中区科技孵化园A5号厂房</w:t>
            </w:r>
          </w:p>
        </w:tc>
      </w:tr>
      <w:tr w14:paraId="5ED1A7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7F4F59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地理坐标</w:t>
            </w:r>
          </w:p>
        </w:tc>
        <w:tc>
          <w:tcPr>
            <w:tcW w:w="7797" w:type="dxa"/>
            <w:gridSpan w:val="3"/>
            <w:noWrap w:val="0"/>
            <w:vAlign w:val="center"/>
          </w:tcPr>
          <w:p w14:paraId="08617FFF">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single"/>
              </w:rPr>
              <w:t>117</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3</w:t>
            </w:r>
            <w:r>
              <w:rPr>
                <w:rFonts w:hint="eastAsia" w:cs="Times New Roman"/>
                <w:color w:val="auto"/>
                <w:sz w:val="24"/>
                <w:szCs w:val="24"/>
                <w:highlight w:val="none"/>
                <w:u w:val="single"/>
                <w:lang w:val="en-US" w:eastAsia="zh-CN"/>
              </w:rPr>
              <w:t>8</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29.487</w:t>
            </w:r>
            <w:r>
              <w:rPr>
                <w:rFonts w:hint="default" w:ascii="Times New Roman" w:hAnsi="Times New Roman" w:cs="Times New Roman"/>
                <w:color w:val="auto"/>
                <w:sz w:val="24"/>
                <w:szCs w:val="24"/>
                <w:highlight w:val="none"/>
              </w:rPr>
              <w:t>秒，</w:t>
            </w:r>
            <w:r>
              <w:rPr>
                <w:rFonts w:hint="default" w:ascii="Times New Roman" w:hAnsi="Times New Roman" w:cs="Times New Roman"/>
                <w:color w:val="auto"/>
                <w:sz w:val="24"/>
                <w:szCs w:val="24"/>
                <w:highlight w:val="none"/>
                <w:u w:val="single"/>
              </w:rPr>
              <w:t>3</w:t>
            </w:r>
            <w:r>
              <w:rPr>
                <w:rFonts w:hint="eastAsia" w:ascii="Times New Roman" w:hAnsi="Times New Roman" w:cs="Times New Roman"/>
                <w:color w:val="auto"/>
                <w:sz w:val="24"/>
                <w:szCs w:val="24"/>
                <w:highlight w:val="none"/>
                <w:u w:val="single"/>
                <w:lang w:val="en-US" w:eastAsia="zh-CN"/>
              </w:rPr>
              <w:t>0</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4</w:t>
            </w:r>
            <w:r>
              <w:rPr>
                <w:rFonts w:hint="eastAsia" w:cs="Times New Roman"/>
                <w:color w:val="auto"/>
                <w:sz w:val="24"/>
                <w:szCs w:val="24"/>
                <w:highlight w:val="none"/>
                <w:u w:val="single"/>
                <w:lang w:val="en-US" w:eastAsia="zh-CN"/>
              </w:rPr>
              <w:t>5</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37.185</w:t>
            </w:r>
            <w:r>
              <w:rPr>
                <w:rFonts w:hint="default" w:ascii="Times New Roman" w:hAnsi="Times New Roman" w:cs="Times New Roman"/>
                <w:color w:val="auto"/>
                <w:sz w:val="24"/>
                <w:szCs w:val="24"/>
                <w:highlight w:val="none"/>
              </w:rPr>
              <w:t>秒）</w:t>
            </w:r>
          </w:p>
        </w:tc>
      </w:tr>
      <w:tr w14:paraId="5B93C8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017" w:type="dxa"/>
            <w:noWrap w:val="0"/>
            <w:tcMar>
              <w:top w:w="16" w:type="dxa"/>
              <w:left w:w="16" w:type="dxa"/>
              <w:right w:w="16" w:type="dxa"/>
            </w:tcMar>
            <w:vAlign w:val="center"/>
          </w:tcPr>
          <w:p w14:paraId="3E4BFBF6">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国民经济</w:t>
            </w:r>
          </w:p>
          <w:p w14:paraId="7C02A6FC">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p>
        </w:tc>
        <w:tc>
          <w:tcPr>
            <w:tcW w:w="2399" w:type="dxa"/>
            <w:noWrap w:val="0"/>
            <w:vAlign w:val="center"/>
          </w:tcPr>
          <w:p w14:paraId="2F86F3C9">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eastAsia="zh-CN"/>
              </w:rPr>
              <w:t>C3974显示器件制造</w:t>
            </w:r>
          </w:p>
        </w:tc>
        <w:tc>
          <w:tcPr>
            <w:tcW w:w="1673" w:type="dxa"/>
            <w:noWrap w:val="0"/>
            <w:vAlign w:val="center"/>
          </w:tcPr>
          <w:p w14:paraId="2CA8CD18">
            <w:pPr>
              <w:adjustRightInd w:val="0"/>
              <w:snapToGrid w:val="0"/>
              <w:jc w:val="center"/>
              <w:rPr>
                <w:rFonts w:hint="default" w:ascii="Times New Roman" w:hAnsi="Times New Roman" w:cs="Times New Roman"/>
                <w:color w:val="auto"/>
                <w:sz w:val="24"/>
                <w:szCs w:val="24"/>
                <w:highlight w:val="none"/>
              </w:rPr>
            </w:pPr>
            <w:bookmarkStart w:id="1" w:name="_Hlk49843745"/>
            <w:r>
              <w:rPr>
                <w:rFonts w:hint="default" w:ascii="Times New Roman" w:hAnsi="Times New Roman" w:cs="Times New Roman"/>
                <w:color w:val="auto"/>
                <w:sz w:val="24"/>
                <w:szCs w:val="24"/>
                <w:highlight w:val="none"/>
              </w:rPr>
              <w:t>建设项目</w:t>
            </w:r>
          </w:p>
          <w:p w14:paraId="29BAB27D">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bookmarkEnd w:id="1"/>
          </w:p>
        </w:tc>
        <w:tc>
          <w:tcPr>
            <w:tcW w:w="3725" w:type="dxa"/>
            <w:noWrap w:val="0"/>
            <w:vAlign w:val="center"/>
          </w:tcPr>
          <w:p w14:paraId="4D65CF81">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显示器件制造</w:t>
            </w:r>
          </w:p>
        </w:tc>
      </w:tr>
      <w:tr w14:paraId="4D51E7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017" w:type="dxa"/>
            <w:noWrap w:val="0"/>
            <w:tcMar>
              <w:top w:w="16" w:type="dxa"/>
              <w:left w:w="16" w:type="dxa"/>
              <w:right w:w="16" w:type="dxa"/>
            </w:tcMar>
            <w:vAlign w:val="center"/>
          </w:tcPr>
          <w:p w14:paraId="24106A1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建设性质</w:t>
            </w:r>
          </w:p>
        </w:tc>
        <w:tc>
          <w:tcPr>
            <w:tcW w:w="2399" w:type="dxa"/>
            <w:noWrap w:val="0"/>
            <w:vAlign w:val="center"/>
          </w:tcPr>
          <w:p w14:paraId="4C1DF669">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新建（迁建）</w:t>
            </w:r>
          </w:p>
          <w:p w14:paraId="50DDF985">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改建</w:t>
            </w:r>
          </w:p>
          <w:p w14:paraId="7554A236">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扩建</w:t>
            </w:r>
          </w:p>
          <w:p w14:paraId="4581DBB2">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技术改造</w:t>
            </w:r>
          </w:p>
        </w:tc>
        <w:tc>
          <w:tcPr>
            <w:tcW w:w="1673" w:type="dxa"/>
            <w:noWrap w:val="0"/>
            <w:vAlign w:val="center"/>
          </w:tcPr>
          <w:p w14:paraId="0DED733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14:paraId="72EEBEC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申报情形</w:t>
            </w:r>
          </w:p>
        </w:tc>
        <w:tc>
          <w:tcPr>
            <w:tcW w:w="3725" w:type="dxa"/>
            <w:noWrap w:val="0"/>
            <w:vAlign w:val="center"/>
          </w:tcPr>
          <w:p w14:paraId="705F2EE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首次申报项目</w:t>
            </w:r>
          </w:p>
          <w:p w14:paraId="1540B753">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不予批准后再次申报项目</w:t>
            </w:r>
          </w:p>
          <w:p w14:paraId="5858B64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超五年重新审核项目</w:t>
            </w:r>
          </w:p>
          <w:p w14:paraId="08237BF7">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重大变动重新报批项目</w:t>
            </w:r>
          </w:p>
        </w:tc>
      </w:tr>
      <w:tr w14:paraId="6287F5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017" w:type="dxa"/>
            <w:noWrap w:val="0"/>
            <w:tcMar>
              <w:top w:w="16" w:type="dxa"/>
              <w:left w:w="16" w:type="dxa"/>
              <w:right w:w="16" w:type="dxa"/>
            </w:tcMar>
            <w:vAlign w:val="center"/>
          </w:tcPr>
          <w:p w14:paraId="48A0187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项目审批（核准/备案）部门（选填）</w:t>
            </w:r>
          </w:p>
        </w:tc>
        <w:tc>
          <w:tcPr>
            <w:tcW w:w="2399" w:type="dxa"/>
            <w:noWrap w:val="0"/>
            <w:vAlign w:val="center"/>
          </w:tcPr>
          <w:p w14:paraId="1CFA6808">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皖江江南产业集中区管委会产业发展部</w:t>
            </w:r>
          </w:p>
        </w:tc>
        <w:tc>
          <w:tcPr>
            <w:tcW w:w="1673" w:type="dxa"/>
            <w:noWrap w:val="0"/>
            <w:vAlign w:val="center"/>
          </w:tcPr>
          <w:p w14:paraId="1630996A">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w:t>
            </w:r>
          </w:p>
          <w:p w14:paraId="3BC5B55E">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备案）文号（选填）</w:t>
            </w:r>
          </w:p>
        </w:tc>
        <w:tc>
          <w:tcPr>
            <w:tcW w:w="3725" w:type="dxa"/>
            <w:noWrap w:val="0"/>
            <w:vAlign w:val="center"/>
          </w:tcPr>
          <w:p w14:paraId="46ABFA21">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江南管产</w:t>
            </w:r>
            <w:r>
              <w:rPr>
                <w:rFonts w:hint="eastAsia" w:ascii="Times New Roman" w:hAnsi="Times New Roman" w:cs="Times New Roman"/>
                <w:color w:val="auto"/>
                <w:sz w:val="24"/>
                <w:szCs w:val="24"/>
                <w:highlight w:val="none"/>
                <w:lang w:val="en-US" w:eastAsia="zh-CN"/>
              </w:rPr>
              <w:t>[202</w:t>
            </w:r>
            <w:r>
              <w:rPr>
                <w:rFonts w:hint="eastAsia" w:cs="Times New Roman"/>
                <w:color w:val="auto"/>
                <w:sz w:val="24"/>
                <w:szCs w:val="24"/>
                <w:highlight w:val="none"/>
                <w:lang w:val="en-US" w:eastAsia="zh-CN"/>
              </w:rPr>
              <w:t>4</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299</w:t>
            </w:r>
            <w:r>
              <w:rPr>
                <w:rFonts w:hint="eastAsia" w:ascii="Times New Roman" w:hAnsi="Times New Roman" w:cs="Times New Roman"/>
                <w:color w:val="auto"/>
                <w:sz w:val="24"/>
                <w:szCs w:val="24"/>
                <w:highlight w:val="none"/>
                <w:lang w:val="en-US" w:eastAsia="zh-CN"/>
              </w:rPr>
              <w:t>号</w:t>
            </w:r>
          </w:p>
        </w:tc>
      </w:tr>
      <w:tr w14:paraId="05C230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17" w:type="dxa"/>
            <w:noWrap w:val="0"/>
            <w:tcMar>
              <w:top w:w="16" w:type="dxa"/>
              <w:left w:w="16" w:type="dxa"/>
              <w:right w:w="16" w:type="dxa"/>
            </w:tcMar>
            <w:vAlign w:val="center"/>
          </w:tcPr>
          <w:p w14:paraId="4696EAC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总投资（万元）</w:t>
            </w:r>
          </w:p>
        </w:tc>
        <w:tc>
          <w:tcPr>
            <w:tcW w:w="2399" w:type="dxa"/>
            <w:noWrap w:val="0"/>
            <w:vAlign w:val="center"/>
          </w:tcPr>
          <w:p w14:paraId="0C5ADF05">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5</w:t>
            </w:r>
            <w:r>
              <w:rPr>
                <w:rFonts w:hint="eastAsia" w:ascii="Times New Roman" w:hAnsi="Times New Roman" w:cs="Times New Roman"/>
                <w:color w:val="auto"/>
                <w:sz w:val="24"/>
                <w:szCs w:val="24"/>
                <w:highlight w:val="none"/>
                <w:lang w:val="en-US" w:eastAsia="zh-CN"/>
              </w:rPr>
              <w:t>0000</w:t>
            </w:r>
          </w:p>
        </w:tc>
        <w:tc>
          <w:tcPr>
            <w:tcW w:w="1673" w:type="dxa"/>
            <w:noWrap w:val="0"/>
            <w:tcMar>
              <w:top w:w="16" w:type="dxa"/>
              <w:left w:w="16" w:type="dxa"/>
              <w:right w:w="16" w:type="dxa"/>
            </w:tcMar>
            <w:vAlign w:val="center"/>
          </w:tcPr>
          <w:p w14:paraId="54B8FFF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环保投资（万元）</w:t>
            </w:r>
          </w:p>
        </w:tc>
        <w:tc>
          <w:tcPr>
            <w:tcW w:w="3725" w:type="dxa"/>
            <w:noWrap w:val="0"/>
            <w:vAlign w:val="center"/>
          </w:tcPr>
          <w:p w14:paraId="0BBE6B1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140</w:t>
            </w:r>
          </w:p>
        </w:tc>
      </w:tr>
      <w:tr w14:paraId="369039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1017" w:type="dxa"/>
            <w:noWrap w:val="0"/>
            <w:tcMar>
              <w:top w:w="16" w:type="dxa"/>
              <w:left w:w="16" w:type="dxa"/>
              <w:right w:w="16" w:type="dxa"/>
            </w:tcMar>
            <w:vAlign w:val="center"/>
          </w:tcPr>
          <w:p w14:paraId="1DE8B26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环保投资占比（%）</w:t>
            </w:r>
          </w:p>
        </w:tc>
        <w:tc>
          <w:tcPr>
            <w:tcW w:w="2399" w:type="dxa"/>
            <w:noWrap w:val="0"/>
            <w:vAlign w:val="center"/>
          </w:tcPr>
          <w:p w14:paraId="5545AF9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28</w:t>
            </w:r>
            <w:r>
              <w:rPr>
                <w:rFonts w:hint="eastAsia" w:ascii="Times New Roman" w:hAnsi="Times New Roman" w:eastAsia="宋体" w:cs="Times New Roman"/>
                <w:color w:val="auto"/>
                <w:sz w:val="24"/>
                <w:szCs w:val="24"/>
                <w:highlight w:val="none"/>
                <w:lang w:val="en-US" w:eastAsia="zh-CN"/>
              </w:rPr>
              <w:t>%</w:t>
            </w:r>
          </w:p>
        </w:tc>
        <w:tc>
          <w:tcPr>
            <w:tcW w:w="1673" w:type="dxa"/>
            <w:noWrap w:val="0"/>
            <w:tcMar>
              <w:top w:w="16" w:type="dxa"/>
              <w:left w:w="16" w:type="dxa"/>
              <w:right w:w="16" w:type="dxa"/>
            </w:tcMar>
            <w:vAlign w:val="center"/>
          </w:tcPr>
          <w:p w14:paraId="742AB5D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施工工期</w:t>
            </w:r>
          </w:p>
        </w:tc>
        <w:tc>
          <w:tcPr>
            <w:tcW w:w="3725" w:type="dxa"/>
            <w:noWrap w:val="0"/>
            <w:vAlign w:val="center"/>
          </w:tcPr>
          <w:p w14:paraId="28AB4C5C">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6</w:t>
            </w:r>
            <w:r>
              <w:rPr>
                <w:rFonts w:hint="eastAsia" w:ascii="Times New Roman" w:hAnsi="Times New Roman" w:cs="Times New Roman"/>
                <w:color w:val="auto"/>
                <w:sz w:val="24"/>
                <w:szCs w:val="24"/>
                <w:highlight w:val="none"/>
                <w:lang w:val="en-US" w:eastAsia="zh-CN"/>
              </w:rPr>
              <w:t>个月</w:t>
            </w:r>
          </w:p>
        </w:tc>
      </w:tr>
      <w:tr w14:paraId="77E3A5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207BBE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是否开工建设</w:t>
            </w:r>
          </w:p>
        </w:tc>
        <w:tc>
          <w:tcPr>
            <w:tcW w:w="2399" w:type="dxa"/>
            <w:noWrap w:val="0"/>
            <w:vAlign w:val="center"/>
          </w:tcPr>
          <w:p w14:paraId="4D4BB860">
            <w:pPr>
              <w:adjustRightInd w:val="0"/>
              <w:snapToGrid w:val="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否</w:t>
            </w:r>
          </w:p>
          <w:p w14:paraId="6783EBC8">
            <w:pPr>
              <w:adjustRightInd w:val="0"/>
              <w:snapToGrid w:val="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是：</w:t>
            </w:r>
          </w:p>
        </w:tc>
        <w:tc>
          <w:tcPr>
            <w:tcW w:w="1673" w:type="dxa"/>
            <w:noWrap w:val="0"/>
            <w:tcMar>
              <w:top w:w="16" w:type="dxa"/>
              <w:left w:w="16" w:type="dxa"/>
              <w:right w:w="16" w:type="dxa"/>
            </w:tcMar>
            <w:vAlign w:val="center"/>
          </w:tcPr>
          <w:p w14:paraId="27C27AB8">
            <w:pPr>
              <w:adjustRightInd w:val="0"/>
              <w:snapToGrid w:val="0"/>
              <w:jc w:val="center"/>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6"/>
                <w:sz w:val="24"/>
                <w:szCs w:val="24"/>
                <w:highlight w:val="none"/>
              </w:rPr>
              <w:t>用地（用海）</w:t>
            </w:r>
          </w:p>
          <w:p w14:paraId="2A0C186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sz w:val="24"/>
                <w:szCs w:val="24"/>
                <w:highlight w:val="none"/>
              </w:rPr>
              <w:t>面积（m</w:t>
            </w:r>
            <w:r>
              <w:rPr>
                <w:rFonts w:hint="default" w:ascii="Times New Roman" w:hAnsi="Times New Roman" w:cs="Times New Roman"/>
                <w:color w:val="auto"/>
                <w:spacing w:val="-6"/>
                <w:sz w:val="24"/>
                <w:szCs w:val="24"/>
                <w:highlight w:val="none"/>
                <w:vertAlign w:val="superscript"/>
              </w:rPr>
              <w:t>2</w:t>
            </w:r>
            <w:r>
              <w:rPr>
                <w:rFonts w:hint="default" w:ascii="Times New Roman" w:hAnsi="Times New Roman" w:cs="Times New Roman"/>
                <w:color w:val="auto"/>
                <w:spacing w:val="-6"/>
                <w:sz w:val="24"/>
                <w:szCs w:val="24"/>
                <w:highlight w:val="none"/>
              </w:rPr>
              <w:t>）</w:t>
            </w:r>
          </w:p>
        </w:tc>
        <w:tc>
          <w:tcPr>
            <w:tcW w:w="3725" w:type="dxa"/>
            <w:noWrap w:val="0"/>
            <w:vAlign w:val="center"/>
          </w:tcPr>
          <w:p w14:paraId="7F3FA44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15178.64</w:t>
            </w:r>
          </w:p>
        </w:tc>
      </w:tr>
      <w:tr w14:paraId="7BD54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17" w:type="dxa"/>
            <w:noWrap w:val="0"/>
            <w:vAlign w:val="center"/>
          </w:tcPr>
          <w:p w14:paraId="78A7D8EE">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专项评价设置情况</w:t>
            </w:r>
          </w:p>
        </w:tc>
        <w:tc>
          <w:tcPr>
            <w:tcW w:w="7797" w:type="dxa"/>
            <w:gridSpan w:val="3"/>
            <w:noWrap w:val="0"/>
            <w:vAlign w:val="center"/>
          </w:tcPr>
          <w:p w14:paraId="3571B0C7">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无</w:t>
            </w:r>
          </w:p>
        </w:tc>
      </w:tr>
      <w:tr w14:paraId="4D94A5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6E0EF82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规划情况</w:t>
            </w:r>
          </w:p>
        </w:tc>
        <w:tc>
          <w:tcPr>
            <w:tcW w:w="7797" w:type="dxa"/>
            <w:gridSpan w:val="3"/>
            <w:noWrap w:val="0"/>
            <w:vAlign w:val="center"/>
          </w:tcPr>
          <w:p w14:paraId="0E45BE17">
            <w:pPr>
              <w:autoSpaceDE w:val="0"/>
              <w:autoSpaceDN w:val="0"/>
              <w:adjustRightInd w:val="0"/>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规划名称：《安徽省江南产业集中区总体规划》</w:t>
            </w:r>
            <w:r>
              <w:rPr>
                <w:rFonts w:hint="eastAsia" w:cs="Times New Roman"/>
                <w:color w:val="auto"/>
                <w:sz w:val="24"/>
                <w:szCs w:val="24"/>
                <w:highlight w:val="none"/>
                <w:lang w:eastAsia="zh-CN"/>
              </w:rPr>
              <w:t>（现更名为皖江江南新兴产业集中区）</w:t>
            </w:r>
            <w:r>
              <w:rPr>
                <w:rFonts w:hint="default" w:ascii="Times New Roman" w:hAnsi="Times New Roman" w:cs="Times New Roman"/>
                <w:color w:val="auto"/>
                <w:sz w:val="24"/>
                <w:szCs w:val="24"/>
                <w:highlight w:val="none"/>
              </w:rPr>
              <w:t>；</w:t>
            </w:r>
          </w:p>
          <w:p w14:paraId="0DA2B7C4">
            <w:pPr>
              <w:autoSpaceDE w:val="0"/>
              <w:autoSpaceDN w:val="0"/>
              <w:adjustRightIn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审批机关：</w:t>
            </w:r>
            <w:r>
              <w:rPr>
                <w:rFonts w:hint="eastAsia" w:ascii="Times New Roman" w:hAnsi="Times New Roman" w:cs="Times New Roman"/>
                <w:color w:val="auto"/>
                <w:sz w:val="24"/>
                <w:szCs w:val="24"/>
                <w:highlight w:val="none"/>
                <w:lang w:val="en-US" w:eastAsia="zh-CN"/>
              </w:rPr>
              <w:t>安徽省人民政府</w:t>
            </w:r>
          </w:p>
          <w:p w14:paraId="57D5C2CB">
            <w:pPr>
              <w:autoSpaceDE w:val="0"/>
              <w:autoSpaceDN w:val="0"/>
              <w:adjustRightInd w:val="0"/>
              <w:spacing w:line="360" w:lineRule="auto"/>
              <w:ind w:firstLine="480" w:firstLineChars="200"/>
              <w:jc w:val="left"/>
              <w:rPr>
                <w:rFonts w:hint="eastAsia" w:eastAsia="宋体"/>
                <w:color w:val="auto"/>
                <w:sz w:val="24"/>
                <w:szCs w:val="24"/>
                <w:highlight w:val="none"/>
                <w:lang w:val="en-US" w:eastAsia="zh-CN"/>
              </w:rPr>
            </w:pPr>
            <w:r>
              <w:rPr>
                <w:rFonts w:hint="default" w:ascii="Times New Roman" w:hAnsi="Times New Roman" w:cs="Times New Roman"/>
                <w:color w:val="auto"/>
                <w:sz w:val="24"/>
                <w:szCs w:val="24"/>
                <w:highlight w:val="none"/>
              </w:rPr>
              <w:t>审查文件名称及文号：</w:t>
            </w:r>
            <w:r>
              <w:rPr>
                <w:rFonts w:hint="eastAsia" w:cs="Times New Roman"/>
                <w:color w:val="auto"/>
                <w:sz w:val="24"/>
                <w:szCs w:val="24"/>
                <w:highlight w:val="none"/>
                <w:lang w:val="en-US" w:eastAsia="zh-CN"/>
              </w:rPr>
              <w:t>《安徽省人民政府关于同意安徽省江南产业集中区总体规划的批复》（皖政秘[2016]138号）</w:t>
            </w:r>
          </w:p>
        </w:tc>
      </w:tr>
      <w:tr w14:paraId="567292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17" w:type="dxa"/>
            <w:noWrap w:val="0"/>
            <w:vAlign w:val="center"/>
          </w:tcPr>
          <w:p w14:paraId="74CABD4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规划环境影响</w:t>
            </w:r>
          </w:p>
          <w:p w14:paraId="4E90BFD3">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评价情况</w:t>
            </w:r>
          </w:p>
        </w:tc>
        <w:tc>
          <w:tcPr>
            <w:tcW w:w="7797" w:type="dxa"/>
            <w:gridSpan w:val="3"/>
            <w:noWrap w:val="0"/>
            <w:vAlign w:val="center"/>
          </w:tcPr>
          <w:p w14:paraId="2E5D3F64">
            <w:pPr>
              <w:autoSpaceDE w:val="0"/>
              <w:autoSpaceDN w:val="0"/>
              <w:adjustRightInd w:val="0"/>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规划文件名称：《安徽省江南产业集中区总体规划环境影响报告书》；</w:t>
            </w:r>
          </w:p>
          <w:p w14:paraId="2767E788">
            <w:pPr>
              <w:autoSpaceDE w:val="0"/>
              <w:autoSpaceDN w:val="0"/>
              <w:adjustRightInd w:val="0"/>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2111883D">
            <w:pPr>
              <w:autoSpaceDE w:val="0"/>
              <w:autoSpaceDN w:val="0"/>
              <w:adjustRightInd w:val="0"/>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《安徽省环保厅关于安徽省江南产业集中区总体规划环境影响报告书审查意见的函》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以皖环函[2018]374 号</w:t>
            </w:r>
            <w:r>
              <w:rPr>
                <w:rFonts w:hint="default" w:ascii="Times New Roman" w:hAnsi="Times New Roman" w:cs="Times New Roman"/>
                <w:color w:val="auto"/>
                <w:sz w:val="24"/>
                <w:szCs w:val="24"/>
                <w:highlight w:val="none"/>
              </w:rPr>
              <w:t>）</w:t>
            </w:r>
          </w:p>
          <w:p w14:paraId="5597932C">
            <w:pPr>
              <w:autoSpaceDE w:val="0"/>
              <w:autoSpaceDN w:val="0"/>
              <w:adjustRightInd w:val="0"/>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规划文件名称：《安徽省江南产业集中区产业发展规划（2019-2030年）环境影响报告书》；</w:t>
            </w:r>
          </w:p>
          <w:p w14:paraId="09869F05">
            <w:pPr>
              <w:autoSpaceDE w:val="0"/>
              <w:autoSpaceDN w:val="0"/>
              <w:adjustRightInd w:val="0"/>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35B10CFC">
            <w:pPr>
              <w:autoSpaceDE w:val="0"/>
              <w:autoSpaceDN w:val="0"/>
              <w:adjustRightInd w:val="0"/>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《安徽省环保厅关于安徽省江南产业集中区产业发展规划（2019-2030）环境影响报告书审查意见的函》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皖环函[2020]107号</w:t>
            </w:r>
            <w:r>
              <w:rPr>
                <w:rFonts w:hint="default" w:ascii="Times New Roman" w:hAnsi="Times New Roman" w:cs="Times New Roman"/>
                <w:color w:val="auto"/>
                <w:sz w:val="24"/>
                <w:szCs w:val="24"/>
                <w:highlight w:val="none"/>
              </w:rPr>
              <w:t>）</w:t>
            </w:r>
          </w:p>
        </w:tc>
      </w:tr>
      <w:tr w14:paraId="5A7CC3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7FE97AC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规划及规划环境影响评价相符性分析</w:t>
            </w:r>
          </w:p>
        </w:tc>
        <w:tc>
          <w:tcPr>
            <w:tcW w:w="7797" w:type="dxa"/>
            <w:gridSpan w:val="3"/>
            <w:noWrap w:val="0"/>
            <w:vAlign w:val="center"/>
          </w:tcPr>
          <w:p w14:paraId="262A5E3A">
            <w:pPr>
              <w:adjustRightInd w:val="0"/>
              <w:snapToGrid w:val="0"/>
              <w:spacing w:line="360" w:lineRule="auto"/>
              <w:ind w:firstLine="482" w:firstLineChars="200"/>
              <w:jc w:val="lef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rPr>
              <w:t>1、</w:t>
            </w:r>
            <w:r>
              <w:rPr>
                <w:rFonts w:hint="eastAsia" w:cs="Times New Roman"/>
                <w:b/>
                <w:bCs/>
                <w:color w:val="auto"/>
                <w:sz w:val="24"/>
                <w:szCs w:val="24"/>
                <w:highlight w:val="none"/>
                <w:lang w:val="en-US" w:eastAsia="zh-CN"/>
              </w:rPr>
              <w:t>规划相符性分析</w:t>
            </w:r>
          </w:p>
          <w:p w14:paraId="03A46221">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1</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与</w:t>
            </w:r>
            <w:r>
              <w:rPr>
                <w:rFonts w:hint="default" w:ascii="Times New Roman" w:hAnsi="Times New Roman" w:cs="Times New Roman"/>
                <w:b/>
                <w:bCs/>
                <w:color w:val="auto"/>
                <w:sz w:val="24"/>
                <w:szCs w:val="24"/>
                <w:highlight w:val="none"/>
                <w:lang w:val="en-US" w:eastAsia="zh-CN"/>
              </w:rPr>
              <w:t>《安徽省江南产业集中区总体规划》</w:t>
            </w:r>
            <w:r>
              <w:rPr>
                <w:rFonts w:hint="default" w:ascii="Times New Roman" w:hAnsi="Times New Roman" w:cs="Times New Roman"/>
                <w:b/>
                <w:bCs/>
                <w:color w:val="auto"/>
                <w:sz w:val="24"/>
                <w:szCs w:val="24"/>
                <w:highlight w:val="none"/>
              </w:rPr>
              <w:t>相符性分析</w:t>
            </w:r>
          </w:p>
          <w:p w14:paraId="44C9A1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集中区重点发展三大战略性新兴产业、现代服务业。积极培育三大战略性新兴产业——包括电子信息产业、高端装备制造业和新材料产业；加快发展现代服务业——包括现代物流、研发创意、商务服务、信息服务、通用航空、大健康服务等。</w:t>
            </w:r>
          </w:p>
          <w:p w14:paraId="6B6474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default" w:ascii="Times New Roman" w:hAnsi="Times New Roman" w:cs="Times New Roman"/>
                <w:color w:val="auto"/>
                <w:sz w:val="24"/>
                <w:szCs w:val="24"/>
                <w:highlight w:val="none"/>
                <w:lang w:val="en-US" w:eastAsia="zh-CN"/>
              </w:rPr>
              <w:t>，属于主导产业中的电子信息产业</w:t>
            </w:r>
            <w:r>
              <w:rPr>
                <w:rFonts w:hint="eastAsia" w:cs="Times New Roman"/>
                <w:color w:val="auto"/>
                <w:sz w:val="24"/>
                <w:szCs w:val="24"/>
                <w:highlight w:val="none"/>
                <w:lang w:val="en-US" w:eastAsia="zh-CN"/>
              </w:rPr>
              <w:t>中的</w:t>
            </w:r>
            <w:r>
              <w:rPr>
                <w:rFonts w:hint="default" w:ascii="Times New Roman" w:hAnsi="Times New Roman" w:cs="Times New Roman"/>
                <w:color w:val="auto"/>
                <w:sz w:val="24"/>
                <w:szCs w:val="24"/>
                <w:highlight w:val="none"/>
                <w:lang w:val="en-US" w:eastAsia="zh-CN"/>
              </w:rPr>
              <w:t>电子电力元器件</w:t>
            </w:r>
            <w:r>
              <w:rPr>
                <w:rFonts w:hint="eastAsia" w:cs="Times New Roman"/>
                <w:color w:val="auto"/>
                <w:sz w:val="24"/>
                <w:szCs w:val="24"/>
                <w:highlight w:val="none"/>
                <w:lang w:val="en-US" w:eastAsia="zh-CN"/>
              </w:rPr>
              <w:t>制造</w:t>
            </w:r>
            <w:r>
              <w:rPr>
                <w:rFonts w:hint="default" w:ascii="Times New Roman" w:hAnsi="Times New Roman" w:cs="Times New Roman"/>
                <w:color w:val="auto"/>
                <w:sz w:val="24"/>
                <w:szCs w:val="24"/>
                <w:highlight w:val="none"/>
                <w:lang w:val="en-US" w:eastAsia="zh-CN"/>
              </w:rPr>
              <w:t>。且根据《安徽省江南产业集中区总体规划》（2010-2030年）中规划用地布局图可知，项目</w:t>
            </w:r>
            <w:r>
              <w:rPr>
                <w:rFonts w:hint="eastAsia" w:cs="Times New Roman"/>
                <w:color w:val="auto"/>
                <w:sz w:val="24"/>
                <w:szCs w:val="24"/>
                <w:highlight w:val="none"/>
                <w:lang w:val="en-US" w:eastAsia="zh-CN"/>
              </w:rPr>
              <w:t>用地</w:t>
            </w:r>
            <w:r>
              <w:rPr>
                <w:rFonts w:hint="default" w:ascii="Times New Roman" w:hAnsi="Times New Roman" w:cs="Times New Roman"/>
                <w:color w:val="auto"/>
                <w:sz w:val="24"/>
                <w:szCs w:val="24"/>
                <w:highlight w:val="none"/>
                <w:lang w:val="en-US" w:eastAsia="zh-CN"/>
              </w:rPr>
              <w:t>属于工业用地</w:t>
            </w:r>
            <w:r>
              <w:rPr>
                <w:rFonts w:hint="eastAsia" w:cs="Times New Roman"/>
                <w:color w:val="auto"/>
                <w:sz w:val="24"/>
                <w:szCs w:val="24"/>
                <w:highlight w:val="none"/>
                <w:lang w:val="en-US" w:eastAsia="zh-CN"/>
              </w:rPr>
              <w:t>（附图1），</w:t>
            </w:r>
            <w:r>
              <w:rPr>
                <w:rFonts w:hint="default" w:ascii="Times New Roman" w:hAnsi="Times New Roman" w:cs="Times New Roman"/>
                <w:color w:val="auto"/>
                <w:sz w:val="24"/>
                <w:szCs w:val="24"/>
                <w:highlight w:val="none"/>
                <w:lang w:val="en-US" w:eastAsia="zh-CN"/>
              </w:rPr>
              <w:t>故本项目与《安徽省江南产业集中区总体规划》（2010-2030年）相符。</w:t>
            </w:r>
          </w:p>
          <w:p w14:paraId="39631A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（2）与《安徽省江南产业集中区产业发展规划（2019-2030）》相符性分析</w:t>
            </w:r>
          </w:p>
          <w:p w14:paraId="27B4E6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规划产业布局在集中区“一主、两副、两组团”的规划空间结构的基础上，依托三大主导产业的发展，集中区划分出三大产业片区，各片区集中力量，大力推动主导产业的发展，充分发挥主导产业的扩散效应，带动辅助产业及整个集中区的发展，形成“两核、三片、多区”的产业布局。本项目属于“三片”中的机械电子产业片区，该片区属于江南大道以北的沿江用地，重点发展以机械电子为主的高技术产业，以及依托长江货运码头发展为辅的运输业。机械电子产业作为江南产业集中区的主导产业之一，产值优势明显，发展基础良好，规划按长江沿线发展，积极引进电梯制造、改装车制造、汽车零部件制造等项目，集聚发展包括电子摄像头制造、电子通信设备及其零部件制造、移动智能设备等电子产业，充分利用长江岸线运输优势，打造长江沿线机械电子产业的示范性基地</w:t>
            </w:r>
          </w:p>
          <w:p w14:paraId="270C12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产业发展规划（2019-2030）》，机械电子产业链如下所示，集中区应重点发展中游和下游产业，上游产业存在污染的环节不纳入集中区产业发展目录中。本项目属于C3974显示器件制造，属于主导产业机械电子产业中的电子电力元器件制造。</w:t>
            </w:r>
          </w:p>
          <w:p w14:paraId="07247A8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drawing>
                <wp:inline distT="0" distB="0" distL="114300" distR="114300">
                  <wp:extent cx="4562475" cy="4315460"/>
                  <wp:effectExtent l="0" t="0" r="9525" b="8890"/>
                  <wp:docPr id="7" name="图片 7" descr="39677e22352f52d0d3c3fe55f0e5d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9677e22352f52d0d3c3fe55f0e5dee"/>
                          <pic:cNvPicPr>
                            <a:picLocks noChangeAspect="1"/>
                          </pic:cNvPicPr>
                        </pic:nvPicPr>
                        <pic:blipFill>
                          <a:blip r:embed="rId8"/>
                          <a:stretch>
                            <a:fillRect/>
                          </a:stretch>
                        </pic:blipFill>
                        <pic:spPr>
                          <a:xfrm>
                            <a:off x="0" y="0"/>
                            <a:ext cx="4562475" cy="4315460"/>
                          </a:xfrm>
                          <a:prstGeom prst="rect">
                            <a:avLst/>
                          </a:prstGeom>
                        </pic:spPr>
                      </pic:pic>
                    </a:graphicData>
                  </a:graphic>
                </wp:inline>
              </w:drawing>
            </w:r>
          </w:p>
          <w:p w14:paraId="28E9EE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3" w:firstLineChars="300"/>
              <w:jc w:val="center"/>
              <w:textAlignment w:val="auto"/>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图1-1</w:t>
            </w:r>
            <w:r>
              <w:rPr>
                <w:rFonts w:hint="eastAsia" w:cs="Times New Roman"/>
                <w:b/>
                <w:bCs/>
                <w:color w:val="auto"/>
                <w:sz w:val="24"/>
                <w:szCs w:val="24"/>
                <w:highlight w:val="none"/>
                <w:lang w:val="en-US" w:eastAsia="zh-CN"/>
              </w:rPr>
              <w:t xml:space="preserve">  </w:t>
            </w:r>
            <w:r>
              <w:rPr>
                <w:rFonts w:hint="default" w:ascii="Times New Roman" w:hAnsi="Times New Roman" w:cs="Times New Roman"/>
                <w:b/>
                <w:bCs/>
                <w:color w:val="auto"/>
                <w:sz w:val="24"/>
                <w:szCs w:val="24"/>
                <w:highlight w:val="none"/>
                <w:lang w:val="en-US" w:eastAsia="zh-CN"/>
              </w:rPr>
              <w:t>机械电子产业链</w:t>
            </w:r>
          </w:p>
          <w:p w14:paraId="1FA8BAE0">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规划环评及审查意见相符性分析</w:t>
            </w:r>
          </w:p>
          <w:p w14:paraId="6BE5F1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2010年4月安徽省机构编制委员会办公室以《关于皖江城市带承接产业转移示范区省直管集中区管委会机构编制事项的通知》（皖编办[2010]32号），批复同意成立安池铜省直管集中区。</w:t>
            </w:r>
          </w:p>
          <w:p w14:paraId="6D3F6C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2010年8月安徽省机构编制委员会办公室以《关于皖江城市带承接产业转移示范区省直管集中区更名的通知》（皖编办[2010]36号），批复更名为安徽省江南产业集中区。</w:t>
            </w:r>
          </w:p>
          <w:p w14:paraId="66D3A4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2016年7月，安徽省人民政府以“皖政秘[2016]138号文”批复了《安徽省江南产业集中区总体规划》，2018年3月27日，安徽省生态环境厅（原安徽省环境保护厅）以《安徽省环保厅关于安徽省江南产业集中区总体规划环境影响报告书审查意见的函》“皖环函[2018]374号文”通过了集中区规划环评的审查。</w:t>
            </w:r>
          </w:p>
          <w:p w14:paraId="7B061E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2019年5月，安徽省江南产业集中区（现皖江江南新兴产业集中区）管委会委托合肥工业大学编制了《安徽省江南产业集中区产业发展规划（2019-2030年）》。</w:t>
            </w:r>
          </w:p>
          <w:p w14:paraId="582D9D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2019年10月16日，安徽省人民政府常务会审议通过了《进一步推动江北、江南产业集中区改革创新和高质量发展的意见》，意见明确了集中区的主导产业为机械电子产业、新型材料产业、大健康产业。</w:t>
            </w:r>
          </w:p>
          <w:p w14:paraId="06E844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2020年3月9日，《安徽省生态环境厅关于印发安徽省江南产业集中区产业发展规划（2019~2030）环境影响报告书审查意见的函》“皖环函[2020]107号”通过了对园区产业发展规划环评的审查。该批复中明确集中区规划总面积为36.5平方公里，不包括总体规划中池州高新区管辖地块（20平方公里）范围。规划主导产业为机械电子、新型材料和大健康三大主导产业。</w:t>
            </w:r>
          </w:p>
          <w:p w14:paraId="122CF9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（1）与《安徽省江南产业集中区产业发展规划（2019~2030）环境影响报告书》相符性分析</w:t>
            </w:r>
          </w:p>
          <w:p w14:paraId="1F4EA6F0">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表1-1  与《安徽省江南产业集中区产业发展规划（2019~2030）环境影响报告书》相符性分析</w:t>
            </w:r>
          </w:p>
          <w:tbl>
            <w:tblPr>
              <w:tblStyle w:val="23"/>
              <w:tblW w:w="75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952"/>
              <w:gridCol w:w="2108"/>
              <w:gridCol w:w="790"/>
            </w:tblGrid>
            <w:tr w14:paraId="5C6A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10609387">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序号</w:t>
                  </w:r>
                </w:p>
              </w:tc>
              <w:tc>
                <w:tcPr>
                  <w:tcW w:w="3952" w:type="dxa"/>
                  <w:vAlign w:val="center"/>
                </w:tcPr>
                <w:p w14:paraId="71835BF2">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规划</w:t>
                  </w:r>
                  <w:r>
                    <w:rPr>
                      <w:rFonts w:hint="eastAsia" w:cs="Times New Roman"/>
                      <w:b/>
                      <w:bCs/>
                      <w:sz w:val="21"/>
                      <w:szCs w:val="21"/>
                      <w:highlight w:val="none"/>
                      <w:lang w:val="en-US" w:eastAsia="zh-CN"/>
                    </w:rPr>
                    <w:t>要求</w:t>
                  </w:r>
                </w:p>
              </w:tc>
              <w:tc>
                <w:tcPr>
                  <w:tcW w:w="2108" w:type="dxa"/>
                  <w:vAlign w:val="center"/>
                </w:tcPr>
                <w:p w14:paraId="573D358A">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cs="Times New Roman"/>
                      <w:b/>
                      <w:bCs/>
                      <w:sz w:val="21"/>
                      <w:szCs w:val="21"/>
                      <w:highlight w:val="none"/>
                      <w:lang w:val="en-US" w:eastAsia="zh-CN"/>
                    </w:rPr>
                    <w:t>本项目内容</w:t>
                  </w:r>
                </w:p>
              </w:tc>
              <w:tc>
                <w:tcPr>
                  <w:tcW w:w="790" w:type="dxa"/>
                  <w:vAlign w:val="center"/>
                </w:tcPr>
                <w:p w14:paraId="67B0E26C">
                  <w:pPr>
                    <w:spacing w:line="240" w:lineRule="auto"/>
                    <w:jc w:val="center"/>
                    <w:rPr>
                      <w:rFonts w:hint="default" w:ascii="Times New Roman" w:hAnsi="Times New Roman" w:eastAsia="宋体" w:cs="Times New Roman"/>
                      <w:b/>
                      <w:bCs/>
                      <w:sz w:val="21"/>
                      <w:szCs w:val="21"/>
                      <w:highlight w:val="none"/>
                      <w:lang w:val="en-US" w:eastAsia="zh-CN"/>
                    </w:rPr>
                  </w:pPr>
                  <w:r>
                    <w:rPr>
                      <w:rFonts w:hint="eastAsia" w:cs="Times New Roman"/>
                      <w:b/>
                      <w:bCs/>
                      <w:sz w:val="21"/>
                      <w:szCs w:val="21"/>
                      <w:highlight w:val="none"/>
                      <w:lang w:val="en-US" w:eastAsia="zh-CN"/>
                    </w:rPr>
                    <w:t>相符性</w:t>
                  </w:r>
                </w:p>
              </w:tc>
            </w:tr>
            <w:tr w14:paraId="4EAC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6249D9AE">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w:t>
                  </w:r>
                </w:p>
              </w:tc>
              <w:tc>
                <w:tcPr>
                  <w:tcW w:w="3952" w:type="dxa"/>
                  <w:vAlign w:val="center"/>
                </w:tcPr>
                <w:p w14:paraId="695E3FCA">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规划四至范围为东至泰山路，南至九华湖，西至昆仑山路，北至滨江大道，规划用地规模为36.50平方公里</w:t>
                  </w:r>
                  <w:r>
                    <w:rPr>
                      <w:rFonts w:hint="eastAsia"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规划主导产业为机械电子、新型材料和</w:t>
                  </w:r>
                  <w:r>
                    <w:rPr>
                      <w:rFonts w:hint="eastAsia" w:cs="Times New Roman"/>
                      <w:sz w:val="21"/>
                      <w:szCs w:val="21"/>
                      <w:highlight w:val="none"/>
                      <w:lang w:val="en-US" w:eastAsia="zh-CN"/>
                    </w:rPr>
                    <w:t>大健康</w:t>
                  </w:r>
                  <w:r>
                    <w:rPr>
                      <w:rFonts w:hint="default" w:ascii="Times New Roman" w:hAnsi="Times New Roman" w:eastAsia="宋体" w:cs="Times New Roman"/>
                      <w:sz w:val="21"/>
                      <w:szCs w:val="21"/>
                      <w:highlight w:val="none"/>
                      <w:lang w:val="en-US" w:eastAsia="zh-CN"/>
                    </w:rPr>
                    <w:t>三大主导产业。</w:t>
                  </w:r>
                </w:p>
              </w:tc>
              <w:tc>
                <w:tcPr>
                  <w:tcW w:w="2108" w:type="dxa"/>
                  <w:vAlign w:val="center"/>
                </w:tcPr>
                <w:p w14:paraId="495CA897">
                  <w:pPr>
                    <w:spacing w:line="240" w:lineRule="auto"/>
                    <w:jc w:val="center"/>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本项目属于C3974显示器件制造，属于主导产业中的</w:t>
                  </w:r>
                  <w:r>
                    <w:rPr>
                      <w:rFonts w:hint="eastAsia" w:cs="Times New Roman"/>
                      <w:sz w:val="21"/>
                      <w:szCs w:val="21"/>
                      <w:highlight w:val="none"/>
                      <w:lang w:val="en-US" w:eastAsia="zh-CN"/>
                    </w:rPr>
                    <w:t>机械电子</w:t>
                  </w:r>
                  <w:r>
                    <w:rPr>
                      <w:rFonts w:hint="default" w:ascii="Times New Roman" w:hAnsi="Times New Roman" w:cs="Times New Roman"/>
                      <w:sz w:val="21"/>
                      <w:szCs w:val="21"/>
                      <w:highlight w:val="none"/>
                      <w:lang w:val="en-US" w:eastAsia="zh-CN"/>
                    </w:rPr>
                    <w:t>产业</w:t>
                  </w:r>
                  <w:r>
                    <w:rPr>
                      <w:rFonts w:hint="eastAsia" w:ascii="Times New Roman" w:hAnsi="Times New Roman" w:cs="Times New Roman"/>
                      <w:sz w:val="21"/>
                      <w:szCs w:val="21"/>
                      <w:highlight w:val="none"/>
                      <w:lang w:val="en-US" w:eastAsia="zh-CN"/>
                    </w:rPr>
                    <w:t>，</w:t>
                  </w:r>
                  <w:r>
                    <w:rPr>
                      <w:rFonts w:hint="eastAsia" w:cs="Times New Roman"/>
                      <w:sz w:val="21"/>
                      <w:szCs w:val="21"/>
                      <w:highlight w:val="none"/>
                      <w:lang w:val="en-US" w:eastAsia="zh-CN"/>
                    </w:rPr>
                    <w:t>项目建设地点位于</w:t>
                  </w:r>
                  <w:r>
                    <w:rPr>
                      <w:rFonts w:hint="eastAsia" w:ascii="Times New Roman" w:hAnsi="Times New Roman" w:cs="Times New Roman"/>
                      <w:sz w:val="21"/>
                      <w:szCs w:val="21"/>
                      <w:highlight w:val="none"/>
                      <w:lang w:val="en-US" w:eastAsia="zh-CN"/>
                    </w:rPr>
                    <w:t>皖江江南新兴产业集中区</w:t>
                  </w:r>
                  <w:r>
                    <w:rPr>
                      <w:rFonts w:hint="eastAsia" w:cs="Times New Roman"/>
                      <w:sz w:val="21"/>
                      <w:szCs w:val="21"/>
                      <w:highlight w:val="none"/>
                      <w:lang w:val="en-US" w:eastAsia="zh-CN"/>
                    </w:rPr>
                    <w:t>科技孵化园</w:t>
                  </w:r>
                  <w:r>
                    <w:rPr>
                      <w:rFonts w:hint="eastAsia" w:cs="Times New Roman"/>
                      <w:color w:val="auto"/>
                      <w:sz w:val="21"/>
                      <w:szCs w:val="21"/>
                      <w:highlight w:val="none"/>
                      <w:lang w:val="en-US" w:eastAsia="zh-CN"/>
                    </w:rPr>
                    <w:t>A5</w:t>
                  </w:r>
                  <w:r>
                    <w:rPr>
                      <w:rFonts w:hint="eastAsia" w:cs="Times New Roman"/>
                      <w:sz w:val="21"/>
                      <w:szCs w:val="21"/>
                      <w:highlight w:val="none"/>
                      <w:lang w:val="en-US" w:eastAsia="zh-CN"/>
                    </w:rPr>
                    <w:t>号厂房3-4层</w:t>
                  </w:r>
                </w:p>
              </w:tc>
              <w:tc>
                <w:tcPr>
                  <w:tcW w:w="790" w:type="dxa"/>
                  <w:vAlign w:val="center"/>
                </w:tcPr>
                <w:p w14:paraId="3EA74669">
                  <w:pPr>
                    <w:spacing w:line="240" w:lineRule="auto"/>
                    <w:jc w:val="center"/>
                    <w:rPr>
                      <w:rFonts w:hint="default" w:ascii="Times New Roman" w:hAnsi="Times New Roman" w:cs="Times New Roman"/>
                      <w:sz w:val="21"/>
                      <w:szCs w:val="21"/>
                      <w:highlight w:val="none"/>
                      <w:lang w:val="en-US" w:eastAsia="zh-CN"/>
                    </w:rPr>
                  </w:pPr>
                  <w:r>
                    <w:rPr>
                      <w:rFonts w:hint="eastAsia" w:cs="Times New Roman"/>
                      <w:sz w:val="21"/>
                      <w:szCs w:val="21"/>
                      <w:highlight w:val="none"/>
                      <w:lang w:val="en-US" w:eastAsia="zh-CN"/>
                    </w:rPr>
                    <w:t>符合</w:t>
                  </w:r>
                </w:p>
              </w:tc>
            </w:tr>
            <w:tr w14:paraId="471B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012C3753">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2</w:t>
                  </w:r>
                </w:p>
              </w:tc>
              <w:tc>
                <w:tcPr>
                  <w:tcW w:w="3952" w:type="dxa"/>
                  <w:vAlign w:val="center"/>
                </w:tcPr>
                <w:p w14:paraId="5EFF1605">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强化工业源治理措施。加强现有企业生产废气治理设施的监管工作，确保设施正常运行；严格区内传统制造企业生产废气的治理要求，倒逼企业创新转型。规划实施期间，对于新引进有供热需求的企业，需优先使用集中供热或清洁能源，尽可能减少区域内二氧化硫和氮氧化物的排放量。进一步控制排放挥发性有机污染物等特征污染物项目的引进，并加快对现有排放挥发性有机污染物等特征污染物企业的升级改造工作，提高原料的清洁性并加强污染控制措施，对区内排放不达标的企业实施限期整改。</w:t>
                  </w:r>
                </w:p>
              </w:tc>
              <w:tc>
                <w:tcPr>
                  <w:tcW w:w="2108" w:type="dxa"/>
                  <w:vAlign w:val="center"/>
                </w:tcPr>
                <w:p w14:paraId="470C6992">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本项目废气通过前端集气罩/负压管道收集后，引入</w:t>
                  </w:r>
                  <w:r>
                    <w:rPr>
                      <w:rFonts w:hint="eastAsia" w:cs="Times New Roman"/>
                      <w:color w:val="auto"/>
                      <w:kern w:val="2"/>
                      <w:sz w:val="21"/>
                      <w:szCs w:val="21"/>
                      <w:highlight w:val="none"/>
                      <w:lang w:val="en-US" w:eastAsia="zh-CN"/>
                    </w:rPr>
                    <w:t>干式过滤器</w:t>
                  </w:r>
                  <w:r>
                    <w:rPr>
                      <w:rFonts w:hint="eastAsia" w:cs="Times New Roman"/>
                      <w:sz w:val="21"/>
                      <w:szCs w:val="21"/>
                      <w:highlight w:val="none"/>
                      <w:lang w:val="en-US" w:eastAsia="zh-CN"/>
                    </w:rPr>
                    <w:t>+二级活性炭吸附装置处理，最后经20m高排气筒排放</w:t>
                  </w:r>
                </w:p>
              </w:tc>
              <w:tc>
                <w:tcPr>
                  <w:tcW w:w="790" w:type="dxa"/>
                  <w:vAlign w:val="center"/>
                </w:tcPr>
                <w:p w14:paraId="2260EDB9">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5B56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4B72A4B0">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3</w:t>
                  </w:r>
                </w:p>
              </w:tc>
              <w:tc>
                <w:tcPr>
                  <w:tcW w:w="3952" w:type="dxa"/>
                  <w:vAlign w:val="center"/>
                </w:tcPr>
                <w:p w14:paraId="308CBC85">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严格落实水污染防治行动计划、关于全面打造水清岸绿产业优美丽长江（安徽）经济带的实施意见以及集中区上轮规划环评及审查意见中有关要求，各企业应按清污分流、雨污分流原则建立完善的排水系统，加强企业废水污染源整治，确保达标纳管，在现有监管的基础上，进一步加强对生产企业监管力度，从废水预处理、建立完善的废水收集和排放体系方面，确保企业生产废水治理设施正常运转、达标纳管。企业废水预处理针对自身废水特点，遵循分质处理的原则，采用经济可行的处理方案，确保接管废水达到污水处理厂接管标准</w:t>
                  </w:r>
                  <w:r>
                    <w:rPr>
                      <w:rFonts w:hint="eastAsia" w:cs="Times New Roman"/>
                      <w:sz w:val="21"/>
                      <w:szCs w:val="21"/>
                      <w:highlight w:val="none"/>
                      <w:lang w:val="en-US" w:eastAsia="zh-CN"/>
                    </w:rPr>
                    <w:t>。</w:t>
                  </w:r>
                </w:p>
              </w:tc>
              <w:tc>
                <w:tcPr>
                  <w:tcW w:w="2108" w:type="dxa"/>
                  <w:vAlign w:val="center"/>
                </w:tcPr>
                <w:p w14:paraId="4D22713F">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w:t>
                  </w:r>
                  <w:r>
                    <w:rPr>
                      <w:rFonts w:hint="eastAsia" w:cs="Times New Roman"/>
                      <w:color w:val="auto"/>
                      <w:sz w:val="21"/>
                      <w:szCs w:val="21"/>
                      <w:highlight w:val="none"/>
                      <w:lang w:val="en-US" w:eastAsia="zh-CN"/>
                    </w:rPr>
                    <w:t>科技孵化园</w:t>
                  </w:r>
                  <w:r>
                    <w:rPr>
                      <w:rFonts w:hint="eastAsia" w:ascii="Times New Roman" w:hAnsi="Times New Roman" w:cs="Times New Roman"/>
                      <w:color w:val="auto"/>
                      <w:sz w:val="21"/>
                      <w:szCs w:val="21"/>
                      <w:highlight w:val="none"/>
                      <w:lang w:eastAsia="zh-CN"/>
                    </w:rPr>
                    <w:t>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处理达标后经九华河排入长江</w:t>
                  </w:r>
                </w:p>
              </w:tc>
              <w:tc>
                <w:tcPr>
                  <w:tcW w:w="790" w:type="dxa"/>
                  <w:vAlign w:val="center"/>
                </w:tcPr>
                <w:p w14:paraId="113C3898">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1127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56C6829A">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4</w:t>
                  </w:r>
                </w:p>
              </w:tc>
              <w:tc>
                <w:tcPr>
                  <w:tcW w:w="3952" w:type="dxa"/>
                  <w:vAlign w:val="center"/>
                </w:tcPr>
                <w:p w14:paraId="6DC30313">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建议企业在做好地下水防渗措施的基础上，监管人员做好企业和规划区的风险防范工作，加强安全教育和监管巡查力度，做好地下水跟踪监测，定期取地下水样进行监测，发现问题及时处理，避免建设项目对地下水环境造成恶化。</w:t>
                  </w:r>
                </w:p>
              </w:tc>
              <w:tc>
                <w:tcPr>
                  <w:tcW w:w="2108" w:type="dxa"/>
                  <w:vAlign w:val="center"/>
                </w:tcPr>
                <w:p w14:paraId="10F4F0C9">
                  <w:pPr>
                    <w:spacing w:line="240" w:lineRule="auto"/>
                    <w:jc w:val="center"/>
                    <w:rPr>
                      <w:rFonts w:hint="eastAsia"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项目采取分区防渗措施，危废库进行重点防渗，</w:t>
                  </w:r>
                  <w:r>
                    <w:rPr>
                      <w:rFonts w:hint="eastAsia" w:cs="Times New Roman"/>
                      <w:color w:val="auto"/>
                      <w:kern w:val="0"/>
                      <w:sz w:val="21"/>
                      <w:szCs w:val="21"/>
                      <w:highlight w:val="none"/>
                      <w:lang w:eastAsia="zh-CN" w:bidi="ar"/>
                    </w:rPr>
                    <w:t>生产车间及</w:t>
                  </w:r>
                  <w:r>
                    <w:rPr>
                      <w:rFonts w:hint="eastAsia" w:cs="Times New Roman"/>
                      <w:color w:val="auto"/>
                      <w:kern w:val="0"/>
                      <w:sz w:val="21"/>
                      <w:szCs w:val="21"/>
                      <w:highlight w:val="none"/>
                      <w:lang w:val="en-US" w:eastAsia="zh-CN" w:bidi="ar"/>
                    </w:rPr>
                    <w:t>原辅料仓库</w:t>
                  </w:r>
                  <w:r>
                    <w:rPr>
                      <w:rFonts w:hint="default" w:ascii="Times New Roman" w:hAnsi="Times New Roman" w:eastAsia="宋体" w:cs="Times New Roman"/>
                      <w:color w:val="auto"/>
                      <w:kern w:val="0"/>
                      <w:sz w:val="21"/>
                      <w:szCs w:val="21"/>
                      <w:highlight w:val="none"/>
                      <w:lang w:bidi="ar"/>
                    </w:rPr>
                    <w:t>等</w:t>
                  </w:r>
                  <w:r>
                    <w:rPr>
                      <w:rFonts w:hint="eastAsia" w:cs="Times New Roman"/>
                      <w:color w:val="auto"/>
                      <w:kern w:val="0"/>
                      <w:sz w:val="21"/>
                      <w:szCs w:val="21"/>
                      <w:highlight w:val="none"/>
                      <w:lang w:eastAsia="zh-CN" w:bidi="ar"/>
                    </w:rPr>
                    <w:t>进行</w:t>
                  </w:r>
                  <w:r>
                    <w:rPr>
                      <w:rFonts w:hint="eastAsia" w:ascii="Times New Roman" w:hAnsi="Times New Roman" w:cs="Times New Roman"/>
                      <w:color w:val="auto"/>
                      <w:kern w:val="0"/>
                      <w:sz w:val="21"/>
                      <w:szCs w:val="21"/>
                      <w:highlight w:val="none"/>
                      <w:lang w:eastAsia="zh-CN" w:bidi="ar"/>
                    </w:rPr>
                    <w:t>一般防渗</w:t>
                  </w:r>
                </w:p>
              </w:tc>
              <w:tc>
                <w:tcPr>
                  <w:tcW w:w="790" w:type="dxa"/>
                  <w:vAlign w:val="center"/>
                </w:tcPr>
                <w:p w14:paraId="5F141933">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2AC3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4F2614D0">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5</w:t>
                  </w:r>
                </w:p>
              </w:tc>
              <w:tc>
                <w:tcPr>
                  <w:tcW w:w="3952" w:type="dxa"/>
                  <w:vAlign w:val="center"/>
                </w:tcPr>
                <w:p w14:paraId="238A6F88">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包括加强环境管理、降低建设期间的施工噪声，对各企业高噪声设备采取降噪处理；加强区内的交通组织与管理，减轻交通噪声的影响；重点保护居民区、学校等敏感目标的声环境质量。在建设中落实“三同时”的要求，确保噪声达标排放。</w:t>
                  </w:r>
                </w:p>
              </w:tc>
              <w:tc>
                <w:tcPr>
                  <w:tcW w:w="2108" w:type="dxa"/>
                  <w:vAlign w:val="center"/>
                </w:tcPr>
                <w:p w14:paraId="3B1DE0F9">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项目采取选用低噪声设备、合理布局、厂房隔声、设备减振等措施，厂界噪声预测值均满足《工业企业厂界环境噪声排放标准》（GB12348-2008）3类标准限值要求</w:t>
                  </w:r>
                </w:p>
              </w:tc>
              <w:tc>
                <w:tcPr>
                  <w:tcW w:w="790" w:type="dxa"/>
                  <w:vAlign w:val="center"/>
                </w:tcPr>
                <w:p w14:paraId="7407EF06">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r w14:paraId="0EFE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663C8748">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6</w:t>
                  </w:r>
                </w:p>
              </w:tc>
              <w:tc>
                <w:tcPr>
                  <w:tcW w:w="3952" w:type="dxa"/>
                  <w:vAlign w:val="center"/>
                </w:tcPr>
                <w:p w14:paraId="4D4A13DD">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（1）机械电子产业：</w:t>
                  </w:r>
                </w:p>
                <w:p w14:paraId="35B28916">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09C86BD0">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（3）新型材料产业：</w:t>
                  </w:r>
                </w:p>
                <w:p w14:paraId="0E07D2A2">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①禁止引入能耗物耗高、环境污染大、产出效益低的国家或省规定禁止的其他落后工艺；</w:t>
                  </w:r>
                </w:p>
                <w:p w14:paraId="7CBD2300">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②禁止引入表面处理中心以外的电镀生产工艺（其他必须配套电镀工序的企业，应严格控制其镀种和在电镀中心以外布局，其选址需经过充分环境影响论证）；③禁止引入多晶硅、单晶硅制造等前道生产工序；</w:t>
                  </w:r>
                </w:p>
                <w:p w14:paraId="4D7C8AFC">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0732B5B7">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⑤从严控制规模效益差、能源资源消耗大、环境影响严重的项目进入，包括钢铁、有色金属原矿冶炼、石化、焦化、水泥、原浆造纸、制革、平板玻璃和非金属矿原矿加工等项目。</w:t>
                  </w:r>
                </w:p>
                <w:p w14:paraId="7331F756">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（3）大健康产业</w:t>
                  </w:r>
                </w:p>
                <w:p w14:paraId="457CFFAE">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①禁止引入《产业结构调整指导目录（2019年本）》等产业政策中限制类和淘汰类设备和工艺；</w:t>
                  </w:r>
                </w:p>
                <w:p w14:paraId="366566C6">
                  <w:pPr>
                    <w:spacing w:line="240" w:lineRule="auto"/>
                    <w:jc w:val="lef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②禁止引入涉及化学合成工序的制药类项目。</w:t>
                  </w:r>
                </w:p>
              </w:tc>
              <w:tc>
                <w:tcPr>
                  <w:tcW w:w="2108" w:type="dxa"/>
                  <w:vAlign w:val="center"/>
                </w:tcPr>
                <w:p w14:paraId="642A02F9">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cs="Times New Roman"/>
                      <w:sz w:val="21"/>
                      <w:szCs w:val="21"/>
                      <w:highlight w:val="none"/>
                      <w:lang w:val="en-US" w:eastAsia="zh-CN"/>
                    </w:rPr>
                    <w:t>本项目属于C3974显示器件制造，属于主导产业中的</w:t>
                  </w:r>
                  <w:r>
                    <w:rPr>
                      <w:rFonts w:hint="eastAsia" w:cs="Times New Roman"/>
                      <w:sz w:val="21"/>
                      <w:szCs w:val="21"/>
                      <w:highlight w:val="none"/>
                      <w:lang w:val="en-US" w:eastAsia="zh-CN"/>
                    </w:rPr>
                    <w:t>机械电子</w:t>
                  </w:r>
                  <w:r>
                    <w:rPr>
                      <w:rFonts w:hint="default" w:ascii="Times New Roman" w:hAnsi="Times New Roman" w:cs="Times New Roman"/>
                      <w:sz w:val="21"/>
                      <w:szCs w:val="21"/>
                      <w:highlight w:val="none"/>
                      <w:lang w:val="en-US" w:eastAsia="zh-CN"/>
                    </w:rPr>
                    <w:t>产业</w:t>
                  </w:r>
                  <w:r>
                    <w:rPr>
                      <w:rFonts w:hint="eastAsia" w:cs="Times New Roman"/>
                      <w:sz w:val="21"/>
                      <w:szCs w:val="21"/>
                      <w:highlight w:val="none"/>
                      <w:lang w:val="en-US" w:eastAsia="zh-CN"/>
                    </w:rPr>
                    <w:t>，不在园区项目负面清单内</w:t>
                  </w:r>
                </w:p>
              </w:tc>
              <w:tc>
                <w:tcPr>
                  <w:tcW w:w="790" w:type="dxa"/>
                  <w:vAlign w:val="center"/>
                </w:tcPr>
                <w:p w14:paraId="314663D2">
                  <w:pPr>
                    <w:spacing w:line="240" w:lineRule="auto"/>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符合</w:t>
                  </w:r>
                </w:p>
              </w:tc>
            </w:tr>
          </w:tbl>
          <w:p w14:paraId="2CC070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（2）与《安徽省环保厅关于安徽省江南产业集中区产业发展规划（2019-2030）环境影响报告书审查意见的函》相符性分析</w:t>
            </w:r>
          </w:p>
          <w:p w14:paraId="60B47148">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表1-2  与《安徽省环保厅关于安徽省江南产业集中区产业发展规划（2019-2030）环境影响报告书审查意见的函》相符性分析</w:t>
            </w:r>
          </w:p>
          <w:tbl>
            <w:tblPr>
              <w:tblStyle w:val="23"/>
              <w:tblW w:w="7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4031"/>
              <w:gridCol w:w="1936"/>
              <w:gridCol w:w="862"/>
            </w:tblGrid>
            <w:tr w14:paraId="7AF5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792F9463">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sz w:val="21"/>
                      <w:szCs w:val="21"/>
                      <w:highlight w:val="none"/>
                      <w:lang w:val="en-US" w:eastAsia="zh-CN"/>
                    </w:rPr>
                    <w:t>序号</w:t>
                  </w:r>
                </w:p>
              </w:tc>
              <w:tc>
                <w:tcPr>
                  <w:tcW w:w="4031" w:type="dxa"/>
                  <w:vAlign w:val="center"/>
                </w:tcPr>
                <w:p w14:paraId="03B76DB6">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cs="Times New Roman"/>
                      <w:b/>
                      <w:bCs/>
                      <w:sz w:val="21"/>
                      <w:szCs w:val="21"/>
                      <w:highlight w:val="none"/>
                      <w:lang w:val="en-US" w:eastAsia="zh-CN"/>
                    </w:rPr>
                    <w:t>文件要求</w:t>
                  </w:r>
                </w:p>
              </w:tc>
              <w:tc>
                <w:tcPr>
                  <w:tcW w:w="1936" w:type="dxa"/>
                  <w:vAlign w:val="center"/>
                </w:tcPr>
                <w:p w14:paraId="31B0EEAC">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cs="Times New Roman"/>
                      <w:b/>
                      <w:bCs/>
                      <w:sz w:val="21"/>
                      <w:szCs w:val="21"/>
                      <w:highlight w:val="none"/>
                      <w:lang w:val="en-US" w:eastAsia="zh-CN"/>
                    </w:rPr>
                    <w:t>本项目内容</w:t>
                  </w:r>
                </w:p>
              </w:tc>
              <w:tc>
                <w:tcPr>
                  <w:tcW w:w="862" w:type="dxa"/>
                  <w:vAlign w:val="center"/>
                </w:tcPr>
                <w:p w14:paraId="0D032D9C">
                  <w:pPr>
                    <w:spacing w:line="240" w:lineRule="auto"/>
                    <w:jc w:val="center"/>
                    <w:rPr>
                      <w:rFonts w:hint="default" w:ascii="Times New Roman" w:hAnsi="Times New Roman" w:eastAsia="宋体" w:cs="Times New Roman"/>
                      <w:b/>
                      <w:bCs/>
                      <w:kern w:val="2"/>
                      <w:sz w:val="21"/>
                      <w:szCs w:val="21"/>
                      <w:highlight w:val="none"/>
                      <w:lang w:val="en-US" w:eastAsia="zh-CN" w:bidi="ar-SA"/>
                    </w:rPr>
                  </w:pPr>
                  <w:r>
                    <w:rPr>
                      <w:rFonts w:hint="eastAsia" w:cs="Times New Roman"/>
                      <w:b/>
                      <w:bCs/>
                      <w:sz w:val="21"/>
                      <w:szCs w:val="21"/>
                      <w:highlight w:val="none"/>
                      <w:lang w:val="en-US" w:eastAsia="zh-CN"/>
                    </w:rPr>
                    <w:t>相符性</w:t>
                  </w:r>
                </w:p>
              </w:tc>
            </w:tr>
            <w:tr w14:paraId="7F3A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2FE1D013">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1</w:t>
                  </w:r>
                </w:p>
              </w:tc>
              <w:tc>
                <w:tcPr>
                  <w:tcW w:w="4031" w:type="dxa"/>
                  <w:vAlign w:val="center"/>
                </w:tcPr>
                <w:p w14:paraId="52BC63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1936" w:type="dxa"/>
                  <w:vAlign w:val="center"/>
                </w:tcPr>
                <w:p w14:paraId="5D2BD8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本项目无生产废水，</w:t>
                  </w:r>
                  <w:r>
                    <w:rPr>
                      <w:rFonts w:hint="eastAsia" w:ascii="Times New Roman" w:hAnsi="Times New Roman" w:cs="Times New Roman"/>
                      <w:color w:val="auto"/>
                      <w:sz w:val="21"/>
                      <w:szCs w:val="21"/>
                      <w:highlight w:val="none"/>
                      <w:lang w:eastAsia="zh-CN"/>
                    </w:rPr>
                    <w:t>生活污水经</w:t>
                  </w:r>
                  <w:r>
                    <w:rPr>
                      <w:rFonts w:hint="eastAsia" w:cs="Times New Roman"/>
                      <w:color w:val="auto"/>
                      <w:sz w:val="21"/>
                      <w:szCs w:val="21"/>
                      <w:highlight w:val="none"/>
                      <w:lang w:val="en-US" w:eastAsia="zh-CN"/>
                    </w:rPr>
                    <w:t>科技孵化园</w:t>
                  </w:r>
                  <w:r>
                    <w:rPr>
                      <w:rFonts w:hint="eastAsia" w:ascii="Times New Roman" w:hAnsi="Times New Roman" w:cs="Times New Roman"/>
                      <w:color w:val="auto"/>
                      <w:sz w:val="21"/>
                      <w:szCs w:val="21"/>
                      <w:highlight w:val="none"/>
                      <w:lang w:eastAsia="zh-CN"/>
                    </w:rPr>
                    <w:t>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r>
                    <w:rPr>
                      <w:rFonts w:hint="eastAsia"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不会对铜陵淡水豚国家级自然保护区生态环境质量产生不利影响</w:t>
                  </w:r>
                </w:p>
              </w:tc>
              <w:tc>
                <w:tcPr>
                  <w:tcW w:w="862" w:type="dxa"/>
                  <w:vAlign w:val="center"/>
                </w:tcPr>
                <w:p w14:paraId="5E7D27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4F6F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5AC3626C">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2</w:t>
                  </w:r>
                </w:p>
              </w:tc>
              <w:tc>
                <w:tcPr>
                  <w:tcW w:w="4031" w:type="dxa"/>
                  <w:vAlign w:val="center"/>
                </w:tcPr>
                <w:p w14:paraId="72BE97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1936" w:type="dxa"/>
                  <w:vAlign w:val="center"/>
                </w:tcPr>
                <w:p w14:paraId="58BF50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本项目位于</w:t>
                  </w:r>
                  <w:r>
                    <w:rPr>
                      <w:rFonts w:hint="eastAsia" w:cs="Times New Roman"/>
                      <w:color w:val="auto"/>
                      <w:sz w:val="21"/>
                      <w:szCs w:val="21"/>
                      <w:highlight w:val="none"/>
                      <w:lang w:val="en-US" w:eastAsia="zh-CN"/>
                    </w:rPr>
                    <w:t>皖江江南新兴产业集中区内，租赁科技孵化园A5号厂房</w:t>
                  </w:r>
                  <w:r>
                    <w:rPr>
                      <w:rFonts w:hint="eastAsia" w:cs="Times New Roman"/>
                      <w:sz w:val="21"/>
                      <w:szCs w:val="21"/>
                      <w:highlight w:val="none"/>
                      <w:lang w:val="en-US" w:eastAsia="zh-CN"/>
                    </w:rPr>
                    <w:t>3-4层</w:t>
                  </w:r>
                  <w:r>
                    <w:rPr>
                      <w:rFonts w:hint="eastAsia" w:cs="Times New Roman"/>
                      <w:color w:val="auto"/>
                      <w:sz w:val="21"/>
                      <w:szCs w:val="21"/>
                      <w:highlight w:val="none"/>
                      <w:lang w:val="en-US" w:eastAsia="zh-CN"/>
                    </w:rPr>
                    <w:t>，周边主要为其它工业企业，项目建设不会对周边居民区环境造成不利影响</w:t>
                  </w:r>
                </w:p>
              </w:tc>
              <w:tc>
                <w:tcPr>
                  <w:tcW w:w="862" w:type="dxa"/>
                  <w:vAlign w:val="center"/>
                </w:tcPr>
                <w:p w14:paraId="524A8F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38C1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2" w:type="dxa"/>
                  <w:vAlign w:val="center"/>
                </w:tcPr>
                <w:p w14:paraId="13D92486">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3</w:t>
                  </w:r>
                </w:p>
              </w:tc>
              <w:tc>
                <w:tcPr>
                  <w:tcW w:w="4031" w:type="dxa"/>
                  <w:vAlign w:val="center"/>
                </w:tcPr>
                <w:p w14:paraId="3D07DA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1936" w:type="dxa"/>
                  <w:vAlign w:val="center"/>
                </w:tcPr>
                <w:p w14:paraId="31C87F30">
                  <w:pPr>
                    <w:pStyle w:val="12"/>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本项目属于</w:t>
                  </w:r>
                  <w:r>
                    <w:rPr>
                      <w:rFonts w:hint="eastAsia" w:ascii="Times New Roman" w:hAnsi="Times New Roman" w:cs="Times New Roman"/>
                      <w:color w:val="auto"/>
                      <w:sz w:val="21"/>
                      <w:szCs w:val="21"/>
                      <w:highlight w:val="none"/>
                      <w:lang w:val="en-US" w:eastAsia="zh-CN"/>
                    </w:rPr>
                    <w:t>C3974显示器件制造</w:t>
                  </w:r>
                  <w:r>
                    <w:rPr>
                      <w:rFonts w:hint="default" w:ascii="Times New Roman" w:hAnsi="Times New Roman" w:cs="Times New Roman"/>
                      <w:color w:val="auto"/>
                      <w:sz w:val="21"/>
                      <w:szCs w:val="21"/>
                      <w:highlight w:val="none"/>
                      <w:lang w:val="en-US" w:eastAsia="zh-CN"/>
                    </w:rPr>
                    <w:t>，属于主导产业中的</w:t>
                  </w:r>
                  <w:r>
                    <w:rPr>
                      <w:rFonts w:hint="eastAsia" w:cs="Times New Roman"/>
                      <w:color w:val="auto"/>
                      <w:sz w:val="21"/>
                      <w:szCs w:val="21"/>
                      <w:highlight w:val="none"/>
                      <w:lang w:val="en-US" w:eastAsia="zh-CN"/>
                    </w:rPr>
                    <w:t>机械电子</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，项目生产过程中产生的废气、废水、噪声、固废按照评价要求落实相应的污染物治理措施后，可确保</w:t>
                  </w:r>
                  <w:r>
                    <w:rPr>
                      <w:rFonts w:hint="eastAsia"/>
                      <w:sz w:val="21"/>
                      <w:szCs w:val="21"/>
                      <w:highlight w:val="none"/>
                      <w:lang w:eastAsia="zh-CN"/>
                    </w:rPr>
                    <w:t>废气、废水、噪声达标排放，固废妥善处置</w:t>
                  </w:r>
                  <w:r>
                    <w:rPr>
                      <w:rFonts w:hint="eastAsia" w:cs="Times New Roman"/>
                      <w:color w:val="auto"/>
                      <w:sz w:val="21"/>
                      <w:szCs w:val="21"/>
                      <w:highlight w:val="none"/>
                      <w:lang w:val="en-US" w:eastAsia="zh-CN"/>
                    </w:rPr>
                    <w:t>，不会对区域生态环境质量产生不利影响</w:t>
                  </w:r>
                </w:p>
              </w:tc>
              <w:tc>
                <w:tcPr>
                  <w:tcW w:w="862" w:type="dxa"/>
                  <w:vAlign w:val="center"/>
                </w:tcPr>
                <w:p w14:paraId="3F671C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5F0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5E0AF691">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4</w:t>
                  </w:r>
                </w:p>
              </w:tc>
              <w:tc>
                <w:tcPr>
                  <w:tcW w:w="4031" w:type="dxa"/>
                  <w:vAlign w:val="center"/>
                </w:tcPr>
                <w:p w14:paraId="39A006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1936" w:type="dxa"/>
                  <w:vAlign w:val="center"/>
                </w:tcPr>
                <w:p w14:paraId="131C10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w:t>
                  </w:r>
                  <w:r>
                    <w:rPr>
                      <w:rFonts w:hint="eastAsia" w:cs="Times New Roman"/>
                      <w:color w:val="auto"/>
                      <w:sz w:val="21"/>
                      <w:szCs w:val="21"/>
                      <w:highlight w:val="none"/>
                      <w:lang w:val="en-US" w:eastAsia="zh-CN"/>
                    </w:rPr>
                    <w:t>科技孵化园</w:t>
                  </w:r>
                  <w:r>
                    <w:rPr>
                      <w:rFonts w:hint="eastAsia" w:ascii="Times New Roman" w:hAnsi="Times New Roman" w:cs="Times New Roman"/>
                      <w:color w:val="auto"/>
                      <w:sz w:val="21"/>
                      <w:szCs w:val="21"/>
                      <w:highlight w:val="none"/>
                      <w:lang w:eastAsia="zh-CN"/>
                    </w:rPr>
                    <w:t>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862" w:type="dxa"/>
                  <w:vAlign w:val="center"/>
                </w:tcPr>
                <w:p w14:paraId="12F830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D49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1E9B376E">
                  <w:pPr>
                    <w:jc w:val="center"/>
                    <w:rPr>
                      <w:rFonts w:hint="default" w:ascii="Times New Roman" w:hAnsi="Times New Roman" w:eastAsia="宋体" w:cs="Times New Roman"/>
                      <w:kern w:val="2"/>
                      <w:sz w:val="21"/>
                      <w:szCs w:val="21"/>
                      <w:highlight w:val="none"/>
                      <w:lang w:val="en-US" w:eastAsia="zh-CN" w:bidi="ar-SA"/>
                    </w:rPr>
                  </w:pPr>
                  <w:r>
                    <w:rPr>
                      <w:sz w:val="21"/>
                      <w:szCs w:val="21"/>
                      <w:highlight w:val="none"/>
                    </w:rPr>
                    <w:t>5</w:t>
                  </w:r>
                </w:p>
              </w:tc>
              <w:tc>
                <w:tcPr>
                  <w:tcW w:w="4031" w:type="dxa"/>
                  <w:vAlign w:val="center"/>
                </w:tcPr>
                <w:p w14:paraId="7EF1EA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1936" w:type="dxa"/>
                  <w:vAlign w:val="center"/>
                </w:tcPr>
                <w:p w14:paraId="1F100E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sz w:val="21"/>
                      <w:szCs w:val="21"/>
                      <w:highlight w:val="none"/>
                      <w:lang w:eastAsia="zh-CN"/>
                    </w:rPr>
                    <w:t>本项目</w:t>
                  </w:r>
                  <w:r>
                    <w:rPr>
                      <w:sz w:val="21"/>
                      <w:szCs w:val="21"/>
                      <w:highlight w:val="none"/>
                    </w:rPr>
                    <w:t>固体废物均资源化和无害</w:t>
                  </w:r>
                  <w:r>
                    <w:rPr>
                      <w:rFonts w:hint="eastAsia"/>
                      <w:sz w:val="21"/>
                      <w:szCs w:val="21"/>
                      <w:highlight w:val="none"/>
                      <w:lang w:eastAsia="zh-CN"/>
                    </w:rPr>
                    <w:t>化</w:t>
                  </w:r>
                  <w:r>
                    <w:rPr>
                      <w:sz w:val="21"/>
                      <w:szCs w:val="21"/>
                      <w:highlight w:val="none"/>
                    </w:rPr>
                    <w:t>处理(危险废物拟委托有相应危废处理资质的单位进行处理)</w:t>
                  </w:r>
                </w:p>
              </w:tc>
              <w:tc>
                <w:tcPr>
                  <w:tcW w:w="862" w:type="dxa"/>
                  <w:vAlign w:val="center"/>
                </w:tcPr>
                <w:p w14:paraId="7ADFE4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A33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24B2368B">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6</w:t>
                  </w:r>
                </w:p>
              </w:tc>
              <w:tc>
                <w:tcPr>
                  <w:tcW w:w="4031" w:type="dxa"/>
                  <w:vAlign w:val="center"/>
                </w:tcPr>
                <w:p w14:paraId="0F0D50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1936" w:type="dxa"/>
                  <w:vAlign w:val="center"/>
                </w:tcPr>
                <w:p w14:paraId="23E905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eastAsia="宋体" w:cs="Times New Roman"/>
                      <w:sz w:val="21"/>
                      <w:szCs w:val="21"/>
                      <w:highlight w:val="none"/>
                      <w:lang w:eastAsia="zh-CN"/>
                    </w:rPr>
                    <w:t>本次评价要求项目建成后及时编制突发环境事件应急预案并报主管部门备案，做到预防为主，防控结合</w:t>
                  </w:r>
                </w:p>
              </w:tc>
              <w:tc>
                <w:tcPr>
                  <w:tcW w:w="862" w:type="dxa"/>
                  <w:vAlign w:val="center"/>
                </w:tcPr>
                <w:p w14:paraId="3CAE69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6CD7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6633988A">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7</w:t>
                  </w:r>
                </w:p>
              </w:tc>
              <w:tc>
                <w:tcPr>
                  <w:tcW w:w="4031" w:type="dxa"/>
                  <w:vAlign w:val="center"/>
                </w:tcPr>
                <w:p w14:paraId="1EF7C9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1936" w:type="dxa"/>
                  <w:vAlign w:val="center"/>
                </w:tcPr>
                <w:p w14:paraId="5F2359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本评价要求项目严格按照“三同时”制度，新增污染物总量来源明确</w:t>
                  </w:r>
                </w:p>
              </w:tc>
              <w:tc>
                <w:tcPr>
                  <w:tcW w:w="862" w:type="dxa"/>
                  <w:vAlign w:val="center"/>
                </w:tcPr>
                <w:p w14:paraId="1D0E39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14:paraId="433F0F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综上，本项目建设</w:t>
            </w:r>
            <w:r>
              <w:rPr>
                <w:rFonts w:hint="eastAsia" w:ascii="宋体" w:hAnsi="宋体" w:eastAsia="宋体" w:cs="宋体"/>
                <w:color w:val="auto"/>
                <w:sz w:val="24"/>
                <w:szCs w:val="24"/>
                <w:highlight w:val="none"/>
                <w:lang w:val="en-US" w:eastAsia="zh-CN"/>
              </w:rPr>
              <w:t>符合</w:t>
            </w:r>
            <w:r>
              <w:rPr>
                <w:rFonts w:hint="eastAsia" w:ascii="Times New Roman" w:hAnsi="Times New Roman" w:cs="Times New Roman"/>
                <w:sz w:val="24"/>
                <w:szCs w:val="24"/>
                <w:highlight w:val="none"/>
                <w:lang w:val="en-US" w:eastAsia="zh-CN"/>
              </w:rPr>
              <w:t>皖江江南新兴产业集中区</w:t>
            </w:r>
            <w:r>
              <w:rPr>
                <w:rFonts w:hint="eastAsia" w:ascii="宋体" w:hAnsi="宋体" w:eastAsia="宋体" w:cs="宋体"/>
                <w:color w:val="auto"/>
                <w:sz w:val="24"/>
                <w:szCs w:val="24"/>
                <w:highlight w:val="none"/>
                <w:lang w:val="en-US" w:eastAsia="zh-CN"/>
              </w:rPr>
              <w:t>总体发展规划及规划环评要求。</w:t>
            </w:r>
          </w:p>
        </w:tc>
      </w:tr>
      <w:tr w14:paraId="12D41D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7" w:type="dxa"/>
            <w:noWrap w:val="0"/>
            <w:vAlign w:val="center"/>
          </w:tcPr>
          <w:p w14:paraId="50427606">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其他相符性分析</w:t>
            </w:r>
          </w:p>
        </w:tc>
        <w:tc>
          <w:tcPr>
            <w:tcW w:w="7797" w:type="dxa"/>
            <w:gridSpan w:val="3"/>
            <w:noWrap w:val="0"/>
            <w:vAlign w:val="center"/>
          </w:tcPr>
          <w:p w14:paraId="2EEFE06D">
            <w:pPr>
              <w:widowControl/>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1、产业政策相符性分析</w:t>
            </w:r>
          </w:p>
          <w:p w14:paraId="36BE769C">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根据《国民经济行业分类》(GB/T4754-2017)，本项目属于</w:t>
            </w:r>
            <w:r>
              <w:rPr>
                <w:rFonts w:hint="eastAsia" w:cs="Times New Roman"/>
                <w:color w:val="auto"/>
                <w:sz w:val="24"/>
                <w:szCs w:val="24"/>
                <w:highlight w:val="none"/>
                <w:lang w:val="en-US" w:eastAsia="zh-CN"/>
              </w:rPr>
              <w:t>C3974</w:t>
            </w:r>
            <w:r>
              <w:rPr>
                <w:rFonts w:hint="eastAsia" w:ascii="Times New Roman" w:hAnsi="Times New Roman" w:cs="Times New Roman"/>
                <w:color w:val="auto"/>
                <w:sz w:val="24"/>
                <w:szCs w:val="24"/>
                <w:highlight w:val="none"/>
                <w:lang w:val="en-US" w:eastAsia="zh-CN"/>
              </w:rPr>
              <w:t>显示器件制造。对照《产业结构调整指导目录（2024年本）》，本项目生产的LED显示模组产品不属于</w:t>
            </w:r>
            <w:r>
              <w:rPr>
                <w:rFonts w:hint="eastAsia" w:ascii="Times New Roman" w:hAnsi="Times New Roman" w:eastAsia="宋体" w:cs="Times New Roman"/>
                <w:color w:val="auto"/>
                <w:sz w:val="24"/>
                <w:szCs w:val="24"/>
                <w:highlight w:val="none"/>
                <w:lang w:val="en-US" w:eastAsia="zh-CN"/>
              </w:rPr>
              <w:t>《产业结构调整指导目录（2024年本）》中的限制类、淘汰类项目，</w:t>
            </w:r>
            <w:r>
              <w:rPr>
                <w:rFonts w:hint="eastAsia" w:cs="Times New Roman"/>
                <w:color w:val="auto"/>
                <w:sz w:val="24"/>
                <w:szCs w:val="24"/>
                <w:highlight w:val="none"/>
                <w:lang w:val="en-US" w:eastAsia="zh-CN"/>
              </w:rPr>
              <w:t>视为</w:t>
            </w:r>
            <w:r>
              <w:rPr>
                <w:rFonts w:hint="eastAsia" w:ascii="Times New Roman" w:hAnsi="Times New Roman" w:eastAsia="宋体" w:cs="Times New Roman"/>
                <w:color w:val="auto"/>
                <w:sz w:val="24"/>
                <w:szCs w:val="24"/>
                <w:highlight w:val="none"/>
                <w:lang w:val="en-US" w:eastAsia="zh-CN"/>
              </w:rPr>
              <w:t>允许类项目。</w:t>
            </w:r>
          </w:p>
          <w:p w14:paraId="5A0EDD33">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项目已在</w:t>
            </w:r>
            <w:r>
              <w:rPr>
                <w:rFonts w:hint="eastAsia" w:ascii="Times New Roman" w:hAnsi="Times New Roman" w:eastAsia="宋体" w:cs="Times New Roman"/>
                <w:color w:val="auto"/>
                <w:sz w:val="24"/>
                <w:szCs w:val="24"/>
                <w:highlight w:val="none"/>
                <w:lang w:eastAsia="zh-CN"/>
              </w:rPr>
              <w:t>皖江江南产业集中区管委会产业发展部备案</w:t>
            </w:r>
            <w:r>
              <w:rPr>
                <w:rFonts w:hint="eastAsia" w:ascii="Times New Roman" w:hAnsi="Times New Roman" w:cs="Times New Roman"/>
                <w:color w:val="auto"/>
                <w:sz w:val="24"/>
                <w:szCs w:val="24"/>
                <w:highlight w:val="none"/>
                <w:lang w:val="en-US" w:eastAsia="zh-CN"/>
              </w:rPr>
              <w:t>（见附件</w:t>
            </w:r>
            <w:r>
              <w:rPr>
                <w:rFonts w:hint="eastAsia"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val="en-US" w:eastAsia="zh-CN"/>
              </w:rPr>
              <w:t>），备案号：2412-341763-04-01-557609，因此，本项目符合国家产业政策。</w:t>
            </w:r>
          </w:p>
          <w:p w14:paraId="6699F7A6">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2、与周边环境相容性分析</w:t>
            </w:r>
          </w:p>
          <w:p w14:paraId="08D5C2A4">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本项目租赁</w:t>
            </w:r>
            <w:r>
              <w:rPr>
                <w:rFonts w:hint="eastAsia" w:cs="Times New Roman"/>
                <w:color w:val="auto"/>
                <w:sz w:val="24"/>
                <w:szCs w:val="24"/>
                <w:highlight w:val="none"/>
                <w:lang w:val="en-US" w:eastAsia="zh-CN"/>
              </w:rPr>
              <w:t>皖江江南新兴产业集中区科技孵化园A5号厂房3-4层</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w:t>
            </w:r>
            <w:r>
              <w:rPr>
                <w:rFonts w:hint="default" w:ascii="Times New Roman" w:hAnsi="Times New Roman" w:cs="Times New Roman"/>
                <w:color w:val="auto"/>
                <w:sz w:val="24"/>
                <w:szCs w:val="24"/>
                <w:highlight w:val="none"/>
              </w:rPr>
              <w:t>位于</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color w:val="auto"/>
                <w:sz w:val="24"/>
                <w:szCs w:val="24"/>
                <w:highlight w:val="none"/>
              </w:rPr>
              <w:t>规划范围内。</w:t>
            </w:r>
            <w:r>
              <w:rPr>
                <w:rFonts w:hint="eastAsia" w:cs="Times New Roman"/>
                <w:color w:val="auto"/>
                <w:sz w:val="24"/>
                <w:szCs w:val="24"/>
                <w:highlight w:val="none"/>
                <w:lang w:eastAsia="zh-CN"/>
              </w:rPr>
              <w:t>据现场勘探，</w:t>
            </w:r>
            <w:r>
              <w:rPr>
                <w:rFonts w:hint="eastAsia" w:cs="Times New Roman"/>
                <w:color w:val="auto"/>
                <w:sz w:val="24"/>
                <w:szCs w:val="24"/>
                <w:highlight w:val="none"/>
                <w:lang w:val="en-US" w:eastAsia="zh-CN"/>
              </w:rPr>
              <w:t>科技孵化园</w:t>
            </w:r>
            <w:r>
              <w:rPr>
                <w:rFonts w:hint="default" w:ascii="Times New Roman" w:hAnsi="Times New Roman" w:cs="Times New Roman"/>
                <w:color w:val="auto"/>
                <w:sz w:val="24"/>
                <w:szCs w:val="24"/>
                <w:highlight w:val="none"/>
              </w:rPr>
              <w:t>地形平坦开阔，交通便利，无不良地质情况</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项目所在厂房南北西三侧均为已建成的生产厂房，东侧为仙寓北路。</w:t>
            </w:r>
            <w:r>
              <w:rPr>
                <w:rFonts w:hint="default" w:ascii="Times New Roman" w:hAnsi="Times New Roman" w:cs="Times New Roman"/>
                <w:color w:val="auto"/>
                <w:sz w:val="24"/>
                <w:szCs w:val="24"/>
                <w:highlight w:val="none"/>
              </w:rPr>
              <w:t>项目评价区域内无需特殊保护的濒危动植物，评价区域无国家级、省级和市级重点文物保护单位。本项目属于</w:t>
            </w:r>
            <w:r>
              <w:rPr>
                <w:rFonts w:hint="eastAsia" w:ascii="Times New Roman" w:hAnsi="Times New Roman" w:cs="Times New Roman"/>
                <w:color w:val="auto"/>
                <w:sz w:val="24"/>
                <w:szCs w:val="24"/>
                <w:highlight w:val="none"/>
                <w:lang w:val="en-US" w:eastAsia="zh-CN"/>
              </w:rPr>
              <w:t>显示器件制造</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项目生产过程中产生的废气、废水、噪声、固废按照评价要求落实相应的污染物治理措施后，可确保废气、废水、噪声稳定达标排放，</w:t>
            </w:r>
            <w:r>
              <w:rPr>
                <w:rFonts w:hint="eastAsia"/>
                <w:sz w:val="24"/>
                <w:szCs w:val="24"/>
                <w:highlight w:val="none"/>
                <w:lang w:eastAsia="zh-CN"/>
              </w:rPr>
              <w:t>固废妥善处置</w:t>
            </w:r>
            <w:r>
              <w:rPr>
                <w:rFonts w:hint="eastAsia" w:cs="Times New Roman"/>
                <w:color w:val="auto"/>
                <w:sz w:val="24"/>
                <w:szCs w:val="24"/>
                <w:highlight w:val="none"/>
                <w:lang w:val="en-US" w:eastAsia="zh-CN"/>
              </w:rPr>
              <w:t>，不会对区域生态环境质量产生不利影响</w:t>
            </w:r>
            <w:r>
              <w:rPr>
                <w:rFonts w:hint="default" w:ascii="Times New Roman" w:hAnsi="Times New Roman" w:cs="Times New Roman"/>
                <w:color w:val="auto"/>
                <w:sz w:val="24"/>
                <w:szCs w:val="24"/>
                <w:highlight w:val="none"/>
              </w:rPr>
              <w:t>。因此，本项目的建设与周围环境具有相容性。</w:t>
            </w:r>
          </w:p>
          <w:p w14:paraId="1E4D28D8">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rPr>
              <w:t>选址符合性分析</w:t>
            </w:r>
          </w:p>
          <w:p w14:paraId="2136E1EF">
            <w:pPr>
              <w:spacing w:line="360" w:lineRule="auto"/>
              <w:ind w:firstLine="480" w:firstLineChars="20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本项目为新建项目，</w:t>
            </w:r>
            <w:r>
              <w:rPr>
                <w:rFonts w:hint="eastAsia" w:cs="Times New Roman"/>
                <w:color w:val="auto"/>
                <w:sz w:val="24"/>
                <w:szCs w:val="24"/>
                <w:highlight w:val="none"/>
                <w:lang w:val="en-US" w:eastAsia="zh-CN"/>
              </w:rPr>
              <w:t>位于皖江江南新兴产业集中区科技孵化园A5号厂房3-4层作为生产厂房</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属于</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color w:val="auto"/>
                <w:sz w:val="24"/>
                <w:szCs w:val="24"/>
                <w:highlight w:val="none"/>
                <w:lang w:val="en-US" w:eastAsia="zh-CN"/>
              </w:rPr>
              <w:t>范围。</w:t>
            </w:r>
            <w:r>
              <w:rPr>
                <w:rFonts w:hint="eastAsia" w:ascii="Times New Roman" w:hAnsi="Times New Roman" w:eastAsia="宋体" w:cs="Times New Roman"/>
                <w:color w:val="auto"/>
                <w:sz w:val="24"/>
                <w:szCs w:val="24"/>
                <w:highlight w:val="none"/>
                <w:lang w:eastAsia="zh-CN"/>
              </w:rPr>
              <w:t>根据《安徽省江南产业集中区总体规划》中</w:t>
            </w:r>
            <w:r>
              <w:rPr>
                <w:rFonts w:hint="eastAsia" w:cs="Times New Roman"/>
                <w:color w:val="auto"/>
                <w:sz w:val="24"/>
                <w:szCs w:val="24"/>
                <w:highlight w:val="none"/>
                <w:lang w:eastAsia="zh-CN"/>
              </w:rPr>
              <w:t>用地布局</w:t>
            </w:r>
            <w:r>
              <w:rPr>
                <w:rFonts w:hint="eastAsia" w:ascii="Times New Roman" w:hAnsi="Times New Roman" w:eastAsia="宋体" w:cs="Times New Roman"/>
                <w:color w:val="auto"/>
                <w:sz w:val="24"/>
                <w:szCs w:val="24"/>
                <w:highlight w:val="none"/>
                <w:lang w:eastAsia="zh-CN"/>
              </w:rPr>
              <w:t>图</w:t>
            </w:r>
            <w:r>
              <w:rPr>
                <w:rFonts w:hint="eastAsia" w:cs="Times New Roman"/>
                <w:color w:val="auto"/>
                <w:sz w:val="24"/>
                <w:szCs w:val="24"/>
                <w:highlight w:val="none"/>
                <w:lang w:eastAsia="zh-CN"/>
              </w:rPr>
              <w:t>（附图</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可知，</w:t>
            </w:r>
            <w:r>
              <w:rPr>
                <w:rFonts w:hint="default" w:ascii="Times New Roman" w:hAnsi="Times New Roman" w:eastAsia="宋体" w:cs="Times New Roman"/>
                <w:color w:val="auto"/>
                <w:sz w:val="24"/>
                <w:szCs w:val="24"/>
                <w:highlight w:val="none"/>
                <w:lang w:val="en-US" w:eastAsia="zh-CN"/>
              </w:rPr>
              <w:t>项目所在地为工业用地。园区交通便利，供水、供电、排水等基础设施完善，</w:t>
            </w:r>
            <w:r>
              <w:rPr>
                <w:rFonts w:hint="eastAsia" w:ascii="Times New Roman" w:hAnsi="Times New Roman" w:eastAsia="宋体" w:cs="Times New Roman"/>
                <w:color w:val="auto"/>
                <w:sz w:val="24"/>
                <w:szCs w:val="24"/>
                <w:highlight w:val="none"/>
                <w:lang w:val="en-US" w:eastAsia="zh-CN"/>
              </w:rPr>
              <w:t>因此项目</w:t>
            </w:r>
            <w:r>
              <w:rPr>
                <w:rFonts w:hint="eastAsia" w:cs="Times New Roman"/>
                <w:color w:val="auto"/>
                <w:sz w:val="24"/>
                <w:szCs w:val="24"/>
                <w:highlight w:val="none"/>
                <w:lang w:val="en-US" w:eastAsia="zh-CN"/>
              </w:rPr>
              <w:t>用地符合皖江江南新兴产业集中区规划要求</w:t>
            </w:r>
            <w:r>
              <w:rPr>
                <w:rFonts w:hint="eastAsia" w:ascii="Times New Roman" w:hAnsi="Times New Roman" w:eastAsia="宋体" w:cs="Times New Roman"/>
                <w:color w:val="auto"/>
                <w:sz w:val="24"/>
                <w:szCs w:val="24"/>
                <w:highlight w:val="none"/>
                <w:lang w:val="en-US" w:eastAsia="zh-CN"/>
              </w:rPr>
              <w:t>。</w:t>
            </w:r>
          </w:p>
          <w:p w14:paraId="2E958775">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4</w:t>
            </w:r>
            <w:r>
              <w:rPr>
                <w:rFonts w:hint="default" w:ascii="Times New Roman" w:hAnsi="Times New Roman" w:cs="Times New Roman"/>
                <w:b/>
                <w:bCs/>
                <w:color w:val="auto"/>
                <w:sz w:val="24"/>
                <w:szCs w:val="24"/>
                <w:highlight w:val="none"/>
              </w:rPr>
              <w:t>、“三线一单”符合性分析</w:t>
            </w:r>
          </w:p>
          <w:p w14:paraId="35F960D5">
            <w:pPr>
              <w:spacing w:line="360" w:lineRule="auto"/>
              <w:ind w:firstLine="476" w:firstLineChars="200"/>
              <w:rPr>
                <w:rFonts w:hint="eastAsia"/>
                <w:spacing w:val="6"/>
                <w:sz w:val="24"/>
                <w:szCs w:val="24"/>
                <w:highlight w:val="none"/>
              </w:rPr>
            </w:pPr>
            <w:r>
              <w:rPr>
                <w:spacing w:val="-1"/>
                <w:sz w:val="24"/>
                <w:szCs w:val="24"/>
                <w:highlight w:val="none"/>
              </w:rPr>
              <w:t>根</w:t>
            </w:r>
            <w:r>
              <w:rPr>
                <w:rFonts w:hint="eastAsia" w:ascii="Times New Roman" w:hAnsi="Times New Roman" w:eastAsia="宋体" w:cs="Times New Roman"/>
                <w:snapToGrid/>
                <w:color w:val="auto"/>
                <w:kern w:val="2"/>
                <w:sz w:val="24"/>
                <w:szCs w:val="24"/>
                <w:highlight w:val="none"/>
                <w:lang w:val="en-US" w:eastAsia="zh-CN" w:bidi="ar-SA"/>
              </w:rPr>
              <w:t>据《安徽省“三线一单”生态环境分区管控管理办法（暂行）》（皖环发）〔2022〕5</w:t>
            </w:r>
            <w:r>
              <w:rPr>
                <w:spacing w:val="-1"/>
                <w:sz w:val="24"/>
                <w:szCs w:val="24"/>
                <w:highlight w:val="none"/>
              </w:rPr>
              <w:t>号）要求：在建设项目环评中，做好与“三线一单”生态环境</w:t>
            </w:r>
            <w:r>
              <w:rPr>
                <w:spacing w:val="7"/>
                <w:sz w:val="24"/>
                <w:szCs w:val="24"/>
                <w:highlight w:val="none"/>
              </w:rPr>
              <w:t>分区管控相符性分析，充分论证是否符合生</w:t>
            </w:r>
            <w:r>
              <w:rPr>
                <w:spacing w:val="6"/>
                <w:sz w:val="24"/>
                <w:szCs w:val="24"/>
                <w:highlight w:val="none"/>
              </w:rPr>
              <w:t>态环境准入清单要求，对不符合</w:t>
            </w:r>
            <w:r>
              <w:rPr>
                <w:rFonts w:hint="eastAsia"/>
                <w:spacing w:val="6"/>
                <w:sz w:val="24"/>
                <w:szCs w:val="24"/>
                <w:highlight w:val="none"/>
              </w:rPr>
              <w:t>的依法不予审批；以及生态环境部《关于以改善环境质量为核心加强环境影响评价管理的通知》（环环评〔2016〕150号）要求：切实加强环境影响评价管理，落实“生态保护红线、环境质量底线、资源利用上线和环境准入负面清单”约束，建立项目环评审批与规划环评、现有项目环境管理、区域环境质量联动机制，更好地发挥环评制度从源头防范环境污染和生态破坏的作用，加快推进改善环境质量。</w:t>
            </w:r>
          </w:p>
          <w:p w14:paraId="682114E9">
            <w:pPr>
              <w:spacing w:line="360" w:lineRule="auto"/>
              <w:ind w:firstLine="504" w:firstLineChars="200"/>
              <w:rPr>
                <w:rFonts w:hint="default" w:ascii="Times New Roman" w:hAnsi="Times New Roman" w:eastAsia="宋体" w:cs="Times New Roman"/>
                <w:color w:val="auto"/>
                <w:sz w:val="24"/>
                <w:szCs w:val="24"/>
                <w:highlight w:val="none"/>
                <w:lang w:eastAsia="zh-CN"/>
              </w:rPr>
            </w:pPr>
            <w:r>
              <w:rPr>
                <w:rFonts w:hint="eastAsia"/>
                <w:spacing w:val="6"/>
                <w:sz w:val="24"/>
                <w:szCs w:val="24"/>
                <w:highlight w:val="none"/>
              </w:rPr>
              <w:t>本次评价结合池州市“三线一单”成果，开展“三线一单”相符性分析，相关内容详见下表：</w:t>
            </w:r>
          </w:p>
          <w:p w14:paraId="65C551BB">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eastAsia="zh-CN"/>
              </w:rPr>
              <w:t>表</w:t>
            </w:r>
            <w:r>
              <w:rPr>
                <w:rFonts w:hint="eastAsia" w:ascii="Times New Roman" w:hAnsi="Times New Roman" w:eastAsia="宋体" w:cs="Times New Roman"/>
                <w:b/>
                <w:color w:val="auto"/>
                <w:kern w:val="2"/>
                <w:sz w:val="24"/>
                <w:szCs w:val="24"/>
                <w:highlight w:val="none"/>
                <w:lang w:val="en-US" w:eastAsia="zh-CN"/>
              </w:rPr>
              <w:t>1-3  “三线一单”相符性分析</w:t>
            </w:r>
          </w:p>
          <w:tbl>
            <w:tblPr>
              <w:tblStyle w:val="23"/>
              <w:tblW w:w="74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750"/>
              <w:gridCol w:w="3045"/>
              <w:gridCol w:w="2160"/>
              <w:gridCol w:w="912"/>
              <w:gridCol w:w="3"/>
            </w:tblGrid>
            <w:tr w14:paraId="0DE4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gridSpan w:val="2"/>
                  <w:noWrap w:val="0"/>
                  <w:vAlign w:val="center"/>
                </w:tcPr>
                <w:p w14:paraId="4E579233">
                  <w:pPr>
                    <w:spacing w:line="240" w:lineRule="auto"/>
                    <w:jc w:val="center"/>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rPr>
                    <w:t>内容</w:t>
                  </w:r>
                </w:p>
              </w:tc>
              <w:tc>
                <w:tcPr>
                  <w:tcW w:w="3045" w:type="dxa"/>
                  <w:noWrap w:val="0"/>
                  <w:vAlign w:val="center"/>
                </w:tcPr>
                <w:p w14:paraId="45045B07">
                  <w:pPr>
                    <w:spacing w:line="240" w:lineRule="auto"/>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rPr>
                    <w:t>池州市“三线一单”文本要求</w:t>
                  </w:r>
                </w:p>
              </w:tc>
              <w:tc>
                <w:tcPr>
                  <w:tcW w:w="2160" w:type="dxa"/>
                  <w:noWrap w:val="0"/>
                  <w:vAlign w:val="center"/>
                </w:tcPr>
                <w:p w14:paraId="3E7F4CB4">
                  <w:pPr>
                    <w:spacing w:line="240" w:lineRule="auto"/>
                    <w:jc w:val="center"/>
                    <w:rPr>
                      <w:rFonts w:hint="default" w:ascii="Times New Roman" w:hAnsi="Times New Roman" w:eastAsia="宋体" w:cs="Times New Roman"/>
                      <w:b/>
                      <w:bCs/>
                      <w:sz w:val="21"/>
                      <w:szCs w:val="21"/>
                      <w:highlight w:val="none"/>
                      <w:lang w:eastAsia="zh-CN"/>
                    </w:rPr>
                  </w:pPr>
                  <w:r>
                    <w:rPr>
                      <w:rFonts w:hint="eastAsia" w:ascii="Times New Roman" w:hAnsi="Times New Roman" w:eastAsia="宋体" w:cs="Times New Roman"/>
                      <w:b/>
                      <w:bCs/>
                      <w:sz w:val="21"/>
                      <w:szCs w:val="21"/>
                      <w:highlight w:val="none"/>
                      <w:lang w:eastAsia="zh-CN"/>
                    </w:rPr>
                    <w:t>本项目情况</w:t>
                  </w:r>
                </w:p>
              </w:tc>
              <w:tc>
                <w:tcPr>
                  <w:tcW w:w="915" w:type="dxa"/>
                  <w:gridSpan w:val="2"/>
                  <w:noWrap w:val="0"/>
                  <w:vAlign w:val="center"/>
                </w:tcPr>
                <w:p w14:paraId="34B94D99">
                  <w:pPr>
                    <w:spacing w:line="240" w:lineRule="auto"/>
                    <w:jc w:val="center"/>
                    <w:rPr>
                      <w:rFonts w:hint="default" w:ascii="Times New Roman" w:hAnsi="Times New Roman" w:eastAsia="宋体" w:cs="Times New Roman"/>
                      <w:b/>
                      <w:bCs/>
                      <w:sz w:val="21"/>
                      <w:szCs w:val="21"/>
                      <w:highlight w:val="none"/>
                      <w:lang w:eastAsia="zh-CN"/>
                    </w:rPr>
                  </w:pPr>
                  <w:r>
                    <w:rPr>
                      <w:rFonts w:hint="eastAsia" w:ascii="Times New Roman" w:hAnsi="Times New Roman" w:eastAsia="宋体" w:cs="Times New Roman"/>
                      <w:b/>
                      <w:bCs/>
                      <w:sz w:val="21"/>
                      <w:szCs w:val="21"/>
                      <w:highlight w:val="none"/>
                      <w:lang w:eastAsia="zh-CN"/>
                    </w:rPr>
                    <w:t>相符性</w:t>
                  </w:r>
                </w:p>
              </w:tc>
            </w:tr>
            <w:tr w14:paraId="6BF30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gridSpan w:val="2"/>
                  <w:noWrap w:val="0"/>
                  <w:vAlign w:val="center"/>
                </w:tcPr>
                <w:p w14:paraId="54318EE1">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生态保护红线</w:t>
                  </w:r>
                </w:p>
              </w:tc>
              <w:tc>
                <w:tcPr>
                  <w:tcW w:w="3045" w:type="dxa"/>
                  <w:noWrap w:val="0"/>
                  <w:vAlign w:val="center"/>
                </w:tcPr>
                <w:p w14:paraId="7868DFDF">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根据《关于在全国开展“三区三线”划定工作的函》（自然资函〔2022〕47号）和《关于印发安徽省“三区三线”划定工作方案的通知》（皖自然资〔2022〕194号），池州市生态保护红线更新后面积为2640.17km</w:t>
                  </w:r>
                  <w:r>
                    <w:rPr>
                      <w:rFonts w:hint="default" w:ascii="Times New Roman" w:hAnsi="Times New Roman" w:eastAsia="宋体" w:cs="Times New Roman"/>
                      <w:sz w:val="21"/>
                      <w:szCs w:val="21"/>
                      <w:highlight w:val="none"/>
                      <w:vertAlign w:val="superscript"/>
                    </w:rPr>
                    <w:t>2</w:t>
                  </w:r>
                  <w:r>
                    <w:rPr>
                      <w:rFonts w:hint="default" w:ascii="Times New Roman" w:hAnsi="Times New Roman" w:eastAsia="宋体" w:cs="Times New Roman"/>
                      <w:sz w:val="21"/>
                      <w:szCs w:val="21"/>
                      <w:highlight w:val="none"/>
                    </w:rPr>
                    <w:t>，占全市国土面积的31.56%。池州市生态保护红线空间格局呈现为东部山区集中连</w:t>
                  </w:r>
                  <w:r>
                    <w:rPr>
                      <w:rFonts w:hint="eastAsia" w:ascii="Times New Roman" w:hAnsi="Times New Roman" w:eastAsia="宋体" w:cs="Times New Roman"/>
                      <w:sz w:val="21"/>
                      <w:szCs w:val="21"/>
                      <w:highlight w:val="none"/>
                      <w:lang w:eastAsia="zh-CN"/>
                    </w:rPr>
                    <w:t>片</w:t>
                  </w:r>
                  <w:r>
                    <w:rPr>
                      <w:rFonts w:hint="default" w:ascii="Times New Roman" w:hAnsi="Times New Roman" w:eastAsia="宋体" w:cs="Times New Roman"/>
                      <w:sz w:val="21"/>
                      <w:szCs w:val="21"/>
                      <w:highlight w:val="none"/>
                    </w:rPr>
                    <w:t>多，南北两翼分散的特点，其主要生态功能为水源涵养、水土保持和生物多样性维持</w:t>
                  </w:r>
                </w:p>
              </w:tc>
              <w:tc>
                <w:tcPr>
                  <w:tcW w:w="2160" w:type="dxa"/>
                  <w:noWrap w:val="0"/>
                  <w:vAlign w:val="center"/>
                </w:tcPr>
                <w:p w14:paraId="60C78B02">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本项目位于</w:t>
                  </w:r>
                  <w:r>
                    <w:rPr>
                      <w:rFonts w:hint="eastAsia" w:ascii="Times New Roman" w:hAnsi="Times New Roman" w:cs="Times New Roman"/>
                      <w:sz w:val="21"/>
                      <w:szCs w:val="21"/>
                      <w:highlight w:val="none"/>
                      <w:lang w:val="en-US" w:eastAsia="zh-CN"/>
                    </w:rPr>
                    <w:t>皖江江南新兴产业集中区</w:t>
                  </w:r>
                  <w:r>
                    <w:rPr>
                      <w:rFonts w:hint="default" w:ascii="Times New Roman" w:hAnsi="Times New Roman" w:eastAsia="宋体" w:cs="Times New Roman"/>
                      <w:sz w:val="21"/>
                      <w:szCs w:val="21"/>
                      <w:highlight w:val="none"/>
                    </w:rPr>
                    <w:t>，不在池州市生态红线范围内，也不在当地饮用水源、风景区、自然保护区等生态保护区内，符合生态保护红线要求</w:t>
                  </w:r>
                </w:p>
              </w:tc>
              <w:tc>
                <w:tcPr>
                  <w:tcW w:w="915" w:type="dxa"/>
                  <w:gridSpan w:val="2"/>
                  <w:noWrap w:val="0"/>
                  <w:vAlign w:val="center"/>
                </w:tcPr>
                <w:p w14:paraId="19087135">
                  <w:pPr>
                    <w:spacing w:line="240" w:lineRule="auto"/>
                    <w:jc w:val="center"/>
                    <w:rPr>
                      <w:rFonts w:hint="default"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符合</w:t>
                  </w:r>
                </w:p>
              </w:tc>
            </w:tr>
            <w:tr w14:paraId="5499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77" w:type="dxa"/>
                  <w:vMerge w:val="restart"/>
                  <w:noWrap w:val="0"/>
                  <w:vAlign w:val="center"/>
                </w:tcPr>
                <w:p w14:paraId="550AA6F5">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环境</w:t>
                  </w:r>
                  <w:r>
                    <w:rPr>
                      <w:rFonts w:hint="eastAsia" w:ascii="Times New Roman" w:hAnsi="Times New Roman" w:eastAsia="宋体" w:cs="Times New Roman"/>
                      <w:sz w:val="21"/>
                      <w:szCs w:val="21"/>
                      <w:highlight w:val="none"/>
                      <w:lang w:eastAsia="zh-CN"/>
                    </w:rPr>
                    <w:t>质</w:t>
                  </w:r>
                  <w:r>
                    <w:rPr>
                      <w:rFonts w:hint="default" w:ascii="Times New Roman" w:hAnsi="Times New Roman" w:eastAsia="宋体" w:cs="Times New Roman"/>
                      <w:sz w:val="21"/>
                      <w:szCs w:val="21"/>
                      <w:highlight w:val="none"/>
                    </w:rPr>
                    <w:t>量底线</w:t>
                  </w:r>
                </w:p>
              </w:tc>
              <w:tc>
                <w:tcPr>
                  <w:tcW w:w="750" w:type="dxa"/>
                  <w:noWrap w:val="0"/>
                  <w:vAlign w:val="center"/>
                </w:tcPr>
                <w:p w14:paraId="7069D763">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水环境</w:t>
                  </w:r>
                </w:p>
              </w:tc>
              <w:tc>
                <w:tcPr>
                  <w:tcW w:w="3045" w:type="dxa"/>
                  <w:noWrap w:val="0"/>
                  <w:vAlign w:val="center"/>
                </w:tcPr>
                <w:p w14:paraId="493E9B65">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水环境管控分区包括优先保护区、重点管控区和一般控制区。其中重点管控区要求如下：依据《中华人民共和国水污染防治法》《水污染防治行动计划》《安徽省水污染防治工作方案》及池州市水污染防治工作方案对重点管控区实施管控；依据《长江经济带工业园区水污染整治专项行动工作方案》、池州市相关开发区规划、规划环评及审查意见相关要求对开发区实施管控；落实《安徽省“十四五”生态环境保护规划》《安徽省“十四五”节能减排实施方案》《池州市“十四五”生态环境保护规划》《池州市“十四五”水生态环境保护专项规划》《池州市“十四五”节能减排方案》《池州市水污染防治工作方案》等要求；新建、改建和扩建项目水污染物实施“等量替代”</w:t>
                  </w:r>
                </w:p>
              </w:tc>
              <w:tc>
                <w:tcPr>
                  <w:tcW w:w="2160" w:type="dxa"/>
                  <w:noWrap w:val="0"/>
                  <w:vAlign w:val="center"/>
                </w:tcPr>
                <w:p w14:paraId="3F1218AA">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项目位于水环境工业污染重点管控区。区域污水受纳水体为</w:t>
                  </w:r>
                  <w:r>
                    <w:rPr>
                      <w:rFonts w:hint="eastAsia" w:cs="Times New Roman"/>
                      <w:sz w:val="21"/>
                      <w:szCs w:val="21"/>
                      <w:highlight w:val="none"/>
                      <w:lang w:val="en-US" w:eastAsia="zh-CN"/>
                    </w:rPr>
                    <w:t>九华河及</w:t>
                  </w:r>
                  <w:r>
                    <w:rPr>
                      <w:rFonts w:hint="default" w:ascii="Times New Roman" w:hAnsi="Times New Roman" w:eastAsia="宋体" w:cs="Times New Roman"/>
                      <w:sz w:val="21"/>
                      <w:szCs w:val="21"/>
                      <w:highlight w:val="none"/>
                    </w:rPr>
                    <w:t>长江，水质执行</w:t>
                  </w:r>
                  <w:r>
                    <w:rPr>
                      <w:rFonts w:hint="eastAsia" w:cs="Times New Roman"/>
                      <w:sz w:val="21"/>
                      <w:szCs w:val="21"/>
                      <w:highlight w:val="none"/>
                      <w:lang w:eastAsia="zh-CN"/>
                    </w:rPr>
                    <w:t>《</w:t>
                  </w:r>
                  <w:r>
                    <w:rPr>
                      <w:rFonts w:hint="default" w:ascii="Times New Roman" w:hAnsi="Times New Roman" w:eastAsia="宋体" w:cs="Times New Roman"/>
                      <w:sz w:val="21"/>
                      <w:szCs w:val="21"/>
                      <w:highlight w:val="none"/>
                    </w:rPr>
                    <w:t>地表水环境质量标准</w:t>
                  </w:r>
                  <w:r>
                    <w:rPr>
                      <w:rFonts w:hint="eastAsia" w:cs="Times New Roman"/>
                      <w:sz w:val="21"/>
                      <w:szCs w:val="21"/>
                      <w:highlight w:val="none"/>
                      <w:lang w:eastAsia="zh-CN"/>
                    </w:rPr>
                    <w:t>》</w:t>
                  </w:r>
                  <w:r>
                    <w:rPr>
                      <w:rFonts w:hint="default" w:ascii="Times New Roman" w:hAnsi="Times New Roman" w:eastAsia="宋体" w:cs="Times New Roman"/>
                      <w:sz w:val="21"/>
                      <w:szCs w:val="21"/>
                      <w:highlight w:val="none"/>
                    </w:rPr>
                    <w:t>（GB3838-2002）中的III类标准。</w:t>
                  </w: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w:t>
                  </w:r>
                  <w:r>
                    <w:rPr>
                      <w:rFonts w:hint="eastAsia" w:cs="Times New Roman"/>
                      <w:color w:val="auto"/>
                      <w:sz w:val="21"/>
                      <w:szCs w:val="21"/>
                      <w:highlight w:val="none"/>
                      <w:lang w:val="en-US" w:eastAsia="zh-CN"/>
                    </w:rPr>
                    <w:t>科技孵化园</w:t>
                  </w:r>
                  <w:r>
                    <w:rPr>
                      <w:rFonts w:hint="eastAsia" w:ascii="Times New Roman" w:hAnsi="Times New Roman" w:cs="Times New Roman"/>
                      <w:color w:val="auto"/>
                      <w:sz w:val="21"/>
                      <w:szCs w:val="21"/>
                      <w:highlight w:val="none"/>
                      <w:lang w:eastAsia="zh-CN"/>
                    </w:rPr>
                    <w:t>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r>
                    <w:rPr>
                      <w:rFonts w:hint="default" w:ascii="Times New Roman" w:hAnsi="Times New Roman" w:eastAsia="宋体" w:cs="Times New Roman"/>
                      <w:sz w:val="21"/>
                      <w:szCs w:val="21"/>
                      <w:highlight w:val="none"/>
                    </w:rPr>
                    <w:t>对周边地表水环境影响</w:t>
                  </w:r>
                  <w:r>
                    <w:rPr>
                      <w:rFonts w:hint="eastAsia" w:cs="Times New Roman"/>
                      <w:sz w:val="21"/>
                      <w:szCs w:val="21"/>
                      <w:highlight w:val="none"/>
                      <w:lang w:val="en-US" w:eastAsia="zh-CN"/>
                    </w:rPr>
                    <w:t>较小</w:t>
                  </w:r>
                  <w:r>
                    <w:rPr>
                      <w:rFonts w:hint="default" w:ascii="Times New Roman" w:hAnsi="Times New Roman" w:eastAsia="宋体" w:cs="Times New Roman"/>
                      <w:sz w:val="21"/>
                      <w:szCs w:val="21"/>
                      <w:highlight w:val="none"/>
                    </w:rPr>
                    <w:t>，满足水环境质量底线及分区管控要求。项目新增水污染物总量计入</w:t>
                  </w:r>
                  <w:r>
                    <w:rPr>
                      <w:rFonts w:hint="eastAsia" w:ascii="Times New Roman" w:hAnsi="Times New Roman" w:cs="Times New Roman"/>
                      <w:color w:val="auto"/>
                      <w:sz w:val="21"/>
                      <w:szCs w:val="21"/>
                      <w:highlight w:val="none"/>
                      <w:lang w:eastAsia="zh-CN"/>
                    </w:rPr>
                    <w:t>江南产业集中区第一污水处理厂</w:t>
                  </w:r>
                  <w:r>
                    <w:rPr>
                      <w:rFonts w:hint="default" w:ascii="Times New Roman" w:hAnsi="Times New Roman" w:eastAsia="宋体" w:cs="Times New Roman"/>
                      <w:sz w:val="21"/>
                      <w:szCs w:val="21"/>
                      <w:highlight w:val="none"/>
                    </w:rPr>
                    <w:t>之内</w:t>
                  </w:r>
                </w:p>
              </w:tc>
              <w:tc>
                <w:tcPr>
                  <w:tcW w:w="912" w:type="dxa"/>
                  <w:noWrap w:val="0"/>
                  <w:vAlign w:val="center"/>
                </w:tcPr>
                <w:p w14:paraId="14FF8E2A">
                  <w:pPr>
                    <w:spacing w:line="240" w:lineRule="auto"/>
                    <w:jc w:val="center"/>
                    <w:rPr>
                      <w:rFonts w:hint="default"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符合</w:t>
                  </w:r>
                </w:p>
              </w:tc>
            </w:tr>
            <w:tr w14:paraId="4E34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77" w:type="dxa"/>
                  <w:vMerge w:val="continue"/>
                  <w:noWrap w:val="0"/>
                  <w:vAlign w:val="center"/>
                </w:tcPr>
                <w:p w14:paraId="5510A8CE">
                  <w:pPr>
                    <w:spacing w:line="240" w:lineRule="auto"/>
                    <w:jc w:val="center"/>
                    <w:rPr>
                      <w:rFonts w:hint="default" w:ascii="Times New Roman" w:hAnsi="Times New Roman" w:eastAsia="宋体" w:cs="Times New Roman"/>
                      <w:sz w:val="21"/>
                      <w:szCs w:val="21"/>
                      <w:highlight w:val="none"/>
                      <w:lang w:eastAsia="zh-CN"/>
                    </w:rPr>
                  </w:pPr>
                </w:p>
              </w:tc>
              <w:tc>
                <w:tcPr>
                  <w:tcW w:w="750" w:type="dxa"/>
                  <w:noWrap w:val="0"/>
                  <w:vAlign w:val="center"/>
                </w:tcPr>
                <w:p w14:paraId="682571B4">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大气环境</w:t>
                  </w:r>
                </w:p>
              </w:tc>
              <w:tc>
                <w:tcPr>
                  <w:tcW w:w="3045" w:type="dxa"/>
                  <w:noWrap w:val="0"/>
                  <w:vAlign w:val="center"/>
                </w:tcPr>
                <w:p w14:paraId="1F19D988">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大气环境管控分区包括优先保护区、重点管控区和一般管控区。其中重点管控区要求如下：落实《安徽省大气污染防治条例》《安徽省碳达峰实施方案的通知》《安徽省工业领域碳达峰实施方案》《安徽省城乡建设领域碳达峰实施方案》《关于进一步加强新上“两高”项目管理的通知》《安徽省挥发性有机物污染整治工作方案》《关于进一步加强建设项目新增大气污染物总量控制指标管理工作的通知》《安徽省“十四五”节能减排实施方案》《深入打好污染防治攻坚战行动方案》《池州市“十四五”节能减排方案》要求；严格目标实施计划，加强环境监管，促进生态环境质量好转；大气主要污染物总量指标实行区域内等量或倍量削减替代，执行特别排放标准的行业实施提标升级改造</w:t>
                  </w:r>
                </w:p>
              </w:tc>
              <w:tc>
                <w:tcPr>
                  <w:tcW w:w="2160" w:type="dxa"/>
                  <w:noWrap w:val="0"/>
                  <w:vAlign w:val="center"/>
                </w:tcPr>
                <w:p w14:paraId="1A8A41FE">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项目位于大气环境受体敏感重点管控区。根据《202</w:t>
                  </w:r>
                  <w:r>
                    <w:rPr>
                      <w:rFonts w:hint="eastAsia" w:ascii="Times New Roman" w:hAnsi="Times New Roman" w:eastAsia="宋体" w:cs="Times New Roman"/>
                      <w:sz w:val="21"/>
                      <w:szCs w:val="21"/>
                      <w:highlight w:val="none"/>
                      <w:lang w:val="en-US" w:eastAsia="zh-CN"/>
                    </w:rPr>
                    <w:t>3</w:t>
                  </w:r>
                  <w:r>
                    <w:rPr>
                      <w:rFonts w:hint="default" w:ascii="Times New Roman" w:hAnsi="Times New Roman" w:eastAsia="宋体" w:cs="Times New Roman"/>
                      <w:sz w:val="21"/>
                      <w:szCs w:val="21"/>
                      <w:highlight w:val="none"/>
                    </w:rPr>
                    <w:t>年池州市环境质量状况公报》，池州市属于大气环境质量达标区，</w:t>
                  </w:r>
                  <w:r>
                    <w:rPr>
                      <w:rFonts w:hint="eastAsia" w:cs="Times New Roman"/>
                      <w:sz w:val="21"/>
                      <w:szCs w:val="21"/>
                      <w:highlight w:val="none"/>
                      <w:lang w:val="en-US" w:eastAsia="zh-CN"/>
                    </w:rPr>
                    <w:t>项目所在区域</w:t>
                  </w:r>
                  <w:r>
                    <w:rPr>
                      <w:rFonts w:hint="default" w:ascii="Times New Roman" w:hAnsi="Times New Roman" w:eastAsia="宋体" w:cs="Times New Roman"/>
                      <w:sz w:val="21"/>
                      <w:szCs w:val="21"/>
                      <w:highlight w:val="none"/>
                    </w:rPr>
                    <w:t>非甲烷总烃满足</w:t>
                  </w:r>
                  <w:r>
                    <w:rPr>
                      <w:rFonts w:hint="eastAsia" w:ascii="Times New Roman" w:hAnsi="Times New Roman" w:eastAsia="宋体" w:cs="Times New Roman"/>
                      <w:color w:val="auto"/>
                      <w:sz w:val="21"/>
                      <w:szCs w:val="21"/>
                      <w:highlight w:val="none"/>
                      <w:lang w:val="en-US" w:eastAsia="zh-CN"/>
                    </w:rPr>
                    <w:t>《大气污染物综合排放标准详解》</w:t>
                  </w:r>
                  <w:r>
                    <w:rPr>
                      <w:rFonts w:hint="default" w:ascii="Times New Roman" w:hAnsi="Times New Roman" w:eastAsia="宋体" w:cs="Times New Roman"/>
                      <w:color w:val="auto"/>
                      <w:sz w:val="21"/>
                      <w:szCs w:val="21"/>
                      <w:highlight w:val="none"/>
                      <w:lang w:val="en-US" w:eastAsia="zh-CN"/>
                    </w:rPr>
                    <w:t>中的</w:t>
                  </w:r>
                  <w:r>
                    <w:rPr>
                      <w:rFonts w:hint="eastAsia" w:cs="Times New Roman"/>
                      <w:color w:val="auto"/>
                      <w:sz w:val="21"/>
                      <w:szCs w:val="21"/>
                      <w:highlight w:val="none"/>
                      <w:lang w:val="en-US" w:eastAsia="zh-CN"/>
                    </w:rPr>
                    <w:t>限值</w:t>
                  </w:r>
                  <w:r>
                    <w:rPr>
                      <w:rFonts w:hint="default" w:ascii="Times New Roman" w:hAnsi="Times New Roman" w:eastAsia="宋体" w:cs="Times New Roman"/>
                      <w:color w:val="auto"/>
                      <w:sz w:val="21"/>
                      <w:szCs w:val="21"/>
                      <w:highlight w:val="none"/>
                      <w:lang w:val="en-US" w:eastAsia="zh-CN"/>
                    </w:rPr>
                    <w:t>要求</w:t>
                  </w:r>
                  <w:r>
                    <w:rPr>
                      <w:rFonts w:hint="default" w:ascii="Times New Roman" w:hAnsi="Times New Roman" w:eastAsia="宋体" w:cs="Times New Roman"/>
                      <w:sz w:val="21"/>
                      <w:szCs w:val="21"/>
                      <w:highlight w:val="none"/>
                    </w:rPr>
                    <w:t>，TSP满足《环境空气质量标准》（GB3095-2012）限值要求</w:t>
                  </w:r>
                  <w:r>
                    <w:rPr>
                      <w:rFonts w:hint="eastAsia" w:cs="Times New Roman"/>
                      <w:sz w:val="21"/>
                      <w:szCs w:val="21"/>
                      <w:highlight w:val="none"/>
                      <w:lang w:eastAsia="zh-CN"/>
                    </w:rPr>
                    <w:t>，</w:t>
                  </w:r>
                  <w:r>
                    <w:rPr>
                      <w:sz w:val="21"/>
                      <w:szCs w:val="21"/>
                      <w:highlight w:val="none"/>
                    </w:rPr>
                    <w:t>项目</w:t>
                  </w:r>
                  <w:r>
                    <w:rPr>
                      <w:rFonts w:hint="eastAsia"/>
                      <w:sz w:val="21"/>
                      <w:szCs w:val="21"/>
                      <w:highlight w:val="none"/>
                      <w:lang w:eastAsia="zh-CN"/>
                    </w:rPr>
                    <w:t>废气经收集处理后，对</w:t>
                  </w:r>
                  <w:r>
                    <w:rPr>
                      <w:rFonts w:hint="default" w:ascii="Times New Roman" w:hAnsi="Times New Roman" w:cs="Times New Roman"/>
                      <w:color w:val="auto"/>
                      <w:sz w:val="21"/>
                      <w:szCs w:val="21"/>
                      <w:highlight w:val="none"/>
                    </w:rPr>
                    <w:t>周围环境的影响在可接受范围内，项目建设满足大气环境质量底线及分区管控要求</w:t>
                  </w:r>
                </w:p>
              </w:tc>
              <w:tc>
                <w:tcPr>
                  <w:tcW w:w="912" w:type="dxa"/>
                  <w:noWrap w:val="0"/>
                  <w:vAlign w:val="center"/>
                </w:tcPr>
                <w:p w14:paraId="57FCBA80">
                  <w:pPr>
                    <w:spacing w:line="240" w:lineRule="auto"/>
                    <w:jc w:val="center"/>
                    <w:rPr>
                      <w:rFonts w:hint="default"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符合</w:t>
                  </w:r>
                </w:p>
              </w:tc>
            </w:tr>
            <w:tr w14:paraId="1CAEC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77" w:type="dxa"/>
                  <w:vMerge w:val="continue"/>
                  <w:noWrap w:val="0"/>
                  <w:vAlign w:val="center"/>
                </w:tcPr>
                <w:p w14:paraId="7FD9ECBB">
                  <w:pPr>
                    <w:spacing w:line="360" w:lineRule="auto"/>
                    <w:jc w:val="center"/>
                    <w:rPr>
                      <w:rFonts w:hint="default" w:ascii="Times New Roman" w:hAnsi="Times New Roman" w:eastAsia="宋体" w:cs="Times New Roman"/>
                      <w:color w:val="auto"/>
                      <w:sz w:val="21"/>
                      <w:szCs w:val="21"/>
                      <w:highlight w:val="none"/>
                      <w:vertAlign w:val="baseline"/>
                      <w:lang w:eastAsia="zh-CN"/>
                    </w:rPr>
                  </w:pPr>
                </w:p>
              </w:tc>
              <w:tc>
                <w:tcPr>
                  <w:tcW w:w="750" w:type="dxa"/>
                  <w:noWrap w:val="0"/>
                  <w:vAlign w:val="center"/>
                </w:tcPr>
                <w:p w14:paraId="13922598">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土壤环境</w:t>
                  </w:r>
                </w:p>
              </w:tc>
              <w:tc>
                <w:tcPr>
                  <w:tcW w:w="3045" w:type="dxa"/>
                  <w:noWrap w:val="0"/>
                  <w:vAlign w:val="center"/>
                </w:tcPr>
                <w:p w14:paraId="7672ACD6">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土壤环境风险防控分区包括优先保护区、土壤环境风险重点防控区和一般防控区。其中重点管控区要求如下：依据《中华人民共和国土壤污染防治法》《土壤污染防治行动计划》《安徽省土壤污染防治工作方案》《安徽省“十四五”环境保护规划》《安徽省“十四五”土壤、地下水和农村生态环境保护规划》《安徽省重金属污染防控工作方案》《安徽省“十四五”危险废物工业固体废物污染环境防治规划》《安徽省土壤污染防治工作方案》《池州市“十四五”土壤污染防治专项规划》《池州市“十四五”农村生态环境保护专项规划》《贵池区土壤污染防治行动计划工作方案》（贵政办〔2017〕19号）、《青阳县人民政府关于印发青阳县土壤污染防治行动计划工作方案的通知》（青政秘〔2017〕21号）、《石台县人民政府办公室关于印发石台县土壤污染防治行动计划工作方案的通知》（石政办〔2017〕9号）等要求对一般管控区实施管控。</w:t>
                  </w:r>
                </w:p>
              </w:tc>
              <w:tc>
                <w:tcPr>
                  <w:tcW w:w="2160" w:type="dxa"/>
                  <w:noWrap w:val="0"/>
                  <w:vAlign w:val="center"/>
                </w:tcPr>
                <w:p w14:paraId="7797860F">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项目位于</w:t>
                  </w:r>
                  <w:r>
                    <w:rPr>
                      <w:rFonts w:hint="eastAsia" w:cs="Times New Roman"/>
                      <w:sz w:val="21"/>
                      <w:szCs w:val="21"/>
                      <w:highlight w:val="none"/>
                      <w:lang w:eastAsia="zh-CN"/>
                    </w:rPr>
                    <w:t>土壤环境风险一般</w:t>
                  </w:r>
                  <w:r>
                    <w:rPr>
                      <w:rFonts w:hint="default" w:ascii="Times New Roman" w:hAnsi="Times New Roman" w:eastAsia="宋体" w:cs="Times New Roman"/>
                      <w:sz w:val="21"/>
                      <w:szCs w:val="21"/>
                      <w:highlight w:val="none"/>
                      <w:lang w:eastAsia="zh-CN"/>
                    </w:rPr>
                    <w:t>管控区。项目在严格落实防渗措施的情况下，对厂区及周边土壤环境影响较小，能够满足土壤环境风险防控底线及分区管控要求</w:t>
                  </w:r>
                </w:p>
              </w:tc>
              <w:tc>
                <w:tcPr>
                  <w:tcW w:w="912" w:type="dxa"/>
                  <w:noWrap w:val="0"/>
                  <w:vAlign w:val="center"/>
                </w:tcPr>
                <w:p w14:paraId="21B44DEB">
                  <w:pPr>
                    <w:spacing w:line="360" w:lineRule="auto"/>
                    <w:jc w:val="center"/>
                    <w:rPr>
                      <w:rFonts w:hint="default" w:ascii="Times New Roman" w:hAnsi="Times New Roman" w:eastAsia="宋体" w:cs="Times New Roman"/>
                      <w:color w:val="auto"/>
                      <w:sz w:val="21"/>
                      <w:szCs w:val="21"/>
                      <w:highlight w:val="none"/>
                      <w:vertAlign w:val="baseline"/>
                      <w:lang w:eastAsia="zh-CN"/>
                    </w:rPr>
                  </w:pPr>
                  <w:r>
                    <w:rPr>
                      <w:rFonts w:hint="eastAsia" w:ascii="Times New Roman" w:hAnsi="Times New Roman" w:eastAsia="宋体" w:cs="Times New Roman"/>
                      <w:sz w:val="21"/>
                      <w:szCs w:val="21"/>
                      <w:highlight w:val="none"/>
                      <w:lang w:eastAsia="zh-CN"/>
                    </w:rPr>
                    <w:t>符合</w:t>
                  </w:r>
                </w:p>
              </w:tc>
            </w:tr>
            <w:tr w14:paraId="4200F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77" w:type="dxa"/>
                  <w:vMerge w:val="restart"/>
                  <w:noWrap w:val="0"/>
                  <w:vAlign w:val="center"/>
                </w:tcPr>
                <w:p w14:paraId="76DE7BB1">
                  <w:pPr>
                    <w:spacing w:line="360" w:lineRule="auto"/>
                    <w:jc w:val="center"/>
                    <w:rPr>
                      <w:rFonts w:hint="default" w:ascii="Times New Roman" w:hAnsi="Times New Roman" w:eastAsia="宋体" w:cs="Times New Roman"/>
                      <w:color w:val="auto"/>
                      <w:sz w:val="21"/>
                      <w:szCs w:val="21"/>
                      <w:highlight w:val="none"/>
                      <w:vertAlign w:val="baseline"/>
                      <w:lang w:eastAsia="zh-CN"/>
                    </w:rPr>
                  </w:pPr>
                  <w:r>
                    <w:rPr>
                      <w:spacing w:val="-5"/>
                      <w:sz w:val="21"/>
                      <w:szCs w:val="21"/>
                      <w:highlight w:val="none"/>
                    </w:rPr>
                    <w:t>资源利</w:t>
                  </w:r>
                  <w:r>
                    <w:rPr>
                      <w:spacing w:val="-3"/>
                      <w:sz w:val="21"/>
                      <w:szCs w:val="21"/>
                      <w:highlight w:val="none"/>
                    </w:rPr>
                    <w:t>用上线</w:t>
                  </w:r>
                </w:p>
              </w:tc>
              <w:tc>
                <w:tcPr>
                  <w:tcW w:w="750" w:type="dxa"/>
                  <w:noWrap w:val="0"/>
                  <w:vAlign w:val="center"/>
                </w:tcPr>
                <w:p w14:paraId="36B115A6">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煤炭资源利用上线</w:t>
                  </w:r>
                </w:p>
              </w:tc>
              <w:tc>
                <w:tcPr>
                  <w:tcW w:w="3045" w:type="dxa"/>
                  <w:noWrap w:val="0"/>
                  <w:vAlign w:val="center"/>
                </w:tcPr>
                <w:p w14:paraId="16F1F881">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煤炭资源利用管控分区含重点管控区和一般管控区。其中高污染燃料禁燃区为重点管控区，其余为一般管控区。关于</w:t>
                  </w:r>
                  <w:r>
                    <w:rPr>
                      <w:rFonts w:hint="eastAsia" w:cs="Times New Roman"/>
                      <w:sz w:val="21"/>
                      <w:szCs w:val="21"/>
                      <w:highlight w:val="none"/>
                      <w:lang w:eastAsia="zh-CN"/>
                    </w:rPr>
                    <w:t>一般</w:t>
                  </w:r>
                  <w:r>
                    <w:rPr>
                      <w:rFonts w:hint="default" w:ascii="Times New Roman" w:hAnsi="Times New Roman" w:eastAsia="宋体" w:cs="Times New Roman"/>
                      <w:sz w:val="21"/>
                      <w:szCs w:val="21"/>
                      <w:highlight w:val="none"/>
                      <w:lang w:eastAsia="zh-CN"/>
                    </w:rPr>
                    <w:t>管控区要求如下：</w:t>
                  </w:r>
                  <w:r>
                    <w:rPr>
                      <w:rFonts w:hint="eastAsia" w:eastAsia="宋体" w:cs="Times New Roman"/>
                      <w:sz w:val="21"/>
                      <w:szCs w:val="21"/>
                      <w:highlight w:val="none"/>
                    </w:rPr>
                    <w:t>落实《安徽省“十四五”节能减排实施方案》《池州市“十四五”生态环境保护规划》《池州市“十四五”节能减排方案》要求。</w:t>
                  </w:r>
                </w:p>
              </w:tc>
              <w:tc>
                <w:tcPr>
                  <w:tcW w:w="2160" w:type="dxa"/>
                  <w:noWrap w:val="0"/>
                  <w:vAlign w:val="center"/>
                </w:tcPr>
                <w:p w14:paraId="43D84EC3">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项目位于煤炭资源利用</w:t>
                  </w:r>
                  <w:r>
                    <w:rPr>
                      <w:rFonts w:hint="eastAsia" w:cs="Times New Roman"/>
                      <w:sz w:val="21"/>
                      <w:szCs w:val="21"/>
                      <w:highlight w:val="none"/>
                      <w:lang w:eastAsia="zh-CN"/>
                    </w:rPr>
                    <w:t>一般</w:t>
                  </w:r>
                  <w:r>
                    <w:rPr>
                      <w:rFonts w:hint="default" w:ascii="Times New Roman" w:hAnsi="Times New Roman" w:eastAsia="宋体" w:cs="Times New Roman"/>
                      <w:sz w:val="21"/>
                      <w:szCs w:val="21"/>
                      <w:highlight w:val="none"/>
                      <w:lang w:eastAsia="zh-CN"/>
                    </w:rPr>
                    <w:t>管控区。</w:t>
                  </w:r>
                  <w:r>
                    <w:rPr>
                      <w:rFonts w:hint="default" w:cs="Times New Roman"/>
                      <w:sz w:val="21"/>
                      <w:szCs w:val="21"/>
                      <w:highlight w:val="none"/>
                      <w:lang w:eastAsia="zh-CN"/>
                    </w:rPr>
                    <w:t>本项目生产环节不涉及</w:t>
                  </w:r>
                  <w:r>
                    <w:rPr>
                      <w:rFonts w:hint="eastAsia" w:cs="Times New Roman"/>
                      <w:sz w:val="21"/>
                      <w:szCs w:val="21"/>
                      <w:highlight w:val="none"/>
                      <w:lang w:eastAsia="zh-CN"/>
                    </w:rPr>
                    <w:t>煤炭资源的使用</w:t>
                  </w:r>
                </w:p>
              </w:tc>
              <w:tc>
                <w:tcPr>
                  <w:tcW w:w="912" w:type="dxa"/>
                  <w:noWrap w:val="0"/>
                  <w:vAlign w:val="center"/>
                </w:tcPr>
                <w:p w14:paraId="6B997E5B">
                  <w:pPr>
                    <w:spacing w:line="360" w:lineRule="auto"/>
                    <w:jc w:val="center"/>
                    <w:rPr>
                      <w:rFonts w:hint="default" w:ascii="Times New Roman" w:hAnsi="Times New Roman" w:eastAsia="宋体" w:cs="Times New Roman"/>
                      <w:color w:val="auto"/>
                      <w:sz w:val="21"/>
                      <w:szCs w:val="21"/>
                      <w:highlight w:val="none"/>
                      <w:vertAlign w:val="baseline"/>
                      <w:lang w:eastAsia="zh-CN"/>
                    </w:rPr>
                  </w:pPr>
                  <w:r>
                    <w:rPr>
                      <w:rFonts w:hint="eastAsia" w:ascii="Times New Roman" w:hAnsi="Times New Roman" w:eastAsia="宋体" w:cs="Times New Roman"/>
                      <w:sz w:val="21"/>
                      <w:szCs w:val="21"/>
                      <w:highlight w:val="none"/>
                      <w:lang w:eastAsia="zh-CN"/>
                    </w:rPr>
                    <w:t>符合</w:t>
                  </w:r>
                </w:p>
              </w:tc>
            </w:tr>
            <w:tr w14:paraId="4517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577" w:type="dxa"/>
                  <w:vMerge w:val="continue"/>
                  <w:noWrap w:val="0"/>
                  <w:vAlign w:val="center"/>
                </w:tcPr>
                <w:p w14:paraId="726A2A17">
                  <w:pPr>
                    <w:spacing w:line="360" w:lineRule="auto"/>
                    <w:jc w:val="center"/>
                    <w:rPr>
                      <w:rFonts w:hint="default" w:ascii="Times New Roman" w:hAnsi="Times New Roman" w:eastAsia="宋体" w:cs="Times New Roman"/>
                      <w:color w:val="auto"/>
                      <w:sz w:val="21"/>
                      <w:szCs w:val="21"/>
                      <w:highlight w:val="none"/>
                      <w:vertAlign w:val="baseline"/>
                      <w:lang w:eastAsia="zh-CN"/>
                    </w:rPr>
                  </w:pPr>
                </w:p>
              </w:tc>
              <w:tc>
                <w:tcPr>
                  <w:tcW w:w="750" w:type="dxa"/>
                  <w:noWrap w:val="0"/>
                  <w:vAlign w:val="center"/>
                </w:tcPr>
                <w:p w14:paraId="7A889F34">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水资源利用上线</w:t>
                  </w:r>
                </w:p>
              </w:tc>
              <w:tc>
                <w:tcPr>
                  <w:tcW w:w="3045" w:type="dxa"/>
                  <w:noWrap w:val="0"/>
                  <w:vAlign w:val="center"/>
                </w:tcPr>
                <w:p w14:paraId="5304B334">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水资源管控分区包括重点管控区和一般管控区。根据“三线一单”成果，池州市水资源管控分区皆为一般管控区。管控要求如下：落实《安徽省2025年用水总量和用水效率控制指标的函》《池州市水利发展“十四五”规划》《池州市“十四五”节能减排方案》《关于落实池州市“十四五”用水总量和强度双控目标的通知》等要求</w:t>
                  </w:r>
                </w:p>
              </w:tc>
              <w:tc>
                <w:tcPr>
                  <w:tcW w:w="2160" w:type="dxa"/>
                  <w:noWrap w:val="0"/>
                  <w:vAlign w:val="center"/>
                </w:tcPr>
                <w:p w14:paraId="3BC63F03">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项目位于水资源一般管控区。本项目用水由市政给水管网提供，供水能力满足项目新鲜水使用需求；此外，项目不属于高耗水</w:t>
                  </w:r>
                  <w:r>
                    <w:rPr>
                      <w:rFonts w:hint="eastAsia"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eastAsia="zh-CN"/>
                    </w:rPr>
                    <w:t>高耗能行业项目，总体用水量较少，远低于区域水资源利用上线</w:t>
                  </w:r>
                </w:p>
              </w:tc>
              <w:tc>
                <w:tcPr>
                  <w:tcW w:w="912" w:type="dxa"/>
                  <w:noWrap w:val="0"/>
                  <w:vAlign w:val="center"/>
                </w:tcPr>
                <w:p w14:paraId="494D030F">
                  <w:pPr>
                    <w:spacing w:line="360" w:lineRule="auto"/>
                    <w:jc w:val="center"/>
                    <w:rPr>
                      <w:rFonts w:hint="default" w:ascii="Times New Roman" w:hAnsi="Times New Roman" w:eastAsia="宋体" w:cs="Times New Roman"/>
                      <w:color w:val="auto"/>
                      <w:sz w:val="21"/>
                      <w:szCs w:val="21"/>
                      <w:highlight w:val="none"/>
                      <w:vertAlign w:val="baseline"/>
                      <w:lang w:eastAsia="zh-CN"/>
                    </w:rPr>
                  </w:pPr>
                  <w:r>
                    <w:rPr>
                      <w:rFonts w:hint="eastAsia" w:ascii="Times New Roman" w:hAnsi="Times New Roman" w:eastAsia="宋体" w:cs="Times New Roman"/>
                      <w:sz w:val="21"/>
                      <w:szCs w:val="21"/>
                      <w:highlight w:val="none"/>
                      <w:lang w:eastAsia="zh-CN"/>
                    </w:rPr>
                    <w:t>符合</w:t>
                  </w:r>
                </w:p>
              </w:tc>
            </w:tr>
            <w:tr w14:paraId="5D692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dxa"/>
              </w:trPr>
              <w:tc>
                <w:tcPr>
                  <w:tcW w:w="1327" w:type="dxa"/>
                  <w:gridSpan w:val="2"/>
                  <w:noWrap w:val="0"/>
                  <w:vAlign w:val="center"/>
                </w:tcPr>
                <w:p w14:paraId="0E58E45C">
                  <w:pPr>
                    <w:spacing w:line="240" w:lineRule="auto"/>
                    <w:jc w:val="center"/>
                    <w:rPr>
                      <w:rFonts w:hint="default" w:ascii="Times New Roman" w:hAnsi="Times New Roman" w:eastAsia="宋体" w:cs="Times New Roman"/>
                      <w:sz w:val="21"/>
                      <w:szCs w:val="21"/>
                      <w:highlight w:val="none"/>
                      <w:lang w:val="en-US" w:eastAsia="en-US"/>
                    </w:rPr>
                  </w:pPr>
                  <w:r>
                    <w:rPr>
                      <w:rFonts w:hint="default" w:ascii="Times New Roman" w:hAnsi="Times New Roman" w:eastAsia="宋体" w:cs="Times New Roman"/>
                      <w:sz w:val="21"/>
                      <w:szCs w:val="21"/>
                      <w:highlight w:val="none"/>
                      <w:lang w:eastAsia="zh-CN"/>
                    </w:rPr>
                    <w:t>生态环境准入清单</w:t>
                  </w:r>
                </w:p>
              </w:tc>
              <w:tc>
                <w:tcPr>
                  <w:tcW w:w="5205" w:type="dxa"/>
                  <w:gridSpan w:val="2"/>
                  <w:noWrap w:val="0"/>
                  <w:vAlign w:val="center"/>
                </w:tcPr>
                <w:p w14:paraId="585D8B25">
                  <w:pPr>
                    <w:spacing w:line="240" w:lineRule="auto"/>
                    <w:jc w:val="center"/>
                    <w:rPr>
                      <w:rFonts w:hint="default" w:ascii="Times New Roman" w:hAnsi="Times New Roman" w:eastAsia="宋体" w:cs="Times New Roman"/>
                      <w:sz w:val="21"/>
                      <w:szCs w:val="21"/>
                      <w:highlight w:val="none"/>
                      <w:lang w:val="en-US" w:eastAsia="en-US"/>
                    </w:rPr>
                  </w:pPr>
                  <w:r>
                    <w:rPr>
                      <w:rFonts w:hint="default" w:ascii="Times New Roman" w:hAnsi="Times New Roman" w:eastAsia="宋体" w:cs="Times New Roman"/>
                      <w:sz w:val="21"/>
                      <w:szCs w:val="21"/>
                      <w:highlight w:val="none"/>
                      <w:lang w:eastAsia="zh-CN"/>
                    </w:rPr>
                    <w:t>本项目位于</w:t>
                  </w:r>
                  <w:r>
                    <w:rPr>
                      <w:rFonts w:hint="eastAsia" w:cs="Times New Roman"/>
                      <w:color w:val="auto"/>
                      <w:sz w:val="21"/>
                      <w:szCs w:val="21"/>
                      <w:highlight w:val="none"/>
                      <w:lang w:val="en-US" w:eastAsia="zh-CN"/>
                    </w:rPr>
                    <w:t>皖江江南新兴产业集中区</w:t>
                  </w:r>
                  <w:r>
                    <w:rPr>
                      <w:rFonts w:hint="default" w:ascii="Times New Roman" w:hAnsi="Times New Roman" w:eastAsia="宋体" w:cs="Times New Roman"/>
                      <w:sz w:val="21"/>
                      <w:szCs w:val="21"/>
                      <w:highlight w:val="none"/>
                      <w:lang w:eastAsia="zh-CN"/>
                    </w:rPr>
                    <w:t>内，属于</w:t>
                  </w:r>
                  <w:r>
                    <w:rPr>
                      <w:rFonts w:hint="eastAsia" w:ascii="Times New Roman" w:hAnsi="Times New Roman" w:cs="Times New Roman"/>
                      <w:color w:val="auto"/>
                      <w:sz w:val="21"/>
                      <w:szCs w:val="21"/>
                      <w:highlight w:val="none"/>
                      <w:lang w:val="en-US" w:eastAsia="zh-CN"/>
                    </w:rPr>
                    <w:t>显示器件制造</w:t>
                  </w:r>
                  <w:r>
                    <w:rPr>
                      <w:rFonts w:hint="default" w:ascii="Times New Roman" w:hAnsi="Times New Roman" w:eastAsia="宋体" w:cs="Times New Roman"/>
                      <w:sz w:val="21"/>
                      <w:szCs w:val="21"/>
                      <w:highlight w:val="none"/>
                      <w:lang w:eastAsia="zh-CN"/>
                    </w:rPr>
                    <w:t>，不属于《产业结构调整指导目录（20</w:t>
                  </w:r>
                  <w:r>
                    <w:rPr>
                      <w:rFonts w:hint="eastAsia" w:ascii="Times New Roman" w:hAnsi="Times New Roman" w:eastAsia="宋体" w:cs="Times New Roman"/>
                      <w:sz w:val="21"/>
                      <w:szCs w:val="21"/>
                      <w:highlight w:val="none"/>
                      <w:lang w:val="en-US" w:eastAsia="zh-CN"/>
                    </w:rPr>
                    <w:t>24</w:t>
                  </w:r>
                  <w:r>
                    <w:rPr>
                      <w:rFonts w:hint="default" w:ascii="Times New Roman" w:hAnsi="Times New Roman" w:eastAsia="宋体" w:cs="Times New Roman"/>
                      <w:sz w:val="21"/>
                      <w:szCs w:val="21"/>
                      <w:highlight w:val="none"/>
                      <w:lang w:eastAsia="zh-CN"/>
                    </w:rPr>
                    <w:t>年本）》以及《安徽省工业产业结构调整指导目录（2007年本）》中限制类和淘汰类项目；根据《市场准入负面清单（202</w:t>
                  </w:r>
                  <w:r>
                    <w:rPr>
                      <w:rFonts w:hint="eastAsia" w:ascii="Times New Roman" w:hAnsi="Times New Roman" w:eastAsia="宋体" w:cs="Times New Roman"/>
                      <w:sz w:val="21"/>
                      <w:szCs w:val="21"/>
                      <w:highlight w:val="none"/>
                      <w:lang w:val="en-US" w:eastAsia="zh-CN"/>
                    </w:rPr>
                    <w:t>2</w:t>
                  </w:r>
                  <w:r>
                    <w:rPr>
                      <w:rFonts w:hint="default" w:ascii="Times New Roman" w:hAnsi="Times New Roman" w:eastAsia="宋体" w:cs="Times New Roman"/>
                      <w:sz w:val="21"/>
                      <w:szCs w:val="21"/>
                      <w:highlight w:val="none"/>
                      <w:lang w:eastAsia="zh-CN"/>
                    </w:rPr>
                    <w:t>年版）》可知，拟建项目不属于其中规定的禁止或许可准入类项目；根据《安徽省江南产业集中区产业发展规划（2019~2030）环境影响报告书》中产业发展环境准入负面清单可知，本项目不在其负面清单之内</w:t>
                  </w:r>
                </w:p>
              </w:tc>
              <w:tc>
                <w:tcPr>
                  <w:tcW w:w="912" w:type="dxa"/>
                  <w:noWrap w:val="0"/>
                  <w:vAlign w:val="center"/>
                </w:tcPr>
                <w:p w14:paraId="219C2094">
                  <w:pPr>
                    <w:spacing w:line="360" w:lineRule="auto"/>
                    <w:jc w:val="center"/>
                    <w:rPr>
                      <w:rFonts w:hint="default" w:ascii="Times New Roman" w:hAnsi="Times New Roman" w:eastAsia="宋体" w:cs="Times New Roman"/>
                      <w:color w:val="auto"/>
                      <w:sz w:val="21"/>
                      <w:szCs w:val="21"/>
                      <w:highlight w:val="none"/>
                      <w:vertAlign w:val="baseline"/>
                      <w:lang w:eastAsia="zh-CN"/>
                    </w:rPr>
                  </w:pPr>
                  <w:r>
                    <w:rPr>
                      <w:rFonts w:hint="eastAsia" w:ascii="Times New Roman" w:hAnsi="Times New Roman" w:eastAsia="宋体" w:cs="Times New Roman"/>
                      <w:sz w:val="21"/>
                      <w:szCs w:val="21"/>
                      <w:highlight w:val="none"/>
                      <w:lang w:eastAsia="zh-CN"/>
                    </w:rPr>
                    <w:t>符合</w:t>
                  </w:r>
                </w:p>
              </w:tc>
            </w:tr>
          </w:tbl>
          <w:p w14:paraId="467174D2">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综上，本项目建设不会触及生态红线，不会降低区域环境质量，满足自然资源利用上线，因此本项目的建设符合“三线一单”的要求。</w:t>
            </w:r>
          </w:p>
          <w:p w14:paraId="7496C854">
            <w:pPr>
              <w:pStyle w:val="26"/>
              <w:spacing w:line="360" w:lineRule="auto"/>
              <w:ind w:firstLine="482" w:firstLineChars="200"/>
              <w:jc w:val="left"/>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5、</w:t>
            </w:r>
            <w:r>
              <w:rPr>
                <w:rFonts w:ascii="Times New Roman" w:hAnsi="Times New Roman" w:eastAsia="宋体" w:cs="Times New Roman"/>
                <w:sz w:val="24"/>
                <w:szCs w:val="24"/>
                <w:highlight w:val="none"/>
                <w:lang w:eastAsia="zh-CN"/>
              </w:rPr>
              <w:t>与《关于</w:t>
            </w:r>
            <w:r>
              <w:rPr>
                <w:rFonts w:hint="eastAsia" w:ascii="Times New Roman" w:hAnsi="Times New Roman" w:eastAsia="宋体" w:cs="Times New Roman"/>
                <w:sz w:val="24"/>
                <w:szCs w:val="24"/>
                <w:highlight w:val="none"/>
                <w:lang w:eastAsia="zh-CN"/>
              </w:rPr>
              <w:t>全面</w:t>
            </w:r>
            <w:r>
              <w:rPr>
                <w:rFonts w:ascii="Times New Roman" w:hAnsi="Times New Roman" w:eastAsia="宋体" w:cs="Times New Roman"/>
                <w:sz w:val="24"/>
                <w:szCs w:val="24"/>
                <w:highlight w:val="none"/>
                <w:lang w:eastAsia="zh-CN"/>
              </w:rPr>
              <w:t>打造水清岸绿产业优美丽长江（安徽）经济带的实施意见》（升级版）（皖发[2021]19号）相符性</w:t>
            </w:r>
          </w:p>
          <w:p w14:paraId="7D1F6C82">
            <w:pPr>
              <w:widowControl/>
              <w:spacing w:line="360" w:lineRule="auto"/>
              <w:ind w:firstLine="480" w:firstLineChars="200"/>
              <w:jc w:val="left"/>
              <w:rPr>
                <w:color w:val="000000"/>
                <w:kern w:val="0"/>
                <w:sz w:val="24"/>
                <w:szCs w:val="24"/>
                <w:highlight w:val="none"/>
                <w:lang w:bidi="ar"/>
              </w:rPr>
            </w:pPr>
            <w:r>
              <w:rPr>
                <w:color w:val="000000"/>
                <w:kern w:val="0"/>
                <w:sz w:val="24"/>
                <w:szCs w:val="24"/>
                <w:highlight w:val="none"/>
                <w:lang w:bidi="ar"/>
              </w:rPr>
              <w:t>2021年8月9日，中共安徽省委、省政府印发了《关于</w:t>
            </w:r>
            <w:r>
              <w:rPr>
                <w:rFonts w:hint="eastAsia"/>
                <w:color w:val="000000"/>
                <w:kern w:val="0"/>
                <w:sz w:val="24"/>
                <w:szCs w:val="24"/>
                <w:highlight w:val="none"/>
                <w:lang w:eastAsia="zh-CN" w:bidi="ar"/>
              </w:rPr>
              <w:t>全面</w:t>
            </w:r>
            <w:r>
              <w:rPr>
                <w:color w:val="000000"/>
                <w:kern w:val="0"/>
                <w:sz w:val="24"/>
                <w:szCs w:val="24"/>
                <w:highlight w:val="none"/>
                <w:lang w:bidi="ar"/>
              </w:rPr>
              <w:t>打造水清岸绿产业优美丽长江(安徽)经济带的实施意见》（升级版）</w:t>
            </w:r>
            <w:r>
              <w:rPr>
                <w:rFonts w:hint="eastAsia"/>
                <w:color w:val="000000"/>
                <w:kern w:val="0"/>
                <w:sz w:val="24"/>
                <w:szCs w:val="24"/>
                <w:highlight w:val="none"/>
                <w:lang w:bidi="ar"/>
              </w:rPr>
              <w:t>（</w:t>
            </w:r>
            <w:r>
              <w:rPr>
                <w:color w:val="000000"/>
                <w:kern w:val="0"/>
                <w:sz w:val="24"/>
                <w:szCs w:val="24"/>
                <w:highlight w:val="none"/>
                <w:lang w:bidi="ar"/>
              </w:rPr>
              <w:t>皖发[2021]19号</w:t>
            </w:r>
            <w:r>
              <w:rPr>
                <w:rFonts w:hint="eastAsia"/>
                <w:color w:val="000000"/>
                <w:kern w:val="0"/>
                <w:sz w:val="24"/>
                <w:szCs w:val="24"/>
                <w:highlight w:val="none"/>
                <w:lang w:bidi="ar"/>
              </w:rPr>
              <w:t>）</w:t>
            </w:r>
            <w:r>
              <w:rPr>
                <w:color w:val="000000"/>
                <w:kern w:val="0"/>
                <w:sz w:val="24"/>
                <w:szCs w:val="24"/>
                <w:highlight w:val="none"/>
                <w:lang w:bidi="ar"/>
              </w:rPr>
              <w:t>。</w:t>
            </w:r>
          </w:p>
          <w:p w14:paraId="256A772B">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4"/>
                <w:szCs w:val="24"/>
                <w:highlight w:val="none"/>
              </w:rPr>
              <w:t>表1-</w:t>
            </w:r>
            <w:r>
              <w:rPr>
                <w:rFonts w:hint="eastAsia" w:ascii="Times New Roman" w:hAnsi="Times New Roman" w:eastAsia="宋体" w:cs="Times New Roman"/>
                <w:b/>
                <w:color w:val="auto"/>
                <w:kern w:val="2"/>
                <w:sz w:val="24"/>
                <w:szCs w:val="24"/>
                <w:highlight w:val="none"/>
                <w:lang w:val="en-US" w:eastAsia="zh-CN"/>
              </w:rPr>
              <w:t>4</w:t>
            </w:r>
            <w:r>
              <w:rPr>
                <w:rFonts w:hint="default" w:ascii="Times New Roman" w:hAnsi="Times New Roman" w:eastAsia="宋体" w:cs="Times New Roman"/>
                <w:b/>
                <w:color w:val="auto"/>
                <w:kern w:val="2"/>
                <w:sz w:val="24"/>
                <w:szCs w:val="24"/>
                <w:highlight w:val="none"/>
              </w:rPr>
              <w:t xml:space="preserve">  与</w:t>
            </w:r>
            <w:r>
              <w:rPr>
                <w:rFonts w:hint="eastAsia" w:ascii="Times New Roman" w:hAnsi="Times New Roman" w:eastAsia="宋体" w:cs="Times New Roman"/>
                <w:b/>
                <w:color w:val="auto"/>
                <w:kern w:val="2"/>
                <w:sz w:val="24"/>
                <w:szCs w:val="24"/>
                <w:highlight w:val="none"/>
                <w:lang w:eastAsia="zh-CN"/>
              </w:rPr>
              <w:t>《</w:t>
            </w:r>
            <w:r>
              <w:rPr>
                <w:rFonts w:hint="default" w:ascii="Times New Roman" w:hAnsi="Times New Roman" w:eastAsia="宋体" w:cs="Times New Roman"/>
                <w:b/>
                <w:color w:val="auto"/>
                <w:kern w:val="2"/>
                <w:sz w:val="24"/>
                <w:szCs w:val="24"/>
                <w:highlight w:val="none"/>
              </w:rPr>
              <w:t>关于</w:t>
            </w:r>
            <w:r>
              <w:rPr>
                <w:rFonts w:hint="eastAsia" w:ascii="Times New Roman" w:hAnsi="Times New Roman" w:eastAsia="宋体" w:cs="Times New Roman"/>
                <w:b/>
                <w:color w:val="auto"/>
                <w:kern w:val="2"/>
                <w:sz w:val="24"/>
                <w:szCs w:val="24"/>
                <w:highlight w:val="none"/>
              </w:rPr>
              <w:t>全面</w:t>
            </w:r>
            <w:r>
              <w:rPr>
                <w:rFonts w:hint="default" w:ascii="Times New Roman" w:hAnsi="Times New Roman" w:eastAsia="宋体" w:cs="Times New Roman"/>
                <w:b/>
                <w:color w:val="auto"/>
                <w:kern w:val="2"/>
                <w:sz w:val="24"/>
                <w:szCs w:val="24"/>
                <w:highlight w:val="none"/>
              </w:rPr>
              <w:t>打造水清岸绿产业优美丽长江（安徽）经济带的实施意见》（升级版）相符性分析</w:t>
            </w:r>
          </w:p>
          <w:tbl>
            <w:tblPr>
              <w:tblStyle w:val="22"/>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
              <w:gridCol w:w="733"/>
              <w:gridCol w:w="3120"/>
              <w:gridCol w:w="2643"/>
              <w:gridCol w:w="649"/>
            </w:tblGrid>
            <w:tr w14:paraId="26AE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73" w:type="pct"/>
                  <w:noWrap w:val="0"/>
                  <w:vAlign w:val="center"/>
                </w:tcPr>
                <w:p w14:paraId="1CD7A037">
                  <w:pPr>
                    <w:pStyle w:val="28"/>
                    <w:keepNext w:val="0"/>
                    <w:keepLines w:val="0"/>
                    <w:pageBreakBefore w:val="0"/>
                    <w:widowControl w:val="0"/>
                    <w:kinsoku/>
                    <w:wordWrap/>
                    <w:overflowPunct/>
                    <w:topLinePunct w:val="0"/>
                    <w:autoSpaceDE/>
                    <w:autoSpaceDN/>
                    <w:bidi w:val="0"/>
                    <w:adjustRightInd/>
                    <w:snapToGrid w:val="0"/>
                    <w:textAlignment w:val="auto"/>
                    <w:rPr>
                      <w:b/>
                      <w:bCs w:val="0"/>
                      <w:sz w:val="21"/>
                      <w:szCs w:val="21"/>
                      <w:highlight w:val="none"/>
                    </w:rPr>
                  </w:pPr>
                  <w:r>
                    <w:rPr>
                      <w:b/>
                      <w:bCs w:val="0"/>
                      <w:sz w:val="21"/>
                      <w:szCs w:val="21"/>
                      <w:highlight w:val="none"/>
                    </w:rPr>
                    <w:t>序号</w:t>
                  </w:r>
                </w:p>
              </w:tc>
              <w:tc>
                <w:tcPr>
                  <w:tcW w:w="2548" w:type="pct"/>
                  <w:gridSpan w:val="2"/>
                  <w:noWrap w:val="0"/>
                  <w:vAlign w:val="center"/>
                </w:tcPr>
                <w:p w14:paraId="30AD3A7F">
                  <w:pPr>
                    <w:pStyle w:val="28"/>
                    <w:keepNext w:val="0"/>
                    <w:keepLines w:val="0"/>
                    <w:pageBreakBefore w:val="0"/>
                    <w:widowControl w:val="0"/>
                    <w:kinsoku/>
                    <w:wordWrap/>
                    <w:overflowPunct/>
                    <w:topLinePunct w:val="0"/>
                    <w:autoSpaceDE/>
                    <w:autoSpaceDN/>
                    <w:bidi w:val="0"/>
                    <w:adjustRightInd/>
                    <w:snapToGrid w:val="0"/>
                    <w:textAlignment w:val="auto"/>
                    <w:rPr>
                      <w:b/>
                      <w:bCs w:val="0"/>
                      <w:sz w:val="21"/>
                      <w:szCs w:val="21"/>
                      <w:highlight w:val="none"/>
                    </w:rPr>
                  </w:pPr>
                  <w:r>
                    <w:rPr>
                      <w:b/>
                      <w:bCs w:val="0"/>
                      <w:sz w:val="21"/>
                      <w:szCs w:val="21"/>
                      <w:highlight w:val="none"/>
                    </w:rPr>
                    <w:t>皖发[2021]19号文件要求</w:t>
                  </w:r>
                </w:p>
              </w:tc>
              <w:tc>
                <w:tcPr>
                  <w:tcW w:w="1748" w:type="pct"/>
                  <w:noWrap w:val="0"/>
                  <w:vAlign w:val="center"/>
                </w:tcPr>
                <w:p w14:paraId="130D2236">
                  <w:pPr>
                    <w:pStyle w:val="28"/>
                    <w:keepNext w:val="0"/>
                    <w:keepLines w:val="0"/>
                    <w:pageBreakBefore w:val="0"/>
                    <w:widowControl w:val="0"/>
                    <w:kinsoku/>
                    <w:wordWrap/>
                    <w:overflowPunct/>
                    <w:topLinePunct w:val="0"/>
                    <w:autoSpaceDE/>
                    <w:autoSpaceDN/>
                    <w:bidi w:val="0"/>
                    <w:adjustRightInd/>
                    <w:snapToGrid w:val="0"/>
                    <w:textAlignment w:val="auto"/>
                    <w:rPr>
                      <w:b/>
                      <w:bCs w:val="0"/>
                      <w:sz w:val="21"/>
                      <w:szCs w:val="21"/>
                      <w:highlight w:val="none"/>
                    </w:rPr>
                  </w:pPr>
                  <w:r>
                    <w:rPr>
                      <w:b/>
                      <w:bCs w:val="0"/>
                      <w:sz w:val="21"/>
                      <w:szCs w:val="21"/>
                      <w:highlight w:val="none"/>
                    </w:rPr>
                    <w:t>本项目情况</w:t>
                  </w:r>
                </w:p>
              </w:tc>
              <w:tc>
                <w:tcPr>
                  <w:tcW w:w="429" w:type="pct"/>
                  <w:noWrap w:val="0"/>
                  <w:vAlign w:val="center"/>
                </w:tcPr>
                <w:p w14:paraId="572EAA34">
                  <w:pPr>
                    <w:pStyle w:val="28"/>
                    <w:keepNext w:val="0"/>
                    <w:keepLines w:val="0"/>
                    <w:pageBreakBefore w:val="0"/>
                    <w:widowControl w:val="0"/>
                    <w:kinsoku/>
                    <w:wordWrap/>
                    <w:overflowPunct/>
                    <w:topLinePunct w:val="0"/>
                    <w:autoSpaceDE/>
                    <w:autoSpaceDN/>
                    <w:bidi w:val="0"/>
                    <w:adjustRightInd/>
                    <w:snapToGrid w:val="0"/>
                    <w:textAlignment w:val="auto"/>
                    <w:rPr>
                      <w:b/>
                      <w:bCs w:val="0"/>
                      <w:sz w:val="21"/>
                      <w:szCs w:val="21"/>
                      <w:highlight w:val="none"/>
                    </w:rPr>
                  </w:pPr>
                  <w:r>
                    <w:rPr>
                      <w:b/>
                      <w:bCs w:val="0"/>
                      <w:sz w:val="21"/>
                      <w:szCs w:val="21"/>
                      <w:highlight w:val="none"/>
                    </w:rPr>
                    <w:t>相符性</w:t>
                  </w:r>
                </w:p>
              </w:tc>
            </w:tr>
            <w:tr w14:paraId="169D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73" w:type="pct"/>
                  <w:vMerge w:val="restart"/>
                  <w:noWrap w:val="0"/>
                  <w:vAlign w:val="center"/>
                </w:tcPr>
                <w:p w14:paraId="1446983E">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1</w:t>
                  </w:r>
                </w:p>
              </w:tc>
              <w:tc>
                <w:tcPr>
                  <w:tcW w:w="484" w:type="pct"/>
                  <w:vMerge w:val="restart"/>
                  <w:noWrap w:val="0"/>
                  <w:vAlign w:val="center"/>
                </w:tcPr>
                <w:p w14:paraId="4B21AD73">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提升</w:t>
                  </w:r>
                  <w:r>
                    <w:rPr>
                      <w:sz w:val="21"/>
                      <w:szCs w:val="21"/>
                      <w:highlight w:val="none"/>
                      <w:lang w:val="zh-CN"/>
                    </w:rPr>
                    <w:t>“禁</w:t>
                  </w:r>
                  <w:r>
                    <w:rPr>
                      <w:sz w:val="21"/>
                      <w:szCs w:val="21"/>
                      <w:highlight w:val="none"/>
                    </w:rPr>
                    <w:t>新建”行动</w:t>
                  </w:r>
                </w:p>
              </w:tc>
              <w:tc>
                <w:tcPr>
                  <w:tcW w:w="2063" w:type="pct"/>
                  <w:noWrap w:val="0"/>
                  <w:vAlign w:val="center"/>
                </w:tcPr>
                <w:p w14:paraId="0BC77C63">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tc>
              <w:tc>
                <w:tcPr>
                  <w:tcW w:w="1748" w:type="pct"/>
                  <w:noWrap w:val="0"/>
                  <w:vAlign w:val="center"/>
                </w:tcPr>
                <w:p w14:paraId="3275E525">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本项目距离长江干线直线距离约</w:t>
                  </w:r>
                  <w:r>
                    <w:rPr>
                      <w:rFonts w:hint="eastAsia"/>
                      <w:sz w:val="21"/>
                      <w:szCs w:val="21"/>
                      <w:highlight w:val="none"/>
                      <w:lang w:val="en-US" w:eastAsia="zh-CN"/>
                    </w:rPr>
                    <w:t>1.01</w:t>
                  </w:r>
                  <w:r>
                    <w:rPr>
                      <w:sz w:val="21"/>
                      <w:szCs w:val="21"/>
                      <w:highlight w:val="none"/>
                    </w:rPr>
                    <w:t>km，距离长江</w:t>
                  </w:r>
                  <w:r>
                    <w:rPr>
                      <w:rFonts w:hint="eastAsia"/>
                      <w:sz w:val="21"/>
                      <w:szCs w:val="21"/>
                      <w:highlight w:val="none"/>
                      <w:lang w:val="en-US" w:eastAsia="zh-CN"/>
                    </w:rPr>
                    <w:t>支流九华河</w:t>
                  </w:r>
                  <w:r>
                    <w:rPr>
                      <w:sz w:val="21"/>
                      <w:szCs w:val="21"/>
                      <w:highlight w:val="none"/>
                    </w:rPr>
                    <w:t>距离约</w:t>
                  </w:r>
                  <w:r>
                    <w:rPr>
                      <w:rFonts w:hint="eastAsia"/>
                      <w:sz w:val="21"/>
                      <w:szCs w:val="21"/>
                      <w:highlight w:val="none"/>
                      <w:lang w:val="en-US" w:eastAsia="zh-CN"/>
                    </w:rPr>
                    <w:t>380</w:t>
                  </w:r>
                  <w:r>
                    <w:rPr>
                      <w:sz w:val="21"/>
                      <w:szCs w:val="21"/>
                      <w:highlight w:val="none"/>
                    </w:rPr>
                    <w:t>m</w:t>
                  </w:r>
                  <w:r>
                    <w:rPr>
                      <w:rFonts w:hint="eastAsia"/>
                      <w:sz w:val="21"/>
                      <w:szCs w:val="21"/>
                      <w:highlight w:val="none"/>
                      <w:lang w:eastAsia="zh-CN"/>
                    </w:rPr>
                    <w:t>，</w:t>
                  </w:r>
                  <w:r>
                    <w:rPr>
                      <w:rFonts w:hint="eastAsia"/>
                      <w:sz w:val="21"/>
                      <w:szCs w:val="21"/>
                      <w:highlight w:val="none"/>
                      <w:lang w:val="en-US" w:eastAsia="zh-CN"/>
                    </w:rPr>
                    <w:t>项目属于</w:t>
                  </w:r>
                  <w:r>
                    <w:rPr>
                      <w:rFonts w:hint="eastAsia" w:ascii="Times New Roman" w:hAnsi="Times New Roman" w:cs="Times New Roman"/>
                      <w:color w:val="auto"/>
                      <w:sz w:val="21"/>
                      <w:szCs w:val="21"/>
                      <w:highlight w:val="none"/>
                      <w:lang w:val="en-US" w:eastAsia="zh-CN"/>
                    </w:rPr>
                    <w:t>C3974显示器件制造，不属于化工项目，</w:t>
                  </w:r>
                  <w:r>
                    <w:rPr>
                      <w:sz w:val="21"/>
                      <w:szCs w:val="21"/>
                      <w:highlight w:val="none"/>
                    </w:rPr>
                    <w:t>不在文件中规定的“严禁”范围之内</w:t>
                  </w:r>
                </w:p>
              </w:tc>
              <w:tc>
                <w:tcPr>
                  <w:tcW w:w="429" w:type="pct"/>
                  <w:noWrap w:val="0"/>
                  <w:vAlign w:val="center"/>
                </w:tcPr>
                <w:p w14:paraId="5298CA0C">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符合</w:t>
                  </w:r>
                </w:p>
              </w:tc>
            </w:tr>
            <w:tr w14:paraId="2EE3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73" w:type="pct"/>
                  <w:vMerge w:val="continue"/>
                  <w:noWrap w:val="0"/>
                  <w:vAlign w:val="center"/>
                </w:tcPr>
                <w:p w14:paraId="66DB8D10">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p>
              </w:tc>
              <w:tc>
                <w:tcPr>
                  <w:tcW w:w="484" w:type="pct"/>
                  <w:vMerge w:val="continue"/>
                  <w:noWrap w:val="0"/>
                  <w:vAlign w:val="center"/>
                </w:tcPr>
                <w:p w14:paraId="6E455BD6">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p>
              </w:tc>
              <w:tc>
                <w:tcPr>
                  <w:tcW w:w="2063" w:type="pct"/>
                  <w:noWrap w:val="0"/>
                  <w:vAlign w:val="center"/>
                </w:tcPr>
                <w:p w14:paraId="2630E32D">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748" w:type="pct"/>
                  <w:noWrap w:val="0"/>
                  <w:vAlign w:val="center"/>
                </w:tcPr>
                <w:p w14:paraId="4B563AB2">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本项目距离长江干线直线距离约</w:t>
                  </w:r>
                  <w:r>
                    <w:rPr>
                      <w:rFonts w:hint="eastAsia"/>
                      <w:sz w:val="21"/>
                      <w:szCs w:val="21"/>
                      <w:highlight w:val="none"/>
                      <w:lang w:val="en-US" w:eastAsia="zh-CN"/>
                    </w:rPr>
                    <w:t>1.01</w:t>
                  </w:r>
                  <w:r>
                    <w:rPr>
                      <w:sz w:val="21"/>
                      <w:szCs w:val="21"/>
                      <w:highlight w:val="none"/>
                    </w:rPr>
                    <w:t>km，本项目为</w:t>
                  </w:r>
                  <w:r>
                    <w:rPr>
                      <w:rFonts w:hint="eastAsia" w:ascii="Times New Roman" w:hAnsi="Times New Roman" w:cs="Times New Roman"/>
                      <w:color w:val="auto"/>
                      <w:sz w:val="21"/>
                      <w:szCs w:val="21"/>
                      <w:highlight w:val="none"/>
                      <w:lang w:val="en-US" w:eastAsia="zh-CN"/>
                    </w:rPr>
                    <w:t>显示器件制造</w:t>
                  </w:r>
                  <w:r>
                    <w:rPr>
                      <w:sz w:val="21"/>
                      <w:szCs w:val="21"/>
                      <w:highlight w:val="none"/>
                    </w:rPr>
                    <w:t>。不属于新建石油化工和煤化工等重化工、重污染项目</w:t>
                  </w:r>
                </w:p>
              </w:tc>
              <w:tc>
                <w:tcPr>
                  <w:tcW w:w="429" w:type="pct"/>
                  <w:noWrap w:val="0"/>
                  <w:vAlign w:val="center"/>
                </w:tcPr>
                <w:p w14:paraId="088EBE47">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符合</w:t>
                  </w:r>
                </w:p>
              </w:tc>
            </w:tr>
            <w:tr w14:paraId="4B4A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73" w:type="pct"/>
                  <w:vMerge w:val="continue"/>
                  <w:noWrap w:val="0"/>
                  <w:vAlign w:val="center"/>
                </w:tcPr>
                <w:p w14:paraId="1B810230">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p>
              </w:tc>
              <w:tc>
                <w:tcPr>
                  <w:tcW w:w="484" w:type="pct"/>
                  <w:vMerge w:val="continue"/>
                  <w:noWrap w:val="0"/>
                  <w:vAlign w:val="center"/>
                </w:tcPr>
                <w:p w14:paraId="6D72842E">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p>
              </w:tc>
              <w:tc>
                <w:tcPr>
                  <w:tcW w:w="2063" w:type="pct"/>
                  <w:noWrap w:val="0"/>
                  <w:vAlign w:val="center"/>
                </w:tcPr>
                <w:p w14:paraId="57EB9809">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48" w:type="pct"/>
                  <w:noWrap w:val="0"/>
                  <w:vAlign w:val="center"/>
                </w:tcPr>
                <w:p w14:paraId="256D5D28">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企业按照要求实施备案、环评、安评、能评等并联审批，落实生态环保、安全生产、能源节约要求。并按照环保要求进行总量申请</w:t>
                  </w:r>
                </w:p>
              </w:tc>
              <w:tc>
                <w:tcPr>
                  <w:tcW w:w="429" w:type="pct"/>
                  <w:noWrap w:val="0"/>
                  <w:vAlign w:val="center"/>
                </w:tcPr>
                <w:p w14:paraId="16189FEF">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符合</w:t>
                  </w:r>
                </w:p>
              </w:tc>
            </w:tr>
            <w:tr w14:paraId="3802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73" w:type="pct"/>
                  <w:noWrap w:val="0"/>
                  <w:vAlign w:val="center"/>
                </w:tcPr>
                <w:p w14:paraId="563E4092">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2</w:t>
                  </w:r>
                </w:p>
              </w:tc>
              <w:tc>
                <w:tcPr>
                  <w:tcW w:w="484" w:type="pct"/>
                  <w:noWrap w:val="0"/>
                  <w:vAlign w:val="center"/>
                </w:tcPr>
                <w:p w14:paraId="3B87BE9B">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提升“减存量”行动</w:t>
                  </w:r>
                </w:p>
              </w:tc>
              <w:tc>
                <w:tcPr>
                  <w:tcW w:w="2063" w:type="pct"/>
                  <w:noWrap w:val="0"/>
                  <w:vAlign w:val="center"/>
                </w:tcPr>
                <w:p w14:paraId="69C606A5">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深入开展大气污染防治。强化控煤、控气、控车、控尘、控烧措施，实行“</w:t>
                  </w:r>
                  <w:r>
                    <w:rPr>
                      <w:sz w:val="21"/>
                      <w:szCs w:val="21"/>
                      <w:highlight w:val="none"/>
                      <w:lang w:val="zh-CN"/>
                    </w:rPr>
                    <w:t>一季一策”“一</w:t>
                  </w:r>
                  <w:r>
                    <w:rPr>
                      <w:sz w:val="21"/>
                      <w:szCs w:val="21"/>
                      <w:highlight w:val="none"/>
                    </w:rPr>
                    <w:t>城一策</w:t>
                  </w:r>
                  <w:r>
                    <w:rPr>
                      <w:sz w:val="21"/>
                      <w:szCs w:val="21"/>
                      <w:highlight w:val="none"/>
                      <w:lang w:val="zh-CN"/>
                    </w:rPr>
                    <w:t>”</w:t>
                  </w:r>
                  <w:r>
                    <w:rPr>
                      <w:sz w:val="21"/>
                      <w:szCs w:val="21"/>
                      <w:highlight w:val="none"/>
                    </w:rPr>
                    <w:t>，推动大气主要污染物排放总量持续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748" w:type="pct"/>
                  <w:noWrap w:val="0"/>
                  <w:vAlign w:val="center"/>
                </w:tcPr>
                <w:p w14:paraId="65D12667">
                  <w:pPr>
                    <w:pStyle w:val="28"/>
                    <w:keepNext w:val="0"/>
                    <w:keepLines w:val="0"/>
                    <w:pageBreakBefore w:val="0"/>
                    <w:widowControl w:val="0"/>
                    <w:kinsoku/>
                    <w:wordWrap/>
                    <w:overflowPunct/>
                    <w:topLinePunct w:val="0"/>
                    <w:autoSpaceDE/>
                    <w:autoSpaceDN/>
                    <w:bidi w:val="0"/>
                    <w:adjustRightInd/>
                    <w:snapToGrid w:val="0"/>
                    <w:textAlignment w:val="auto"/>
                    <w:rPr>
                      <w:rFonts w:hint="eastAsia" w:eastAsia="宋体"/>
                      <w:sz w:val="21"/>
                      <w:szCs w:val="21"/>
                      <w:highlight w:val="none"/>
                      <w:lang w:eastAsia="zh-CN"/>
                    </w:rPr>
                  </w:pPr>
                  <w:r>
                    <w:rPr>
                      <w:sz w:val="21"/>
                      <w:szCs w:val="21"/>
                      <w:highlight w:val="none"/>
                    </w:rPr>
                    <w:t>本项目位于</w:t>
                  </w:r>
                  <w:r>
                    <w:rPr>
                      <w:rFonts w:hint="eastAsia"/>
                      <w:sz w:val="21"/>
                      <w:szCs w:val="21"/>
                      <w:highlight w:val="none"/>
                      <w:lang w:eastAsia="zh-CN"/>
                    </w:rPr>
                    <w:t>皖江江南新兴产业集中区</w:t>
                  </w:r>
                  <w:r>
                    <w:rPr>
                      <w:sz w:val="21"/>
                      <w:szCs w:val="21"/>
                      <w:highlight w:val="none"/>
                    </w:rPr>
                    <w:t>，不属于“散乱污”企业；项目</w:t>
                  </w:r>
                  <w:r>
                    <w:rPr>
                      <w:rFonts w:hint="eastAsia"/>
                      <w:sz w:val="21"/>
                      <w:szCs w:val="21"/>
                      <w:highlight w:val="none"/>
                      <w:lang w:eastAsia="zh-CN"/>
                    </w:rPr>
                    <w:t>废气经收集处理后，对</w:t>
                  </w:r>
                  <w:r>
                    <w:rPr>
                      <w:rFonts w:hint="default" w:ascii="Times New Roman" w:hAnsi="Times New Roman" w:cs="Times New Roman"/>
                      <w:color w:val="auto"/>
                      <w:sz w:val="21"/>
                      <w:szCs w:val="21"/>
                      <w:highlight w:val="none"/>
                    </w:rPr>
                    <w:t>周围环境的影响在可接受范围内，不会改变当地的环境功能</w:t>
                  </w:r>
                </w:p>
              </w:tc>
              <w:tc>
                <w:tcPr>
                  <w:tcW w:w="429" w:type="pct"/>
                  <w:noWrap w:val="0"/>
                  <w:vAlign w:val="center"/>
                </w:tcPr>
                <w:p w14:paraId="2F49515B">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符合</w:t>
                  </w:r>
                </w:p>
              </w:tc>
            </w:tr>
            <w:tr w14:paraId="0C73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73" w:type="pct"/>
                  <w:noWrap w:val="0"/>
                  <w:vAlign w:val="center"/>
                </w:tcPr>
                <w:p w14:paraId="336D5C85">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3</w:t>
                  </w:r>
                </w:p>
              </w:tc>
              <w:tc>
                <w:tcPr>
                  <w:tcW w:w="484" w:type="pct"/>
                  <w:noWrap w:val="0"/>
                  <w:vAlign w:val="center"/>
                </w:tcPr>
                <w:p w14:paraId="7B6F74D7">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提升“关污源”行动</w:t>
                  </w:r>
                </w:p>
              </w:tc>
              <w:tc>
                <w:tcPr>
                  <w:tcW w:w="2063" w:type="pct"/>
                  <w:noWrap w:val="0"/>
                  <w:vAlign w:val="center"/>
                </w:tcPr>
                <w:p w14:paraId="18DE08C1">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管住船舶港口污染；管住入河排污口；管住城镇污水垃圾；管住农村面源污染；管住固体废物污染。</w:t>
                  </w:r>
                </w:p>
              </w:tc>
              <w:tc>
                <w:tcPr>
                  <w:tcW w:w="1748" w:type="pct"/>
                  <w:noWrap w:val="0"/>
                  <w:vAlign w:val="center"/>
                </w:tcPr>
                <w:p w14:paraId="69383FB4">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固体废物均资源化和无害</w:t>
                  </w:r>
                  <w:r>
                    <w:rPr>
                      <w:rFonts w:hint="eastAsia"/>
                      <w:sz w:val="21"/>
                      <w:szCs w:val="21"/>
                      <w:highlight w:val="none"/>
                      <w:lang w:val="en-US" w:eastAsia="zh-CN"/>
                    </w:rPr>
                    <w:t>化</w:t>
                  </w:r>
                  <w:r>
                    <w:rPr>
                      <w:sz w:val="21"/>
                      <w:szCs w:val="21"/>
                      <w:highlight w:val="none"/>
                    </w:rPr>
                    <w:t>处理(危险废物拟委托有相应危废处理资质的单位进行处理)</w:t>
                  </w:r>
                </w:p>
              </w:tc>
              <w:tc>
                <w:tcPr>
                  <w:tcW w:w="429" w:type="pct"/>
                  <w:noWrap w:val="0"/>
                  <w:vAlign w:val="center"/>
                </w:tcPr>
                <w:p w14:paraId="6AEC5CD1">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符合</w:t>
                  </w:r>
                </w:p>
              </w:tc>
            </w:tr>
            <w:tr w14:paraId="501E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73" w:type="pct"/>
                  <w:noWrap w:val="0"/>
                  <w:vAlign w:val="center"/>
                </w:tcPr>
                <w:p w14:paraId="070FF2B8">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4</w:t>
                  </w:r>
                </w:p>
              </w:tc>
              <w:tc>
                <w:tcPr>
                  <w:tcW w:w="484" w:type="pct"/>
                  <w:noWrap w:val="0"/>
                  <w:vAlign w:val="center"/>
                </w:tcPr>
                <w:p w14:paraId="2693C2B9">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提升“进园区”行动</w:t>
                  </w:r>
                </w:p>
              </w:tc>
              <w:tc>
                <w:tcPr>
                  <w:tcW w:w="2063" w:type="pct"/>
                  <w:noWrap w:val="0"/>
                  <w:vAlign w:val="center"/>
                </w:tcPr>
                <w:p w14:paraId="1A32CDB2">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长江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748" w:type="pct"/>
                  <w:noWrap w:val="0"/>
                  <w:vAlign w:val="center"/>
                </w:tcPr>
                <w:p w14:paraId="76C056D6">
                  <w:pPr>
                    <w:pStyle w:val="28"/>
                    <w:keepNext w:val="0"/>
                    <w:keepLines w:val="0"/>
                    <w:pageBreakBefore w:val="0"/>
                    <w:widowControl w:val="0"/>
                    <w:kinsoku/>
                    <w:wordWrap/>
                    <w:overflowPunct/>
                    <w:topLinePunct w:val="0"/>
                    <w:autoSpaceDE/>
                    <w:autoSpaceDN/>
                    <w:bidi w:val="0"/>
                    <w:adjustRightInd/>
                    <w:snapToGrid w:val="0"/>
                    <w:textAlignment w:val="auto"/>
                    <w:rPr>
                      <w:rFonts w:hint="default" w:eastAsia="宋体"/>
                      <w:sz w:val="21"/>
                      <w:szCs w:val="21"/>
                      <w:highlight w:val="none"/>
                      <w:lang w:val="en-US" w:eastAsia="zh-CN"/>
                    </w:rPr>
                  </w:pPr>
                  <w:r>
                    <w:rPr>
                      <w:sz w:val="21"/>
                      <w:szCs w:val="21"/>
                      <w:highlight w:val="none"/>
                    </w:rPr>
                    <w:t>本项目距离长江干线直线距离约</w:t>
                  </w:r>
                  <w:r>
                    <w:rPr>
                      <w:rFonts w:hint="eastAsia"/>
                      <w:sz w:val="21"/>
                      <w:szCs w:val="21"/>
                      <w:highlight w:val="none"/>
                      <w:lang w:val="en-US" w:eastAsia="zh-CN"/>
                    </w:rPr>
                    <w:t>1.01</w:t>
                  </w:r>
                  <w:r>
                    <w:rPr>
                      <w:sz w:val="21"/>
                      <w:szCs w:val="21"/>
                      <w:highlight w:val="none"/>
                    </w:rPr>
                    <w:t>km，位于《意见》中“三道防线”在</w:t>
                  </w:r>
                  <w:r>
                    <w:rPr>
                      <w:rFonts w:hint="eastAsia"/>
                      <w:sz w:val="21"/>
                      <w:szCs w:val="21"/>
                      <w:highlight w:val="none"/>
                      <w:lang w:val="en-US" w:eastAsia="zh-CN"/>
                    </w:rPr>
                    <w:t>5</w:t>
                  </w:r>
                  <w:r>
                    <w:rPr>
                      <w:sz w:val="21"/>
                      <w:szCs w:val="21"/>
                      <w:highlight w:val="none"/>
                    </w:rPr>
                    <w:t>公里范围之内。本项目</w:t>
                  </w:r>
                  <w:r>
                    <w:rPr>
                      <w:rFonts w:hint="eastAsia"/>
                      <w:sz w:val="21"/>
                      <w:szCs w:val="21"/>
                      <w:highlight w:val="none"/>
                      <w:lang w:val="en-US" w:eastAsia="zh-CN"/>
                    </w:rPr>
                    <w:t>项目属于</w:t>
                  </w:r>
                  <w:r>
                    <w:rPr>
                      <w:rFonts w:hint="eastAsia" w:ascii="Times New Roman" w:hAnsi="Times New Roman" w:cs="Times New Roman"/>
                      <w:color w:val="auto"/>
                      <w:sz w:val="21"/>
                      <w:szCs w:val="21"/>
                      <w:highlight w:val="none"/>
                      <w:lang w:val="en-US" w:eastAsia="zh-CN"/>
                    </w:rPr>
                    <w:t>C3974显示器件制造，</w:t>
                  </w:r>
                  <w:r>
                    <w:rPr>
                      <w:sz w:val="21"/>
                      <w:szCs w:val="21"/>
                      <w:highlight w:val="none"/>
                    </w:rPr>
                    <w:t>不属于化工等重污染企业，且该项目位于</w:t>
                  </w:r>
                  <w:r>
                    <w:rPr>
                      <w:rFonts w:hint="eastAsia"/>
                      <w:sz w:val="21"/>
                      <w:szCs w:val="21"/>
                      <w:highlight w:val="none"/>
                      <w:lang w:eastAsia="zh-CN"/>
                    </w:rPr>
                    <w:t>皖江江南新兴产业集中区，皖江江南新兴产业集中区</w:t>
                  </w:r>
                  <w:r>
                    <w:rPr>
                      <w:rFonts w:hint="eastAsia"/>
                      <w:sz w:val="21"/>
                      <w:szCs w:val="21"/>
                      <w:highlight w:val="none"/>
                      <w:lang w:val="en-US" w:eastAsia="zh-CN"/>
                    </w:rPr>
                    <w:t>由</w:t>
                  </w:r>
                  <w:r>
                    <w:rPr>
                      <w:rFonts w:hint="eastAsia"/>
                      <w:sz w:val="21"/>
                      <w:szCs w:val="21"/>
                      <w:highlight w:val="none"/>
                      <w:lang w:eastAsia="zh-CN"/>
                    </w:rPr>
                    <w:t>国务院批准设</w:t>
                  </w:r>
                  <w:r>
                    <w:rPr>
                      <w:rFonts w:hint="eastAsia"/>
                      <w:sz w:val="21"/>
                      <w:szCs w:val="21"/>
                      <w:highlight w:val="none"/>
                      <w:lang w:val="en-US" w:eastAsia="zh-CN"/>
                    </w:rPr>
                    <w:t>立</w:t>
                  </w:r>
                </w:p>
              </w:tc>
              <w:tc>
                <w:tcPr>
                  <w:tcW w:w="429" w:type="pct"/>
                  <w:noWrap w:val="0"/>
                  <w:vAlign w:val="center"/>
                </w:tcPr>
                <w:p w14:paraId="153835B4">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符合</w:t>
                  </w:r>
                </w:p>
              </w:tc>
            </w:tr>
            <w:tr w14:paraId="1AA3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73" w:type="pct"/>
                  <w:noWrap w:val="0"/>
                  <w:vAlign w:val="center"/>
                </w:tcPr>
                <w:p w14:paraId="23D1B100">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5</w:t>
                  </w:r>
                </w:p>
              </w:tc>
              <w:tc>
                <w:tcPr>
                  <w:tcW w:w="484" w:type="pct"/>
                  <w:noWrap w:val="0"/>
                  <w:vAlign w:val="center"/>
                </w:tcPr>
                <w:p w14:paraId="6433E861">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提升“新建绿”行动</w:t>
                  </w:r>
                </w:p>
              </w:tc>
              <w:tc>
                <w:tcPr>
                  <w:tcW w:w="2063" w:type="pct"/>
                  <w:noWrap w:val="0"/>
                  <w:vAlign w:val="center"/>
                </w:tcPr>
                <w:p w14:paraId="05A705F8">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大力推行生态复绿补绿增绿；深入推进长江岸线保护修复；强化重点河湖湿地保护修复。</w:t>
                  </w:r>
                </w:p>
              </w:tc>
              <w:tc>
                <w:tcPr>
                  <w:tcW w:w="1748" w:type="pct"/>
                  <w:noWrap w:val="0"/>
                  <w:vAlign w:val="center"/>
                </w:tcPr>
                <w:p w14:paraId="1A304534">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本项目位于</w:t>
                  </w:r>
                  <w:r>
                    <w:rPr>
                      <w:rFonts w:hint="eastAsia"/>
                      <w:sz w:val="21"/>
                      <w:szCs w:val="21"/>
                      <w:highlight w:val="none"/>
                      <w:lang w:eastAsia="zh-CN"/>
                    </w:rPr>
                    <w:t>皖江江南新兴产业集中区</w:t>
                  </w:r>
                  <w:r>
                    <w:rPr>
                      <w:sz w:val="21"/>
                      <w:szCs w:val="21"/>
                      <w:highlight w:val="none"/>
                    </w:rPr>
                    <w:t>，在生态红线范围之外</w:t>
                  </w:r>
                </w:p>
              </w:tc>
              <w:tc>
                <w:tcPr>
                  <w:tcW w:w="429" w:type="pct"/>
                  <w:noWrap w:val="0"/>
                  <w:vAlign w:val="center"/>
                </w:tcPr>
                <w:p w14:paraId="03308746">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符合</w:t>
                  </w:r>
                </w:p>
              </w:tc>
            </w:tr>
            <w:tr w14:paraId="4AC9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73" w:type="pct"/>
                  <w:noWrap w:val="0"/>
                  <w:vAlign w:val="center"/>
                </w:tcPr>
                <w:p w14:paraId="5A691C5F">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6</w:t>
                  </w:r>
                </w:p>
              </w:tc>
              <w:tc>
                <w:tcPr>
                  <w:tcW w:w="484" w:type="pct"/>
                  <w:noWrap w:val="0"/>
                  <w:vAlign w:val="center"/>
                </w:tcPr>
                <w:p w14:paraId="0B523E06">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提升“纳统管”行动</w:t>
                  </w:r>
                </w:p>
              </w:tc>
              <w:tc>
                <w:tcPr>
                  <w:tcW w:w="2063" w:type="pct"/>
                  <w:noWrap w:val="0"/>
                  <w:vAlign w:val="center"/>
                </w:tcPr>
                <w:p w14:paraId="0711BD0C">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园区工业污水和生活污水全部纳入统一污水管网，实行统一处理、不留死角。企业工业废水在排入园区污水处理厂之前，必须经过预处理且达到园区污水处理厂纳管标准。园区污水集中处理设施和管网全部建成运行。鼓励有条件的园区实施化工企业</w:t>
                  </w:r>
                  <w:r>
                    <w:rPr>
                      <w:sz w:val="21"/>
                      <w:szCs w:val="21"/>
                      <w:highlight w:val="none"/>
                      <w:lang w:val="zh-CN"/>
                    </w:rPr>
                    <w:t>“一</w:t>
                  </w:r>
                  <w:r>
                    <w:rPr>
                      <w:sz w:val="21"/>
                      <w:szCs w:val="21"/>
                      <w:highlight w:val="none"/>
                    </w:rPr>
                    <w:t>企一管、明管输送、实时监测”，确保化工污水全收集、全处理。</w:t>
                  </w:r>
                </w:p>
              </w:tc>
              <w:tc>
                <w:tcPr>
                  <w:tcW w:w="1748" w:type="pct"/>
                  <w:noWrap w:val="0"/>
                  <w:vAlign w:val="center"/>
                </w:tcPr>
                <w:p w14:paraId="7AA8C733">
                  <w:pPr>
                    <w:pStyle w:val="28"/>
                    <w:keepNext w:val="0"/>
                    <w:keepLines w:val="0"/>
                    <w:pageBreakBefore w:val="0"/>
                    <w:widowControl w:val="0"/>
                    <w:kinsoku/>
                    <w:wordWrap/>
                    <w:overflowPunct/>
                    <w:topLinePunct w:val="0"/>
                    <w:autoSpaceDE/>
                    <w:autoSpaceDN/>
                    <w:bidi w:val="0"/>
                    <w:adjustRightInd/>
                    <w:snapToGrid w:val="0"/>
                    <w:jc w:val="center"/>
                    <w:textAlignment w:val="auto"/>
                    <w:rPr>
                      <w:sz w:val="21"/>
                      <w:szCs w:val="21"/>
                      <w:highlight w:val="none"/>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w:t>
                  </w:r>
                  <w:r>
                    <w:rPr>
                      <w:rFonts w:hint="eastAsia" w:cs="Times New Roman"/>
                      <w:color w:val="auto"/>
                      <w:sz w:val="21"/>
                      <w:szCs w:val="21"/>
                      <w:highlight w:val="none"/>
                      <w:lang w:val="en-US" w:eastAsia="zh-CN"/>
                    </w:rPr>
                    <w:t>科技孵化园</w:t>
                  </w:r>
                  <w:r>
                    <w:rPr>
                      <w:rFonts w:hint="eastAsia" w:ascii="Times New Roman" w:hAnsi="Times New Roman" w:cs="Times New Roman"/>
                      <w:color w:val="auto"/>
                      <w:sz w:val="21"/>
                      <w:szCs w:val="21"/>
                      <w:highlight w:val="none"/>
                      <w:lang w:eastAsia="zh-CN"/>
                    </w:rPr>
                    <w:t>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429" w:type="pct"/>
                  <w:noWrap w:val="0"/>
                  <w:vAlign w:val="center"/>
                </w:tcPr>
                <w:p w14:paraId="7D3E7550">
                  <w:pPr>
                    <w:pStyle w:val="28"/>
                    <w:keepNext w:val="0"/>
                    <w:keepLines w:val="0"/>
                    <w:pageBreakBefore w:val="0"/>
                    <w:widowControl w:val="0"/>
                    <w:kinsoku/>
                    <w:wordWrap/>
                    <w:overflowPunct/>
                    <w:topLinePunct w:val="0"/>
                    <w:autoSpaceDE/>
                    <w:autoSpaceDN/>
                    <w:bidi w:val="0"/>
                    <w:adjustRightInd/>
                    <w:snapToGrid w:val="0"/>
                    <w:textAlignment w:val="auto"/>
                    <w:rPr>
                      <w:sz w:val="21"/>
                      <w:szCs w:val="21"/>
                      <w:highlight w:val="none"/>
                    </w:rPr>
                  </w:pPr>
                  <w:r>
                    <w:rPr>
                      <w:sz w:val="21"/>
                      <w:szCs w:val="21"/>
                      <w:highlight w:val="none"/>
                    </w:rPr>
                    <w:t>符合</w:t>
                  </w:r>
                </w:p>
              </w:tc>
            </w:tr>
          </w:tbl>
          <w:p w14:paraId="0AE25A83">
            <w:pPr>
              <w:widowControl/>
              <w:spacing w:line="360" w:lineRule="auto"/>
              <w:ind w:firstLine="480" w:firstLineChars="200"/>
              <w:jc w:val="left"/>
              <w:rPr>
                <w:rFonts w:ascii="Times New Roman" w:hAnsi="Times New Roman" w:eastAsia="宋体" w:cs="Times New Roman"/>
                <w:color w:val="000000"/>
                <w:kern w:val="0"/>
                <w:sz w:val="24"/>
                <w:szCs w:val="24"/>
                <w:highlight w:val="none"/>
                <w:lang w:eastAsia="zh-CN" w:bidi="ar"/>
              </w:rPr>
            </w:pPr>
            <w:r>
              <w:rPr>
                <w:rFonts w:ascii="Times New Roman" w:hAnsi="Times New Roman" w:eastAsia="宋体" w:cs="Times New Roman"/>
                <w:color w:val="000000"/>
                <w:kern w:val="0"/>
                <w:sz w:val="24"/>
                <w:szCs w:val="24"/>
                <w:highlight w:val="none"/>
                <w:lang w:eastAsia="zh-CN" w:bidi="ar"/>
              </w:rPr>
              <w:t>综上分析，本项目建设符合《关于</w:t>
            </w:r>
            <w:r>
              <w:rPr>
                <w:rFonts w:hint="eastAsia" w:ascii="Times New Roman" w:hAnsi="Times New Roman" w:eastAsia="宋体" w:cs="Times New Roman"/>
                <w:color w:val="000000"/>
                <w:kern w:val="0"/>
                <w:sz w:val="24"/>
                <w:szCs w:val="24"/>
                <w:highlight w:val="none"/>
                <w:lang w:eastAsia="zh-CN" w:bidi="ar"/>
              </w:rPr>
              <w:t>全面</w:t>
            </w:r>
            <w:r>
              <w:rPr>
                <w:rFonts w:ascii="Times New Roman" w:hAnsi="Times New Roman" w:eastAsia="宋体" w:cs="Times New Roman"/>
                <w:color w:val="000000"/>
                <w:kern w:val="0"/>
                <w:sz w:val="24"/>
                <w:szCs w:val="24"/>
                <w:highlight w:val="none"/>
                <w:lang w:eastAsia="zh-CN" w:bidi="ar"/>
              </w:rPr>
              <w:t>打造水清岸绿产业优美丽长江(安徽)经济带的实施意见》（升级版）要求。</w:t>
            </w:r>
          </w:p>
          <w:p w14:paraId="43403678">
            <w:pPr>
              <w:spacing w:line="360" w:lineRule="auto"/>
              <w:ind w:left="420"/>
              <w:rPr>
                <w:b/>
                <w:bCs/>
                <w:color w:val="000000"/>
                <w:sz w:val="24"/>
                <w:szCs w:val="24"/>
                <w:highlight w:val="none"/>
                <w:shd w:val="clear" w:color="auto" w:fill="FFFFFF"/>
              </w:rPr>
            </w:pPr>
            <w:r>
              <w:rPr>
                <w:rFonts w:hint="eastAsia"/>
                <w:b/>
                <w:bCs/>
                <w:color w:val="000000"/>
                <w:sz w:val="24"/>
                <w:szCs w:val="24"/>
                <w:highlight w:val="none"/>
                <w:shd w:val="clear" w:color="auto" w:fill="FFFFFF"/>
                <w:lang w:val="en-US" w:eastAsia="zh-CN"/>
              </w:rPr>
              <w:t>6</w:t>
            </w:r>
            <w:r>
              <w:rPr>
                <w:rFonts w:hint="eastAsia"/>
                <w:b/>
                <w:bCs/>
                <w:color w:val="000000"/>
                <w:sz w:val="24"/>
                <w:szCs w:val="24"/>
                <w:highlight w:val="none"/>
                <w:shd w:val="clear" w:color="auto" w:fill="FFFFFF"/>
                <w:lang w:eastAsia="zh-CN"/>
              </w:rPr>
              <w:t>、</w:t>
            </w:r>
            <w:r>
              <w:rPr>
                <w:b/>
                <w:bCs/>
                <w:color w:val="000000"/>
                <w:sz w:val="24"/>
                <w:szCs w:val="24"/>
                <w:highlight w:val="none"/>
                <w:shd w:val="clear" w:color="auto" w:fill="FFFFFF"/>
              </w:rPr>
              <w:t>与中华人民共和国长江保护法的相符性分析</w:t>
            </w:r>
          </w:p>
          <w:p w14:paraId="3056436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4"/>
                <w:szCs w:val="24"/>
                <w:highlight w:val="none"/>
              </w:rPr>
              <w:t>表1-</w:t>
            </w:r>
            <w:r>
              <w:rPr>
                <w:rFonts w:hint="eastAsia" w:ascii="Times New Roman" w:hAnsi="Times New Roman" w:eastAsia="宋体" w:cs="Times New Roman"/>
                <w:b/>
                <w:color w:val="auto"/>
                <w:kern w:val="2"/>
                <w:sz w:val="24"/>
                <w:szCs w:val="24"/>
                <w:highlight w:val="none"/>
                <w:lang w:val="en-US" w:eastAsia="zh-CN"/>
              </w:rPr>
              <w:t>5</w:t>
            </w:r>
            <w:r>
              <w:rPr>
                <w:rFonts w:hint="default" w:ascii="Times New Roman" w:hAnsi="Times New Roman" w:eastAsia="宋体" w:cs="Times New Roman"/>
                <w:b/>
                <w:color w:val="auto"/>
                <w:kern w:val="2"/>
                <w:sz w:val="24"/>
                <w:szCs w:val="24"/>
                <w:highlight w:val="none"/>
              </w:rPr>
              <w:t xml:space="preserve">  与中华人民共和国长江保护法的相符性分析</w:t>
            </w:r>
          </w:p>
          <w:tbl>
            <w:tblPr>
              <w:tblStyle w:val="22"/>
              <w:tblW w:w="763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4137"/>
              <w:gridCol w:w="1928"/>
              <w:gridCol w:w="754"/>
            </w:tblGrid>
            <w:tr w14:paraId="09C6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33" w:type="pct"/>
                  <w:noWrap w:val="0"/>
                  <w:vAlign w:val="center"/>
                </w:tcPr>
                <w:p w14:paraId="36FFA0C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000000"/>
                      <w:kern w:val="2"/>
                      <w:sz w:val="21"/>
                      <w:szCs w:val="21"/>
                      <w:highlight w:val="none"/>
                    </w:rPr>
                  </w:pPr>
                  <w:r>
                    <w:rPr>
                      <w:rFonts w:ascii="Times New Roman" w:hAnsi="Times New Roman"/>
                      <w:b/>
                      <w:bCs/>
                      <w:color w:val="000000"/>
                      <w:kern w:val="2"/>
                      <w:sz w:val="21"/>
                      <w:szCs w:val="21"/>
                      <w:highlight w:val="none"/>
                    </w:rPr>
                    <w:t>序号</w:t>
                  </w:r>
                </w:p>
              </w:tc>
              <w:tc>
                <w:tcPr>
                  <w:tcW w:w="2709" w:type="pct"/>
                  <w:noWrap w:val="0"/>
                  <w:vAlign w:val="center"/>
                </w:tcPr>
                <w:p w14:paraId="6806DFB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000000"/>
                      <w:kern w:val="2"/>
                      <w:sz w:val="21"/>
                      <w:szCs w:val="21"/>
                      <w:highlight w:val="none"/>
                    </w:rPr>
                  </w:pPr>
                  <w:r>
                    <w:rPr>
                      <w:rFonts w:ascii="Times New Roman" w:hAnsi="Times New Roman"/>
                      <w:b/>
                      <w:bCs/>
                      <w:color w:val="000000"/>
                      <w:kern w:val="2"/>
                      <w:sz w:val="21"/>
                      <w:szCs w:val="21"/>
                      <w:highlight w:val="none"/>
                    </w:rPr>
                    <w:t>长江保护法要求</w:t>
                  </w:r>
                </w:p>
              </w:tc>
              <w:tc>
                <w:tcPr>
                  <w:tcW w:w="1262" w:type="pct"/>
                  <w:noWrap w:val="0"/>
                  <w:vAlign w:val="center"/>
                </w:tcPr>
                <w:p w14:paraId="665999C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000000"/>
                      <w:kern w:val="2"/>
                      <w:sz w:val="21"/>
                      <w:szCs w:val="21"/>
                      <w:highlight w:val="none"/>
                    </w:rPr>
                  </w:pPr>
                  <w:r>
                    <w:rPr>
                      <w:rFonts w:ascii="Times New Roman" w:hAnsi="Times New Roman"/>
                      <w:b/>
                      <w:bCs/>
                      <w:color w:val="000000"/>
                      <w:kern w:val="2"/>
                      <w:sz w:val="21"/>
                      <w:szCs w:val="21"/>
                      <w:highlight w:val="none"/>
                    </w:rPr>
                    <w:t>本项目情况</w:t>
                  </w:r>
                </w:p>
              </w:tc>
              <w:tc>
                <w:tcPr>
                  <w:tcW w:w="493" w:type="pct"/>
                  <w:noWrap w:val="0"/>
                  <w:vAlign w:val="center"/>
                </w:tcPr>
                <w:p w14:paraId="68A4CBF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000000"/>
                      <w:kern w:val="2"/>
                      <w:sz w:val="21"/>
                      <w:szCs w:val="21"/>
                      <w:highlight w:val="none"/>
                    </w:rPr>
                  </w:pPr>
                  <w:r>
                    <w:rPr>
                      <w:rFonts w:ascii="Times New Roman" w:hAnsi="Times New Roman"/>
                      <w:b/>
                      <w:bCs/>
                      <w:color w:val="000000"/>
                      <w:kern w:val="2"/>
                      <w:sz w:val="21"/>
                      <w:szCs w:val="21"/>
                      <w:highlight w:val="none"/>
                    </w:rPr>
                    <w:t>相符性</w:t>
                  </w:r>
                </w:p>
              </w:tc>
            </w:tr>
            <w:tr w14:paraId="1BDE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33" w:type="pct"/>
                  <w:noWrap w:val="0"/>
                  <w:vAlign w:val="center"/>
                </w:tcPr>
                <w:p w14:paraId="077D78C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第二条</w:t>
                  </w:r>
                </w:p>
              </w:tc>
              <w:tc>
                <w:tcPr>
                  <w:tcW w:w="2709" w:type="pct"/>
                  <w:noWrap w:val="0"/>
                  <w:vAlign w:val="center"/>
                </w:tcPr>
                <w:p w14:paraId="7EF56F8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1262" w:type="pct"/>
                  <w:noWrap w:val="0"/>
                  <w:vAlign w:val="center"/>
                </w:tcPr>
                <w:p w14:paraId="746D6F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olor w:val="000000"/>
                      <w:kern w:val="2"/>
                      <w:sz w:val="21"/>
                      <w:szCs w:val="21"/>
                      <w:highlight w:val="none"/>
                      <w:lang w:eastAsia="zh-CN"/>
                    </w:rPr>
                  </w:pPr>
                  <w:r>
                    <w:rPr>
                      <w:rFonts w:ascii="Times New Roman" w:hAnsi="Times New Roman"/>
                      <w:color w:val="000000"/>
                      <w:kern w:val="2"/>
                      <w:sz w:val="21"/>
                      <w:szCs w:val="21"/>
                      <w:highlight w:val="none"/>
                    </w:rPr>
                    <w:t>本项目在安徽省</w:t>
                  </w:r>
                  <w:r>
                    <w:rPr>
                      <w:rFonts w:hint="eastAsia" w:ascii="Times New Roman" w:hAnsi="Times New Roman" w:eastAsia="宋体" w:cs="Times New Roman"/>
                      <w:color w:val="000000"/>
                      <w:kern w:val="2"/>
                      <w:sz w:val="21"/>
                      <w:szCs w:val="21"/>
                      <w:highlight w:val="none"/>
                      <w:lang w:val="en-US" w:eastAsia="zh-CN"/>
                    </w:rPr>
                    <w:t>皖江江南新兴产业集中区</w:t>
                  </w:r>
                  <w:r>
                    <w:rPr>
                      <w:rFonts w:hint="eastAsia" w:ascii="Times New Roman" w:hAnsi="Times New Roman" w:cs="Times New Roman"/>
                      <w:color w:val="000000"/>
                      <w:kern w:val="2"/>
                      <w:sz w:val="21"/>
                      <w:szCs w:val="21"/>
                      <w:highlight w:val="none"/>
                      <w:lang w:val="en-US" w:eastAsia="zh-CN"/>
                    </w:rPr>
                    <w:t>科技孵化园A5号厂房</w:t>
                  </w:r>
                  <w:r>
                    <w:rPr>
                      <w:rFonts w:hint="eastAsia" w:ascii="Times New Roman" w:hAnsi="Times New Roman" w:eastAsia="宋体" w:cs="Times New Roman"/>
                      <w:color w:val="000000"/>
                      <w:kern w:val="2"/>
                      <w:sz w:val="21"/>
                      <w:szCs w:val="21"/>
                      <w:highlight w:val="none"/>
                      <w:lang w:eastAsia="zh-CN"/>
                    </w:rPr>
                    <w:t>，属</w:t>
                  </w:r>
                  <w:r>
                    <w:rPr>
                      <w:rFonts w:hint="eastAsia" w:ascii="Times New Roman" w:hAnsi="Times New Roman"/>
                      <w:color w:val="000000"/>
                      <w:kern w:val="2"/>
                      <w:sz w:val="21"/>
                      <w:szCs w:val="21"/>
                      <w:highlight w:val="none"/>
                      <w:lang w:eastAsia="zh-CN"/>
                    </w:rPr>
                    <w:t>于长江流域</w:t>
                  </w:r>
                </w:p>
              </w:tc>
              <w:tc>
                <w:tcPr>
                  <w:tcW w:w="493" w:type="pct"/>
                  <w:noWrap w:val="0"/>
                  <w:vAlign w:val="center"/>
                </w:tcPr>
                <w:p w14:paraId="71C743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符合</w:t>
                  </w:r>
                </w:p>
              </w:tc>
            </w:tr>
            <w:tr w14:paraId="5388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33" w:type="pct"/>
                  <w:noWrap w:val="0"/>
                  <w:vAlign w:val="center"/>
                </w:tcPr>
                <w:p w14:paraId="33B565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第二十一条</w:t>
                  </w:r>
                </w:p>
              </w:tc>
              <w:tc>
                <w:tcPr>
                  <w:tcW w:w="2709" w:type="pct"/>
                  <w:noWrap w:val="0"/>
                  <w:vAlign w:val="center"/>
                </w:tcPr>
                <w:p w14:paraId="6B38BE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1262" w:type="pct"/>
                  <w:noWrap w:val="0"/>
                  <w:vAlign w:val="center"/>
                </w:tcPr>
                <w:p w14:paraId="0D8FE5F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rPr>
                  </w:pPr>
                  <w:r>
                    <w:rPr>
                      <w:rFonts w:hint="eastAsia" w:ascii="Times New Roman" w:hAnsi="Times New Roman" w:eastAsia="宋体" w:cs="Times New Roman"/>
                      <w:color w:val="000000"/>
                      <w:kern w:val="2"/>
                      <w:sz w:val="21"/>
                      <w:szCs w:val="21"/>
                      <w:highlight w:val="none"/>
                      <w:lang w:val="en-US" w:eastAsia="zh-CN"/>
                    </w:rPr>
                    <w:t>项目</w:t>
                  </w:r>
                  <w:r>
                    <w:rPr>
                      <w:rFonts w:hint="eastAsia" w:ascii="Times New Roman" w:hAnsi="Times New Roman" w:eastAsia="宋体" w:cs="Times New Roman"/>
                      <w:color w:val="000000"/>
                      <w:kern w:val="2"/>
                      <w:sz w:val="21"/>
                      <w:szCs w:val="21"/>
                      <w:highlight w:val="none"/>
                      <w:lang w:eastAsia="zh-CN"/>
                    </w:rPr>
                    <w:t>采用</w:t>
                  </w:r>
                  <w:r>
                    <w:rPr>
                      <w:rFonts w:hint="default" w:ascii="Times New Roman" w:hAnsi="Times New Roman" w:eastAsia="宋体" w:cs="Times New Roman"/>
                      <w:color w:val="000000"/>
                      <w:kern w:val="2"/>
                      <w:sz w:val="21"/>
                      <w:szCs w:val="21"/>
                      <w:highlight w:val="none"/>
                    </w:rPr>
                    <w:t>雨污分流制</w:t>
                  </w:r>
                  <w:r>
                    <w:rPr>
                      <w:rFonts w:hint="eastAsia" w:ascii="Times New Roman" w:hAnsi="Times New Roman" w:eastAsia="宋体" w:cs="Times New Roman"/>
                      <w:color w:val="000000"/>
                      <w:kern w:val="2"/>
                      <w:sz w:val="21"/>
                      <w:szCs w:val="21"/>
                      <w:highlight w:val="none"/>
                      <w:lang w:eastAsia="zh-CN"/>
                    </w:rPr>
                    <w:t>，生活污水经</w:t>
                  </w:r>
                  <w:r>
                    <w:rPr>
                      <w:rFonts w:hint="eastAsia" w:ascii="Times New Roman" w:hAnsi="Times New Roman" w:cs="Times New Roman"/>
                      <w:color w:val="000000"/>
                      <w:kern w:val="2"/>
                      <w:sz w:val="21"/>
                      <w:szCs w:val="21"/>
                      <w:highlight w:val="none"/>
                      <w:lang w:val="en-US" w:eastAsia="zh-CN"/>
                    </w:rPr>
                    <w:t>科技孵化园</w:t>
                  </w:r>
                  <w:r>
                    <w:rPr>
                      <w:rFonts w:hint="eastAsia" w:ascii="Times New Roman" w:hAnsi="Times New Roman" w:eastAsia="宋体" w:cs="Times New Roman"/>
                      <w:color w:val="000000"/>
                      <w:kern w:val="2"/>
                      <w:sz w:val="21"/>
                      <w:szCs w:val="21"/>
                      <w:highlight w:val="none"/>
                      <w:lang w:eastAsia="zh-CN"/>
                    </w:rPr>
                    <w:t>园区化粪池预处理后排入江南产业集中区第一污水处理厂，处理达标后经九华河排入长江</w:t>
                  </w:r>
                </w:p>
              </w:tc>
              <w:tc>
                <w:tcPr>
                  <w:tcW w:w="493" w:type="pct"/>
                  <w:noWrap w:val="0"/>
                  <w:vAlign w:val="center"/>
                </w:tcPr>
                <w:p w14:paraId="75BECBB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符合</w:t>
                  </w:r>
                </w:p>
              </w:tc>
            </w:tr>
            <w:tr w14:paraId="7847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33" w:type="pct"/>
                  <w:noWrap w:val="0"/>
                  <w:vAlign w:val="center"/>
                </w:tcPr>
                <w:p w14:paraId="6CF627C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第二十二条</w:t>
                  </w:r>
                </w:p>
              </w:tc>
              <w:tc>
                <w:tcPr>
                  <w:tcW w:w="2709" w:type="pct"/>
                  <w:noWrap w:val="0"/>
                  <w:vAlign w:val="center"/>
                </w:tcPr>
                <w:p w14:paraId="0348232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262" w:type="pct"/>
                  <w:noWrap w:val="0"/>
                  <w:vAlign w:val="center"/>
                </w:tcPr>
                <w:p w14:paraId="06A4D64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本项目不属于重污染项目</w:t>
                  </w:r>
                </w:p>
              </w:tc>
              <w:tc>
                <w:tcPr>
                  <w:tcW w:w="493" w:type="pct"/>
                  <w:noWrap w:val="0"/>
                  <w:vAlign w:val="center"/>
                </w:tcPr>
                <w:p w14:paraId="6358A35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符合</w:t>
                  </w:r>
                </w:p>
              </w:tc>
            </w:tr>
            <w:tr w14:paraId="7EE5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33" w:type="pct"/>
                  <w:noWrap w:val="0"/>
                  <w:vAlign w:val="center"/>
                </w:tcPr>
                <w:p w14:paraId="59B06E8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第二十六条</w:t>
                  </w:r>
                </w:p>
              </w:tc>
              <w:tc>
                <w:tcPr>
                  <w:tcW w:w="2709" w:type="pct"/>
                  <w:noWrap w:val="0"/>
                  <w:vAlign w:val="center"/>
                </w:tcPr>
                <w:p w14:paraId="5A42D34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262" w:type="pct"/>
                  <w:noWrap w:val="0"/>
                  <w:vAlign w:val="center"/>
                </w:tcPr>
                <w:p w14:paraId="32B8219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本项目距离长江岸线</w:t>
                  </w:r>
                  <w:r>
                    <w:rPr>
                      <w:rFonts w:hint="default" w:ascii="Times New Roman" w:hAnsi="Times New Roman" w:cs="Times New Roman"/>
                      <w:sz w:val="21"/>
                      <w:szCs w:val="21"/>
                      <w:highlight w:val="none"/>
                      <w:lang w:val="en-US" w:eastAsia="zh-CN"/>
                    </w:rPr>
                    <w:t>1.01</w:t>
                  </w:r>
                  <w:r>
                    <w:rPr>
                      <w:rFonts w:ascii="Times New Roman" w:hAnsi="Times New Roman"/>
                      <w:color w:val="000000"/>
                      <w:kern w:val="2"/>
                      <w:sz w:val="21"/>
                      <w:szCs w:val="21"/>
                      <w:highlight w:val="none"/>
                    </w:rPr>
                    <w:t>km，不属于尾矿库项目</w:t>
                  </w:r>
                </w:p>
              </w:tc>
              <w:tc>
                <w:tcPr>
                  <w:tcW w:w="493" w:type="pct"/>
                  <w:noWrap w:val="0"/>
                  <w:vAlign w:val="center"/>
                </w:tcPr>
                <w:p w14:paraId="0BD6A70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符合</w:t>
                  </w:r>
                </w:p>
              </w:tc>
            </w:tr>
            <w:tr w14:paraId="2935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33" w:type="pct"/>
                  <w:noWrap w:val="0"/>
                  <w:vAlign w:val="center"/>
                </w:tcPr>
                <w:p w14:paraId="724941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第六十一条</w:t>
                  </w:r>
                </w:p>
              </w:tc>
              <w:tc>
                <w:tcPr>
                  <w:tcW w:w="2709" w:type="pct"/>
                  <w:noWrap w:val="0"/>
                  <w:vAlign w:val="center"/>
                </w:tcPr>
                <w:p w14:paraId="013C1EB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ascii="Times New Roman" w:hAnsi="Times New Roman"/>
                      <w:color w:val="000000"/>
                      <w:kern w:val="2"/>
                      <w:sz w:val="21"/>
                      <w:szCs w:val="21"/>
                      <w:highlight w:val="none"/>
                      <w:lang w:eastAsia="zh-CN"/>
                    </w:rPr>
                    <w:t>；</w:t>
                  </w:r>
                  <w:r>
                    <w:rPr>
                      <w:rFonts w:ascii="Times New Roman" w:hAnsi="Times New Roman"/>
                      <w:color w:val="000000"/>
                      <w:kern w:val="2"/>
                      <w:sz w:val="21"/>
                      <w:szCs w:val="21"/>
                      <w:highlight w:val="none"/>
                    </w:rPr>
                    <w:t>划入自然保护地核心保护区的永久基本农田，依法有序退出并予以补划。</w:t>
                  </w:r>
                </w:p>
              </w:tc>
              <w:tc>
                <w:tcPr>
                  <w:tcW w:w="1262" w:type="pct"/>
                  <w:noWrap w:val="0"/>
                  <w:vAlign w:val="center"/>
                </w:tcPr>
                <w:p w14:paraId="3C99942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本项目不在生态保护红线内</w:t>
                  </w:r>
                </w:p>
              </w:tc>
              <w:tc>
                <w:tcPr>
                  <w:tcW w:w="493" w:type="pct"/>
                  <w:noWrap w:val="0"/>
                  <w:vAlign w:val="center"/>
                </w:tcPr>
                <w:p w14:paraId="4CAF15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符合</w:t>
                  </w:r>
                </w:p>
              </w:tc>
            </w:tr>
          </w:tbl>
          <w:p w14:paraId="066C5EDE">
            <w:pPr>
              <w:widowControl/>
              <w:spacing w:line="360" w:lineRule="auto"/>
              <w:ind w:firstLine="480" w:firstLineChars="200"/>
              <w:jc w:val="left"/>
              <w:rPr>
                <w:rFonts w:ascii="Times New Roman" w:hAnsi="Times New Roman" w:eastAsia="宋体" w:cs="Times New Roman"/>
                <w:color w:val="000000"/>
                <w:kern w:val="0"/>
                <w:sz w:val="24"/>
                <w:szCs w:val="24"/>
                <w:highlight w:val="none"/>
                <w:lang w:eastAsia="zh-CN" w:bidi="ar"/>
              </w:rPr>
            </w:pPr>
            <w:r>
              <w:rPr>
                <w:rFonts w:ascii="Times New Roman" w:hAnsi="Times New Roman" w:eastAsia="宋体" w:cs="Times New Roman"/>
                <w:color w:val="000000"/>
                <w:kern w:val="0"/>
                <w:sz w:val="24"/>
                <w:szCs w:val="24"/>
                <w:highlight w:val="none"/>
                <w:lang w:eastAsia="zh-CN" w:bidi="ar"/>
              </w:rPr>
              <w:t>综上分析，本项目建设符合中华人民共和国长江保护法要求。</w:t>
            </w:r>
          </w:p>
          <w:p w14:paraId="1CD880CE">
            <w:pPr>
              <w:spacing w:line="360" w:lineRule="auto"/>
              <w:ind w:firstLine="482" w:firstLineChars="200"/>
              <w:jc w:val="left"/>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7、</w:t>
            </w:r>
            <w:r>
              <w:rPr>
                <w:rFonts w:hint="eastAsia" w:ascii="Times New Roman" w:hAnsi="Times New Roman" w:eastAsia="宋体" w:cs="Times New Roman"/>
                <w:b/>
                <w:bCs/>
                <w:color w:val="000000"/>
                <w:sz w:val="24"/>
                <w:szCs w:val="24"/>
                <w:highlight w:val="none"/>
              </w:rPr>
              <w:t>与《长江经济带发展负面清单指南（试行，2022年版）》的通知（长江办【2022】7号）相符性分析</w:t>
            </w:r>
          </w:p>
          <w:p w14:paraId="32CAB125">
            <w:pPr>
              <w:widowControl/>
              <w:spacing w:line="360" w:lineRule="auto"/>
              <w:ind w:firstLine="480" w:firstLineChars="200"/>
              <w:jc w:val="left"/>
              <w:rPr>
                <w:rFonts w:hint="eastAsia" w:cs="Times New Roman"/>
                <w:color w:val="000000"/>
                <w:kern w:val="0"/>
                <w:sz w:val="24"/>
                <w:szCs w:val="24"/>
                <w:highlight w:val="none"/>
                <w:lang w:val="en-US" w:eastAsia="zh-CN" w:bidi="ar"/>
              </w:rPr>
            </w:pPr>
            <w:r>
              <w:rPr>
                <w:rFonts w:hint="eastAsia" w:ascii="Times New Roman" w:hAnsi="Times New Roman" w:eastAsia="宋体" w:cs="Times New Roman"/>
                <w:color w:val="000000"/>
                <w:kern w:val="0"/>
                <w:sz w:val="24"/>
                <w:szCs w:val="24"/>
                <w:highlight w:val="none"/>
                <w:lang w:eastAsia="zh-CN" w:bidi="ar"/>
              </w:rPr>
              <w:t>推动长江经济带发展领导小组办公室于2022年1月19日印发《长江经济带发展负面清单指南（试行，2022年版）》的通知（长江办【2022】7号），与负面清单相符性分析见表1-</w:t>
            </w:r>
            <w:r>
              <w:rPr>
                <w:rFonts w:hint="eastAsia" w:ascii="Times New Roman" w:hAnsi="Times New Roman" w:eastAsia="宋体" w:cs="Times New Roman"/>
                <w:color w:val="000000"/>
                <w:kern w:val="0"/>
                <w:sz w:val="24"/>
                <w:szCs w:val="24"/>
                <w:highlight w:val="none"/>
                <w:lang w:val="en-US" w:eastAsia="zh-CN" w:bidi="ar"/>
              </w:rPr>
              <w:t>5</w:t>
            </w:r>
            <w:r>
              <w:rPr>
                <w:rFonts w:hint="eastAsia" w:cs="Times New Roman"/>
                <w:color w:val="000000"/>
                <w:kern w:val="0"/>
                <w:sz w:val="24"/>
                <w:szCs w:val="24"/>
                <w:highlight w:val="none"/>
                <w:lang w:val="en-US" w:eastAsia="zh-CN" w:bidi="ar"/>
              </w:rPr>
              <w:t>：</w:t>
            </w:r>
          </w:p>
          <w:p w14:paraId="5F0E73E1">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4"/>
                <w:szCs w:val="24"/>
                <w:highlight w:val="none"/>
              </w:rPr>
              <w:t>表1-</w:t>
            </w:r>
            <w:r>
              <w:rPr>
                <w:rFonts w:hint="eastAsia" w:ascii="Times New Roman" w:hAnsi="Times New Roman" w:eastAsia="宋体" w:cs="Times New Roman"/>
                <w:b/>
                <w:color w:val="auto"/>
                <w:kern w:val="2"/>
                <w:sz w:val="24"/>
                <w:szCs w:val="24"/>
                <w:highlight w:val="none"/>
                <w:lang w:val="en-US" w:eastAsia="zh-CN"/>
              </w:rPr>
              <w:t>6</w:t>
            </w:r>
            <w:r>
              <w:rPr>
                <w:rFonts w:hint="default" w:ascii="Times New Roman" w:hAnsi="Times New Roman" w:eastAsia="宋体" w:cs="Times New Roman"/>
                <w:b/>
                <w:color w:val="auto"/>
                <w:kern w:val="2"/>
                <w:sz w:val="24"/>
                <w:szCs w:val="24"/>
                <w:highlight w:val="none"/>
              </w:rPr>
              <w:t xml:space="preserve">  与</w:t>
            </w:r>
            <w:r>
              <w:rPr>
                <w:rFonts w:hint="eastAsia" w:ascii="Times New Roman" w:hAnsi="Times New Roman" w:eastAsia="宋体" w:cs="Times New Roman"/>
                <w:b/>
                <w:color w:val="auto"/>
                <w:kern w:val="2"/>
                <w:sz w:val="24"/>
                <w:szCs w:val="24"/>
                <w:highlight w:val="none"/>
              </w:rPr>
              <w:t>长江经济带发展负面清单</w:t>
            </w:r>
            <w:r>
              <w:rPr>
                <w:rFonts w:hint="default" w:ascii="Times New Roman" w:hAnsi="Times New Roman" w:eastAsia="宋体" w:cs="Times New Roman"/>
                <w:b/>
                <w:color w:val="auto"/>
                <w:kern w:val="2"/>
                <w:sz w:val="24"/>
                <w:szCs w:val="24"/>
                <w:highlight w:val="none"/>
              </w:rPr>
              <w:t>相符性分析</w:t>
            </w:r>
          </w:p>
          <w:tbl>
            <w:tblPr>
              <w:tblStyle w:val="23"/>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4145"/>
              <w:gridCol w:w="2151"/>
              <w:gridCol w:w="739"/>
            </w:tblGrid>
            <w:tr w14:paraId="6939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2E81B45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lang w:eastAsia="zh-CN"/>
                    </w:rPr>
                  </w:pPr>
                  <w:r>
                    <w:rPr>
                      <w:rFonts w:ascii="Times New Roman" w:hAnsi="Times New Roman"/>
                      <w:b/>
                      <w:bCs/>
                      <w:color w:val="000000"/>
                      <w:kern w:val="2"/>
                      <w:sz w:val="21"/>
                      <w:szCs w:val="21"/>
                      <w:highlight w:val="none"/>
                      <w:lang w:eastAsia="zh-CN"/>
                    </w:rPr>
                    <w:t>序号</w:t>
                  </w:r>
                </w:p>
              </w:tc>
              <w:tc>
                <w:tcPr>
                  <w:tcW w:w="2738" w:type="pct"/>
                  <w:noWrap w:val="0"/>
                  <w:vAlign w:val="center"/>
                </w:tcPr>
                <w:p w14:paraId="368C38A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000000"/>
                      <w:kern w:val="2"/>
                      <w:sz w:val="21"/>
                      <w:szCs w:val="21"/>
                      <w:highlight w:val="none"/>
                      <w:lang w:eastAsia="zh-CN"/>
                    </w:rPr>
                  </w:pPr>
                  <w:r>
                    <w:rPr>
                      <w:rFonts w:hint="eastAsia" w:ascii="Times New Roman" w:hAnsi="Times New Roman" w:eastAsia="宋体" w:cs="Times New Roman"/>
                      <w:b/>
                      <w:bCs/>
                      <w:color w:val="000000"/>
                      <w:kern w:val="2"/>
                      <w:sz w:val="21"/>
                      <w:szCs w:val="21"/>
                      <w:highlight w:val="none"/>
                    </w:rPr>
                    <w:t>长江经济带发展负面清单</w:t>
                  </w:r>
                </w:p>
              </w:tc>
              <w:tc>
                <w:tcPr>
                  <w:tcW w:w="1421" w:type="pct"/>
                  <w:noWrap w:val="0"/>
                  <w:vAlign w:val="center"/>
                </w:tcPr>
                <w:p w14:paraId="271E93E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000000"/>
                      <w:kern w:val="2"/>
                      <w:sz w:val="21"/>
                      <w:szCs w:val="21"/>
                      <w:highlight w:val="none"/>
                    </w:rPr>
                  </w:pPr>
                  <w:r>
                    <w:rPr>
                      <w:rFonts w:ascii="Times New Roman" w:hAnsi="Times New Roman" w:eastAsia="宋体" w:cs="Times New Roman"/>
                      <w:b/>
                      <w:bCs/>
                      <w:color w:val="000000"/>
                      <w:kern w:val="2"/>
                      <w:sz w:val="21"/>
                      <w:szCs w:val="21"/>
                      <w:highlight w:val="none"/>
                    </w:rPr>
                    <w:t>本项目情况</w:t>
                  </w:r>
                </w:p>
              </w:tc>
              <w:tc>
                <w:tcPr>
                  <w:tcW w:w="488" w:type="pct"/>
                  <w:noWrap w:val="0"/>
                  <w:vAlign w:val="center"/>
                </w:tcPr>
                <w:p w14:paraId="5C9F61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000000"/>
                      <w:kern w:val="2"/>
                      <w:sz w:val="21"/>
                      <w:szCs w:val="21"/>
                      <w:highlight w:val="none"/>
                    </w:rPr>
                  </w:pPr>
                  <w:r>
                    <w:rPr>
                      <w:rFonts w:ascii="Times New Roman" w:hAnsi="Times New Roman" w:eastAsia="宋体" w:cs="Times New Roman"/>
                      <w:b/>
                      <w:bCs/>
                      <w:color w:val="000000"/>
                      <w:kern w:val="2"/>
                      <w:sz w:val="21"/>
                      <w:szCs w:val="21"/>
                      <w:highlight w:val="none"/>
                    </w:rPr>
                    <w:t>相符性</w:t>
                  </w:r>
                </w:p>
              </w:tc>
            </w:tr>
            <w:tr w14:paraId="7CD7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14C9EB8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lang w:eastAsia="zh-CN"/>
                    </w:rPr>
                  </w:pPr>
                  <w:r>
                    <w:rPr>
                      <w:rFonts w:ascii="Times New Roman" w:hAnsi="Times New Roman"/>
                      <w:color w:val="000000"/>
                      <w:kern w:val="2"/>
                      <w:sz w:val="21"/>
                      <w:szCs w:val="21"/>
                      <w:highlight w:val="none"/>
                      <w:lang w:eastAsia="zh-CN"/>
                    </w:rPr>
                    <w:t>1</w:t>
                  </w:r>
                </w:p>
              </w:tc>
              <w:tc>
                <w:tcPr>
                  <w:tcW w:w="2738" w:type="pct"/>
                  <w:noWrap w:val="0"/>
                  <w:vAlign w:val="center"/>
                </w:tcPr>
                <w:p w14:paraId="6725FDE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val="en-US" w:eastAsia="zh-CN"/>
                    </w:rPr>
                  </w:pPr>
                  <w:r>
                    <w:rPr>
                      <w:rFonts w:ascii="Times New Roman" w:hAnsi="Times New Roman" w:eastAsia="宋体" w:cs="Times New Roman"/>
                      <w:color w:val="000000"/>
                      <w:kern w:val="2"/>
                      <w:sz w:val="21"/>
                      <w:szCs w:val="21"/>
                      <w:highlight w:val="none"/>
                    </w:rPr>
                    <w:t>禁止建设不符合全国和省级港口布局规划以及港口总体规划的码头项目，禁止建设不符合《长江干线过江通道布局规划》的过长江通道项目。</w:t>
                  </w:r>
                </w:p>
              </w:tc>
              <w:tc>
                <w:tcPr>
                  <w:tcW w:w="1421" w:type="pct"/>
                  <w:noWrap w:val="0"/>
                  <w:vAlign w:val="center"/>
                </w:tcPr>
                <w:p w14:paraId="7CFFA08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eastAsia="zh-CN"/>
                    </w:rPr>
                  </w:pPr>
                  <w:r>
                    <w:rPr>
                      <w:rFonts w:ascii="Times New Roman" w:hAnsi="Times New Roman" w:eastAsia="宋体" w:cs="Times New Roman"/>
                      <w:color w:val="000000"/>
                      <w:kern w:val="2"/>
                      <w:sz w:val="21"/>
                      <w:szCs w:val="21"/>
                      <w:highlight w:val="none"/>
                    </w:rPr>
                    <w:t>本项目不属于重</w:t>
                  </w:r>
                  <w:r>
                    <w:rPr>
                      <w:rFonts w:hint="eastAsia" w:ascii="Times New Roman" w:hAnsi="Times New Roman" w:eastAsia="宋体" w:cs="Times New Roman"/>
                      <w:color w:val="000000"/>
                      <w:kern w:val="2"/>
                      <w:sz w:val="21"/>
                      <w:szCs w:val="21"/>
                      <w:highlight w:val="none"/>
                      <w:lang w:eastAsia="zh-CN"/>
                    </w:rPr>
                    <w:t>码头项目</w:t>
                  </w:r>
                  <w:r>
                    <w:rPr>
                      <w:rFonts w:ascii="Times New Roman" w:hAnsi="Times New Roman" w:eastAsia="宋体" w:cs="Times New Roman"/>
                      <w:color w:val="000000"/>
                      <w:kern w:val="2"/>
                      <w:sz w:val="21"/>
                      <w:szCs w:val="21"/>
                      <w:highlight w:val="none"/>
                    </w:rPr>
                    <w:t>，</w:t>
                  </w:r>
                  <w:r>
                    <w:rPr>
                      <w:rFonts w:hint="eastAsia" w:ascii="Times New Roman" w:hAnsi="Times New Roman" w:eastAsia="宋体" w:cs="Times New Roman"/>
                      <w:color w:val="000000"/>
                      <w:kern w:val="2"/>
                      <w:sz w:val="21"/>
                      <w:szCs w:val="21"/>
                      <w:highlight w:val="none"/>
                      <w:lang w:eastAsia="zh-CN"/>
                    </w:rPr>
                    <w:t>也不属于过长江通道项目</w:t>
                  </w:r>
                </w:p>
              </w:tc>
              <w:tc>
                <w:tcPr>
                  <w:tcW w:w="488" w:type="pct"/>
                  <w:noWrap w:val="0"/>
                  <w:vAlign w:val="center"/>
                </w:tcPr>
                <w:p w14:paraId="3AAFC9B6">
                  <w:pPr>
                    <w:spacing w:line="240" w:lineRule="auto"/>
                    <w:ind w:firstLine="0" w:firstLineChars="0"/>
                    <w:jc w:val="center"/>
                    <w:rPr>
                      <w:color w:val="000000"/>
                      <w:sz w:val="21"/>
                      <w:szCs w:val="21"/>
                      <w:highlight w:val="none"/>
                      <w:lang w:eastAsia="zh-CN"/>
                    </w:rPr>
                  </w:pPr>
                  <w:r>
                    <w:rPr>
                      <w:rFonts w:ascii="Times New Roman" w:hAnsi="Times New Roman"/>
                      <w:color w:val="000000"/>
                      <w:kern w:val="2"/>
                      <w:sz w:val="21"/>
                      <w:szCs w:val="21"/>
                      <w:highlight w:val="none"/>
                    </w:rPr>
                    <w:t>符合</w:t>
                  </w:r>
                </w:p>
              </w:tc>
            </w:tr>
            <w:tr w14:paraId="3486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2B635D8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lang w:eastAsia="zh-CN"/>
                    </w:rPr>
                  </w:pPr>
                  <w:r>
                    <w:rPr>
                      <w:rFonts w:ascii="Times New Roman" w:hAnsi="Times New Roman"/>
                      <w:color w:val="000000"/>
                      <w:kern w:val="2"/>
                      <w:sz w:val="21"/>
                      <w:szCs w:val="21"/>
                      <w:highlight w:val="none"/>
                      <w:lang w:eastAsia="zh-CN"/>
                    </w:rPr>
                    <w:t>2</w:t>
                  </w:r>
                </w:p>
              </w:tc>
              <w:tc>
                <w:tcPr>
                  <w:tcW w:w="2738" w:type="pct"/>
                  <w:noWrap w:val="0"/>
                  <w:vAlign w:val="center"/>
                </w:tcPr>
                <w:p w14:paraId="17B0C6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val="en-US" w:eastAsia="en-US"/>
                    </w:rPr>
                  </w:pPr>
                  <w:r>
                    <w:rPr>
                      <w:rFonts w:ascii="Times New Roman" w:hAnsi="Times New Roman" w:eastAsia="宋体" w:cs="Times New Roman"/>
                      <w:color w:val="000000"/>
                      <w:kern w:val="2"/>
                      <w:sz w:val="21"/>
                      <w:szCs w:val="21"/>
                      <w:highlight w:val="none"/>
                    </w:rPr>
                    <w:t>禁止在自然保护区核心区、缓冲区的岸线和河段范围内投资建设旅游和生产经营项目。禁止在风景名胜区核心景区的岸线和河段范围内投资建设与风景名胜资源保护无关的项目。</w:t>
                  </w:r>
                </w:p>
              </w:tc>
              <w:tc>
                <w:tcPr>
                  <w:tcW w:w="1421" w:type="pct"/>
                  <w:noWrap w:val="0"/>
                  <w:vAlign w:val="center"/>
                </w:tcPr>
                <w:p w14:paraId="4C21070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rPr>
                  </w:pPr>
                  <w:r>
                    <w:rPr>
                      <w:rFonts w:ascii="Times New Roman" w:hAnsi="Times New Roman" w:eastAsia="宋体" w:cs="Times New Roman"/>
                      <w:color w:val="000000"/>
                      <w:kern w:val="2"/>
                      <w:sz w:val="21"/>
                      <w:szCs w:val="21"/>
                      <w:highlight w:val="none"/>
                      <w:lang w:eastAsia="zh-CN"/>
                    </w:rPr>
                    <w:t>本项目</w:t>
                  </w:r>
                  <w:r>
                    <w:rPr>
                      <w:rFonts w:hint="eastAsia" w:ascii="Times New Roman" w:hAnsi="Times New Roman" w:eastAsia="宋体" w:cs="Times New Roman"/>
                      <w:color w:val="000000"/>
                      <w:kern w:val="2"/>
                      <w:sz w:val="21"/>
                      <w:szCs w:val="21"/>
                      <w:highlight w:val="none"/>
                    </w:rPr>
                    <w:t>位于</w:t>
                  </w:r>
                  <w:r>
                    <w:rPr>
                      <w:rFonts w:hint="eastAsia" w:ascii="Times New Roman" w:hAnsi="Times New Roman" w:cs="Times New Roman"/>
                      <w:color w:val="000000"/>
                      <w:kern w:val="2"/>
                      <w:sz w:val="21"/>
                      <w:szCs w:val="21"/>
                      <w:highlight w:val="none"/>
                      <w:lang w:eastAsia="zh-CN"/>
                    </w:rPr>
                    <w:t>皖江江南新兴产业集中区</w:t>
                  </w:r>
                  <w:r>
                    <w:rPr>
                      <w:rFonts w:hint="eastAsia" w:ascii="Times New Roman" w:hAnsi="Times New Roman" w:eastAsia="宋体" w:cs="Times New Roman"/>
                      <w:color w:val="000000"/>
                      <w:kern w:val="2"/>
                      <w:sz w:val="21"/>
                      <w:szCs w:val="21"/>
                      <w:highlight w:val="none"/>
                    </w:rPr>
                    <w:t>规划范围内，不在自然保护区核心区、缓冲区的岸线和河段范围内</w:t>
                  </w:r>
                </w:p>
              </w:tc>
              <w:tc>
                <w:tcPr>
                  <w:tcW w:w="488" w:type="pct"/>
                  <w:noWrap w:val="0"/>
                  <w:vAlign w:val="center"/>
                </w:tcPr>
                <w:p w14:paraId="5460B5D7">
                  <w:pPr>
                    <w:spacing w:line="240" w:lineRule="auto"/>
                    <w:ind w:firstLine="0" w:firstLineChars="0"/>
                    <w:jc w:val="center"/>
                    <w:rPr>
                      <w:color w:val="000000"/>
                      <w:sz w:val="21"/>
                      <w:szCs w:val="21"/>
                      <w:highlight w:val="none"/>
                      <w:lang w:eastAsia="zh-CN"/>
                    </w:rPr>
                  </w:pPr>
                  <w:r>
                    <w:rPr>
                      <w:rFonts w:ascii="Times New Roman" w:hAnsi="Times New Roman"/>
                      <w:color w:val="000000"/>
                      <w:kern w:val="2"/>
                      <w:sz w:val="21"/>
                      <w:szCs w:val="21"/>
                      <w:highlight w:val="none"/>
                    </w:rPr>
                    <w:t>符合</w:t>
                  </w:r>
                </w:p>
              </w:tc>
            </w:tr>
            <w:tr w14:paraId="77A1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4D65C8C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lang w:eastAsia="zh-CN"/>
                    </w:rPr>
                  </w:pPr>
                  <w:r>
                    <w:rPr>
                      <w:rFonts w:ascii="Times New Roman" w:hAnsi="Times New Roman"/>
                      <w:color w:val="000000"/>
                      <w:kern w:val="2"/>
                      <w:sz w:val="21"/>
                      <w:szCs w:val="21"/>
                      <w:highlight w:val="none"/>
                      <w:lang w:eastAsia="zh-CN"/>
                    </w:rPr>
                    <w:t>3</w:t>
                  </w:r>
                </w:p>
              </w:tc>
              <w:tc>
                <w:tcPr>
                  <w:tcW w:w="2738" w:type="pct"/>
                  <w:noWrap w:val="0"/>
                  <w:vAlign w:val="center"/>
                </w:tcPr>
                <w:p w14:paraId="0E77021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val="en-US" w:eastAsia="en-US"/>
                    </w:rPr>
                  </w:pPr>
                  <w:r>
                    <w:rPr>
                      <w:rFonts w:ascii="Times New Roman" w:hAnsi="Times New Roman" w:eastAsia="宋体" w:cs="Times New Roman"/>
                      <w:color w:val="000000"/>
                      <w:kern w:val="2"/>
                      <w:sz w:val="21"/>
                      <w:szCs w:val="21"/>
                      <w:highlight w:val="none"/>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421" w:type="pct"/>
                  <w:noWrap w:val="0"/>
                  <w:vAlign w:val="center"/>
                </w:tcPr>
                <w:p w14:paraId="4234B5D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eastAsia="zh-CN"/>
                    </w:rPr>
                  </w:pPr>
                  <w:r>
                    <w:rPr>
                      <w:rFonts w:ascii="Times New Roman" w:hAnsi="Times New Roman" w:eastAsia="宋体" w:cs="Times New Roman"/>
                      <w:color w:val="000000"/>
                      <w:kern w:val="2"/>
                      <w:sz w:val="21"/>
                      <w:szCs w:val="21"/>
                      <w:highlight w:val="none"/>
                      <w:lang w:eastAsia="zh-CN"/>
                    </w:rPr>
                    <w:t>本项目</w:t>
                  </w:r>
                  <w:r>
                    <w:rPr>
                      <w:rFonts w:hint="eastAsia" w:ascii="Times New Roman" w:hAnsi="Times New Roman" w:eastAsia="宋体" w:cs="Times New Roman"/>
                      <w:color w:val="000000"/>
                      <w:kern w:val="2"/>
                      <w:sz w:val="21"/>
                      <w:szCs w:val="21"/>
                      <w:highlight w:val="none"/>
                      <w:lang w:eastAsia="zh-CN"/>
                    </w:rPr>
                    <w:t>位于</w:t>
                  </w:r>
                  <w:r>
                    <w:rPr>
                      <w:rFonts w:hint="eastAsia" w:ascii="Times New Roman" w:hAnsi="Times New Roman" w:cs="Times New Roman"/>
                      <w:color w:val="000000"/>
                      <w:kern w:val="2"/>
                      <w:sz w:val="21"/>
                      <w:szCs w:val="21"/>
                      <w:highlight w:val="none"/>
                      <w:lang w:eastAsia="zh-CN"/>
                    </w:rPr>
                    <w:t>皖江江南新兴产业集中区</w:t>
                  </w:r>
                  <w:r>
                    <w:rPr>
                      <w:rFonts w:hint="eastAsia" w:ascii="Times New Roman" w:hAnsi="Times New Roman" w:eastAsia="宋体" w:cs="Times New Roman"/>
                      <w:color w:val="000000"/>
                      <w:kern w:val="2"/>
                      <w:sz w:val="21"/>
                      <w:szCs w:val="21"/>
                      <w:highlight w:val="none"/>
                      <w:lang w:eastAsia="zh-CN"/>
                    </w:rPr>
                    <w:t>规划范围内，不在饮用水水源一、二级保护区的岸线和河段范围内</w:t>
                  </w:r>
                </w:p>
              </w:tc>
              <w:tc>
                <w:tcPr>
                  <w:tcW w:w="488" w:type="pct"/>
                  <w:noWrap w:val="0"/>
                  <w:vAlign w:val="center"/>
                </w:tcPr>
                <w:p w14:paraId="0EC02C42">
                  <w:pPr>
                    <w:spacing w:line="240" w:lineRule="auto"/>
                    <w:ind w:firstLine="0" w:firstLineChars="0"/>
                    <w:jc w:val="center"/>
                    <w:rPr>
                      <w:color w:val="000000"/>
                      <w:sz w:val="21"/>
                      <w:szCs w:val="21"/>
                      <w:highlight w:val="none"/>
                      <w:lang w:eastAsia="zh-CN"/>
                    </w:rPr>
                  </w:pPr>
                  <w:r>
                    <w:rPr>
                      <w:rFonts w:ascii="Times New Roman" w:hAnsi="Times New Roman"/>
                      <w:color w:val="000000"/>
                      <w:kern w:val="2"/>
                      <w:sz w:val="21"/>
                      <w:szCs w:val="21"/>
                      <w:highlight w:val="none"/>
                    </w:rPr>
                    <w:t>符合</w:t>
                  </w:r>
                </w:p>
              </w:tc>
            </w:tr>
            <w:tr w14:paraId="1B5F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054447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lang w:eastAsia="zh-CN"/>
                    </w:rPr>
                  </w:pPr>
                  <w:r>
                    <w:rPr>
                      <w:rFonts w:ascii="Times New Roman" w:hAnsi="Times New Roman"/>
                      <w:color w:val="000000"/>
                      <w:kern w:val="2"/>
                      <w:sz w:val="21"/>
                      <w:szCs w:val="21"/>
                      <w:highlight w:val="none"/>
                      <w:lang w:eastAsia="zh-CN"/>
                    </w:rPr>
                    <w:t>4</w:t>
                  </w:r>
                </w:p>
              </w:tc>
              <w:tc>
                <w:tcPr>
                  <w:tcW w:w="2738" w:type="pct"/>
                  <w:noWrap w:val="0"/>
                  <w:vAlign w:val="center"/>
                </w:tcPr>
                <w:p w14:paraId="6721871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val="en-US" w:eastAsia="en-US"/>
                    </w:rPr>
                  </w:pPr>
                  <w:r>
                    <w:rPr>
                      <w:rFonts w:ascii="Times New Roman" w:hAnsi="Times New Roman" w:eastAsia="宋体" w:cs="Times New Roman"/>
                      <w:color w:val="000000"/>
                      <w:kern w:val="2"/>
                      <w:sz w:val="21"/>
                      <w:szCs w:val="21"/>
                      <w:highlight w:val="none"/>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421" w:type="pct"/>
                  <w:noWrap w:val="0"/>
                  <w:vAlign w:val="center"/>
                </w:tcPr>
                <w:p w14:paraId="33450FA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000000"/>
                      <w:kern w:val="2"/>
                      <w:sz w:val="21"/>
                      <w:szCs w:val="21"/>
                      <w:highlight w:val="none"/>
                      <w:lang w:eastAsia="zh-CN"/>
                    </w:rPr>
                  </w:pPr>
                  <w:r>
                    <w:rPr>
                      <w:rFonts w:hint="eastAsia" w:ascii="Times New Roman" w:hAnsi="Times New Roman" w:eastAsia="宋体" w:cs="Times New Roman"/>
                      <w:color w:val="000000"/>
                      <w:kern w:val="2"/>
                      <w:sz w:val="21"/>
                      <w:szCs w:val="21"/>
                      <w:highlight w:val="none"/>
                    </w:rPr>
                    <w:t>本项目不在水产种质资源保护区的岸线和河段范围内且不在国家湿地公园的岸线和河段范围内且不属于挖沙、采矿以及其他不符合主体功能定位的投资建设项目</w:t>
                  </w:r>
                </w:p>
              </w:tc>
              <w:tc>
                <w:tcPr>
                  <w:tcW w:w="488" w:type="pct"/>
                  <w:noWrap w:val="0"/>
                  <w:vAlign w:val="center"/>
                </w:tcPr>
                <w:p w14:paraId="6DF74242">
                  <w:pPr>
                    <w:spacing w:line="240" w:lineRule="auto"/>
                    <w:ind w:firstLine="0" w:firstLineChars="0"/>
                    <w:jc w:val="center"/>
                    <w:rPr>
                      <w:color w:val="000000"/>
                      <w:sz w:val="21"/>
                      <w:szCs w:val="21"/>
                      <w:highlight w:val="none"/>
                      <w:lang w:eastAsia="zh-CN"/>
                    </w:rPr>
                  </w:pPr>
                  <w:r>
                    <w:rPr>
                      <w:rFonts w:ascii="Times New Roman" w:hAnsi="Times New Roman"/>
                      <w:color w:val="000000"/>
                      <w:kern w:val="2"/>
                      <w:sz w:val="21"/>
                      <w:szCs w:val="21"/>
                      <w:highlight w:val="none"/>
                    </w:rPr>
                    <w:t>符合</w:t>
                  </w:r>
                </w:p>
              </w:tc>
            </w:tr>
            <w:tr w14:paraId="194F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7299817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kern w:val="2"/>
                      <w:sz w:val="21"/>
                      <w:szCs w:val="21"/>
                      <w:highlight w:val="none"/>
                      <w:lang w:eastAsia="zh-CN"/>
                    </w:rPr>
                  </w:pPr>
                  <w:r>
                    <w:rPr>
                      <w:rFonts w:ascii="Times New Roman" w:hAnsi="Times New Roman"/>
                      <w:color w:val="000000"/>
                      <w:kern w:val="2"/>
                      <w:sz w:val="21"/>
                      <w:szCs w:val="21"/>
                      <w:highlight w:val="none"/>
                      <w:lang w:eastAsia="zh-CN"/>
                    </w:rPr>
                    <w:t>5</w:t>
                  </w:r>
                </w:p>
              </w:tc>
              <w:tc>
                <w:tcPr>
                  <w:tcW w:w="2738" w:type="pct"/>
                  <w:noWrap w:val="0"/>
                  <w:vAlign w:val="center"/>
                </w:tcPr>
                <w:p w14:paraId="2BFFF1B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val="en-US" w:eastAsia="en-US"/>
                    </w:rPr>
                  </w:pPr>
                  <w:r>
                    <w:rPr>
                      <w:rFonts w:ascii="Times New Roman" w:hAnsi="Times New Roman" w:eastAsia="宋体" w:cs="Times New Roman"/>
                      <w:color w:val="000000"/>
                      <w:kern w:val="2"/>
                      <w:sz w:val="21"/>
                      <w:szCs w:val="21"/>
                      <w:highlight w:val="none"/>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421" w:type="pct"/>
                  <w:noWrap w:val="0"/>
                  <w:vAlign w:val="center"/>
                </w:tcPr>
                <w:p w14:paraId="7352AAB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eastAsia="zh-CN"/>
                    </w:rPr>
                  </w:pPr>
                  <w:r>
                    <w:rPr>
                      <w:rFonts w:hint="eastAsia" w:ascii="Times New Roman" w:hAnsi="Times New Roman" w:eastAsia="宋体" w:cs="Times New Roman"/>
                      <w:color w:val="000000"/>
                      <w:kern w:val="2"/>
                      <w:sz w:val="21"/>
                      <w:szCs w:val="21"/>
                      <w:highlight w:val="none"/>
                      <w:lang w:eastAsia="zh-CN"/>
                    </w:rPr>
                    <w:t>本项目不利用、</w:t>
                  </w:r>
                  <w:r>
                    <w:rPr>
                      <w:rFonts w:hint="eastAsia" w:ascii="Times New Roman" w:hAnsi="Times New Roman" w:cs="Times New Roman"/>
                      <w:color w:val="000000"/>
                      <w:kern w:val="2"/>
                      <w:sz w:val="21"/>
                      <w:szCs w:val="21"/>
                      <w:highlight w:val="none"/>
                      <w:lang w:val="en-US" w:eastAsia="zh-CN"/>
                    </w:rPr>
                    <w:t>不</w:t>
                  </w:r>
                  <w:r>
                    <w:rPr>
                      <w:rFonts w:hint="eastAsia" w:ascii="Times New Roman" w:hAnsi="Times New Roman" w:eastAsia="宋体" w:cs="Times New Roman"/>
                      <w:color w:val="000000"/>
                      <w:kern w:val="2"/>
                      <w:sz w:val="21"/>
                      <w:szCs w:val="21"/>
                      <w:highlight w:val="none"/>
                      <w:lang w:eastAsia="zh-CN"/>
                    </w:rPr>
                    <w:t>占用长江流域河湖岸线，不在《长江岸线保护和开发利用总体规划》划定的岸线保护区和保留区内</w:t>
                  </w:r>
                </w:p>
              </w:tc>
              <w:tc>
                <w:tcPr>
                  <w:tcW w:w="488" w:type="pct"/>
                  <w:noWrap w:val="0"/>
                  <w:vAlign w:val="center"/>
                </w:tcPr>
                <w:p w14:paraId="360EDC9A">
                  <w:pPr>
                    <w:spacing w:line="240" w:lineRule="auto"/>
                    <w:ind w:firstLine="0" w:firstLineChars="0"/>
                    <w:jc w:val="center"/>
                    <w:rPr>
                      <w:color w:val="000000"/>
                      <w:sz w:val="21"/>
                      <w:szCs w:val="21"/>
                      <w:highlight w:val="none"/>
                      <w:lang w:eastAsia="zh-CN"/>
                    </w:rPr>
                  </w:pPr>
                  <w:r>
                    <w:rPr>
                      <w:rFonts w:ascii="Times New Roman" w:hAnsi="Times New Roman"/>
                      <w:color w:val="000000"/>
                      <w:kern w:val="2"/>
                      <w:sz w:val="21"/>
                      <w:szCs w:val="21"/>
                      <w:highlight w:val="none"/>
                    </w:rPr>
                    <w:t>符合</w:t>
                  </w:r>
                </w:p>
              </w:tc>
            </w:tr>
            <w:tr w14:paraId="5C2A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2006D2B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000000"/>
                      <w:kern w:val="2"/>
                      <w:sz w:val="21"/>
                      <w:szCs w:val="21"/>
                      <w:highlight w:val="none"/>
                      <w:lang w:val="en-US" w:eastAsia="zh-CN"/>
                    </w:rPr>
                  </w:pPr>
                  <w:r>
                    <w:rPr>
                      <w:rFonts w:hint="eastAsia" w:ascii="Times New Roman" w:hAnsi="Times New Roman"/>
                      <w:color w:val="000000"/>
                      <w:kern w:val="2"/>
                      <w:sz w:val="21"/>
                      <w:szCs w:val="21"/>
                      <w:highlight w:val="none"/>
                      <w:lang w:val="en-US" w:eastAsia="zh-CN"/>
                    </w:rPr>
                    <w:t>6</w:t>
                  </w:r>
                </w:p>
              </w:tc>
              <w:tc>
                <w:tcPr>
                  <w:tcW w:w="2738" w:type="pct"/>
                  <w:noWrap w:val="0"/>
                  <w:vAlign w:val="center"/>
                </w:tcPr>
                <w:p w14:paraId="2FAAB6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val="en-US" w:eastAsia="en-US"/>
                    </w:rPr>
                  </w:pPr>
                  <w:r>
                    <w:rPr>
                      <w:rFonts w:ascii="Times New Roman" w:hAnsi="Times New Roman" w:eastAsia="宋体" w:cs="Times New Roman"/>
                      <w:color w:val="000000"/>
                      <w:kern w:val="2"/>
                      <w:sz w:val="21"/>
                      <w:szCs w:val="21"/>
                      <w:highlight w:val="none"/>
                    </w:rPr>
                    <w:t>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的改除外。</w:t>
                  </w:r>
                </w:p>
              </w:tc>
              <w:tc>
                <w:tcPr>
                  <w:tcW w:w="1421" w:type="pct"/>
                  <w:noWrap w:val="0"/>
                  <w:vAlign w:val="center"/>
                </w:tcPr>
                <w:p w14:paraId="15C0AFB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000000"/>
                      <w:kern w:val="2"/>
                      <w:sz w:val="21"/>
                      <w:szCs w:val="21"/>
                      <w:highlight w:val="none"/>
                      <w:lang w:eastAsia="zh-CN"/>
                    </w:rPr>
                  </w:pPr>
                  <w:r>
                    <w:rPr>
                      <w:rFonts w:hint="eastAsia" w:ascii="Times New Roman" w:hAnsi="Times New Roman" w:eastAsia="宋体" w:cs="Times New Roman"/>
                      <w:color w:val="000000"/>
                      <w:kern w:val="2"/>
                      <w:sz w:val="21"/>
                      <w:szCs w:val="21"/>
                      <w:highlight w:val="none"/>
                      <w:lang w:eastAsia="zh-CN"/>
                    </w:rPr>
                    <w:t>本项目距离长江直线距离为</w:t>
                  </w:r>
                  <w:r>
                    <w:rPr>
                      <w:rFonts w:hint="eastAsia" w:ascii="Times New Roman" w:hAnsi="Times New Roman" w:cs="Times New Roman"/>
                      <w:color w:val="000000"/>
                      <w:kern w:val="2"/>
                      <w:sz w:val="21"/>
                      <w:szCs w:val="21"/>
                      <w:highlight w:val="none"/>
                      <w:lang w:val="en-US" w:eastAsia="zh-CN"/>
                    </w:rPr>
                    <w:t>1.01</w:t>
                  </w:r>
                  <w:r>
                    <w:rPr>
                      <w:rFonts w:hint="eastAsia" w:ascii="Times New Roman" w:hAnsi="Times New Roman" w:eastAsia="宋体" w:cs="Times New Roman"/>
                      <w:color w:val="000000"/>
                      <w:kern w:val="2"/>
                      <w:sz w:val="21"/>
                      <w:szCs w:val="21"/>
                      <w:highlight w:val="none"/>
                      <w:lang w:val="en-US" w:eastAsia="zh-CN"/>
                    </w:rPr>
                    <w:t>k</w:t>
                  </w:r>
                  <w:r>
                    <w:rPr>
                      <w:rFonts w:hint="eastAsia" w:ascii="Times New Roman" w:hAnsi="Times New Roman" w:eastAsia="宋体" w:cs="Times New Roman"/>
                      <w:color w:val="000000"/>
                      <w:kern w:val="2"/>
                      <w:sz w:val="21"/>
                      <w:szCs w:val="21"/>
                      <w:highlight w:val="none"/>
                      <w:lang w:eastAsia="zh-CN"/>
                    </w:rPr>
                    <w:t>m，</w:t>
                  </w:r>
                  <w:r>
                    <w:rPr>
                      <w:rFonts w:hint="eastAsia" w:ascii="Times New Roman" w:hAnsi="Times New Roman" w:cs="Times New Roman"/>
                      <w:color w:val="000000"/>
                      <w:kern w:val="2"/>
                      <w:sz w:val="21"/>
                      <w:szCs w:val="21"/>
                      <w:highlight w:val="none"/>
                      <w:lang w:eastAsia="zh-CN"/>
                    </w:rPr>
                    <w:t>不属于</w:t>
                  </w:r>
                  <w:r>
                    <w:rPr>
                      <w:rFonts w:ascii="Times New Roman" w:hAnsi="Times New Roman" w:eastAsia="宋体" w:cs="Times New Roman"/>
                      <w:color w:val="000000"/>
                      <w:kern w:val="2"/>
                      <w:sz w:val="21"/>
                      <w:szCs w:val="21"/>
                      <w:highlight w:val="none"/>
                    </w:rPr>
                    <w:t>尾矿库、冶炼渣库和磷石膏库</w:t>
                  </w:r>
                  <w:r>
                    <w:rPr>
                      <w:rFonts w:hint="eastAsia" w:ascii="Times New Roman" w:hAnsi="Times New Roman" w:cs="Times New Roman"/>
                      <w:color w:val="000000"/>
                      <w:kern w:val="2"/>
                      <w:sz w:val="21"/>
                      <w:szCs w:val="21"/>
                      <w:highlight w:val="none"/>
                      <w:lang w:eastAsia="zh-CN"/>
                    </w:rPr>
                    <w:t>项目</w:t>
                  </w:r>
                </w:p>
              </w:tc>
              <w:tc>
                <w:tcPr>
                  <w:tcW w:w="488" w:type="pct"/>
                  <w:noWrap w:val="0"/>
                  <w:vAlign w:val="center"/>
                </w:tcPr>
                <w:p w14:paraId="1394AB09">
                  <w:pPr>
                    <w:spacing w:line="240" w:lineRule="auto"/>
                    <w:ind w:firstLine="0" w:firstLineChars="0"/>
                    <w:jc w:val="center"/>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符合</w:t>
                  </w:r>
                </w:p>
              </w:tc>
            </w:tr>
            <w:tr w14:paraId="3EC2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5435A9A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000000"/>
                      <w:kern w:val="2"/>
                      <w:sz w:val="21"/>
                      <w:szCs w:val="21"/>
                      <w:highlight w:val="none"/>
                      <w:lang w:val="en-US" w:eastAsia="zh-CN"/>
                    </w:rPr>
                  </w:pPr>
                  <w:r>
                    <w:rPr>
                      <w:rFonts w:hint="eastAsia" w:ascii="Times New Roman" w:hAnsi="Times New Roman"/>
                      <w:color w:val="000000"/>
                      <w:kern w:val="2"/>
                      <w:sz w:val="21"/>
                      <w:szCs w:val="21"/>
                      <w:highlight w:val="none"/>
                      <w:lang w:val="en-US" w:eastAsia="zh-CN"/>
                    </w:rPr>
                    <w:t>7</w:t>
                  </w:r>
                </w:p>
              </w:tc>
              <w:tc>
                <w:tcPr>
                  <w:tcW w:w="2738" w:type="pct"/>
                  <w:noWrap w:val="0"/>
                  <w:vAlign w:val="center"/>
                </w:tcPr>
                <w:p w14:paraId="5E056C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val="en-US" w:eastAsia="en-US"/>
                    </w:rPr>
                  </w:pPr>
                  <w:r>
                    <w:rPr>
                      <w:rFonts w:ascii="Times New Roman" w:hAnsi="Times New Roman" w:eastAsia="宋体" w:cs="Times New Roman"/>
                      <w:color w:val="000000"/>
                      <w:kern w:val="2"/>
                      <w:sz w:val="21"/>
                      <w:szCs w:val="21"/>
                      <w:highlight w:val="none"/>
                    </w:rPr>
                    <w:t>禁止在合规园区外新建、扩建钢铁、石化、化工、焦化、建材、有色、制浆造纸等高污染项目。</w:t>
                  </w:r>
                </w:p>
              </w:tc>
              <w:tc>
                <w:tcPr>
                  <w:tcW w:w="1421" w:type="pct"/>
                  <w:noWrap w:val="0"/>
                  <w:vAlign w:val="center"/>
                </w:tcPr>
                <w:p w14:paraId="4F1578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eastAsia="zh-CN"/>
                    </w:rPr>
                  </w:pPr>
                  <w:r>
                    <w:rPr>
                      <w:rFonts w:hint="eastAsia" w:ascii="Times New Roman" w:hAnsi="Times New Roman" w:eastAsia="宋体" w:cs="Times New Roman"/>
                      <w:color w:val="000000"/>
                      <w:kern w:val="2"/>
                      <w:sz w:val="21"/>
                      <w:szCs w:val="21"/>
                      <w:highlight w:val="none"/>
                      <w:lang w:eastAsia="zh-CN"/>
                    </w:rPr>
                    <w:t>本项目属于</w:t>
                  </w:r>
                  <w:r>
                    <w:rPr>
                      <w:rFonts w:hint="eastAsia" w:ascii="Times New Roman" w:hAnsi="Times New Roman" w:cs="Times New Roman"/>
                      <w:color w:val="000000"/>
                      <w:kern w:val="2"/>
                      <w:sz w:val="21"/>
                      <w:szCs w:val="21"/>
                      <w:highlight w:val="none"/>
                      <w:lang w:eastAsia="zh-CN"/>
                    </w:rPr>
                    <w:t>显示器件</w:t>
                  </w:r>
                  <w:r>
                    <w:rPr>
                      <w:rFonts w:hint="eastAsia" w:ascii="Times New Roman" w:hAnsi="Times New Roman" w:eastAsia="宋体" w:cs="Times New Roman"/>
                      <w:color w:val="000000"/>
                      <w:kern w:val="2"/>
                      <w:sz w:val="21"/>
                      <w:szCs w:val="21"/>
                      <w:highlight w:val="none"/>
                      <w:lang w:eastAsia="zh-CN"/>
                    </w:rPr>
                    <w:t>制造，不属于钢铁、石化、化工、焦化、建材、有色、制浆造纸等高污染项目</w:t>
                  </w:r>
                </w:p>
              </w:tc>
              <w:tc>
                <w:tcPr>
                  <w:tcW w:w="488" w:type="pct"/>
                  <w:noWrap w:val="0"/>
                  <w:vAlign w:val="center"/>
                </w:tcPr>
                <w:p w14:paraId="4FE4C390">
                  <w:pPr>
                    <w:spacing w:line="240" w:lineRule="auto"/>
                    <w:ind w:firstLine="0" w:firstLineChars="0"/>
                    <w:jc w:val="center"/>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符合</w:t>
                  </w:r>
                </w:p>
              </w:tc>
            </w:tr>
            <w:tr w14:paraId="540D8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1817144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000000"/>
                      <w:kern w:val="2"/>
                      <w:sz w:val="21"/>
                      <w:szCs w:val="21"/>
                      <w:highlight w:val="none"/>
                      <w:lang w:val="en-US" w:eastAsia="zh-CN"/>
                    </w:rPr>
                  </w:pPr>
                  <w:r>
                    <w:rPr>
                      <w:rFonts w:hint="eastAsia" w:ascii="Times New Roman" w:hAnsi="Times New Roman"/>
                      <w:color w:val="000000"/>
                      <w:kern w:val="2"/>
                      <w:sz w:val="21"/>
                      <w:szCs w:val="21"/>
                      <w:highlight w:val="none"/>
                      <w:lang w:val="en-US" w:eastAsia="zh-CN"/>
                    </w:rPr>
                    <w:t>8</w:t>
                  </w:r>
                </w:p>
              </w:tc>
              <w:tc>
                <w:tcPr>
                  <w:tcW w:w="2738" w:type="pct"/>
                  <w:noWrap w:val="0"/>
                  <w:vAlign w:val="center"/>
                </w:tcPr>
                <w:p w14:paraId="208C7FE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val="en-US" w:eastAsia="en-US"/>
                    </w:rPr>
                  </w:pPr>
                  <w:r>
                    <w:rPr>
                      <w:rFonts w:ascii="Times New Roman" w:hAnsi="Times New Roman" w:eastAsia="宋体" w:cs="Times New Roman"/>
                      <w:color w:val="000000"/>
                      <w:kern w:val="2"/>
                      <w:sz w:val="21"/>
                      <w:szCs w:val="21"/>
                      <w:highlight w:val="none"/>
                    </w:rPr>
                    <w:t>禁止新建、扩建不符合国家石化、现代煤化工等产业布局规划的项目。</w:t>
                  </w:r>
                </w:p>
              </w:tc>
              <w:tc>
                <w:tcPr>
                  <w:tcW w:w="1421" w:type="pct"/>
                  <w:noWrap w:val="0"/>
                  <w:vAlign w:val="center"/>
                </w:tcPr>
                <w:p w14:paraId="35E891D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eastAsia="zh-CN"/>
                    </w:rPr>
                  </w:pPr>
                  <w:r>
                    <w:rPr>
                      <w:rFonts w:hint="eastAsia" w:ascii="Times New Roman" w:hAnsi="Times New Roman" w:eastAsia="宋体" w:cs="Times New Roman"/>
                      <w:color w:val="000000"/>
                      <w:kern w:val="2"/>
                      <w:sz w:val="21"/>
                      <w:szCs w:val="21"/>
                      <w:highlight w:val="none"/>
                      <w:lang w:eastAsia="zh-CN"/>
                    </w:rPr>
                    <w:t>本项目不属于石化、现代煤化工项目</w:t>
                  </w:r>
                </w:p>
              </w:tc>
              <w:tc>
                <w:tcPr>
                  <w:tcW w:w="488" w:type="pct"/>
                  <w:noWrap w:val="0"/>
                  <w:vAlign w:val="center"/>
                </w:tcPr>
                <w:p w14:paraId="08D19BFF">
                  <w:pPr>
                    <w:spacing w:line="240" w:lineRule="auto"/>
                    <w:ind w:firstLine="0" w:firstLineChars="0"/>
                    <w:jc w:val="center"/>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符合</w:t>
                  </w:r>
                </w:p>
              </w:tc>
            </w:tr>
            <w:tr w14:paraId="4B2E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2" w:type="pct"/>
                  <w:noWrap w:val="0"/>
                  <w:vAlign w:val="center"/>
                </w:tcPr>
                <w:p w14:paraId="48487B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000000"/>
                      <w:kern w:val="2"/>
                      <w:sz w:val="21"/>
                      <w:szCs w:val="21"/>
                      <w:highlight w:val="none"/>
                      <w:lang w:val="en-US" w:eastAsia="zh-CN"/>
                    </w:rPr>
                  </w:pPr>
                  <w:r>
                    <w:rPr>
                      <w:rFonts w:hint="eastAsia" w:ascii="Times New Roman" w:hAnsi="Times New Roman"/>
                      <w:color w:val="000000"/>
                      <w:kern w:val="2"/>
                      <w:sz w:val="21"/>
                      <w:szCs w:val="21"/>
                      <w:highlight w:val="none"/>
                      <w:lang w:val="en-US" w:eastAsia="zh-CN"/>
                    </w:rPr>
                    <w:t>9</w:t>
                  </w:r>
                </w:p>
              </w:tc>
              <w:tc>
                <w:tcPr>
                  <w:tcW w:w="2738" w:type="pct"/>
                  <w:noWrap w:val="0"/>
                  <w:vAlign w:val="center"/>
                </w:tcPr>
                <w:p w14:paraId="65E9ABD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val="en-US" w:eastAsia="en-US"/>
                    </w:rPr>
                  </w:pPr>
                  <w:r>
                    <w:rPr>
                      <w:rFonts w:ascii="Times New Roman" w:hAnsi="Times New Roman" w:eastAsia="宋体" w:cs="Times New Roman"/>
                      <w:color w:val="000000"/>
                      <w:kern w:val="2"/>
                      <w:sz w:val="21"/>
                      <w:szCs w:val="21"/>
                      <w:highlight w:val="none"/>
                    </w:rPr>
                    <w:t>禁止新建、扩建法律法规和相关政策明令禁止的落后产能项目。禁止新建、扩建不符合国家产能置换要求的严重过剩产能行业的项目。禁止新建、扩建不符合要求的高耗能高排放项目。</w:t>
                  </w:r>
                </w:p>
              </w:tc>
              <w:tc>
                <w:tcPr>
                  <w:tcW w:w="1421" w:type="pct"/>
                  <w:noWrap w:val="0"/>
                  <w:vAlign w:val="center"/>
                </w:tcPr>
                <w:p w14:paraId="6C2AA12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kern w:val="2"/>
                      <w:sz w:val="21"/>
                      <w:szCs w:val="21"/>
                      <w:highlight w:val="none"/>
                      <w:lang w:eastAsia="zh-CN"/>
                    </w:rPr>
                  </w:pPr>
                  <w:r>
                    <w:rPr>
                      <w:rFonts w:hint="eastAsia" w:ascii="Times New Roman" w:hAnsi="Times New Roman" w:eastAsia="宋体" w:cs="Times New Roman"/>
                      <w:color w:val="000000"/>
                      <w:kern w:val="2"/>
                      <w:sz w:val="21"/>
                      <w:szCs w:val="21"/>
                      <w:highlight w:val="none"/>
                      <w:lang w:eastAsia="zh-CN"/>
                    </w:rPr>
                    <w:t>本项目不属于落后产能项目、过剩产能行业的项目、高耗能高排放项目</w:t>
                  </w:r>
                </w:p>
              </w:tc>
              <w:tc>
                <w:tcPr>
                  <w:tcW w:w="488" w:type="pct"/>
                  <w:noWrap w:val="0"/>
                  <w:vAlign w:val="center"/>
                </w:tcPr>
                <w:p w14:paraId="7DF7F765">
                  <w:pPr>
                    <w:spacing w:line="240" w:lineRule="auto"/>
                    <w:ind w:firstLine="0" w:firstLineChars="0"/>
                    <w:jc w:val="center"/>
                    <w:rPr>
                      <w:rFonts w:ascii="Times New Roman" w:hAnsi="Times New Roman"/>
                      <w:color w:val="000000"/>
                      <w:kern w:val="2"/>
                      <w:sz w:val="21"/>
                      <w:szCs w:val="21"/>
                      <w:highlight w:val="none"/>
                    </w:rPr>
                  </w:pPr>
                  <w:r>
                    <w:rPr>
                      <w:rFonts w:ascii="Times New Roman" w:hAnsi="Times New Roman"/>
                      <w:color w:val="000000"/>
                      <w:kern w:val="2"/>
                      <w:sz w:val="21"/>
                      <w:szCs w:val="21"/>
                      <w:highlight w:val="none"/>
                    </w:rPr>
                    <w:t>符合</w:t>
                  </w:r>
                </w:p>
              </w:tc>
            </w:tr>
          </w:tbl>
          <w:p w14:paraId="7C54522D">
            <w:pPr>
              <w:numPr>
                <w:ilvl w:val="0"/>
                <w:numId w:val="5"/>
              </w:numPr>
              <w:spacing w:line="360" w:lineRule="auto"/>
              <w:ind w:firstLine="482" w:firstLineChars="200"/>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与《安徽省挥发性有机物污染整治工作方案》相符性分析</w:t>
            </w:r>
          </w:p>
          <w:p w14:paraId="40BF3584">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表1-7  与《安徽省挥发性有机物污染整治工作方案》相符性分析</w:t>
            </w:r>
          </w:p>
          <w:tbl>
            <w:tblPr>
              <w:tblStyle w:val="23"/>
              <w:tblW w:w="7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3130"/>
              <w:gridCol w:w="2825"/>
              <w:gridCol w:w="966"/>
            </w:tblGrid>
            <w:tr w14:paraId="799E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18983DF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ascii="Times New Roman" w:hAnsi="Times New Roman"/>
                      <w:b/>
                      <w:bCs/>
                      <w:color w:val="000000"/>
                      <w:kern w:val="2"/>
                      <w:sz w:val="21"/>
                      <w:szCs w:val="21"/>
                      <w:highlight w:val="none"/>
                      <w:lang w:eastAsia="zh-CN"/>
                    </w:rPr>
                    <w:t>序号</w:t>
                  </w:r>
                </w:p>
              </w:tc>
              <w:tc>
                <w:tcPr>
                  <w:tcW w:w="3130" w:type="dxa"/>
                  <w:vAlign w:val="center"/>
                </w:tcPr>
                <w:p w14:paraId="163ECEC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000000"/>
                      <w:kern w:val="2"/>
                      <w:sz w:val="21"/>
                      <w:szCs w:val="21"/>
                      <w:highlight w:val="none"/>
                      <w:lang w:val="en-US" w:eastAsia="zh-CN" w:bidi="ar-SA"/>
                    </w:rPr>
                  </w:pPr>
                  <w:r>
                    <w:rPr>
                      <w:rFonts w:hint="eastAsia" w:ascii="Times New Roman" w:hAnsi="Times New Roman" w:cs="Times New Roman"/>
                      <w:b/>
                      <w:bCs/>
                      <w:color w:val="000000"/>
                      <w:kern w:val="2"/>
                      <w:sz w:val="21"/>
                      <w:szCs w:val="21"/>
                      <w:highlight w:val="none"/>
                      <w:lang w:eastAsia="zh-CN"/>
                    </w:rPr>
                    <w:t>方案要求</w:t>
                  </w:r>
                </w:p>
              </w:tc>
              <w:tc>
                <w:tcPr>
                  <w:tcW w:w="2825" w:type="dxa"/>
                  <w:vAlign w:val="center"/>
                </w:tcPr>
                <w:p w14:paraId="022B4C8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000000"/>
                      <w:kern w:val="2"/>
                      <w:sz w:val="21"/>
                      <w:szCs w:val="21"/>
                      <w:highlight w:val="none"/>
                      <w:lang w:val="en-US" w:eastAsia="zh-CN" w:bidi="ar-SA"/>
                    </w:rPr>
                  </w:pPr>
                  <w:r>
                    <w:rPr>
                      <w:rFonts w:ascii="Times New Roman" w:hAnsi="Times New Roman" w:eastAsia="宋体" w:cs="Times New Roman"/>
                      <w:b/>
                      <w:bCs/>
                      <w:color w:val="000000"/>
                      <w:kern w:val="2"/>
                      <w:sz w:val="21"/>
                      <w:szCs w:val="21"/>
                      <w:highlight w:val="none"/>
                    </w:rPr>
                    <w:t>本项目情况</w:t>
                  </w:r>
                </w:p>
              </w:tc>
              <w:tc>
                <w:tcPr>
                  <w:tcW w:w="966" w:type="dxa"/>
                  <w:vAlign w:val="center"/>
                </w:tcPr>
                <w:p w14:paraId="6823CF2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000000"/>
                      <w:kern w:val="2"/>
                      <w:sz w:val="21"/>
                      <w:szCs w:val="21"/>
                      <w:highlight w:val="none"/>
                      <w:lang w:val="en-US" w:eastAsia="zh-CN" w:bidi="ar-SA"/>
                    </w:rPr>
                  </w:pPr>
                  <w:r>
                    <w:rPr>
                      <w:rFonts w:ascii="Times New Roman" w:hAnsi="Times New Roman" w:eastAsia="宋体" w:cs="Times New Roman"/>
                      <w:b/>
                      <w:bCs/>
                      <w:color w:val="000000"/>
                      <w:kern w:val="2"/>
                      <w:sz w:val="21"/>
                      <w:szCs w:val="21"/>
                      <w:highlight w:val="none"/>
                    </w:rPr>
                    <w:t>相符性</w:t>
                  </w:r>
                </w:p>
              </w:tc>
            </w:tr>
            <w:tr w14:paraId="3AE5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406F230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1</w:t>
                  </w:r>
                </w:p>
              </w:tc>
              <w:tc>
                <w:tcPr>
                  <w:tcW w:w="3130" w:type="dxa"/>
                  <w:vAlign w:val="center"/>
                </w:tcPr>
                <w:p w14:paraId="4077693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highlight w:val="none"/>
                      <w:lang w:val="en-US" w:eastAsia="zh-CN"/>
                    </w:rPr>
                  </w:pPr>
                  <w:r>
                    <w:rPr>
                      <w:rFonts w:hint="default" w:ascii="Times New Roman" w:hAnsi="Times New Roman" w:eastAsia="宋体" w:cs="Times New Roman"/>
                      <w:color w:val="000000"/>
                      <w:kern w:val="2"/>
                      <w:sz w:val="21"/>
                      <w:szCs w:val="21"/>
                      <w:highlight w:val="none"/>
                      <w:lang w:val="en-US" w:eastAsia="zh-CN"/>
                    </w:rPr>
                    <w:t>严格各类产业园区设立和布局，各类产业园区必须履行规划环评，通过规划环评和项目环评联动，促进产业布局调整优化。将控制挥发性有机物排放列入建设项目环境影响评价重要内容，严格环境准入，严控“两高”行业新增产能。</w:t>
                  </w:r>
                </w:p>
              </w:tc>
              <w:tc>
                <w:tcPr>
                  <w:tcW w:w="2825" w:type="dxa"/>
                  <w:vAlign w:val="center"/>
                </w:tcPr>
                <w:p w14:paraId="58C94D0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highlight w:val="none"/>
                      <w:lang w:val="en-US" w:eastAsia="zh-CN"/>
                    </w:rPr>
                  </w:pPr>
                  <w:r>
                    <w:rPr>
                      <w:rFonts w:hint="default" w:ascii="Times New Roman" w:hAnsi="Times New Roman" w:eastAsia="宋体" w:cs="Times New Roman"/>
                      <w:color w:val="000000"/>
                      <w:kern w:val="2"/>
                      <w:sz w:val="21"/>
                      <w:szCs w:val="21"/>
                      <w:highlight w:val="none"/>
                      <w:lang w:val="en-US" w:eastAsia="zh-CN"/>
                    </w:rPr>
                    <w:t>皖江江南新兴产业集中区已履行规划环评手续。本项目已委托开展环境影响评价工作，本次评价将VOCs纳入环境影响评价内。</w:t>
                  </w:r>
                </w:p>
              </w:tc>
              <w:tc>
                <w:tcPr>
                  <w:tcW w:w="966" w:type="dxa"/>
                  <w:vAlign w:val="center"/>
                </w:tcPr>
                <w:p w14:paraId="7C95521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highlight w:val="none"/>
                      <w:lang w:val="en-US" w:eastAsia="zh-CN"/>
                    </w:rPr>
                  </w:pPr>
                  <w:r>
                    <w:rPr>
                      <w:rFonts w:ascii="Times New Roman" w:hAnsi="Times New Roman"/>
                      <w:color w:val="000000"/>
                      <w:kern w:val="2"/>
                      <w:sz w:val="21"/>
                      <w:szCs w:val="21"/>
                      <w:highlight w:val="none"/>
                    </w:rPr>
                    <w:t>符合</w:t>
                  </w:r>
                </w:p>
              </w:tc>
            </w:tr>
            <w:tr w14:paraId="1B95B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60278EE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2</w:t>
                  </w:r>
                </w:p>
              </w:tc>
              <w:tc>
                <w:tcPr>
                  <w:tcW w:w="3130" w:type="dxa"/>
                  <w:vAlign w:val="center"/>
                </w:tcPr>
                <w:p w14:paraId="470A6C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highlight w:val="none"/>
                      <w:lang w:val="en-US" w:eastAsia="zh-CN"/>
                    </w:rPr>
                  </w:pPr>
                  <w:r>
                    <w:rPr>
                      <w:rFonts w:hint="default" w:ascii="Times New Roman" w:hAnsi="Times New Roman" w:eastAsia="宋体" w:cs="Times New Roman"/>
                      <w:color w:val="000000"/>
                      <w:kern w:val="2"/>
                      <w:sz w:val="21"/>
                      <w:szCs w:val="21"/>
                      <w:highlight w:val="none"/>
                      <w:lang w:val="en-US" w:eastAsia="zh-CN"/>
                    </w:rPr>
                    <w:t>新建、迁建VOCs排放量大的企业应入工业园区并符合规划要求，必须建设挥发性有机物污染治理设施，安装废气收集、回收或净化装置，原则上总净化效率不得低于90%。建立VOCs排放总量控制制度。</w:t>
                  </w:r>
                </w:p>
              </w:tc>
              <w:tc>
                <w:tcPr>
                  <w:tcW w:w="2825" w:type="dxa"/>
                  <w:vAlign w:val="center"/>
                </w:tcPr>
                <w:p w14:paraId="6F28AB7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highlight w:val="none"/>
                      <w:lang w:val="en-US" w:eastAsia="zh-CN"/>
                    </w:rPr>
                  </w:pPr>
                  <w:r>
                    <w:rPr>
                      <w:rFonts w:hint="default" w:ascii="Times New Roman" w:hAnsi="Times New Roman" w:eastAsia="宋体" w:cs="Times New Roman"/>
                      <w:color w:val="000000"/>
                      <w:kern w:val="2"/>
                      <w:sz w:val="21"/>
                      <w:szCs w:val="21"/>
                      <w:highlight w:val="none"/>
                      <w:lang w:val="en-US" w:eastAsia="zh-CN"/>
                    </w:rPr>
                    <w:t>项目不属于重点企业。项目加强废气收集，</w:t>
                  </w:r>
                  <w:r>
                    <w:rPr>
                      <w:rFonts w:hint="eastAsia" w:ascii="Times New Roman" w:hAnsi="Times New Roman" w:cs="Times New Roman"/>
                      <w:color w:val="000000"/>
                      <w:kern w:val="2"/>
                      <w:sz w:val="21"/>
                      <w:szCs w:val="21"/>
                      <w:highlight w:val="none"/>
                      <w:lang w:val="en-US" w:eastAsia="zh-CN"/>
                    </w:rPr>
                    <w:t>产生的</w:t>
                  </w:r>
                  <w:r>
                    <w:rPr>
                      <w:rFonts w:hint="default" w:ascii="Times New Roman" w:hAnsi="Times New Roman" w:eastAsia="宋体" w:cs="Times New Roman"/>
                      <w:color w:val="000000"/>
                      <w:kern w:val="2"/>
                      <w:sz w:val="21"/>
                      <w:szCs w:val="21"/>
                      <w:highlight w:val="none"/>
                      <w:lang w:val="en-US" w:eastAsia="zh-CN"/>
                    </w:rPr>
                    <w:t>废气</w:t>
                  </w:r>
                  <w:r>
                    <w:rPr>
                      <w:rFonts w:hint="eastAsia" w:ascii="Times New Roman" w:hAnsi="Times New Roman" w:eastAsia="宋体" w:cs="Times New Roman"/>
                      <w:color w:val="000000"/>
                      <w:kern w:val="2"/>
                      <w:sz w:val="21"/>
                      <w:szCs w:val="21"/>
                      <w:highlight w:val="none"/>
                      <w:lang w:val="en-US" w:eastAsia="zh-CN"/>
                    </w:rPr>
                    <w:t>通过前端</w:t>
                  </w:r>
                  <w:r>
                    <w:rPr>
                      <w:rFonts w:hint="eastAsia" w:cs="Times New Roman"/>
                      <w:sz w:val="21"/>
                      <w:szCs w:val="21"/>
                      <w:highlight w:val="none"/>
                      <w:lang w:val="en-US" w:eastAsia="zh-CN"/>
                    </w:rPr>
                    <w:t>集气罩/负压管道收集</w:t>
                  </w:r>
                  <w:r>
                    <w:rPr>
                      <w:rFonts w:hint="eastAsia" w:ascii="Times New Roman" w:hAnsi="Times New Roman" w:eastAsia="宋体" w:cs="Times New Roman"/>
                      <w:color w:val="000000"/>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eastAsia" w:ascii="Times New Roman" w:hAnsi="Times New Roman" w:eastAsia="宋体" w:cs="Times New Roman"/>
                      <w:color w:val="000000"/>
                      <w:kern w:val="2"/>
                      <w:sz w:val="21"/>
                      <w:szCs w:val="21"/>
                      <w:highlight w:val="none"/>
                      <w:lang w:val="en-US" w:eastAsia="zh-CN"/>
                    </w:rPr>
                    <w:t>二级活性炭吸附装置处理，最后经2</w:t>
                  </w:r>
                  <w:r>
                    <w:rPr>
                      <w:rFonts w:hint="eastAsia" w:ascii="Times New Roman" w:hAnsi="Times New Roman" w:cs="Times New Roman"/>
                      <w:color w:val="000000"/>
                      <w:kern w:val="2"/>
                      <w:sz w:val="21"/>
                      <w:szCs w:val="21"/>
                      <w:highlight w:val="none"/>
                      <w:lang w:val="en-US" w:eastAsia="zh-CN"/>
                    </w:rPr>
                    <w:t>0</w:t>
                  </w:r>
                  <w:r>
                    <w:rPr>
                      <w:rFonts w:hint="eastAsia" w:ascii="Times New Roman" w:hAnsi="Times New Roman" w:eastAsia="宋体" w:cs="Times New Roman"/>
                      <w:color w:val="000000"/>
                      <w:kern w:val="2"/>
                      <w:sz w:val="21"/>
                      <w:szCs w:val="21"/>
                      <w:highlight w:val="none"/>
                      <w:lang w:val="en-US" w:eastAsia="zh-CN"/>
                    </w:rPr>
                    <w:t>m高排气筒排放</w:t>
                  </w:r>
                </w:p>
              </w:tc>
              <w:tc>
                <w:tcPr>
                  <w:tcW w:w="966" w:type="dxa"/>
                  <w:vAlign w:val="center"/>
                </w:tcPr>
                <w:p w14:paraId="0E0236A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highlight w:val="none"/>
                      <w:lang w:val="en-US" w:eastAsia="zh-CN"/>
                    </w:rPr>
                  </w:pPr>
                  <w:r>
                    <w:rPr>
                      <w:rFonts w:ascii="Times New Roman" w:hAnsi="Times New Roman"/>
                      <w:color w:val="000000"/>
                      <w:kern w:val="2"/>
                      <w:sz w:val="21"/>
                      <w:szCs w:val="21"/>
                      <w:highlight w:val="none"/>
                    </w:rPr>
                    <w:t>符合</w:t>
                  </w:r>
                </w:p>
              </w:tc>
            </w:tr>
          </w:tbl>
          <w:p w14:paraId="584E51AE">
            <w:pPr>
              <w:widowControl/>
              <w:spacing w:line="360" w:lineRule="auto"/>
              <w:ind w:firstLine="482" w:firstLineChars="200"/>
              <w:jc w:val="left"/>
              <w:rPr>
                <w:rFonts w:hint="default" w:ascii="Times New Roman" w:hAnsi="Times New Roman" w:eastAsia="宋体"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9、与《挥发性有机物无组织排放控制标准》(GB 37822—2019)相符性分析</w:t>
            </w:r>
          </w:p>
          <w:p w14:paraId="2B5A0EF8">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表1-8  与《挥发性有机物无组织排放控制标准》相符性分析</w:t>
            </w:r>
          </w:p>
          <w:tbl>
            <w:tblPr>
              <w:tblStyle w:val="23"/>
              <w:tblW w:w="7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115"/>
              <w:gridCol w:w="2915"/>
              <w:gridCol w:w="876"/>
            </w:tblGrid>
            <w:tr w14:paraId="761B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D3C9D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000000"/>
                      <w:kern w:val="2"/>
                      <w:sz w:val="21"/>
                      <w:szCs w:val="21"/>
                      <w:highlight w:val="none"/>
                      <w:lang w:val="en-US" w:eastAsia="zh-CN" w:bidi="ar-SA"/>
                    </w:rPr>
                  </w:pPr>
                  <w:r>
                    <w:rPr>
                      <w:rFonts w:ascii="Times New Roman" w:hAnsi="Times New Roman"/>
                      <w:b/>
                      <w:bCs/>
                      <w:color w:val="000000"/>
                      <w:kern w:val="2"/>
                      <w:sz w:val="21"/>
                      <w:szCs w:val="21"/>
                      <w:highlight w:val="none"/>
                      <w:lang w:eastAsia="zh-CN"/>
                    </w:rPr>
                    <w:t>序号</w:t>
                  </w:r>
                </w:p>
              </w:tc>
              <w:tc>
                <w:tcPr>
                  <w:tcW w:w="3115" w:type="dxa"/>
                  <w:vAlign w:val="center"/>
                </w:tcPr>
                <w:p w14:paraId="07A53A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000000"/>
                      <w:kern w:val="2"/>
                      <w:sz w:val="21"/>
                      <w:szCs w:val="21"/>
                      <w:highlight w:val="none"/>
                      <w:lang w:val="en-US" w:eastAsia="zh-CN" w:bidi="ar-SA"/>
                    </w:rPr>
                  </w:pPr>
                  <w:r>
                    <w:rPr>
                      <w:rFonts w:hint="eastAsia" w:ascii="Times New Roman" w:hAnsi="Times New Roman" w:cs="Times New Roman"/>
                      <w:b/>
                      <w:bCs/>
                      <w:color w:val="000000"/>
                      <w:kern w:val="2"/>
                      <w:sz w:val="21"/>
                      <w:szCs w:val="21"/>
                      <w:highlight w:val="none"/>
                      <w:lang w:eastAsia="zh-CN"/>
                    </w:rPr>
                    <w:t>标准要求</w:t>
                  </w:r>
                </w:p>
              </w:tc>
              <w:tc>
                <w:tcPr>
                  <w:tcW w:w="2915" w:type="dxa"/>
                  <w:vAlign w:val="center"/>
                </w:tcPr>
                <w:p w14:paraId="44CC035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000000"/>
                      <w:kern w:val="2"/>
                      <w:sz w:val="21"/>
                      <w:szCs w:val="21"/>
                      <w:highlight w:val="none"/>
                      <w:lang w:val="en-US" w:eastAsia="zh-CN" w:bidi="ar-SA"/>
                    </w:rPr>
                  </w:pPr>
                  <w:r>
                    <w:rPr>
                      <w:rFonts w:ascii="Times New Roman" w:hAnsi="Times New Roman" w:eastAsia="宋体" w:cs="Times New Roman"/>
                      <w:b/>
                      <w:bCs/>
                      <w:color w:val="000000"/>
                      <w:kern w:val="2"/>
                      <w:sz w:val="21"/>
                      <w:szCs w:val="21"/>
                      <w:highlight w:val="none"/>
                    </w:rPr>
                    <w:t>本项目情况</w:t>
                  </w:r>
                </w:p>
              </w:tc>
              <w:tc>
                <w:tcPr>
                  <w:tcW w:w="876" w:type="dxa"/>
                  <w:vAlign w:val="center"/>
                </w:tcPr>
                <w:p w14:paraId="188D91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000000"/>
                      <w:kern w:val="2"/>
                      <w:sz w:val="21"/>
                      <w:szCs w:val="21"/>
                      <w:highlight w:val="none"/>
                      <w:lang w:val="en-US" w:eastAsia="zh-CN" w:bidi="ar-SA"/>
                    </w:rPr>
                  </w:pPr>
                  <w:r>
                    <w:rPr>
                      <w:rFonts w:ascii="Times New Roman" w:hAnsi="Times New Roman" w:eastAsia="宋体" w:cs="Times New Roman"/>
                      <w:b/>
                      <w:bCs/>
                      <w:color w:val="000000"/>
                      <w:kern w:val="2"/>
                      <w:sz w:val="21"/>
                      <w:szCs w:val="21"/>
                      <w:highlight w:val="none"/>
                    </w:rPr>
                    <w:t>相符性</w:t>
                  </w:r>
                </w:p>
              </w:tc>
            </w:tr>
            <w:tr w14:paraId="7E72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82C2DA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1</w:t>
                  </w:r>
                </w:p>
              </w:tc>
              <w:tc>
                <w:tcPr>
                  <w:tcW w:w="3115" w:type="dxa"/>
                  <w:vAlign w:val="center"/>
                </w:tcPr>
                <w:p w14:paraId="749A037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VOCs物料应储存于密闭的容器、包装袋、储罐、储库、料仓中；盛装VOCs物料的容器或包装袋应存放于室内，或存放于设置有雨棚、遮阳和防渗设施的专用场地。非取用状态时应加盖、封口，保持密闭。</w:t>
                  </w:r>
                </w:p>
              </w:tc>
              <w:tc>
                <w:tcPr>
                  <w:tcW w:w="2915" w:type="dxa"/>
                  <w:vAlign w:val="center"/>
                </w:tcPr>
                <w:p w14:paraId="0DEE4ED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本项目挥发性有机物原料贮存于密闭容器里，室内贮存</w:t>
                  </w:r>
                </w:p>
              </w:tc>
              <w:tc>
                <w:tcPr>
                  <w:tcW w:w="876" w:type="dxa"/>
                  <w:vAlign w:val="center"/>
                </w:tcPr>
                <w:p w14:paraId="357C4FF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000000"/>
                      <w:kern w:val="2"/>
                      <w:sz w:val="21"/>
                      <w:szCs w:val="21"/>
                      <w:highlight w:val="none"/>
                      <w:lang w:val="en-US" w:eastAsia="zh-CN"/>
                    </w:rPr>
                  </w:pPr>
                  <w:r>
                    <w:rPr>
                      <w:rFonts w:ascii="Times New Roman" w:hAnsi="Times New Roman"/>
                      <w:color w:val="000000"/>
                      <w:kern w:val="2"/>
                      <w:sz w:val="21"/>
                      <w:szCs w:val="21"/>
                      <w:highlight w:val="none"/>
                    </w:rPr>
                    <w:t>符合</w:t>
                  </w:r>
                </w:p>
              </w:tc>
            </w:tr>
            <w:tr w14:paraId="5CB5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0F2E99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2</w:t>
                  </w:r>
                </w:p>
              </w:tc>
              <w:tc>
                <w:tcPr>
                  <w:tcW w:w="3115" w:type="dxa"/>
                  <w:vAlign w:val="center"/>
                </w:tcPr>
                <w:p w14:paraId="5B22C5C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液态VOCs物料应采用密闭管道输送。采用非管道输送方式转移液态VOCs物料时，应采用密闭容器、罐车。</w:t>
                  </w:r>
                </w:p>
              </w:tc>
              <w:tc>
                <w:tcPr>
                  <w:tcW w:w="2915" w:type="dxa"/>
                  <w:vAlign w:val="center"/>
                </w:tcPr>
                <w:p w14:paraId="292BC57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项目液态挥发性有机物原料（酒精）运输过程中全程密闭</w:t>
                  </w:r>
                </w:p>
              </w:tc>
              <w:tc>
                <w:tcPr>
                  <w:tcW w:w="876" w:type="dxa"/>
                  <w:vAlign w:val="center"/>
                </w:tcPr>
                <w:p w14:paraId="0FF5D85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000000"/>
                      <w:kern w:val="2"/>
                      <w:sz w:val="21"/>
                      <w:szCs w:val="21"/>
                      <w:highlight w:val="none"/>
                      <w:lang w:val="en-US" w:eastAsia="zh-CN"/>
                    </w:rPr>
                  </w:pPr>
                  <w:r>
                    <w:rPr>
                      <w:rFonts w:ascii="Times New Roman" w:hAnsi="Times New Roman"/>
                      <w:color w:val="000000"/>
                      <w:kern w:val="2"/>
                      <w:sz w:val="21"/>
                      <w:szCs w:val="21"/>
                      <w:highlight w:val="none"/>
                    </w:rPr>
                    <w:t>符合</w:t>
                  </w:r>
                </w:p>
              </w:tc>
            </w:tr>
            <w:tr w14:paraId="2B85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4921CB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3</w:t>
                  </w:r>
                </w:p>
              </w:tc>
              <w:tc>
                <w:tcPr>
                  <w:tcW w:w="3115" w:type="dxa"/>
                  <w:vAlign w:val="center"/>
                </w:tcPr>
                <w:p w14:paraId="56D240D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液态VOCs物料应采用密闭管道输送或高位槽(罐)、桶泵等给料方式密闭投加，无法密闭的应在密闭室内操作，或进行局部气体收集，废气应排至VOCs废气收集处理系统。</w:t>
                  </w:r>
                </w:p>
              </w:tc>
              <w:tc>
                <w:tcPr>
                  <w:tcW w:w="2915" w:type="dxa"/>
                  <w:vAlign w:val="center"/>
                </w:tcPr>
                <w:p w14:paraId="5C1810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000000"/>
                      <w:kern w:val="2"/>
                      <w:sz w:val="21"/>
                      <w:szCs w:val="21"/>
                      <w:highlight w:val="none"/>
                      <w:lang w:val="en-US" w:eastAsia="zh-CN"/>
                    </w:rPr>
                  </w:pPr>
                  <w:r>
                    <w:rPr>
                      <w:rFonts w:hint="eastAsia" w:ascii="Times New Roman" w:hAnsi="Times New Roman" w:cs="Times New Roman"/>
                      <w:color w:val="000000"/>
                      <w:kern w:val="2"/>
                      <w:sz w:val="21"/>
                      <w:szCs w:val="21"/>
                      <w:highlight w:val="none"/>
                      <w:lang w:val="en-US" w:eastAsia="zh-CN"/>
                    </w:rPr>
                    <w:t>项目液态挥发性有机物（酒精）使用位于密闭生产车间，产生的</w:t>
                  </w:r>
                  <w:r>
                    <w:rPr>
                      <w:rFonts w:hint="default" w:ascii="Times New Roman" w:hAnsi="Times New Roman" w:eastAsia="宋体" w:cs="Times New Roman"/>
                      <w:color w:val="000000"/>
                      <w:kern w:val="2"/>
                      <w:sz w:val="21"/>
                      <w:szCs w:val="21"/>
                      <w:highlight w:val="none"/>
                      <w:lang w:val="en-US" w:eastAsia="zh-CN"/>
                    </w:rPr>
                    <w:t>废气通过前端</w:t>
                  </w:r>
                  <w:r>
                    <w:rPr>
                      <w:rFonts w:hint="eastAsia" w:cs="Times New Roman"/>
                      <w:sz w:val="21"/>
                      <w:szCs w:val="21"/>
                      <w:highlight w:val="none"/>
                      <w:lang w:val="en-US" w:eastAsia="zh-CN"/>
                    </w:rPr>
                    <w:t>集气罩/负压管道收集</w:t>
                  </w:r>
                  <w:r>
                    <w:rPr>
                      <w:rFonts w:hint="default" w:ascii="Times New Roman" w:hAnsi="Times New Roman" w:eastAsia="宋体" w:cs="Times New Roman"/>
                      <w:color w:val="000000"/>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default" w:ascii="Times New Roman" w:hAnsi="Times New Roman" w:eastAsia="宋体" w:cs="Times New Roman"/>
                      <w:color w:val="000000"/>
                      <w:kern w:val="2"/>
                      <w:sz w:val="21"/>
                      <w:szCs w:val="21"/>
                      <w:highlight w:val="none"/>
                      <w:lang w:val="en-US" w:eastAsia="zh-CN"/>
                    </w:rPr>
                    <w:t>二级活性炭吸附装置处理，最后经2</w:t>
                  </w:r>
                  <w:r>
                    <w:rPr>
                      <w:rFonts w:hint="eastAsia" w:ascii="Times New Roman" w:hAnsi="Times New Roman" w:cs="Times New Roman"/>
                      <w:color w:val="000000"/>
                      <w:kern w:val="2"/>
                      <w:sz w:val="21"/>
                      <w:szCs w:val="21"/>
                      <w:highlight w:val="none"/>
                      <w:lang w:val="en-US" w:eastAsia="zh-CN"/>
                    </w:rPr>
                    <w:t>0</w:t>
                  </w:r>
                  <w:r>
                    <w:rPr>
                      <w:rFonts w:hint="default" w:ascii="Times New Roman" w:hAnsi="Times New Roman" w:eastAsia="宋体" w:cs="Times New Roman"/>
                      <w:color w:val="000000"/>
                      <w:kern w:val="2"/>
                      <w:sz w:val="21"/>
                      <w:szCs w:val="21"/>
                      <w:highlight w:val="none"/>
                      <w:lang w:val="en-US" w:eastAsia="zh-CN"/>
                    </w:rPr>
                    <w:t>m高排气筒排放</w:t>
                  </w:r>
                </w:p>
              </w:tc>
              <w:tc>
                <w:tcPr>
                  <w:tcW w:w="876" w:type="dxa"/>
                  <w:vAlign w:val="center"/>
                </w:tcPr>
                <w:p w14:paraId="2463CD6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000000"/>
                      <w:kern w:val="2"/>
                      <w:sz w:val="21"/>
                      <w:szCs w:val="21"/>
                      <w:highlight w:val="none"/>
                      <w:lang w:val="en-US" w:eastAsia="zh-CN"/>
                    </w:rPr>
                  </w:pPr>
                  <w:r>
                    <w:rPr>
                      <w:rFonts w:ascii="Times New Roman" w:hAnsi="Times New Roman"/>
                      <w:color w:val="000000"/>
                      <w:kern w:val="2"/>
                      <w:sz w:val="21"/>
                      <w:szCs w:val="21"/>
                      <w:highlight w:val="none"/>
                    </w:rPr>
                    <w:t>符合</w:t>
                  </w:r>
                </w:p>
              </w:tc>
            </w:tr>
          </w:tbl>
          <w:p w14:paraId="50B07812">
            <w:pPr>
              <w:widowControl/>
              <w:spacing w:line="360" w:lineRule="auto"/>
              <w:jc w:val="left"/>
              <w:rPr>
                <w:rFonts w:hint="eastAsia" w:ascii="Times New Roman" w:hAnsi="Times New Roman" w:eastAsia="宋体" w:cs="Times New Roman"/>
                <w:color w:val="000000"/>
                <w:kern w:val="0"/>
                <w:sz w:val="24"/>
                <w:szCs w:val="24"/>
                <w:highlight w:val="none"/>
                <w:lang w:val="en-US" w:eastAsia="zh-CN" w:bidi="ar"/>
              </w:rPr>
            </w:pPr>
          </w:p>
          <w:p w14:paraId="49C39FC8">
            <w:pPr>
              <w:rPr>
                <w:rFonts w:hint="default"/>
                <w:color w:val="auto"/>
                <w:sz w:val="24"/>
                <w:szCs w:val="24"/>
                <w:highlight w:val="none"/>
              </w:rPr>
            </w:pPr>
          </w:p>
        </w:tc>
      </w:tr>
    </w:tbl>
    <w:p w14:paraId="427079E5">
      <w:pPr>
        <w:spacing w:line="360" w:lineRule="auto"/>
        <w:outlineLvl w:val="0"/>
        <w:rPr>
          <w:rFonts w:hint="default" w:ascii="Times New Roman" w:hAnsi="Times New Roman" w:eastAsia="黑体" w:cs="Times New Roman"/>
          <w:color w:val="auto"/>
          <w:sz w:val="30"/>
          <w:highlight w:val="none"/>
        </w:rPr>
        <w:sectPr>
          <w:footerReference r:id="rId5" w:type="default"/>
          <w:pgSz w:w="11850" w:h="16783"/>
          <w:pgMar w:top="1701" w:right="1531" w:bottom="1701" w:left="1531" w:header="851" w:footer="1077" w:gutter="0"/>
          <w:pgNumType w:start="1"/>
          <w:cols w:space="720" w:num="1"/>
          <w:docGrid w:linePitch="312" w:charSpace="0"/>
        </w:sectPr>
      </w:pPr>
    </w:p>
    <w:p w14:paraId="51D2F4F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二、建设项目工程分析</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24"/>
        <w:gridCol w:w="8636"/>
      </w:tblGrid>
      <w:tr w14:paraId="5A3F1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4" w:type="dxa"/>
            <w:noWrap w:val="0"/>
            <w:vAlign w:val="center"/>
          </w:tcPr>
          <w:p w14:paraId="5DCC9D1D">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建设内容</w:t>
            </w:r>
          </w:p>
        </w:tc>
        <w:tc>
          <w:tcPr>
            <w:tcW w:w="8636" w:type="dxa"/>
            <w:noWrap w:val="0"/>
            <w:vAlign w:val="top"/>
          </w:tcPr>
          <w:p w14:paraId="0DD6A8BF">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1、项目概况</w:t>
            </w:r>
          </w:p>
          <w:p w14:paraId="3256C391">
            <w:pPr>
              <w:adjustRightInd w:val="0"/>
              <w:snapToGrid w:val="0"/>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安徽沐希半导体有限公司</w:t>
            </w:r>
            <w:r>
              <w:rPr>
                <w:rFonts w:hint="eastAsia" w:ascii="Times New Roman" w:hAnsi="Times New Roman" w:eastAsia="宋体" w:cs="Times New Roman"/>
                <w:color w:val="auto"/>
                <w:sz w:val="24"/>
                <w:szCs w:val="24"/>
                <w:highlight w:val="none"/>
                <w:lang w:val="en-US" w:eastAsia="zh-CN"/>
              </w:rPr>
              <w:t>拟投资</w:t>
            </w:r>
            <w:r>
              <w:rPr>
                <w:rFonts w:hint="eastAsia" w:cs="Times New Roman"/>
                <w:color w:val="auto"/>
                <w:sz w:val="24"/>
                <w:szCs w:val="24"/>
                <w:highlight w:val="none"/>
                <w:lang w:val="en-US" w:eastAsia="zh-CN"/>
              </w:rPr>
              <w:t>5</w:t>
            </w:r>
            <w:r>
              <w:rPr>
                <w:rFonts w:hint="eastAsia" w:ascii="Times New Roman" w:hAnsi="Times New Roman" w:cs="Times New Roman"/>
                <w:color w:val="auto"/>
                <w:sz w:val="24"/>
                <w:szCs w:val="24"/>
                <w:highlight w:val="none"/>
                <w:lang w:val="en-US" w:eastAsia="zh-CN"/>
              </w:rPr>
              <w:t>0</w:t>
            </w:r>
            <w:r>
              <w:rPr>
                <w:rFonts w:hint="eastAsia" w:ascii="Times New Roman" w:hAnsi="Times New Roman" w:cs="Times New Roman"/>
                <w:color w:val="auto"/>
                <w:sz w:val="24"/>
                <w:szCs w:val="24"/>
                <w:highlight w:val="none"/>
                <w:lang w:eastAsia="zh-CN"/>
              </w:rPr>
              <w:t>000万元，</w:t>
            </w:r>
            <w:r>
              <w:rPr>
                <w:rFonts w:hint="eastAsia" w:cs="Times New Roman"/>
                <w:color w:val="auto"/>
                <w:sz w:val="24"/>
                <w:szCs w:val="24"/>
                <w:highlight w:val="none"/>
                <w:lang w:eastAsia="zh-CN"/>
              </w:rPr>
              <w:t>租赁</w:t>
            </w:r>
            <w:r>
              <w:rPr>
                <w:rFonts w:hint="eastAsia" w:cs="Times New Roman"/>
                <w:color w:val="auto"/>
                <w:sz w:val="24"/>
                <w:szCs w:val="24"/>
                <w:highlight w:val="none"/>
                <w:lang w:val="en-US" w:eastAsia="zh-CN"/>
              </w:rPr>
              <w:t>皖江江南新兴产业集中区科技孵化园A5号厂房3-4</w:t>
            </w:r>
            <w:r>
              <w:rPr>
                <w:rFonts w:hint="eastAsia" w:cs="Times New Roman"/>
                <w:sz w:val="21"/>
                <w:szCs w:val="21"/>
                <w:highlight w:val="none"/>
                <w:lang w:val="en-US" w:eastAsia="zh-CN"/>
              </w:rPr>
              <w:t>层</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建筑总面积15178.64m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vertAlign w:val="baseline"/>
                <w:lang w:val="en-US" w:eastAsia="zh-CN"/>
              </w:rPr>
              <w:t>，</w:t>
            </w:r>
            <w:r>
              <w:rPr>
                <w:rFonts w:hint="eastAsia" w:cs="Times New Roman"/>
                <w:color w:val="auto"/>
                <w:sz w:val="24"/>
                <w:szCs w:val="24"/>
                <w:highlight w:val="none"/>
                <w:lang w:eastAsia="zh-CN"/>
              </w:rPr>
              <w:t>用于建设</w:t>
            </w:r>
            <w:r>
              <w:rPr>
                <w:rFonts w:hint="eastAsia" w:cs="Times New Roman"/>
                <w:color w:val="auto"/>
                <w:sz w:val="24"/>
                <w:szCs w:val="24"/>
                <w:highlight w:val="none"/>
                <w:lang w:val="en-US" w:eastAsia="zh-CN"/>
              </w:rPr>
              <w:t>年产240万件LED显示模组产品</w:t>
            </w:r>
            <w:r>
              <w:rPr>
                <w:rFonts w:hint="eastAsia" w:ascii="Times New Roman" w:hAnsi="Times New Roman" w:eastAsia="宋体" w:cs="Times New Roman"/>
                <w:color w:val="auto"/>
                <w:sz w:val="24"/>
                <w:szCs w:val="24"/>
                <w:highlight w:val="none"/>
                <w:lang w:val="en-US" w:eastAsia="zh-CN"/>
              </w:rPr>
              <w:t>项目，</w:t>
            </w:r>
            <w:r>
              <w:rPr>
                <w:rFonts w:hint="eastAsia" w:ascii="Times New Roman" w:hAnsi="Times New Roman" w:cs="Times New Roman"/>
                <w:color w:val="auto"/>
                <w:sz w:val="24"/>
                <w:szCs w:val="24"/>
                <w:highlight w:val="none"/>
                <w:lang w:eastAsia="zh-CN"/>
              </w:rPr>
              <w:t>项目已于202</w:t>
            </w:r>
            <w:r>
              <w:rPr>
                <w:rFonts w:hint="eastAsia" w:ascii="Times New Roman" w:hAnsi="Times New Roman" w:cs="Times New Roman"/>
                <w:color w:val="auto"/>
                <w:sz w:val="24"/>
                <w:szCs w:val="24"/>
                <w:highlight w:val="none"/>
                <w:lang w:val="en-US" w:eastAsia="zh-CN"/>
              </w:rPr>
              <w:t>4</w:t>
            </w:r>
            <w:r>
              <w:rPr>
                <w:rFonts w:hint="eastAsia" w:ascii="Times New Roman" w:hAnsi="Times New Roman" w:cs="Times New Roman"/>
                <w:color w:val="auto"/>
                <w:sz w:val="24"/>
                <w:szCs w:val="24"/>
                <w:highlight w:val="none"/>
                <w:lang w:eastAsia="zh-CN"/>
              </w:rPr>
              <w:t>年</w:t>
            </w:r>
            <w:r>
              <w:rPr>
                <w:rFonts w:hint="eastAsia" w:cs="Times New Roman"/>
                <w:color w:val="auto"/>
                <w:sz w:val="24"/>
                <w:szCs w:val="24"/>
                <w:highlight w:val="none"/>
                <w:lang w:val="en-US" w:eastAsia="zh-CN"/>
              </w:rPr>
              <w:t>12</w:t>
            </w:r>
            <w:r>
              <w:rPr>
                <w:rFonts w:hint="eastAsia" w:ascii="Times New Roman" w:hAnsi="Times New Roman" w:cs="Times New Roman"/>
                <w:color w:val="auto"/>
                <w:sz w:val="24"/>
                <w:szCs w:val="24"/>
                <w:highlight w:val="none"/>
                <w:lang w:eastAsia="zh-CN"/>
              </w:rPr>
              <w:t>月</w:t>
            </w:r>
            <w:r>
              <w:rPr>
                <w:rFonts w:hint="eastAsia" w:cs="Times New Roman"/>
                <w:color w:val="auto"/>
                <w:sz w:val="24"/>
                <w:szCs w:val="24"/>
                <w:highlight w:val="none"/>
                <w:lang w:val="en-US" w:eastAsia="zh-CN"/>
              </w:rPr>
              <w:t>9日</w:t>
            </w:r>
            <w:r>
              <w:rPr>
                <w:rFonts w:hint="eastAsia" w:ascii="Times New Roman" w:hAnsi="Times New Roman" w:cs="Times New Roman"/>
                <w:color w:val="auto"/>
                <w:sz w:val="24"/>
                <w:szCs w:val="24"/>
                <w:highlight w:val="none"/>
                <w:lang w:eastAsia="zh-CN"/>
              </w:rPr>
              <w:t>通过</w:t>
            </w:r>
            <w:r>
              <w:rPr>
                <w:rFonts w:hint="eastAsia" w:ascii="Times New Roman" w:hAnsi="Times New Roman" w:eastAsia="宋体" w:cs="Times New Roman"/>
                <w:color w:val="auto"/>
                <w:sz w:val="24"/>
                <w:szCs w:val="24"/>
                <w:highlight w:val="none"/>
                <w:lang w:eastAsia="zh-CN"/>
              </w:rPr>
              <w:t>皖江江南产业集中区管委会产业发展部</w:t>
            </w:r>
            <w:r>
              <w:rPr>
                <w:rFonts w:hint="eastAsia" w:ascii="Times New Roman" w:hAnsi="Times New Roman" w:cs="Times New Roman"/>
                <w:color w:val="auto"/>
                <w:sz w:val="24"/>
                <w:szCs w:val="24"/>
                <w:highlight w:val="none"/>
                <w:lang w:eastAsia="zh-CN"/>
              </w:rPr>
              <w:t>备案，备案代码为</w:t>
            </w:r>
            <w:r>
              <w:rPr>
                <w:rFonts w:hint="eastAsia" w:ascii="Times New Roman" w:hAnsi="Times New Roman" w:cs="Times New Roman"/>
                <w:color w:val="auto"/>
                <w:sz w:val="24"/>
                <w:szCs w:val="24"/>
                <w:highlight w:val="none"/>
                <w:lang w:val="en-US" w:eastAsia="zh-CN"/>
              </w:rPr>
              <w:t>2412-341763-04-01-557609</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val="en-US" w:eastAsia="zh-CN"/>
              </w:rPr>
              <w:t>通</w:t>
            </w:r>
            <w:r>
              <w:rPr>
                <w:spacing w:val="-2"/>
                <w:sz w:val="24"/>
                <w:szCs w:val="24"/>
                <w:highlight w:val="none"/>
              </w:rPr>
              <w:t>过购置</w:t>
            </w:r>
            <w:r>
              <w:rPr>
                <w:rFonts w:hint="eastAsia"/>
                <w:spacing w:val="-2"/>
                <w:sz w:val="24"/>
                <w:szCs w:val="24"/>
                <w:highlight w:val="none"/>
              </w:rPr>
              <w:t>全自动视觉印刷机</w:t>
            </w:r>
            <w:r>
              <w:rPr>
                <w:rFonts w:hint="eastAsia"/>
                <w:spacing w:val="-2"/>
                <w:sz w:val="24"/>
                <w:szCs w:val="24"/>
                <w:highlight w:val="none"/>
                <w:lang w:eastAsia="zh-CN"/>
              </w:rPr>
              <w:t>、</w:t>
            </w:r>
            <w:r>
              <w:rPr>
                <w:rFonts w:hint="eastAsia"/>
                <w:sz w:val="24"/>
                <w:szCs w:val="24"/>
                <w:highlight w:val="none"/>
                <w:lang w:val="en-US" w:eastAsia="zh-CN"/>
              </w:rPr>
              <w:t>回流焊、插件机等相关生产设备，设置LED显示模组生产线，用于生产LED显示模组产品</w:t>
            </w:r>
            <w:r>
              <w:rPr>
                <w:rFonts w:hint="eastAsia" w:cs="Times New Roman"/>
                <w:color w:val="auto"/>
                <w:sz w:val="24"/>
                <w:szCs w:val="24"/>
                <w:highlight w:val="none"/>
                <w:lang w:val="en-US" w:eastAsia="zh-CN"/>
              </w:rPr>
              <w:t>，项目建成投产后拥有年产240万件LED显示模组产品生产能力。</w:t>
            </w:r>
          </w:p>
          <w:p w14:paraId="49B5C621">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根据《中华人民共和国环境影响评价法》及中华人民共和国国务院第682号令《建设项目环境保护管理条例》中有关规定，本项目应进行环境影响评价。依据《建设项目环境影响评价分类管理名录》（2021版），环评行业类别为“</w:t>
            </w:r>
            <w:r>
              <w:rPr>
                <w:rFonts w:hint="eastAsia" w:ascii="Times New Roman" w:hAnsi="Times New Roman"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显示器件制造；集成电路制造</w:t>
            </w:r>
            <w:r>
              <w:rPr>
                <w:rFonts w:hint="eastAsia" w:ascii="Times New Roman" w:hAnsi="Times New Roman" w:cs="Times New Roman"/>
                <w:color w:val="auto"/>
                <w:sz w:val="24"/>
                <w:szCs w:val="24"/>
                <w:highlight w:val="none"/>
                <w:lang w:eastAsia="zh-CN"/>
              </w:rPr>
              <w:t>”，环评类别为“环境影响报告表”。</w:t>
            </w:r>
          </w:p>
          <w:p w14:paraId="34104ED3">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为此，</w:t>
            </w:r>
            <w:r>
              <w:rPr>
                <w:rFonts w:hint="eastAsia" w:cs="Times New Roman"/>
                <w:color w:val="auto"/>
                <w:sz w:val="24"/>
                <w:szCs w:val="24"/>
                <w:highlight w:val="none"/>
                <w:lang w:val="en-US" w:eastAsia="zh-CN"/>
              </w:rPr>
              <w:t>安徽沐希半导体有限公司</w:t>
            </w:r>
            <w:r>
              <w:rPr>
                <w:rFonts w:hint="eastAsia" w:ascii="Times New Roman" w:hAnsi="Times New Roman" w:cs="Times New Roman"/>
                <w:color w:val="auto"/>
                <w:sz w:val="24"/>
                <w:szCs w:val="24"/>
                <w:highlight w:val="none"/>
                <w:lang w:eastAsia="zh-CN"/>
              </w:rPr>
              <w:t>委托我公司对该项目进行环境影响评价。我公司接受委托后，即组织有关人员赴现场进行踏勘、对周围环境进行了调查，并收集有关资料，在此基础上根据相关技术导则规范要求，编制了本环境影响报告表，报请审批。</w:t>
            </w:r>
          </w:p>
          <w:p w14:paraId="2B6E99C2">
            <w:pPr>
              <w:numPr>
                <w:ilvl w:val="0"/>
                <w:numId w:val="4"/>
              </w:numPr>
              <w:adjustRightInd w:val="0"/>
              <w:snapToGrid w:val="0"/>
              <w:spacing w:line="360" w:lineRule="auto"/>
              <w:ind w:left="0" w:leftChars="0"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建设内容及规模</w:t>
            </w:r>
          </w:p>
          <w:p w14:paraId="66C05A49">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4"/>
                <w:szCs w:val="24"/>
                <w:highlight w:val="none"/>
              </w:rPr>
              <w:t>表2-1  拟建项目建设内容及组成一览表</w:t>
            </w:r>
          </w:p>
          <w:tbl>
            <w:tblPr>
              <w:tblStyle w:val="22"/>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35"/>
              <w:gridCol w:w="1095"/>
              <w:gridCol w:w="1950"/>
              <w:gridCol w:w="1173"/>
              <w:gridCol w:w="1200"/>
              <w:gridCol w:w="1785"/>
            </w:tblGrid>
            <w:tr w14:paraId="733B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4" w:hRule="atLeast"/>
                <w:jc w:val="center"/>
              </w:trPr>
              <w:tc>
                <w:tcPr>
                  <w:tcW w:w="1235" w:type="dxa"/>
                  <w:noWrap w:val="0"/>
                  <w:vAlign w:val="center"/>
                </w:tcPr>
                <w:p w14:paraId="7336240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工程类别</w:t>
                  </w:r>
                </w:p>
              </w:tc>
              <w:tc>
                <w:tcPr>
                  <w:tcW w:w="1095" w:type="dxa"/>
                  <w:noWrap w:val="0"/>
                  <w:vAlign w:val="center"/>
                </w:tcPr>
                <w:p w14:paraId="5BB4FD02">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单项工程名称</w:t>
                  </w:r>
                </w:p>
              </w:tc>
              <w:tc>
                <w:tcPr>
                  <w:tcW w:w="4323" w:type="dxa"/>
                  <w:gridSpan w:val="3"/>
                  <w:noWrap w:val="0"/>
                  <w:vAlign w:val="center"/>
                </w:tcPr>
                <w:p w14:paraId="412A6546">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工程内容</w:t>
                  </w:r>
                </w:p>
              </w:tc>
              <w:tc>
                <w:tcPr>
                  <w:tcW w:w="1785" w:type="dxa"/>
                  <w:noWrap w:val="0"/>
                  <w:vAlign w:val="center"/>
                </w:tcPr>
                <w:p w14:paraId="70B6F0C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工程规模</w:t>
                  </w:r>
                </w:p>
              </w:tc>
            </w:tr>
            <w:tr w14:paraId="682B0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235" w:type="dxa"/>
                  <w:noWrap w:val="0"/>
                  <w:vAlign w:val="center"/>
                </w:tcPr>
                <w:p w14:paraId="245F1E0C">
                  <w:pPr>
                    <w:spacing w:line="240" w:lineRule="auto"/>
                    <w:jc w:val="center"/>
                    <w:rPr>
                      <w:rFonts w:hint="eastAsia"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主体工程</w:t>
                  </w:r>
                </w:p>
              </w:tc>
              <w:tc>
                <w:tcPr>
                  <w:tcW w:w="1095" w:type="dxa"/>
                  <w:noWrap w:val="0"/>
                  <w:vAlign w:val="center"/>
                </w:tcPr>
                <w:p w14:paraId="6EB1B02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LED显示模组</w:t>
                  </w:r>
                  <w:r>
                    <w:rPr>
                      <w:rFonts w:hint="eastAsia" w:ascii="Times New Roman" w:hAnsi="Times New Roman" w:cs="Times New Roman"/>
                      <w:color w:val="auto"/>
                      <w:sz w:val="21"/>
                      <w:szCs w:val="21"/>
                      <w:highlight w:val="none"/>
                      <w:lang w:val="en-US" w:eastAsia="zh-CN"/>
                    </w:rPr>
                    <w:t>生产</w:t>
                  </w:r>
                  <w:r>
                    <w:rPr>
                      <w:rFonts w:hint="eastAsia" w:cs="Times New Roman"/>
                      <w:color w:val="auto"/>
                      <w:sz w:val="21"/>
                      <w:szCs w:val="21"/>
                      <w:highlight w:val="none"/>
                      <w:lang w:val="en-US" w:eastAsia="zh-CN"/>
                    </w:rPr>
                    <w:t>线</w:t>
                  </w:r>
                </w:p>
              </w:tc>
              <w:tc>
                <w:tcPr>
                  <w:tcW w:w="4323" w:type="dxa"/>
                  <w:gridSpan w:val="3"/>
                  <w:noWrap w:val="0"/>
                  <w:vAlign w:val="center"/>
                </w:tcPr>
                <w:p w14:paraId="3D4AACA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厂房4层中心区域</w:t>
                  </w:r>
                  <w:r>
                    <w:rPr>
                      <w:rFonts w:hint="eastAsia" w:ascii="Times New Roman" w:hAnsi="Times New Roman" w:cs="Times New Roman"/>
                      <w:color w:val="auto"/>
                      <w:sz w:val="21"/>
                      <w:szCs w:val="21"/>
                      <w:highlight w:val="none"/>
                      <w:lang w:val="en-US" w:eastAsia="zh-CN"/>
                    </w:rPr>
                    <w:t>，建筑面积约为</w:t>
                  </w:r>
                  <w:r>
                    <w:rPr>
                      <w:rFonts w:hint="eastAsia" w:cs="Times New Roman"/>
                      <w:color w:val="auto"/>
                      <w:sz w:val="21"/>
                      <w:szCs w:val="21"/>
                      <w:highlight w:val="none"/>
                      <w:lang w:val="en-US" w:eastAsia="zh-CN"/>
                    </w:rPr>
                    <w:t>5500</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设置LED显示模组生产线，购置主要包括</w:t>
                  </w:r>
                  <w:r>
                    <w:rPr>
                      <w:rFonts w:hint="eastAsia"/>
                      <w:spacing w:val="-2"/>
                      <w:sz w:val="21"/>
                      <w:szCs w:val="21"/>
                      <w:highlight w:val="none"/>
                    </w:rPr>
                    <w:t>全自动视觉印刷机</w:t>
                  </w:r>
                  <w:r>
                    <w:rPr>
                      <w:rFonts w:hint="eastAsia"/>
                      <w:spacing w:val="-2"/>
                      <w:sz w:val="21"/>
                      <w:szCs w:val="21"/>
                      <w:highlight w:val="none"/>
                      <w:lang w:eastAsia="zh-CN"/>
                    </w:rPr>
                    <w:t>、</w:t>
                  </w:r>
                  <w:r>
                    <w:rPr>
                      <w:rFonts w:hint="eastAsia"/>
                      <w:sz w:val="21"/>
                      <w:szCs w:val="21"/>
                      <w:highlight w:val="none"/>
                      <w:lang w:val="en-US" w:eastAsia="zh-CN"/>
                    </w:rPr>
                    <w:t>回流焊、插件机、接驳台</w:t>
                  </w:r>
                  <w:r>
                    <w:rPr>
                      <w:rFonts w:hint="eastAsia" w:ascii="Times New Roman" w:hAnsi="Times New Roman" w:eastAsia="宋体" w:cs="Times New Roman"/>
                      <w:color w:val="auto"/>
                      <w:sz w:val="21"/>
                      <w:szCs w:val="21"/>
                      <w:highlight w:val="none"/>
                      <w:lang w:val="en-US" w:eastAsia="zh-CN"/>
                    </w:rPr>
                    <w:t>等生产设</w:t>
                  </w:r>
                  <w:r>
                    <w:rPr>
                      <w:rFonts w:hint="eastAsia" w:ascii="Times New Roman" w:hAnsi="Times New Roman" w:cs="Times New Roman"/>
                      <w:color w:val="auto"/>
                      <w:sz w:val="21"/>
                      <w:szCs w:val="21"/>
                      <w:highlight w:val="none"/>
                      <w:lang w:val="en-US" w:eastAsia="zh-CN"/>
                    </w:rPr>
                    <w:t>备及相关辅助设备</w:t>
                  </w:r>
                  <w:r>
                    <w:rPr>
                      <w:rFonts w:hint="eastAsia" w:cs="Times New Roman"/>
                      <w:color w:val="auto"/>
                      <w:sz w:val="21"/>
                      <w:szCs w:val="21"/>
                      <w:highlight w:val="none"/>
                      <w:lang w:val="en-US" w:eastAsia="zh-CN"/>
                    </w:rPr>
                    <w:t>用于生产</w:t>
                  </w:r>
                </w:p>
              </w:tc>
              <w:tc>
                <w:tcPr>
                  <w:tcW w:w="1785" w:type="dxa"/>
                  <w:noWrap w:val="0"/>
                  <w:vAlign w:val="center"/>
                </w:tcPr>
                <w:p w14:paraId="4966F0C9">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年产240万件LED显示模组产品</w:t>
                  </w:r>
                </w:p>
              </w:tc>
            </w:tr>
            <w:tr w14:paraId="7CA4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235" w:type="dxa"/>
                  <w:vMerge w:val="restart"/>
                  <w:noWrap w:val="0"/>
                  <w:vAlign w:val="center"/>
                </w:tcPr>
                <w:p w14:paraId="7843508C">
                  <w:pPr>
                    <w:spacing w:line="240" w:lineRule="auto"/>
                    <w:jc w:val="center"/>
                    <w:rPr>
                      <w:rFonts w:hint="eastAsia"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辅助工程</w:t>
                  </w:r>
                </w:p>
              </w:tc>
              <w:tc>
                <w:tcPr>
                  <w:tcW w:w="1095" w:type="dxa"/>
                  <w:noWrap w:val="0"/>
                  <w:vAlign w:val="center"/>
                </w:tcPr>
                <w:p w14:paraId="7A28F42C">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办公区</w:t>
                  </w:r>
                </w:p>
              </w:tc>
              <w:tc>
                <w:tcPr>
                  <w:tcW w:w="4323" w:type="dxa"/>
                  <w:gridSpan w:val="3"/>
                  <w:noWrap w:val="0"/>
                  <w:vAlign w:val="center"/>
                </w:tcPr>
                <w:p w14:paraId="2C9C4E3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厂房3层东侧</w:t>
                  </w:r>
                  <w:r>
                    <w:rPr>
                      <w:rFonts w:hint="eastAsia"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设置办公室、总经理办公室、会议室、前台等功能区，主要用于</w:t>
                  </w:r>
                  <w:r>
                    <w:rPr>
                      <w:rFonts w:hint="eastAsia" w:ascii="Times New Roman" w:hAnsi="Times New Roman" w:cs="Times New Roman"/>
                      <w:color w:val="auto"/>
                      <w:sz w:val="21"/>
                      <w:szCs w:val="21"/>
                      <w:highlight w:val="none"/>
                      <w:lang w:val="en-US" w:eastAsia="zh-CN"/>
                    </w:rPr>
                    <w:t>员工办公</w:t>
                  </w:r>
                </w:p>
              </w:tc>
              <w:tc>
                <w:tcPr>
                  <w:tcW w:w="1785" w:type="dxa"/>
                  <w:noWrap w:val="0"/>
                  <w:vAlign w:val="center"/>
                </w:tcPr>
                <w:p w14:paraId="29B810F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建筑面积约</w:t>
                  </w:r>
                  <w:r>
                    <w:rPr>
                      <w:rFonts w:hint="eastAsia" w:cs="Times New Roman"/>
                      <w:color w:val="auto"/>
                      <w:sz w:val="21"/>
                      <w:szCs w:val="21"/>
                      <w:highlight w:val="none"/>
                      <w:lang w:val="en-US" w:eastAsia="zh-CN"/>
                    </w:rPr>
                    <w:t>900</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r w14:paraId="2EB0E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235" w:type="dxa"/>
                  <w:vMerge w:val="continue"/>
                  <w:noWrap w:val="0"/>
                  <w:vAlign w:val="center"/>
                </w:tcPr>
                <w:p w14:paraId="2D50609B">
                  <w:pPr>
                    <w:spacing w:line="240" w:lineRule="auto"/>
                    <w:jc w:val="center"/>
                    <w:rPr>
                      <w:rFonts w:hint="eastAsia" w:ascii="Times New Roman" w:hAnsi="Times New Roman" w:cs="Times New Roman"/>
                      <w:color w:val="auto"/>
                      <w:sz w:val="21"/>
                      <w:szCs w:val="21"/>
                      <w:highlight w:val="none"/>
                      <w:lang w:val="en-US" w:eastAsia="zh-CN"/>
                    </w:rPr>
                  </w:pPr>
                </w:p>
              </w:tc>
              <w:tc>
                <w:tcPr>
                  <w:tcW w:w="1095" w:type="dxa"/>
                  <w:noWrap w:val="0"/>
                  <w:vAlign w:val="center"/>
                </w:tcPr>
                <w:p w14:paraId="7AB85EAF">
                  <w:pPr>
                    <w:spacing w:line="240" w:lineRule="auto"/>
                    <w:jc w:val="center"/>
                    <w:rPr>
                      <w:rFonts w:hint="eastAsia"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更衣室</w:t>
                  </w:r>
                </w:p>
              </w:tc>
              <w:tc>
                <w:tcPr>
                  <w:tcW w:w="4323" w:type="dxa"/>
                  <w:gridSpan w:val="3"/>
                  <w:noWrap w:val="0"/>
                  <w:vAlign w:val="center"/>
                </w:tcPr>
                <w:p w14:paraId="3281E8D5">
                  <w:pPr>
                    <w:spacing w:line="240" w:lineRule="auto"/>
                    <w:jc w:val="center"/>
                    <w:rPr>
                      <w:rFonts w:hint="eastAsia"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厂房4层栋东侧，</w:t>
                  </w:r>
                  <w:r>
                    <w:rPr>
                      <w:rFonts w:hint="eastAsia" w:ascii="Times New Roman" w:hAnsi="Times New Roman" w:cs="Times New Roman"/>
                      <w:color w:val="auto"/>
                      <w:sz w:val="21"/>
                      <w:szCs w:val="21"/>
                      <w:highlight w:val="none"/>
                      <w:lang w:val="en-US" w:eastAsia="zh-CN"/>
                    </w:rPr>
                    <w:t>用于</w:t>
                  </w:r>
                  <w:r>
                    <w:rPr>
                      <w:rFonts w:hint="eastAsia" w:cs="Times New Roman"/>
                      <w:color w:val="auto"/>
                      <w:sz w:val="21"/>
                      <w:szCs w:val="21"/>
                      <w:highlight w:val="none"/>
                      <w:lang w:val="en-US" w:eastAsia="zh-CN"/>
                    </w:rPr>
                    <w:t>员工进生产车间前的衣物更换及清洁</w:t>
                  </w:r>
                </w:p>
              </w:tc>
              <w:tc>
                <w:tcPr>
                  <w:tcW w:w="1785" w:type="dxa"/>
                  <w:noWrap w:val="0"/>
                  <w:vAlign w:val="center"/>
                </w:tcPr>
                <w:p w14:paraId="3810D870">
                  <w:pPr>
                    <w:spacing w:line="240" w:lineRule="auto"/>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建筑面积约</w:t>
                  </w:r>
                  <w:r>
                    <w:rPr>
                      <w:rFonts w:hint="eastAsia" w:cs="Times New Roman"/>
                      <w:color w:val="auto"/>
                      <w:sz w:val="21"/>
                      <w:szCs w:val="21"/>
                      <w:highlight w:val="none"/>
                      <w:lang w:val="en-US" w:eastAsia="zh-CN"/>
                    </w:rPr>
                    <w:t>80</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r w14:paraId="3E0E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35" w:type="dxa"/>
                  <w:vMerge w:val="restart"/>
                  <w:noWrap w:val="0"/>
                  <w:vAlign w:val="center"/>
                </w:tcPr>
                <w:p w14:paraId="7045FCDE">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储运工程</w:t>
                  </w:r>
                </w:p>
              </w:tc>
              <w:tc>
                <w:tcPr>
                  <w:tcW w:w="1095" w:type="dxa"/>
                  <w:noWrap w:val="0"/>
                  <w:vAlign w:val="center"/>
                </w:tcPr>
                <w:p w14:paraId="4D6F44FD">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原辅料</w:t>
                  </w:r>
                  <w:r>
                    <w:rPr>
                      <w:rFonts w:hint="eastAsia" w:ascii="Times New Roman" w:hAnsi="Times New Roman" w:eastAsia="宋体" w:cs="Times New Roman"/>
                      <w:color w:val="auto"/>
                      <w:sz w:val="21"/>
                      <w:szCs w:val="21"/>
                      <w:highlight w:val="none"/>
                      <w:lang w:eastAsia="zh-CN"/>
                    </w:rPr>
                    <w:t>仓库</w:t>
                  </w:r>
                </w:p>
              </w:tc>
              <w:tc>
                <w:tcPr>
                  <w:tcW w:w="4323" w:type="dxa"/>
                  <w:gridSpan w:val="3"/>
                  <w:noWrap w:val="0"/>
                  <w:vAlign w:val="center"/>
                </w:tcPr>
                <w:p w14:paraId="29970FBD">
                  <w:pPr>
                    <w:spacing w:line="240" w:lineRule="auto"/>
                    <w:jc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厂房3层西北侧</w:t>
                  </w:r>
                  <w:r>
                    <w:rPr>
                      <w:rFonts w:hint="eastAsia" w:ascii="Times New Roman" w:hAnsi="Times New Roman" w:eastAsia="宋体" w:cs="Times New Roman"/>
                      <w:color w:val="auto"/>
                      <w:sz w:val="21"/>
                      <w:szCs w:val="21"/>
                      <w:highlight w:val="none"/>
                      <w:vertAlign w:val="baseline"/>
                      <w:lang w:val="en-US" w:eastAsia="zh-CN"/>
                    </w:rPr>
                    <w:t>，用于</w:t>
                  </w:r>
                  <w:r>
                    <w:rPr>
                      <w:rFonts w:hint="eastAsia" w:cs="Times New Roman"/>
                      <w:color w:val="auto"/>
                      <w:sz w:val="21"/>
                      <w:szCs w:val="21"/>
                      <w:highlight w:val="none"/>
                      <w:vertAlign w:val="baseline"/>
                      <w:lang w:val="en-US" w:eastAsia="zh-CN"/>
                    </w:rPr>
                    <w:t>储存无铅锡膏、无铅锡丝、酒精、珍珠棉、套件螺丝等原辅</w:t>
                  </w:r>
                  <w:r>
                    <w:rPr>
                      <w:rFonts w:hint="eastAsia" w:ascii="Times New Roman" w:hAnsi="Times New Roman" w:eastAsia="宋体" w:cs="Times New Roman"/>
                      <w:color w:val="auto"/>
                      <w:sz w:val="21"/>
                      <w:szCs w:val="21"/>
                      <w:highlight w:val="none"/>
                      <w:vertAlign w:val="baseline"/>
                      <w:lang w:val="en-US" w:eastAsia="zh-CN"/>
                    </w:rPr>
                    <w:t>材料</w:t>
                  </w:r>
                </w:p>
              </w:tc>
              <w:tc>
                <w:tcPr>
                  <w:tcW w:w="1785" w:type="dxa"/>
                  <w:noWrap w:val="0"/>
                  <w:vAlign w:val="center"/>
                </w:tcPr>
                <w:p w14:paraId="1D7D8D2D">
                  <w:pPr>
                    <w:spacing w:line="240" w:lineRule="auto"/>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建筑</w:t>
                  </w:r>
                  <w:r>
                    <w:rPr>
                      <w:rFonts w:hint="eastAsia" w:ascii="Times New Roman" w:hAnsi="Times New Roman" w:eastAsia="宋体" w:cs="Times New Roman"/>
                      <w:color w:val="auto"/>
                      <w:sz w:val="21"/>
                      <w:szCs w:val="21"/>
                      <w:highlight w:val="none"/>
                      <w:lang w:val="en-US" w:eastAsia="zh-CN"/>
                    </w:rPr>
                    <w:t>面积约</w:t>
                  </w:r>
                  <w:r>
                    <w:rPr>
                      <w:rFonts w:hint="eastAsia" w:cs="Times New Roman"/>
                      <w:color w:val="auto"/>
                      <w:sz w:val="21"/>
                      <w:szCs w:val="21"/>
                      <w:highlight w:val="none"/>
                      <w:lang w:val="en-US" w:eastAsia="zh-CN"/>
                    </w:rPr>
                    <w:t>2600</w:t>
                  </w: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2</w:t>
                  </w:r>
                </w:p>
              </w:tc>
            </w:tr>
            <w:tr w14:paraId="45FF9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235" w:type="dxa"/>
                  <w:vMerge w:val="continue"/>
                  <w:noWrap w:val="0"/>
                  <w:vAlign w:val="center"/>
                </w:tcPr>
                <w:p w14:paraId="2DAB97CE">
                  <w:pPr>
                    <w:spacing w:line="240" w:lineRule="auto"/>
                    <w:jc w:val="center"/>
                    <w:rPr>
                      <w:rFonts w:hint="default" w:ascii="Times New Roman" w:hAnsi="Times New Roman" w:cs="Times New Roman"/>
                      <w:color w:val="auto"/>
                      <w:sz w:val="21"/>
                      <w:szCs w:val="21"/>
                      <w:highlight w:val="none"/>
                    </w:rPr>
                  </w:pPr>
                </w:p>
              </w:tc>
              <w:tc>
                <w:tcPr>
                  <w:tcW w:w="1095" w:type="dxa"/>
                  <w:noWrap w:val="0"/>
                  <w:vAlign w:val="center"/>
                </w:tcPr>
                <w:p w14:paraId="35D1300B">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成品仓库</w:t>
                  </w:r>
                </w:p>
              </w:tc>
              <w:tc>
                <w:tcPr>
                  <w:tcW w:w="4323" w:type="dxa"/>
                  <w:gridSpan w:val="3"/>
                  <w:shd w:val="clear" w:color="auto" w:fill="auto"/>
                  <w:noWrap w:val="0"/>
                  <w:vAlign w:val="center"/>
                </w:tcPr>
                <w:p w14:paraId="6B146A9F">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厂房3东南侧，用于储存产品成品</w:t>
                  </w:r>
                </w:p>
              </w:tc>
              <w:tc>
                <w:tcPr>
                  <w:tcW w:w="1785" w:type="dxa"/>
                  <w:shd w:val="clear" w:color="auto" w:fill="auto"/>
                  <w:noWrap w:val="0"/>
                  <w:vAlign w:val="center"/>
                </w:tcPr>
                <w:p w14:paraId="7229ABEC">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建筑</w:t>
                  </w:r>
                  <w:r>
                    <w:rPr>
                      <w:rFonts w:hint="eastAsia" w:ascii="Times New Roman" w:hAnsi="Times New Roman" w:eastAsia="宋体" w:cs="Times New Roman"/>
                      <w:color w:val="auto"/>
                      <w:sz w:val="21"/>
                      <w:szCs w:val="21"/>
                      <w:highlight w:val="none"/>
                      <w:lang w:val="en-US" w:eastAsia="zh-CN"/>
                    </w:rPr>
                    <w:t>面积约</w:t>
                  </w:r>
                  <w:r>
                    <w:rPr>
                      <w:rFonts w:hint="eastAsia" w:cs="Times New Roman"/>
                      <w:color w:val="auto"/>
                      <w:sz w:val="21"/>
                      <w:szCs w:val="21"/>
                      <w:highlight w:val="none"/>
                      <w:lang w:val="en-US" w:eastAsia="zh-CN"/>
                    </w:rPr>
                    <w:t>2200</w:t>
                  </w: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2</w:t>
                  </w:r>
                </w:p>
              </w:tc>
            </w:tr>
            <w:tr w14:paraId="62F4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3" w:hRule="atLeast"/>
                <w:jc w:val="center"/>
              </w:trPr>
              <w:tc>
                <w:tcPr>
                  <w:tcW w:w="1235" w:type="dxa"/>
                  <w:vMerge w:val="restart"/>
                  <w:noWrap w:val="0"/>
                  <w:vAlign w:val="center"/>
                </w:tcPr>
                <w:p w14:paraId="0C8DC92B">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公用工程</w:t>
                  </w:r>
                </w:p>
              </w:tc>
              <w:tc>
                <w:tcPr>
                  <w:tcW w:w="1095" w:type="dxa"/>
                  <w:noWrap w:val="0"/>
                  <w:vAlign w:val="center"/>
                </w:tcPr>
                <w:p w14:paraId="565D5D0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供水</w:t>
                  </w:r>
                </w:p>
              </w:tc>
              <w:tc>
                <w:tcPr>
                  <w:tcW w:w="4323" w:type="dxa"/>
                  <w:gridSpan w:val="3"/>
                  <w:noWrap w:val="0"/>
                  <w:vAlign w:val="center"/>
                </w:tcPr>
                <w:p w14:paraId="2D531309">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市政管网供水</w:t>
                  </w:r>
                </w:p>
              </w:tc>
              <w:tc>
                <w:tcPr>
                  <w:tcW w:w="1785" w:type="dxa"/>
                  <w:noWrap w:val="0"/>
                  <w:vAlign w:val="center"/>
                </w:tcPr>
                <w:p w14:paraId="6271BBAF">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年用水量</w:t>
                  </w:r>
                  <w:r>
                    <w:rPr>
                      <w:rFonts w:hint="eastAsia" w:cs="Times New Roman"/>
                      <w:color w:val="auto"/>
                      <w:sz w:val="21"/>
                      <w:szCs w:val="21"/>
                      <w:highlight w:val="none"/>
                      <w:lang w:val="en-US" w:eastAsia="zh-CN"/>
                    </w:rPr>
                    <w:t>1440</w:t>
                  </w:r>
                  <w:r>
                    <w:rPr>
                      <w:rFonts w:hint="default" w:ascii="Times New Roman" w:hAnsi="Times New Roman" w:cs="Times New Roman"/>
                      <w:color w:val="auto"/>
                      <w:sz w:val="21"/>
                      <w:szCs w:val="21"/>
                      <w:highlight w:val="none"/>
                    </w:rPr>
                    <w:t>t</w:t>
                  </w:r>
                </w:p>
              </w:tc>
            </w:tr>
            <w:tr w14:paraId="3D99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235" w:type="dxa"/>
                  <w:vMerge w:val="continue"/>
                  <w:noWrap w:val="0"/>
                  <w:vAlign w:val="center"/>
                </w:tcPr>
                <w:p w14:paraId="744E92F6">
                  <w:pPr>
                    <w:spacing w:line="240" w:lineRule="auto"/>
                    <w:jc w:val="center"/>
                    <w:rPr>
                      <w:rFonts w:hint="eastAsia" w:ascii="Times New Roman" w:hAnsi="Times New Roman" w:eastAsia="宋体" w:cs="Times New Roman"/>
                      <w:color w:val="auto"/>
                      <w:sz w:val="21"/>
                      <w:szCs w:val="21"/>
                      <w:highlight w:val="none"/>
                      <w:lang w:eastAsia="zh-CN"/>
                    </w:rPr>
                  </w:pPr>
                </w:p>
              </w:tc>
              <w:tc>
                <w:tcPr>
                  <w:tcW w:w="1095" w:type="dxa"/>
                  <w:noWrap w:val="0"/>
                  <w:vAlign w:val="center"/>
                </w:tcPr>
                <w:p w14:paraId="3B202C2A">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排水</w:t>
                  </w:r>
                </w:p>
              </w:tc>
              <w:tc>
                <w:tcPr>
                  <w:tcW w:w="4323" w:type="dxa"/>
                  <w:gridSpan w:val="3"/>
                  <w:noWrap w:val="0"/>
                  <w:vAlign w:val="center"/>
                </w:tcPr>
                <w:p w14:paraId="118EE116">
                  <w:pPr>
                    <w:spacing w:line="240" w:lineRule="auto"/>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ascii="Times New Roman" w:hAnsi="Times New Roman" w:cs="Times New Roman"/>
                      <w:color w:val="auto"/>
                      <w:sz w:val="21"/>
                      <w:szCs w:val="21"/>
                      <w:highlight w:val="none"/>
                      <w:lang w:eastAsia="zh-CN"/>
                    </w:rPr>
                    <w:t>，生活污水经</w:t>
                  </w:r>
                  <w:r>
                    <w:rPr>
                      <w:rFonts w:hint="eastAsia" w:cs="Times New Roman"/>
                      <w:color w:val="auto"/>
                      <w:sz w:val="21"/>
                      <w:szCs w:val="21"/>
                      <w:highlight w:val="none"/>
                      <w:lang w:val="en-US" w:eastAsia="zh-CN"/>
                    </w:rPr>
                    <w:t>科技孵化园</w:t>
                  </w:r>
                  <w:r>
                    <w:rPr>
                      <w:rFonts w:hint="eastAsia" w:ascii="Times New Roman" w:hAnsi="Times New Roman" w:cs="Times New Roman"/>
                      <w:color w:val="auto"/>
                      <w:sz w:val="21"/>
                      <w:szCs w:val="21"/>
                      <w:highlight w:val="none"/>
                      <w:lang w:eastAsia="zh-CN"/>
                    </w:rPr>
                    <w:t>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1785" w:type="dxa"/>
                  <w:noWrap w:val="0"/>
                  <w:vAlign w:val="center"/>
                </w:tcPr>
                <w:p w14:paraId="5371F035">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年排水量</w:t>
                  </w:r>
                  <w:r>
                    <w:rPr>
                      <w:rFonts w:hint="eastAsia" w:cs="Times New Roman"/>
                      <w:color w:val="auto"/>
                      <w:sz w:val="21"/>
                      <w:szCs w:val="21"/>
                      <w:highlight w:val="none"/>
                      <w:lang w:val="en-US" w:eastAsia="zh-CN"/>
                    </w:rPr>
                    <w:t>1224</w:t>
                  </w:r>
                  <w:r>
                    <w:rPr>
                      <w:rFonts w:hint="eastAsia" w:ascii="Times New Roman" w:hAnsi="Times New Roman" w:cs="Times New Roman"/>
                      <w:color w:val="auto"/>
                      <w:sz w:val="21"/>
                      <w:szCs w:val="21"/>
                      <w:highlight w:val="none"/>
                      <w:vertAlign w:val="baseline"/>
                      <w:lang w:val="en-US" w:eastAsia="zh-CN"/>
                    </w:rPr>
                    <w:t>t</w:t>
                  </w:r>
                </w:p>
              </w:tc>
            </w:tr>
            <w:tr w14:paraId="3C39E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3" w:hRule="atLeast"/>
                <w:jc w:val="center"/>
              </w:trPr>
              <w:tc>
                <w:tcPr>
                  <w:tcW w:w="1235" w:type="dxa"/>
                  <w:vMerge w:val="continue"/>
                  <w:noWrap w:val="0"/>
                  <w:vAlign w:val="center"/>
                </w:tcPr>
                <w:p w14:paraId="4975ABBA">
                  <w:pPr>
                    <w:spacing w:line="240" w:lineRule="auto"/>
                    <w:jc w:val="center"/>
                    <w:rPr>
                      <w:rFonts w:hint="eastAsia" w:ascii="Times New Roman" w:hAnsi="Times New Roman" w:eastAsia="宋体" w:cs="Times New Roman"/>
                      <w:color w:val="auto"/>
                      <w:sz w:val="21"/>
                      <w:szCs w:val="21"/>
                      <w:highlight w:val="none"/>
                      <w:lang w:eastAsia="zh-CN"/>
                    </w:rPr>
                  </w:pPr>
                </w:p>
              </w:tc>
              <w:tc>
                <w:tcPr>
                  <w:tcW w:w="1095" w:type="dxa"/>
                  <w:noWrap w:val="0"/>
                  <w:vAlign w:val="center"/>
                </w:tcPr>
                <w:p w14:paraId="6B4DA69C">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换气</w:t>
                  </w:r>
                </w:p>
              </w:tc>
              <w:tc>
                <w:tcPr>
                  <w:tcW w:w="4323" w:type="dxa"/>
                  <w:gridSpan w:val="3"/>
                  <w:noWrap w:val="0"/>
                  <w:vAlign w:val="center"/>
                </w:tcPr>
                <w:p w14:paraId="64F7641A">
                  <w:pPr>
                    <w:spacing w:line="240" w:lineRule="auto"/>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vertAlign w:val="baseline"/>
                      <w:lang w:val="en-US" w:eastAsia="zh-CN"/>
                    </w:rPr>
                    <w:t>空调系统，对生产车间进行换气</w:t>
                  </w:r>
                </w:p>
              </w:tc>
              <w:tc>
                <w:tcPr>
                  <w:tcW w:w="1785" w:type="dxa"/>
                  <w:noWrap w:val="0"/>
                  <w:vAlign w:val="center"/>
                </w:tcPr>
                <w:p w14:paraId="22E8912A">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r>
            <w:tr w14:paraId="6F40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3" w:hRule="atLeast"/>
                <w:jc w:val="center"/>
              </w:trPr>
              <w:tc>
                <w:tcPr>
                  <w:tcW w:w="1235" w:type="dxa"/>
                  <w:vMerge w:val="continue"/>
                  <w:noWrap w:val="0"/>
                  <w:vAlign w:val="center"/>
                </w:tcPr>
                <w:p w14:paraId="270AAF58">
                  <w:pPr>
                    <w:spacing w:line="240" w:lineRule="auto"/>
                    <w:jc w:val="center"/>
                    <w:rPr>
                      <w:rFonts w:hint="eastAsia" w:ascii="Times New Roman" w:hAnsi="Times New Roman" w:eastAsia="宋体" w:cs="Times New Roman"/>
                      <w:color w:val="auto"/>
                      <w:sz w:val="21"/>
                      <w:szCs w:val="21"/>
                      <w:highlight w:val="none"/>
                      <w:lang w:eastAsia="zh-CN"/>
                    </w:rPr>
                  </w:pPr>
                </w:p>
              </w:tc>
              <w:tc>
                <w:tcPr>
                  <w:tcW w:w="1095" w:type="dxa"/>
                  <w:noWrap w:val="0"/>
                  <w:vAlign w:val="center"/>
                </w:tcPr>
                <w:p w14:paraId="4DB421F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供电</w:t>
                  </w:r>
                </w:p>
              </w:tc>
              <w:tc>
                <w:tcPr>
                  <w:tcW w:w="4323" w:type="dxa"/>
                  <w:gridSpan w:val="3"/>
                  <w:noWrap w:val="0"/>
                  <w:vAlign w:val="center"/>
                </w:tcPr>
                <w:p w14:paraId="1CF94C89">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市政电网供</w:t>
                  </w:r>
                  <w:r>
                    <w:rPr>
                      <w:rFonts w:hint="eastAsia" w:ascii="Times New Roman" w:hAnsi="Times New Roman" w:cs="Times New Roman"/>
                      <w:color w:val="auto"/>
                      <w:sz w:val="21"/>
                      <w:szCs w:val="21"/>
                      <w:highlight w:val="none"/>
                      <w:lang w:eastAsia="zh-CN"/>
                    </w:rPr>
                    <w:t>电</w:t>
                  </w:r>
                </w:p>
              </w:tc>
              <w:tc>
                <w:tcPr>
                  <w:tcW w:w="1785" w:type="dxa"/>
                  <w:noWrap w:val="0"/>
                  <w:vAlign w:val="center"/>
                </w:tcPr>
                <w:p w14:paraId="41C02220">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年用电量</w:t>
                  </w:r>
                  <w:r>
                    <w:rPr>
                      <w:rFonts w:hint="eastAsia" w:cs="Times New Roman"/>
                      <w:color w:val="auto"/>
                      <w:sz w:val="21"/>
                      <w:szCs w:val="21"/>
                      <w:highlight w:val="none"/>
                      <w:lang w:val="en-US" w:eastAsia="zh-CN"/>
                    </w:rPr>
                    <w:t>1320</w:t>
                  </w:r>
                  <w:r>
                    <w:rPr>
                      <w:rFonts w:hint="default" w:ascii="Times New Roman" w:hAnsi="Times New Roman" w:cs="Times New Roman"/>
                      <w:color w:val="auto"/>
                      <w:sz w:val="21"/>
                      <w:szCs w:val="21"/>
                      <w:highlight w:val="none"/>
                    </w:rPr>
                    <w:t>万</w:t>
                  </w:r>
                  <w:r>
                    <w:rPr>
                      <w:rFonts w:hint="eastAsia" w:ascii="Times New Roman" w:hAnsi="Times New Roman" w:eastAsia="宋体" w:cs="Times New Roman"/>
                      <w:b w:val="0"/>
                      <w:bCs w:val="0"/>
                      <w:color w:val="auto"/>
                      <w:sz w:val="21"/>
                      <w:szCs w:val="21"/>
                      <w:highlight w:val="none"/>
                      <w:lang w:val="en-US" w:eastAsia="zh-CN"/>
                    </w:rPr>
                    <w:t>kW•h</w:t>
                  </w:r>
                </w:p>
              </w:tc>
            </w:tr>
            <w:tr w14:paraId="17E6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2" w:hRule="atLeast"/>
                <w:jc w:val="center"/>
              </w:trPr>
              <w:tc>
                <w:tcPr>
                  <w:tcW w:w="1235" w:type="dxa"/>
                  <w:vMerge w:val="restart"/>
                  <w:noWrap w:val="0"/>
                  <w:vAlign w:val="center"/>
                </w:tcPr>
                <w:p w14:paraId="13860420">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环保工程</w:t>
                  </w:r>
                </w:p>
              </w:tc>
              <w:tc>
                <w:tcPr>
                  <w:tcW w:w="1095" w:type="dxa"/>
                  <w:noWrap w:val="0"/>
                  <w:vAlign w:val="center"/>
                </w:tcPr>
                <w:p w14:paraId="24B426B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废水治理</w:t>
                  </w:r>
                </w:p>
              </w:tc>
              <w:tc>
                <w:tcPr>
                  <w:tcW w:w="6108" w:type="dxa"/>
                  <w:gridSpan w:val="4"/>
                  <w:noWrap w:val="0"/>
                  <w:vAlign w:val="center"/>
                </w:tcPr>
                <w:p w14:paraId="7BB9188F">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化粪池</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依托园区</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、雨污水管网</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依托园区</w:t>
                  </w:r>
                  <w:r>
                    <w:rPr>
                      <w:rFonts w:hint="eastAsia" w:ascii="Times New Roman" w:hAnsi="Times New Roman" w:cs="Times New Roman"/>
                      <w:color w:val="auto"/>
                      <w:sz w:val="21"/>
                      <w:szCs w:val="21"/>
                      <w:highlight w:val="none"/>
                      <w:lang w:eastAsia="zh-CN"/>
                    </w:rPr>
                    <w:t>）</w:t>
                  </w:r>
                </w:p>
              </w:tc>
            </w:tr>
            <w:tr w14:paraId="71E5F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35" w:type="dxa"/>
                  <w:vMerge w:val="continue"/>
                  <w:noWrap w:val="0"/>
                  <w:vAlign w:val="center"/>
                </w:tcPr>
                <w:p w14:paraId="0809EFBA">
                  <w:pPr>
                    <w:spacing w:line="240" w:lineRule="auto"/>
                    <w:jc w:val="center"/>
                    <w:rPr>
                      <w:rFonts w:hint="eastAsia" w:ascii="Times New Roman" w:hAnsi="Times New Roman" w:eastAsia="宋体" w:cs="Times New Roman"/>
                      <w:color w:val="auto"/>
                      <w:sz w:val="21"/>
                      <w:szCs w:val="21"/>
                      <w:highlight w:val="none"/>
                      <w:lang w:eastAsia="zh-CN"/>
                    </w:rPr>
                  </w:pPr>
                </w:p>
              </w:tc>
              <w:tc>
                <w:tcPr>
                  <w:tcW w:w="1095" w:type="dxa"/>
                  <w:vMerge w:val="restart"/>
                  <w:noWrap w:val="0"/>
                  <w:vAlign w:val="center"/>
                </w:tcPr>
                <w:p w14:paraId="0974B3E6">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废气治理</w:t>
                  </w:r>
                </w:p>
              </w:tc>
              <w:tc>
                <w:tcPr>
                  <w:tcW w:w="1950" w:type="dxa"/>
                  <w:noWrap w:val="0"/>
                  <w:vAlign w:val="center"/>
                </w:tcPr>
                <w:p w14:paraId="1C0C4DB1">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印刷</w:t>
                  </w:r>
                  <w:r>
                    <w:rPr>
                      <w:rFonts w:hint="eastAsia" w:cs="Times New Roman"/>
                      <w:color w:val="auto"/>
                      <w:sz w:val="21"/>
                      <w:szCs w:val="21"/>
                      <w:highlight w:val="none"/>
                      <w:lang w:val="en-US" w:eastAsia="zh-CN"/>
                    </w:rPr>
                    <w:t>废气、钢网擦拭废气、手工焊废气、锡膏搅拌机清洗废气</w:t>
                  </w:r>
                </w:p>
              </w:tc>
              <w:tc>
                <w:tcPr>
                  <w:tcW w:w="1173" w:type="dxa"/>
                  <w:shd w:val="clear" w:color="auto" w:fill="auto"/>
                  <w:noWrap w:val="0"/>
                  <w:vAlign w:val="center"/>
                </w:tcPr>
                <w:p w14:paraId="05FA5B9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集气罩收集</w:t>
                  </w:r>
                </w:p>
              </w:tc>
              <w:tc>
                <w:tcPr>
                  <w:tcW w:w="2985" w:type="dxa"/>
                  <w:gridSpan w:val="2"/>
                  <w:vMerge w:val="restart"/>
                  <w:shd w:val="clear" w:color="auto" w:fill="auto"/>
                  <w:noWrap w:val="0"/>
                  <w:vAlign w:val="center"/>
                </w:tcPr>
                <w:p w14:paraId="5CA2C8A3">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干式过滤器+二级活性炭吸附装置+20m高排气筒（DA001）</w:t>
                  </w:r>
                </w:p>
              </w:tc>
            </w:tr>
            <w:tr w14:paraId="0F57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235" w:type="dxa"/>
                  <w:vMerge w:val="continue"/>
                  <w:noWrap w:val="0"/>
                  <w:vAlign w:val="center"/>
                </w:tcPr>
                <w:p w14:paraId="3FCDBFC0">
                  <w:pPr>
                    <w:spacing w:line="240" w:lineRule="auto"/>
                    <w:jc w:val="center"/>
                    <w:rPr>
                      <w:rFonts w:hint="eastAsia" w:ascii="Times New Roman" w:hAnsi="Times New Roman" w:eastAsia="宋体" w:cs="Times New Roman"/>
                      <w:color w:val="auto"/>
                      <w:sz w:val="21"/>
                      <w:szCs w:val="21"/>
                      <w:highlight w:val="none"/>
                      <w:lang w:eastAsia="zh-CN"/>
                    </w:rPr>
                  </w:pPr>
                </w:p>
              </w:tc>
              <w:tc>
                <w:tcPr>
                  <w:tcW w:w="1095" w:type="dxa"/>
                  <w:vMerge w:val="continue"/>
                  <w:noWrap w:val="0"/>
                  <w:vAlign w:val="center"/>
                </w:tcPr>
                <w:p w14:paraId="510B4F9B">
                  <w:pPr>
                    <w:spacing w:line="240" w:lineRule="auto"/>
                    <w:jc w:val="center"/>
                    <w:rPr>
                      <w:rFonts w:hint="default" w:ascii="Times New Roman" w:hAnsi="Times New Roman" w:cs="Times New Roman"/>
                      <w:color w:val="auto"/>
                      <w:sz w:val="21"/>
                      <w:szCs w:val="21"/>
                      <w:highlight w:val="none"/>
                    </w:rPr>
                  </w:pPr>
                </w:p>
              </w:tc>
              <w:tc>
                <w:tcPr>
                  <w:tcW w:w="1950" w:type="dxa"/>
                  <w:noWrap w:val="0"/>
                  <w:vAlign w:val="center"/>
                </w:tcPr>
                <w:p w14:paraId="1251AEF0">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回流焊废气</w:t>
                  </w:r>
                </w:p>
              </w:tc>
              <w:tc>
                <w:tcPr>
                  <w:tcW w:w="1173" w:type="dxa"/>
                  <w:shd w:val="clear" w:color="auto" w:fill="auto"/>
                  <w:noWrap w:val="0"/>
                  <w:vAlign w:val="center"/>
                </w:tcPr>
                <w:p w14:paraId="51AAA85E">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负压管道收集</w:t>
                  </w:r>
                </w:p>
              </w:tc>
              <w:tc>
                <w:tcPr>
                  <w:tcW w:w="2985" w:type="dxa"/>
                  <w:gridSpan w:val="2"/>
                  <w:vMerge w:val="continue"/>
                  <w:shd w:val="clear" w:color="auto" w:fill="auto"/>
                  <w:noWrap w:val="0"/>
                  <w:vAlign w:val="center"/>
                </w:tcPr>
                <w:p w14:paraId="609756F4">
                  <w:pPr>
                    <w:spacing w:line="240" w:lineRule="auto"/>
                    <w:jc w:val="center"/>
                    <w:rPr>
                      <w:rFonts w:hint="eastAsia" w:cs="Times New Roman"/>
                      <w:color w:val="auto"/>
                      <w:kern w:val="2"/>
                      <w:sz w:val="21"/>
                      <w:szCs w:val="21"/>
                      <w:highlight w:val="none"/>
                      <w:lang w:val="en-US" w:eastAsia="zh-CN"/>
                    </w:rPr>
                  </w:pPr>
                </w:p>
              </w:tc>
            </w:tr>
            <w:tr w14:paraId="33A8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 w:hRule="atLeast"/>
                <w:jc w:val="center"/>
              </w:trPr>
              <w:tc>
                <w:tcPr>
                  <w:tcW w:w="1235" w:type="dxa"/>
                  <w:vMerge w:val="continue"/>
                  <w:noWrap w:val="0"/>
                  <w:vAlign w:val="center"/>
                </w:tcPr>
                <w:p w14:paraId="351C6E75">
                  <w:pPr>
                    <w:spacing w:line="240" w:lineRule="auto"/>
                    <w:jc w:val="center"/>
                    <w:rPr>
                      <w:rFonts w:hint="default" w:ascii="Times New Roman" w:hAnsi="Times New Roman" w:cs="Times New Roman"/>
                      <w:color w:val="auto"/>
                      <w:sz w:val="21"/>
                      <w:szCs w:val="21"/>
                      <w:highlight w:val="none"/>
                    </w:rPr>
                  </w:pPr>
                </w:p>
              </w:tc>
              <w:tc>
                <w:tcPr>
                  <w:tcW w:w="1095" w:type="dxa"/>
                  <w:noWrap w:val="0"/>
                  <w:vAlign w:val="center"/>
                </w:tcPr>
                <w:p w14:paraId="5A2A6E5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噪声治理</w:t>
                  </w:r>
                </w:p>
              </w:tc>
              <w:tc>
                <w:tcPr>
                  <w:tcW w:w="6108" w:type="dxa"/>
                  <w:gridSpan w:val="4"/>
                  <w:tcBorders>
                    <w:bottom w:val="single" w:color="000000" w:sz="4" w:space="0"/>
                  </w:tcBorders>
                  <w:noWrap w:val="0"/>
                  <w:vAlign w:val="center"/>
                </w:tcPr>
                <w:p w14:paraId="04596784">
                  <w:pPr>
                    <w:spacing w:line="240" w:lineRule="auto"/>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eastAsia="zh-CN"/>
                    </w:rPr>
                    <w:t>合理布局、</w:t>
                  </w:r>
                  <w:r>
                    <w:rPr>
                      <w:rFonts w:hint="default" w:ascii="Times New Roman" w:hAnsi="Times New Roman" w:cs="Times New Roman"/>
                      <w:color w:val="auto"/>
                      <w:sz w:val="21"/>
                      <w:szCs w:val="21"/>
                      <w:highlight w:val="none"/>
                    </w:rPr>
                    <w:t>减振基座、建筑隔声和距离衰减等措施</w:t>
                  </w:r>
                </w:p>
              </w:tc>
            </w:tr>
            <w:tr w14:paraId="5EAD8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1235" w:type="dxa"/>
                  <w:vMerge w:val="continue"/>
                  <w:noWrap w:val="0"/>
                  <w:vAlign w:val="center"/>
                </w:tcPr>
                <w:p w14:paraId="2A9D1638">
                  <w:pPr>
                    <w:spacing w:line="240" w:lineRule="auto"/>
                    <w:jc w:val="center"/>
                    <w:rPr>
                      <w:rFonts w:hint="default" w:ascii="Times New Roman" w:hAnsi="Times New Roman" w:cs="Times New Roman"/>
                      <w:color w:val="auto"/>
                      <w:sz w:val="21"/>
                      <w:szCs w:val="21"/>
                      <w:highlight w:val="none"/>
                    </w:rPr>
                  </w:pPr>
                </w:p>
              </w:tc>
              <w:tc>
                <w:tcPr>
                  <w:tcW w:w="1095" w:type="dxa"/>
                  <w:vMerge w:val="restart"/>
                  <w:noWrap w:val="0"/>
                  <w:vAlign w:val="center"/>
                </w:tcPr>
                <w:p w14:paraId="72D7994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固废治理</w:t>
                  </w:r>
                </w:p>
              </w:tc>
              <w:tc>
                <w:tcPr>
                  <w:tcW w:w="1950" w:type="dxa"/>
                  <w:tcBorders>
                    <w:bottom w:val="single" w:color="000000" w:sz="4" w:space="0"/>
                  </w:tcBorders>
                  <w:noWrap w:val="0"/>
                  <w:vAlign w:val="center"/>
                </w:tcPr>
                <w:p w14:paraId="20AFE1E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生活垃圾</w:t>
                  </w:r>
                </w:p>
              </w:tc>
              <w:tc>
                <w:tcPr>
                  <w:tcW w:w="4158" w:type="dxa"/>
                  <w:gridSpan w:val="3"/>
                  <w:tcBorders>
                    <w:bottom w:val="single" w:color="000000" w:sz="4" w:space="0"/>
                  </w:tcBorders>
                  <w:noWrap w:val="0"/>
                  <w:vAlign w:val="center"/>
                </w:tcPr>
                <w:p w14:paraId="560BFBB3">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企业收集后委托</w:t>
                  </w:r>
                  <w:r>
                    <w:rPr>
                      <w:rFonts w:hint="eastAsia"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4E9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2" w:hRule="atLeast"/>
                <w:jc w:val="center"/>
              </w:trPr>
              <w:tc>
                <w:tcPr>
                  <w:tcW w:w="1235" w:type="dxa"/>
                  <w:vMerge w:val="continue"/>
                  <w:noWrap w:val="0"/>
                  <w:vAlign w:val="center"/>
                </w:tcPr>
                <w:p w14:paraId="331F3ED7">
                  <w:pPr>
                    <w:spacing w:line="240" w:lineRule="auto"/>
                    <w:jc w:val="center"/>
                    <w:rPr>
                      <w:rFonts w:hint="eastAsia" w:ascii="Times New Roman" w:hAnsi="Times New Roman" w:eastAsia="宋体" w:cs="Times New Roman"/>
                      <w:color w:val="auto"/>
                      <w:sz w:val="21"/>
                      <w:szCs w:val="21"/>
                      <w:highlight w:val="none"/>
                      <w:lang w:eastAsia="zh-CN"/>
                    </w:rPr>
                  </w:pPr>
                </w:p>
              </w:tc>
              <w:tc>
                <w:tcPr>
                  <w:tcW w:w="1095" w:type="dxa"/>
                  <w:vMerge w:val="continue"/>
                  <w:noWrap w:val="0"/>
                  <w:vAlign w:val="center"/>
                </w:tcPr>
                <w:p w14:paraId="1E9D51E4">
                  <w:pPr>
                    <w:spacing w:line="240" w:lineRule="auto"/>
                    <w:jc w:val="center"/>
                    <w:rPr>
                      <w:rFonts w:hint="default" w:ascii="Times New Roman" w:hAnsi="Times New Roman" w:cs="Times New Roman"/>
                      <w:color w:val="auto"/>
                      <w:sz w:val="21"/>
                      <w:szCs w:val="21"/>
                      <w:highlight w:val="none"/>
                    </w:rPr>
                  </w:pPr>
                </w:p>
              </w:tc>
              <w:tc>
                <w:tcPr>
                  <w:tcW w:w="1950" w:type="dxa"/>
                  <w:tcBorders>
                    <w:top w:val="single" w:color="000000" w:sz="4" w:space="0"/>
                  </w:tcBorders>
                  <w:noWrap w:val="0"/>
                  <w:vAlign w:val="center"/>
                </w:tcPr>
                <w:p w14:paraId="24052554">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一般固废</w:t>
                  </w:r>
                </w:p>
              </w:tc>
              <w:tc>
                <w:tcPr>
                  <w:tcW w:w="4158" w:type="dxa"/>
                  <w:gridSpan w:val="3"/>
                  <w:tcBorders>
                    <w:top w:val="single" w:color="000000" w:sz="4" w:space="0"/>
                  </w:tcBorders>
                  <w:noWrap w:val="0"/>
                  <w:vAlign w:val="center"/>
                </w:tcPr>
                <w:p w14:paraId="4BE65614">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一般固废库，厂房4层西南侧，面积约40m</w:t>
                  </w:r>
                  <w:r>
                    <w:rPr>
                      <w:rFonts w:hint="eastAsia" w:cs="Times New Roman"/>
                      <w:color w:val="auto"/>
                      <w:sz w:val="21"/>
                      <w:szCs w:val="21"/>
                      <w:highlight w:val="none"/>
                      <w:vertAlign w:val="superscript"/>
                      <w:lang w:val="en-US" w:eastAsia="zh-CN"/>
                    </w:rPr>
                    <w:t>2</w:t>
                  </w:r>
                </w:p>
              </w:tc>
            </w:tr>
            <w:tr w14:paraId="6BC6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2" w:hRule="atLeast"/>
                <w:jc w:val="center"/>
              </w:trPr>
              <w:tc>
                <w:tcPr>
                  <w:tcW w:w="1235" w:type="dxa"/>
                  <w:vMerge w:val="continue"/>
                  <w:noWrap w:val="0"/>
                  <w:vAlign w:val="center"/>
                </w:tcPr>
                <w:p w14:paraId="090AC24A">
                  <w:pPr>
                    <w:spacing w:line="240" w:lineRule="auto"/>
                    <w:jc w:val="center"/>
                    <w:rPr>
                      <w:rFonts w:hint="eastAsia" w:ascii="Times New Roman" w:hAnsi="Times New Roman" w:eastAsia="宋体" w:cs="Times New Roman"/>
                      <w:color w:val="auto"/>
                      <w:sz w:val="21"/>
                      <w:szCs w:val="21"/>
                      <w:highlight w:val="none"/>
                      <w:lang w:eastAsia="zh-CN"/>
                    </w:rPr>
                  </w:pPr>
                </w:p>
              </w:tc>
              <w:tc>
                <w:tcPr>
                  <w:tcW w:w="1095" w:type="dxa"/>
                  <w:vMerge w:val="continue"/>
                  <w:noWrap w:val="0"/>
                  <w:vAlign w:val="center"/>
                </w:tcPr>
                <w:p w14:paraId="5A19501D">
                  <w:pPr>
                    <w:spacing w:line="240" w:lineRule="auto"/>
                    <w:jc w:val="center"/>
                    <w:rPr>
                      <w:rFonts w:hint="default" w:ascii="Times New Roman" w:hAnsi="Times New Roman" w:cs="Times New Roman"/>
                      <w:color w:val="auto"/>
                      <w:sz w:val="21"/>
                      <w:szCs w:val="21"/>
                      <w:highlight w:val="none"/>
                    </w:rPr>
                  </w:pPr>
                </w:p>
              </w:tc>
              <w:tc>
                <w:tcPr>
                  <w:tcW w:w="1950" w:type="dxa"/>
                  <w:tcBorders>
                    <w:top w:val="single" w:color="000000" w:sz="4" w:space="0"/>
                  </w:tcBorders>
                  <w:noWrap w:val="0"/>
                  <w:vAlign w:val="center"/>
                </w:tcPr>
                <w:p w14:paraId="488CDD09">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危险废物</w:t>
                  </w:r>
                </w:p>
              </w:tc>
              <w:tc>
                <w:tcPr>
                  <w:tcW w:w="4158" w:type="dxa"/>
                  <w:gridSpan w:val="3"/>
                  <w:tcBorders>
                    <w:top w:val="single" w:color="000000" w:sz="4" w:space="0"/>
                  </w:tcBorders>
                  <w:noWrap w:val="0"/>
                  <w:vAlign w:val="center"/>
                </w:tcPr>
                <w:p w14:paraId="701F8766">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危废库，位于</w:t>
                  </w:r>
                  <w:r>
                    <w:rPr>
                      <w:rFonts w:hint="eastAsia" w:cs="Times New Roman"/>
                      <w:color w:val="auto"/>
                      <w:sz w:val="21"/>
                      <w:szCs w:val="21"/>
                      <w:highlight w:val="none"/>
                      <w:lang w:val="en-US" w:eastAsia="zh-CN"/>
                    </w:rPr>
                    <w:t>厂房4</w:t>
                  </w:r>
                  <w:r>
                    <w:rPr>
                      <w:rFonts w:hint="eastAsia" w:ascii="Times New Roman" w:hAnsi="Times New Roman" w:cs="Times New Roman"/>
                      <w:color w:val="auto"/>
                      <w:sz w:val="21"/>
                      <w:szCs w:val="21"/>
                      <w:highlight w:val="none"/>
                      <w:lang w:val="en-US" w:eastAsia="zh-CN"/>
                    </w:rPr>
                    <w:t>层</w:t>
                  </w:r>
                  <w:r>
                    <w:rPr>
                      <w:rFonts w:hint="eastAsia" w:cs="Times New Roman"/>
                      <w:color w:val="auto"/>
                      <w:sz w:val="21"/>
                      <w:szCs w:val="21"/>
                      <w:highlight w:val="none"/>
                      <w:lang w:val="en-US" w:eastAsia="zh-CN"/>
                    </w:rPr>
                    <w:t>西北侧</w:t>
                  </w:r>
                  <w:r>
                    <w:rPr>
                      <w:rFonts w:hint="eastAsia"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eastAsia="zh-CN"/>
                    </w:rPr>
                    <w:t>面积</w:t>
                  </w:r>
                  <w:r>
                    <w:rPr>
                      <w:rFonts w:hint="eastAsia" w:cs="Times New Roman"/>
                      <w:color w:val="auto"/>
                      <w:sz w:val="21"/>
                      <w:szCs w:val="21"/>
                      <w:highlight w:val="none"/>
                      <w:lang w:val="en-US" w:eastAsia="zh-CN"/>
                    </w:rPr>
                    <w:t>约40</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bl>
          <w:p w14:paraId="15A4BC1F">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3、产品方案</w:t>
            </w:r>
          </w:p>
          <w:p w14:paraId="7FF8BF95">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 xml:space="preserve">表2-2  </w:t>
            </w:r>
            <w:r>
              <w:rPr>
                <w:rFonts w:hint="default" w:ascii="Times New Roman" w:hAnsi="Times New Roman" w:eastAsia="宋体" w:cs="Times New Roman"/>
                <w:b/>
                <w:color w:val="auto"/>
                <w:kern w:val="2"/>
                <w:sz w:val="24"/>
                <w:szCs w:val="24"/>
                <w:highlight w:val="none"/>
              </w:rPr>
              <w:t>项目产品方案一览表</w:t>
            </w:r>
          </w:p>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560"/>
              <w:gridCol w:w="1599"/>
              <w:gridCol w:w="968"/>
              <w:gridCol w:w="1159"/>
              <w:gridCol w:w="2445"/>
            </w:tblGrid>
            <w:tr w14:paraId="2F15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1A2F8000">
                  <w:pPr>
                    <w:spacing w:line="240" w:lineRule="auto"/>
                    <w:jc w:val="center"/>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序号</w:t>
                  </w:r>
                </w:p>
              </w:tc>
              <w:tc>
                <w:tcPr>
                  <w:tcW w:w="1560" w:type="dxa"/>
                  <w:noWrap w:val="0"/>
                  <w:vAlign w:val="center"/>
                </w:tcPr>
                <w:p w14:paraId="7C08A2BF">
                  <w:pPr>
                    <w:spacing w:line="240" w:lineRule="auto"/>
                    <w:jc w:val="center"/>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产品名称</w:t>
                  </w:r>
                </w:p>
              </w:tc>
              <w:tc>
                <w:tcPr>
                  <w:tcW w:w="1599" w:type="dxa"/>
                  <w:noWrap w:val="0"/>
                  <w:vAlign w:val="center"/>
                </w:tcPr>
                <w:p w14:paraId="230CA90D">
                  <w:pPr>
                    <w:spacing w:line="240" w:lineRule="auto"/>
                    <w:jc w:val="center"/>
                    <w:rPr>
                      <w:rFonts w:hint="eastAsia" w:ascii="Times New Roman" w:hAnsi="Times New Roman" w:eastAsia="宋体" w:cs="Times New Roman"/>
                      <w:b/>
                      <w:bCs/>
                      <w:color w:val="auto"/>
                      <w:sz w:val="21"/>
                      <w:szCs w:val="21"/>
                      <w:highlight w:val="none"/>
                      <w:vertAlign w:val="baseline"/>
                      <w:lang w:eastAsia="zh-CN"/>
                    </w:rPr>
                  </w:pPr>
                  <w:r>
                    <w:rPr>
                      <w:rFonts w:hint="eastAsia" w:cs="Times New Roman"/>
                      <w:b/>
                      <w:bCs/>
                      <w:color w:val="auto"/>
                      <w:sz w:val="21"/>
                      <w:szCs w:val="21"/>
                      <w:highlight w:val="none"/>
                      <w:vertAlign w:val="baseline"/>
                      <w:lang w:eastAsia="zh-CN"/>
                    </w:rPr>
                    <w:t>规格</w:t>
                  </w:r>
                </w:p>
              </w:tc>
              <w:tc>
                <w:tcPr>
                  <w:tcW w:w="968" w:type="dxa"/>
                  <w:noWrap w:val="0"/>
                  <w:vAlign w:val="center"/>
                </w:tcPr>
                <w:p w14:paraId="4867EBAE">
                  <w:pPr>
                    <w:spacing w:line="240" w:lineRule="auto"/>
                    <w:jc w:val="center"/>
                    <w:rPr>
                      <w:rFonts w:hint="eastAsia" w:ascii="Times New Roman" w:hAnsi="Times New Roman" w:eastAsia="宋体" w:cs="Times New Roman"/>
                      <w:b/>
                      <w:bCs/>
                      <w:color w:val="auto"/>
                      <w:sz w:val="21"/>
                      <w:szCs w:val="21"/>
                      <w:highlight w:val="none"/>
                      <w:vertAlign w:val="baseline"/>
                      <w:lang w:eastAsia="zh-CN"/>
                    </w:rPr>
                  </w:pPr>
                  <w:r>
                    <w:rPr>
                      <w:rFonts w:hint="eastAsia" w:cs="Times New Roman"/>
                      <w:b/>
                      <w:bCs/>
                      <w:color w:val="auto"/>
                      <w:sz w:val="21"/>
                      <w:szCs w:val="21"/>
                      <w:highlight w:val="none"/>
                      <w:vertAlign w:val="baseline"/>
                      <w:lang w:eastAsia="zh-CN"/>
                    </w:rPr>
                    <w:t>年产量</w:t>
                  </w:r>
                </w:p>
              </w:tc>
              <w:tc>
                <w:tcPr>
                  <w:tcW w:w="1159" w:type="dxa"/>
                  <w:noWrap w:val="0"/>
                  <w:vAlign w:val="center"/>
                </w:tcPr>
                <w:p w14:paraId="007D84A5">
                  <w:pPr>
                    <w:spacing w:line="240" w:lineRule="auto"/>
                    <w:jc w:val="center"/>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储存位置</w:t>
                  </w:r>
                </w:p>
              </w:tc>
              <w:tc>
                <w:tcPr>
                  <w:tcW w:w="2445" w:type="dxa"/>
                  <w:noWrap w:val="0"/>
                  <w:vAlign w:val="center"/>
                </w:tcPr>
                <w:p w14:paraId="4FC86195">
                  <w:pPr>
                    <w:spacing w:line="240" w:lineRule="auto"/>
                    <w:jc w:val="center"/>
                    <w:rPr>
                      <w:rFonts w:hint="default" w:ascii="Times New Roman" w:hAnsi="Times New Roman" w:eastAsia="宋体"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备注</w:t>
                  </w:r>
                </w:p>
              </w:tc>
            </w:tr>
            <w:tr w14:paraId="62C0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40EF6A15">
                  <w:pPr>
                    <w:spacing w:line="240" w:lineRule="auto"/>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w:t>
                  </w:r>
                </w:p>
              </w:tc>
              <w:tc>
                <w:tcPr>
                  <w:tcW w:w="1560" w:type="dxa"/>
                  <w:noWrap w:val="0"/>
                  <w:vAlign w:val="center"/>
                </w:tcPr>
                <w:p w14:paraId="0B811D8E">
                  <w:pPr>
                    <w:spacing w:line="240" w:lineRule="auto"/>
                    <w:jc w:val="center"/>
                    <w:rPr>
                      <w:rFonts w:hint="default" w:ascii="Times New Roman" w:hAnsi="Times New Roman" w:eastAsia="宋体" w:cs="Times New Roman"/>
                      <w:color w:val="auto"/>
                      <w:sz w:val="21"/>
                      <w:szCs w:val="21"/>
                      <w:highlight w:val="none"/>
                      <w:vertAlign w:val="baseline"/>
                      <w:lang w:val="en-US"/>
                    </w:rPr>
                  </w:pPr>
                  <w:r>
                    <w:rPr>
                      <w:rFonts w:hint="eastAsia" w:cs="Times New Roman"/>
                      <w:color w:val="auto"/>
                      <w:sz w:val="21"/>
                      <w:szCs w:val="21"/>
                      <w:highlight w:val="none"/>
                      <w:lang w:val="en-US" w:eastAsia="zh-CN"/>
                    </w:rPr>
                    <w:t>LED</w:t>
                  </w:r>
                  <w:r>
                    <w:rPr>
                      <w:rFonts w:hint="eastAsia" w:ascii="宋体" w:hAnsi="宋体"/>
                      <w:sz w:val="21"/>
                      <w:szCs w:val="21"/>
                      <w:highlight w:val="none"/>
                      <w:lang w:val="en-US" w:eastAsia="zh-CN"/>
                    </w:rPr>
                    <w:t>显示模组</w:t>
                  </w:r>
                </w:p>
              </w:tc>
              <w:tc>
                <w:tcPr>
                  <w:tcW w:w="1599" w:type="dxa"/>
                  <w:noWrap w:val="0"/>
                  <w:vAlign w:val="center"/>
                </w:tcPr>
                <w:p w14:paraId="1E572074">
                  <w:pPr>
                    <w:spacing w:line="240" w:lineRule="auto"/>
                    <w:jc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P2.5（320*160mm）</w:t>
                  </w:r>
                </w:p>
              </w:tc>
              <w:tc>
                <w:tcPr>
                  <w:tcW w:w="968" w:type="dxa"/>
                  <w:noWrap w:val="0"/>
                  <w:vAlign w:val="center"/>
                </w:tcPr>
                <w:p w14:paraId="59292D48">
                  <w:pPr>
                    <w:spacing w:line="240" w:lineRule="auto"/>
                    <w:jc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240万件</w:t>
                  </w:r>
                </w:p>
              </w:tc>
              <w:tc>
                <w:tcPr>
                  <w:tcW w:w="1159" w:type="dxa"/>
                  <w:noWrap w:val="0"/>
                  <w:vAlign w:val="center"/>
                </w:tcPr>
                <w:p w14:paraId="7A18117B">
                  <w:pPr>
                    <w:spacing w:line="240" w:lineRule="auto"/>
                    <w:jc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成品仓库</w:t>
                  </w:r>
                </w:p>
              </w:tc>
              <w:tc>
                <w:tcPr>
                  <w:tcW w:w="2445" w:type="dxa"/>
                  <w:noWrap w:val="0"/>
                  <w:vAlign w:val="center"/>
                </w:tcPr>
                <w:p w14:paraId="7DBC1B88">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本项目生产的LED显示模组只适用于室内，不适用于室外，故无室外应用LED显示模组所需的喷胶处理工艺</w:t>
                  </w:r>
                </w:p>
              </w:tc>
            </w:tr>
          </w:tbl>
          <w:p w14:paraId="13BFB2F6">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drawing>
                <wp:anchor distT="0" distB="0" distL="114300" distR="114300" simplePos="0" relativeHeight="251666432" behindDoc="1" locked="0" layoutInCell="1" allowOverlap="1">
                  <wp:simplePos x="0" y="0"/>
                  <wp:positionH relativeFrom="column">
                    <wp:posOffset>590550</wp:posOffset>
                  </wp:positionH>
                  <wp:positionV relativeFrom="paragraph">
                    <wp:posOffset>56515</wp:posOffset>
                  </wp:positionV>
                  <wp:extent cx="4387850" cy="1522095"/>
                  <wp:effectExtent l="0" t="0" r="12700" b="190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tretch>
                            <a:fillRect/>
                          </a:stretch>
                        </pic:blipFill>
                        <pic:spPr>
                          <a:xfrm>
                            <a:off x="0" y="0"/>
                            <a:ext cx="4387850" cy="1522095"/>
                          </a:xfrm>
                          <a:prstGeom prst="rect">
                            <a:avLst/>
                          </a:prstGeom>
                          <a:noFill/>
                          <a:ln>
                            <a:noFill/>
                          </a:ln>
                        </pic:spPr>
                      </pic:pic>
                    </a:graphicData>
                  </a:graphic>
                </wp:anchor>
              </w:drawing>
            </w:r>
          </w:p>
          <w:p w14:paraId="68017AED">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p>
          <w:p w14:paraId="14349DB2">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p>
          <w:p w14:paraId="2C2FC898">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p>
          <w:p w14:paraId="6A126F75">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p>
          <w:p w14:paraId="0E677BCA">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p>
          <w:p w14:paraId="36BDE5EC">
            <w:pPr>
              <w:adjustRightInd w:val="0"/>
              <w:snapToGrid w:val="0"/>
              <w:spacing w:line="360" w:lineRule="auto"/>
              <w:ind w:firstLine="482" w:firstLineChars="200"/>
              <w:jc w:val="center"/>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图2-1  </w:t>
            </w:r>
            <w:r>
              <w:rPr>
                <w:rFonts w:hint="eastAsia" w:cs="Times New Roman"/>
                <w:b/>
                <w:bCs/>
                <w:color w:val="auto"/>
                <w:sz w:val="24"/>
                <w:szCs w:val="24"/>
                <w:highlight w:val="none"/>
                <w:lang w:val="en-US" w:eastAsia="zh-CN"/>
              </w:rPr>
              <w:t>LED</w:t>
            </w:r>
            <w:r>
              <w:rPr>
                <w:rFonts w:hint="eastAsia" w:ascii="宋体" w:hAnsi="宋体"/>
                <w:b/>
                <w:bCs/>
                <w:sz w:val="24"/>
                <w:szCs w:val="24"/>
                <w:highlight w:val="none"/>
                <w:lang w:val="en-US" w:eastAsia="zh-CN"/>
              </w:rPr>
              <w:t>显示模组产品图</w:t>
            </w:r>
          </w:p>
          <w:p w14:paraId="6987CDA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4、主要生产设备</w:t>
            </w:r>
          </w:p>
          <w:p w14:paraId="210628D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eastAsia="zh-CN"/>
              </w:rPr>
              <w:t>表</w:t>
            </w:r>
            <w:r>
              <w:rPr>
                <w:rFonts w:hint="eastAsia" w:ascii="Times New Roman" w:hAnsi="Times New Roman" w:eastAsia="宋体" w:cs="Times New Roman"/>
                <w:b/>
                <w:color w:val="auto"/>
                <w:kern w:val="2"/>
                <w:sz w:val="24"/>
                <w:szCs w:val="24"/>
                <w:highlight w:val="none"/>
                <w:lang w:val="en-US" w:eastAsia="zh-CN"/>
              </w:rPr>
              <w:t>2-3  主要设备清单</w:t>
            </w:r>
          </w:p>
          <w:tbl>
            <w:tblPr>
              <w:tblStyle w:val="23"/>
              <w:tblW w:w="8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768"/>
              <w:gridCol w:w="2580"/>
              <w:gridCol w:w="2086"/>
            </w:tblGrid>
            <w:tr w14:paraId="4DE0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noWrap w:val="0"/>
                  <w:vAlign w:val="center"/>
                </w:tcPr>
                <w:p w14:paraId="7691EA54">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eastAsia" w:ascii="宋体" w:hAnsi="宋体" w:cs="宋体"/>
                      <w:b/>
                      <w:bCs w:val="0"/>
                      <w:color w:val="auto"/>
                      <w:kern w:val="0"/>
                      <w:sz w:val="21"/>
                      <w:szCs w:val="21"/>
                      <w:highlight w:val="none"/>
                      <w:lang w:val="en-US" w:eastAsia="zh-CN"/>
                    </w:rPr>
                    <w:t>序号</w:t>
                  </w:r>
                </w:p>
              </w:tc>
              <w:tc>
                <w:tcPr>
                  <w:tcW w:w="2768" w:type="dxa"/>
                  <w:noWrap w:val="0"/>
                  <w:vAlign w:val="center"/>
                </w:tcPr>
                <w:p w14:paraId="40AB7C1A">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eastAsia" w:ascii="宋体" w:hAnsi="宋体" w:eastAsia="宋体" w:cs="宋体"/>
                      <w:b/>
                      <w:bCs w:val="0"/>
                      <w:color w:val="auto"/>
                      <w:kern w:val="0"/>
                      <w:sz w:val="21"/>
                      <w:szCs w:val="21"/>
                      <w:highlight w:val="none"/>
                    </w:rPr>
                    <w:t>设备名称</w:t>
                  </w:r>
                </w:p>
              </w:tc>
              <w:tc>
                <w:tcPr>
                  <w:tcW w:w="2580" w:type="dxa"/>
                  <w:noWrap w:val="0"/>
                  <w:vAlign w:val="center"/>
                </w:tcPr>
                <w:p w14:paraId="2A98BD4F">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eastAsia" w:ascii="宋体" w:hAnsi="宋体" w:eastAsia="宋体" w:cs="宋体"/>
                      <w:b/>
                      <w:bCs w:val="0"/>
                      <w:color w:val="auto"/>
                      <w:kern w:val="0"/>
                      <w:sz w:val="21"/>
                      <w:szCs w:val="21"/>
                      <w:highlight w:val="none"/>
                    </w:rPr>
                    <w:t>型号规格</w:t>
                  </w:r>
                </w:p>
              </w:tc>
              <w:tc>
                <w:tcPr>
                  <w:tcW w:w="2086" w:type="dxa"/>
                  <w:noWrap w:val="0"/>
                  <w:vAlign w:val="center"/>
                </w:tcPr>
                <w:p w14:paraId="6304F95D">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eastAsia" w:ascii="宋体" w:hAnsi="宋体" w:eastAsia="宋体" w:cs="宋体"/>
                      <w:b/>
                      <w:bCs w:val="0"/>
                      <w:color w:val="auto"/>
                      <w:kern w:val="0"/>
                      <w:sz w:val="21"/>
                      <w:szCs w:val="21"/>
                      <w:highlight w:val="none"/>
                    </w:rPr>
                    <w:t>数量</w:t>
                  </w:r>
                  <w:r>
                    <w:rPr>
                      <w:rFonts w:hint="eastAsia" w:ascii="宋体" w:hAnsi="宋体" w:eastAsia="宋体" w:cs="宋体"/>
                      <w:b/>
                      <w:color w:val="auto"/>
                      <w:kern w:val="0"/>
                      <w:sz w:val="21"/>
                      <w:szCs w:val="21"/>
                      <w:highlight w:val="none"/>
                    </w:rPr>
                    <w:t>（台/套）</w:t>
                  </w:r>
                </w:p>
              </w:tc>
            </w:tr>
            <w:tr w14:paraId="5ABF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noWrap w:val="0"/>
                  <w:vAlign w:val="center"/>
                </w:tcPr>
                <w:p w14:paraId="18A50131">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2768" w:type="dxa"/>
                  <w:noWrap w:val="0"/>
                  <w:vAlign w:val="center"/>
                </w:tcPr>
                <w:p w14:paraId="69D14AD1">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全自动视觉印刷机</w:t>
                  </w:r>
                </w:p>
              </w:tc>
              <w:tc>
                <w:tcPr>
                  <w:tcW w:w="2580" w:type="dxa"/>
                  <w:noWrap w:val="0"/>
                  <w:vAlign w:val="center"/>
                </w:tcPr>
                <w:p w14:paraId="533CC34A">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szCs w:val="21"/>
                      <w:lang w:val="en-US" w:eastAsia="zh-CN"/>
                    </w:rPr>
                    <w:t>YGP-3</w:t>
                  </w:r>
                </w:p>
              </w:tc>
              <w:tc>
                <w:tcPr>
                  <w:tcW w:w="2086" w:type="dxa"/>
                  <w:noWrap w:val="0"/>
                  <w:vAlign w:val="center"/>
                </w:tcPr>
                <w:p w14:paraId="18A4499D">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r>
            <w:tr w14:paraId="3950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noWrap w:val="0"/>
                  <w:vAlign w:val="center"/>
                </w:tcPr>
                <w:p w14:paraId="59E75E6C">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w:t>
                  </w:r>
                </w:p>
              </w:tc>
              <w:tc>
                <w:tcPr>
                  <w:tcW w:w="2768" w:type="dxa"/>
                  <w:noWrap w:val="0"/>
                  <w:vAlign w:val="center"/>
                </w:tcPr>
                <w:p w14:paraId="55A639C6">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接驳台</w:t>
                  </w:r>
                </w:p>
              </w:tc>
              <w:tc>
                <w:tcPr>
                  <w:tcW w:w="2580" w:type="dxa"/>
                  <w:noWrap w:val="0"/>
                  <w:vAlign w:val="center"/>
                </w:tcPr>
                <w:p w14:paraId="0ED8722F">
                  <w:pPr>
                    <w:jc w:val="center"/>
                    <w:rPr>
                      <w:rFonts w:hint="default" w:eastAsia="宋体" w:asciiTheme="minorHAnsi" w:hAnsiTheme="minorHAnsi" w:cstheme="minorBidi"/>
                      <w:kern w:val="2"/>
                      <w:sz w:val="21"/>
                      <w:szCs w:val="21"/>
                      <w:highlight w:val="none"/>
                      <w:lang w:val="en-US" w:eastAsia="zh-CN" w:bidi="ar-SA"/>
                    </w:rPr>
                  </w:pPr>
                  <w:r>
                    <w:rPr>
                      <w:rFonts w:hint="eastAsia"/>
                      <w:szCs w:val="21"/>
                      <w:lang w:val="en-US" w:eastAsia="zh-CN"/>
                    </w:rPr>
                    <w:t>YAH1200</w:t>
                  </w:r>
                </w:p>
              </w:tc>
              <w:tc>
                <w:tcPr>
                  <w:tcW w:w="2086" w:type="dxa"/>
                  <w:noWrap w:val="0"/>
                  <w:vAlign w:val="center"/>
                </w:tcPr>
                <w:p w14:paraId="60FF72B1">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w:t>
                  </w:r>
                </w:p>
              </w:tc>
            </w:tr>
            <w:tr w14:paraId="1347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6" w:type="dxa"/>
                  <w:noWrap w:val="0"/>
                  <w:vAlign w:val="center"/>
                </w:tcPr>
                <w:p w14:paraId="6568909D">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4</w:t>
                  </w:r>
                </w:p>
              </w:tc>
              <w:tc>
                <w:tcPr>
                  <w:tcW w:w="2768" w:type="dxa"/>
                  <w:noWrap w:val="0"/>
                  <w:vAlign w:val="center"/>
                </w:tcPr>
                <w:p w14:paraId="6E3ECA1B">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回流焊</w:t>
                  </w:r>
                </w:p>
              </w:tc>
              <w:tc>
                <w:tcPr>
                  <w:tcW w:w="2580" w:type="dxa"/>
                  <w:noWrap w:val="0"/>
                  <w:vAlign w:val="center"/>
                </w:tcPr>
                <w:p w14:paraId="6E4986F5">
                  <w:pPr>
                    <w:jc w:val="center"/>
                    <w:rPr>
                      <w:rFonts w:hint="eastAsia" w:asciiTheme="minorHAnsi" w:hAnsiTheme="minorHAnsi" w:eastAsiaTheme="minorEastAsia" w:cstheme="minorBidi"/>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shd w:val="clear" w:color="auto" w:fill="auto"/>
                  <w:noWrap w:val="0"/>
                  <w:vAlign w:val="center"/>
                </w:tcPr>
                <w:p w14:paraId="3A19EDD8">
                  <w:pPr>
                    <w:jc w:val="center"/>
                    <w:rPr>
                      <w:rFonts w:hint="eastAsia" w:ascii="Times New Roman" w:hAnsi="Times New Roman" w:eastAsia="宋体" w:cs="Times New Roman"/>
                      <w:kern w:val="2"/>
                      <w:sz w:val="21"/>
                      <w:szCs w:val="21"/>
                      <w:lang w:val="en-US" w:eastAsia="zh-CN" w:bidi="ar-SA"/>
                    </w:rPr>
                  </w:pPr>
                  <w:r>
                    <w:rPr>
                      <w:rFonts w:hint="eastAsia"/>
                      <w:sz w:val="21"/>
                      <w:szCs w:val="21"/>
                      <w:u w:val="none"/>
                      <w:lang w:val="en-US" w:eastAsia="zh-CN"/>
                    </w:rPr>
                    <w:t>4</w:t>
                  </w:r>
                </w:p>
              </w:tc>
            </w:tr>
            <w:tr w14:paraId="5A59A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noWrap w:val="0"/>
                  <w:vAlign w:val="center"/>
                </w:tcPr>
                <w:p w14:paraId="524EE764">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w:t>
                  </w:r>
                </w:p>
              </w:tc>
              <w:tc>
                <w:tcPr>
                  <w:tcW w:w="2768" w:type="dxa"/>
                  <w:noWrap w:val="0"/>
                  <w:vAlign w:val="center"/>
                </w:tcPr>
                <w:p w14:paraId="47D7AEBF">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贴片机</w:t>
                  </w:r>
                </w:p>
              </w:tc>
              <w:tc>
                <w:tcPr>
                  <w:tcW w:w="2580" w:type="dxa"/>
                  <w:noWrap w:val="0"/>
                  <w:vAlign w:val="center"/>
                </w:tcPr>
                <w:p w14:paraId="4DCAF322">
                  <w:pPr>
                    <w:jc w:val="center"/>
                    <w:rPr>
                      <w:rFonts w:hint="default" w:eastAsia="宋体" w:asciiTheme="minorHAnsi" w:hAnsiTheme="minorHAnsi" w:cstheme="minorBidi"/>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shd w:val="clear" w:color="auto" w:fill="auto"/>
                  <w:noWrap w:val="0"/>
                  <w:vAlign w:val="center"/>
                </w:tcPr>
                <w:p w14:paraId="1572642B">
                  <w:pPr>
                    <w:jc w:val="center"/>
                    <w:rPr>
                      <w:rFonts w:hint="default" w:ascii="Times New Roman" w:hAnsi="Times New Roman" w:eastAsia="宋体" w:cs="Times New Roman"/>
                      <w:kern w:val="2"/>
                      <w:sz w:val="21"/>
                      <w:szCs w:val="21"/>
                      <w:lang w:val="en-US" w:eastAsia="zh-CN" w:bidi="ar-SA"/>
                    </w:rPr>
                  </w:pPr>
                  <w:r>
                    <w:rPr>
                      <w:rFonts w:hint="eastAsia"/>
                      <w:sz w:val="21"/>
                      <w:szCs w:val="21"/>
                      <w:u w:val="none"/>
                      <w:lang w:val="en-US" w:eastAsia="zh-CN"/>
                    </w:rPr>
                    <w:t>16</w:t>
                  </w:r>
                </w:p>
              </w:tc>
            </w:tr>
            <w:tr w14:paraId="42A5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noWrap w:val="0"/>
                  <w:vAlign w:val="center"/>
                </w:tcPr>
                <w:p w14:paraId="48DE653F">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7</w:t>
                  </w:r>
                </w:p>
              </w:tc>
              <w:tc>
                <w:tcPr>
                  <w:tcW w:w="2768" w:type="dxa"/>
                  <w:noWrap w:val="0"/>
                  <w:vAlign w:val="center"/>
                </w:tcPr>
                <w:p w14:paraId="0320F57C">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上板机</w:t>
                  </w:r>
                </w:p>
              </w:tc>
              <w:tc>
                <w:tcPr>
                  <w:tcW w:w="2580" w:type="dxa"/>
                  <w:noWrap w:val="0"/>
                  <w:vAlign w:val="top"/>
                </w:tcPr>
                <w:p w14:paraId="531F8CCD">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shd w:val="clear" w:color="auto" w:fill="auto"/>
                  <w:noWrap w:val="0"/>
                  <w:vAlign w:val="center"/>
                </w:tcPr>
                <w:p w14:paraId="4A5D927F">
                  <w:pPr>
                    <w:jc w:val="center"/>
                    <w:rPr>
                      <w:rFonts w:hint="eastAsia" w:ascii="Times New Roman" w:hAnsi="Times New Roman" w:eastAsia="宋体" w:cs="Times New Roman"/>
                      <w:kern w:val="2"/>
                      <w:sz w:val="21"/>
                      <w:szCs w:val="21"/>
                      <w:lang w:val="en-US" w:eastAsia="zh-CN" w:bidi="ar-SA"/>
                    </w:rPr>
                  </w:pPr>
                  <w:r>
                    <w:rPr>
                      <w:rFonts w:hint="eastAsia"/>
                      <w:sz w:val="21"/>
                      <w:szCs w:val="21"/>
                      <w:u w:val="none"/>
                      <w:lang w:val="en-US" w:eastAsia="zh-CN"/>
                    </w:rPr>
                    <w:t>6</w:t>
                  </w:r>
                </w:p>
              </w:tc>
            </w:tr>
            <w:tr w14:paraId="356F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noWrap w:val="0"/>
                  <w:vAlign w:val="center"/>
                </w:tcPr>
                <w:p w14:paraId="271E39CA">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8</w:t>
                  </w:r>
                </w:p>
              </w:tc>
              <w:tc>
                <w:tcPr>
                  <w:tcW w:w="2768" w:type="dxa"/>
                  <w:noWrap w:val="0"/>
                  <w:vAlign w:val="center"/>
                </w:tcPr>
                <w:p w14:paraId="00FF6ADB">
                  <w:pPr>
                    <w:jc w:val="center"/>
                    <w:rPr>
                      <w:rFonts w:hint="default" w:asciiTheme="minorHAnsi" w:hAnsiTheme="minorHAnsi" w:eastAsiaTheme="minorEastAsia" w:cstheme="minorBidi"/>
                      <w:color w:val="auto"/>
                      <w:kern w:val="2"/>
                      <w:sz w:val="21"/>
                      <w:szCs w:val="21"/>
                      <w:highlight w:val="none"/>
                      <w:lang w:val="en-US" w:eastAsia="zh-CN" w:bidi="ar-SA"/>
                    </w:rPr>
                  </w:pPr>
                  <w:r>
                    <w:rPr>
                      <w:rFonts w:hint="eastAsia"/>
                      <w:color w:val="auto"/>
                      <w:sz w:val="21"/>
                      <w:szCs w:val="21"/>
                      <w:highlight w:val="none"/>
                      <w:lang w:val="en-US" w:eastAsia="zh-CN"/>
                    </w:rPr>
                    <w:t>插件机</w:t>
                  </w:r>
                </w:p>
              </w:tc>
              <w:tc>
                <w:tcPr>
                  <w:tcW w:w="2580" w:type="dxa"/>
                  <w:noWrap w:val="0"/>
                  <w:vAlign w:val="top"/>
                </w:tcPr>
                <w:p w14:paraId="33F002CD">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shd w:val="clear" w:color="auto" w:fill="auto"/>
                  <w:noWrap w:val="0"/>
                  <w:vAlign w:val="center"/>
                </w:tcPr>
                <w:p w14:paraId="081AF4A8">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26</w:t>
                  </w:r>
                </w:p>
              </w:tc>
            </w:tr>
            <w:tr w14:paraId="6EBB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trPr>
              <w:tc>
                <w:tcPr>
                  <w:tcW w:w="986" w:type="dxa"/>
                  <w:noWrap w:val="0"/>
                  <w:vAlign w:val="center"/>
                </w:tcPr>
                <w:p w14:paraId="1A81A43A">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9</w:t>
                  </w:r>
                </w:p>
              </w:tc>
              <w:tc>
                <w:tcPr>
                  <w:tcW w:w="2768" w:type="dxa"/>
                  <w:noWrap w:val="0"/>
                  <w:vAlign w:val="center"/>
                </w:tcPr>
                <w:p w14:paraId="3716D104">
                  <w:pPr>
                    <w:jc w:val="center"/>
                    <w:rPr>
                      <w:rFonts w:hint="eastAsia" w:eastAsia="宋体" w:asciiTheme="minorHAnsi" w:hAnsiTheme="minorHAnsi" w:cstheme="minorBidi"/>
                      <w:color w:val="auto"/>
                      <w:kern w:val="2"/>
                      <w:sz w:val="21"/>
                      <w:szCs w:val="21"/>
                      <w:highlight w:val="none"/>
                      <w:lang w:val="en-US" w:eastAsia="zh-CN" w:bidi="ar-SA"/>
                    </w:rPr>
                  </w:pPr>
                  <w:r>
                    <w:rPr>
                      <w:rFonts w:hint="eastAsia"/>
                      <w:color w:val="auto"/>
                      <w:sz w:val="21"/>
                      <w:szCs w:val="21"/>
                      <w:highlight w:val="none"/>
                      <w:lang w:val="en-US" w:eastAsia="zh-CN"/>
                    </w:rPr>
                    <w:t>烘箱</w:t>
                  </w:r>
                </w:p>
              </w:tc>
              <w:tc>
                <w:tcPr>
                  <w:tcW w:w="2580" w:type="dxa"/>
                  <w:noWrap w:val="0"/>
                  <w:vAlign w:val="top"/>
                </w:tcPr>
                <w:p w14:paraId="54F792A3">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shd w:val="clear" w:color="auto" w:fill="auto"/>
                  <w:noWrap w:val="0"/>
                  <w:vAlign w:val="center"/>
                </w:tcPr>
                <w:p w14:paraId="37BF44D5">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u w:val="none"/>
                      <w:lang w:val="en-US" w:eastAsia="zh-CN"/>
                    </w:rPr>
                    <w:t>4</w:t>
                  </w:r>
                </w:p>
              </w:tc>
            </w:tr>
            <w:tr w14:paraId="1ED4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6" w:type="dxa"/>
                  <w:noWrap w:val="0"/>
                  <w:vAlign w:val="center"/>
                </w:tcPr>
                <w:p w14:paraId="3AF05677">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10</w:t>
                  </w:r>
                </w:p>
              </w:tc>
              <w:tc>
                <w:tcPr>
                  <w:tcW w:w="2768" w:type="dxa"/>
                  <w:noWrap w:val="0"/>
                  <w:vAlign w:val="center"/>
                </w:tcPr>
                <w:p w14:paraId="4A19E855">
                  <w:pPr>
                    <w:jc w:val="center"/>
                    <w:rPr>
                      <w:rFonts w:hint="eastAsia" w:asciiTheme="minorHAnsi" w:hAnsiTheme="minorHAnsi" w:eastAsiaTheme="minorEastAsia" w:cstheme="minorBidi"/>
                      <w:color w:val="auto"/>
                      <w:kern w:val="2"/>
                      <w:sz w:val="21"/>
                      <w:szCs w:val="21"/>
                      <w:highlight w:val="none"/>
                      <w:lang w:val="en-US" w:eastAsia="zh-CN" w:bidi="ar-SA"/>
                    </w:rPr>
                  </w:pPr>
                  <w:r>
                    <w:rPr>
                      <w:rFonts w:hint="eastAsia"/>
                      <w:color w:val="auto"/>
                      <w:sz w:val="21"/>
                      <w:szCs w:val="21"/>
                      <w:highlight w:val="none"/>
                      <w:lang w:val="en-US" w:eastAsia="zh-CN"/>
                    </w:rPr>
                    <w:t>打螺丝机</w:t>
                  </w:r>
                </w:p>
              </w:tc>
              <w:tc>
                <w:tcPr>
                  <w:tcW w:w="2580" w:type="dxa"/>
                  <w:noWrap w:val="0"/>
                  <w:vAlign w:val="top"/>
                </w:tcPr>
                <w:p w14:paraId="3AE89CA9">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shd w:val="clear" w:color="auto" w:fill="auto"/>
                  <w:noWrap w:val="0"/>
                  <w:vAlign w:val="center"/>
                </w:tcPr>
                <w:p w14:paraId="1D51C7B3">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u w:val="none"/>
                      <w:lang w:val="en-US" w:eastAsia="zh-CN"/>
                    </w:rPr>
                    <w:t>6</w:t>
                  </w:r>
                </w:p>
              </w:tc>
            </w:tr>
            <w:tr w14:paraId="5451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noWrap w:val="0"/>
                  <w:vAlign w:val="center"/>
                </w:tcPr>
                <w:p w14:paraId="015EFA17">
                  <w:pPr>
                    <w:jc w:val="center"/>
                    <w:rPr>
                      <w:rFonts w:hint="default"/>
                      <w:sz w:val="21"/>
                      <w:szCs w:val="21"/>
                      <w:highlight w:val="none"/>
                      <w:lang w:val="en-US" w:eastAsia="zh-CN"/>
                    </w:rPr>
                  </w:pPr>
                  <w:r>
                    <w:rPr>
                      <w:rFonts w:hint="eastAsia"/>
                      <w:sz w:val="21"/>
                      <w:szCs w:val="21"/>
                      <w:highlight w:val="none"/>
                      <w:lang w:val="en-US" w:eastAsia="zh-CN"/>
                    </w:rPr>
                    <w:t>11</w:t>
                  </w:r>
                </w:p>
              </w:tc>
              <w:tc>
                <w:tcPr>
                  <w:tcW w:w="2768" w:type="dxa"/>
                  <w:shd w:val="clear" w:color="auto" w:fill="auto"/>
                  <w:noWrap w:val="0"/>
                  <w:vAlign w:val="center"/>
                </w:tcPr>
                <w:p w14:paraId="6B42717A">
                  <w:pPr>
                    <w:jc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sz w:val="21"/>
                      <w:szCs w:val="21"/>
                      <w:highlight w:val="none"/>
                      <w:lang w:val="en-US" w:eastAsia="zh-CN"/>
                    </w:rPr>
                    <w:t>SPI（锡膏检测设备）</w:t>
                  </w:r>
                </w:p>
              </w:tc>
              <w:tc>
                <w:tcPr>
                  <w:tcW w:w="2580" w:type="dxa"/>
                  <w:noWrap w:val="0"/>
                  <w:vAlign w:val="top"/>
                </w:tcPr>
                <w:p w14:paraId="1196728F">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2086" w:type="dxa"/>
                  <w:shd w:val="clear" w:color="auto" w:fill="auto"/>
                  <w:noWrap w:val="0"/>
                  <w:vAlign w:val="center"/>
                </w:tcPr>
                <w:p w14:paraId="44EE8A05">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8</w:t>
                  </w:r>
                </w:p>
              </w:tc>
            </w:tr>
            <w:tr w14:paraId="7370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noWrap w:val="0"/>
                  <w:vAlign w:val="center"/>
                </w:tcPr>
                <w:p w14:paraId="67F695A9">
                  <w:pPr>
                    <w:jc w:val="center"/>
                    <w:rPr>
                      <w:rFonts w:hint="default"/>
                      <w:sz w:val="21"/>
                      <w:szCs w:val="21"/>
                      <w:highlight w:val="none"/>
                      <w:lang w:val="en-US" w:eastAsia="zh-CN"/>
                    </w:rPr>
                  </w:pPr>
                  <w:r>
                    <w:rPr>
                      <w:rFonts w:hint="eastAsia"/>
                      <w:sz w:val="21"/>
                      <w:szCs w:val="21"/>
                      <w:highlight w:val="none"/>
                      <w:lang w:val="en-US" w:eastAsia="zh-CN"/>
                    </w:rPr>
                    <w:t>12</w:t>
                  </w:r>
                </w:p>
              </w:tc>
              <w:tc>
                <w:tcPr>
                  <w:tcW w:w="2768" w:type="dxa"/>
                  <w:shd w:val="clear" w:color="auto" w:fill="auto"/>
                  <w:noWrap w:val="0"/>
                  <w:vAlign w:val="center"/>
                </w:tcPr>
                <w:p w14:paraId="238340E6">
                  <w:pPr>
                    <w:jc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sz w:val="21"/>
                      <w:szCs w:val="21"/>
                      <w:highlight w:val="none"/>
                      <w:u w:val="none"/>
                      <w:lang w:val="en-US" w:eastAsia="zh-CN"/>
                    </w:rPr>
                    <w:t>压面罩机</w:t>
                  </w:r>
                </w:p>
              </w:tc>
              <w:tc>
                <w:tcPr>
                  <w:tcW w:w="2580" w:type="dxa"/>
                  <w:noWrap w:val="0"/>
                  <w:vAlign w:val="top"/>
                </w:tcPr>
                <w:p w14:paraId="7EFE823E">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2086" w:type="dxa"/>
                  <w:shd w:val="clear" w:color="auto" w:fill="auto"/>
                  <w:noWrap w:val="0"/>
                  <w:vAlign w:val="center"/>
                </w:tcPr>
                <w:p w14:paraId="47095387">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w:t>
                  </w:r>
                </w:p>
              </w:tc>
            </w:tr>
            <w:tr w14:paraId="307BA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shd w:val="clear" w:color="auto" w:fill="auto"/>
                  <w:noWrap w:val="0"/>
                  <w:vAlign w:val="center"/>
                </w:tcPr>
                <w:p w14:paraId="47A87BB9">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13</w:t>
                  </w:r>
                </w:p>
              </w:tc>
              <w:tc>
                <w:tcPr>
                  <w:tcW w:w="2768" w:type="dxa"/>
                  <w:shd w:val="clear" w:color="auto" w:fill="auto"/>
                  <w:noWrap w:val="0"/>
                  <w:vAlign w:val="center"/>
                </w:tcPr>
                <w:p w14:paraId="4878616E">
                  <w:pPr>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olor w:val="auto"/>
                      <w:sz w:val="21"/>
                      <w:szCs w:val="21"/>
                      <w:highlight w:val="none"/>
                      <w:u w:val="none"/>
                      <w:lang w:val="en-US" w:eastAsia="zh-CN"/>
                    </w:rPr>
                    <w:t>移载机</w:t>
                  </w:r>
                </w:p>
              </w:tc>
              <w:tc>
                <w:tcPr>
                  <w:tcW w:w="2580" w:type="dxa"/>
                  <w:noWrap w:val="0"/>
                  <w:vAlign w:val="top"/>
                </w:tcPr>
                <w:p w14:paraId="28546F33">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shd w:val="clear" w:color="auto" w:fill="auto"/>
                  <w:noWrap w:val="0"/>
                  <w:vAlign w:val="center"/>
                </w:tcPr>
                <w:p w14:paraId="65693513">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u w:val="none"/>
                      <w:lang w:val="en-US" w:eastAsia="zh-CN"/>
                    </w:rPr>
                    <w:t>4</w:t>
                  </w:r>
                </w:p>
              </w:tc>
            </w:tr>
            <w:tr w14:paraId="3B450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shd w:val="clear" w:color="auto" w:fill="auto"/>
                  <w:noWrap w:val="0"/>
                  <w:vAlign w:val="center"/>
                </w:tcPr>
                <w:p w14:paraId="722CF84A">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14</w:t>
                  </w:r>
                </w:p>
              </w:tc>
              <w:tc>
                <w:tcPr>
                  <w:tcW w:w="2768" w:type="dxa"/>
                  <w:shd w:val="clear" w:color="auto" w:fill="auto"/>
                  <w:noWrap w:val="0"/>
                  <w:vAlign w:val="center"/>
                </w:tcPr>
                <w:p w14:paraId="22CA3CB1">
                  <w:pPr>
                    <w:jc w:val="center"/>
                    <w:rPr>
                      <w:rFonts w:hint="eastAsia" w:ascii="Times New Roman" w:hAnsi="Times New Roman" w:eastAsia="宋体" w:cs="Times New Roman"/>
                      <w:color w:val="auto"/>
                      <w:kern w:val="2"/>
                      <w:sz w:val="21"/>
                      <w:szCs w:val="21"/>
                      <w:highlight w:val="none"/>
                      <w:lang w:val="en-US" w:eastAsia="zh-CN" w:bidi="ar-SA"/>
                    </w:rPr>
                  </w:pPr>
                  <w:r>
                    <w:rPr>
                      <w:rFonts w:hint="default" w:eastAsia="宋体"/>
                      <w:color w:val="auto"/>
                      <w:sz w:val="21"/>
                      <w:szCs w:val="21"/>
                      <w:highlight w:val="none"/>
                      <w:u w:val="none"/>
                      <w:lang w:val="en-US" w:eastAsia="zh-CN"/>
                    </w:rPr>
                    <w:t>收板机</w:t>
                  </w:r>
                </w:p>
              </w:tc>
              <w:tc>
                <w:tcPr>
                  <w:tcW w:w="2580" w:type="dxa"/>
                  <w:noWrap w:val="0"/>
                  <w:vAlign w:val="top"/>
                </w:tcPr>
                <w:p w14:paraId="01188A30">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shd w:val="clear" w:color="auto" w:fill="auto"/>
                  <w:noWrap w:val="0"/>
                  <w:vAlign w:val="center"/>
                </w:tcPr>
                <w:p w14:paraId="2D182940">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u w:val="none"/>
                      <w:lang w:val="en-US" w:eastAsia="zh-CN"/>
                    </w:rPr>
                    <w:t>2</w:t>
                  </w:r>
                </w:p>
              </w:tc>
            </w:tr>
            <w:tr w14:paraId="79563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shd w:val="clear" w:color="auto" w:fill="auto"/>
                  <w:noWrap w:val="0"/>
                  <w:vAlign w:val="center"/>
                </w:tcPr>
                <w:p w14:paraId="763FA4BF">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15</w:t>
                  </w:r>
                </w:p>
              </w:tc>
              <w:tc>
                <w:tcPr>
                  <w:tcW w:w="2768" w:type="dxa"/>
                  <w:shd w:val="clear" w:color="auto" w:fill="auto"/>
                  <w:noWrap w:val="0"/>
                  <w:vAlign w:val="center"/>
                </w:tcPr>
                <w:p w14:paraId="4451EFF3">
                  <w:pPr>
                    <w:jc w:val="center"/>
                    <w:rPr>
                      <w:rFonts w:hint="eastAsia" w:ascii="Times New Roman" w:hAnsi="Times New Roman" w:eastAsia="宋体" w:cs="Times New Roman"/>
                      <w:kern w:val="2"/>
                      <w:sz w:val="21"/>
                      <w:szCs w:val="21"/>
                      <w:lang w:val="en-US" w:eastAsia="zh-CN" w:bidi="ar-SA"/>
                    </w:rPr>
                  </w:pPr>
                  <w:r>
                    <w:rPr>
                      <w:rFonts w:hint="eastAsia"/>
                      <w:sz w:val="21"/>
                      <w:szCs w:val="21"/>
                      <w:u w:val="none"/>
                      <w:lang w:val="en-US" w:eastAsia="zh-CN"/>
                    </w:rPr>
                    <w:t>AOI（自动光学检测设备）</w:t>
                  </w:r>
                </w:p>
              </w:tc>
              <w:tc>
                <w:tcPr>
                  <w:tcW w:w="2580" w:type="dxa"/>
                  <w:noWrap w:val="0"/>
                  <w:vAlign w:val="top"/>
                </w:tcPr>
                <w:p w14:paraId="1A09090C">
                  <w:pPr>
                    <w:spacing w:line="240" w:lineRule="auto"/>
                    <w:ind w:firstLine="0" w:firstLineChars="0"/>
                    <w:jc w:val="center"/>
                    <w:rPr>
                      <w:rFonts w:hint="eastAsia" w:ascii="Times New Roman" w:hAnsi="Times New Roman" w:eastAsia="宋体" w:cs="Times New Roman"/>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shd w:val="clear" w:color="auto" w:fill="auto"/>
                  <w:noWrap w:val="0"/>
                  <w:vAlign w:val="center"/>
                </w:tcPr>
                <w:p w14:paraId="30DC8443">
                  <w:pPr>
                    <w:jc w:val="center"/>
                    <w:rPr>
                      <w:rFonts w:hint="eastAsia" w:ascii="Times New Roman" w:hAnsi="Times New Roman" w:eastAsia="宋体" w:cs="Times New Roman"/>
                      <w:kern w:val="2"/>
                      <w:sz w:val="21"/>
                      <w:szCs w:val="21"/>
                      <w:lang w:val="en-US" w:eastAsia="zh-CN" w:bidi="ar-SA"/>
                    </w:rPr>
                  </w:pPr>
                  <w:r>
                    <w:rPr>
                      <w:rFonts w:hint="eastAsia"/>
                      <w:sz w:val="21"/>
                      <w:szCs w:val="21"/>
                      <w:u w:val="none"/>
                      <w:lang w:val="en-US" w:eastAsia="zh-CN"/>
                    </w:rPr>
                    <w:t>8</w:t>
                  </w:r>
                </w:p>
              </w:tc>
            </w:tr>
            <w:tr w14:paraId="2033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shd w:val="clear" w:color="auto" w:fill="auto"/>
                  <w:noWrap w:val="0"/>
                  <w:vAlign w:val="center"/>
                </w:tcPr>
                <w:p w14:paraId="5336E493">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16</w:t>
                  </w:r>
                </w:p>
              </w:tc>
              <w:tc>
                <w:tcPr>
                  <w:tcW w:w="2768" w:type="dxa"/>
                  <w:shd w:val="clear" w:color="auto" w:fill="auto"/>
                  <w:noWrap w:val="0"/>
                  <w:vAlign w:val="center"/>
                </w:tcPr>
                <w:p w14:paraId="0CAD8D41">
                  <w:pPr>
                    <w:jc w:val="center"/>
                    <w:rPr>
                      <w:rFonts w:hint="default"/>
                      <w:sz w:val="21"/>
                      <w:szCs w:val="21"/>
                      <w:highlight w:val="none"/>
                      <w:lang w:val="en-US" w:eastAsia="zh-CN"/>
                    </w:rPr>
                  </w:pPr>
                  <w:r>
                    <w:rPr>
                      <w:rFonts w:hint="eastAsia"/>
                      <w:sz w:val="21"/>
                      <w:szCs w:val="21"/>
                      <w:highlight w:val="none"/>
                      <w:lang w:val="en-US" w:eastAsia="zh-CN"/>
                    </w:rPr>
                    <w:t>空压机</w:t>
                  </w:r>
                </w:p>
              </w:tc>
              <w:tc>
                <w:tcPr>
                  <w:tcW w:w="2580" w:type="dxa"/>
                  <w:noWrap w:val="0"/>
                  <w:vAlign w:val="top"/>
                </w:tcPr>
                <w:p w14:paraId="72A37F15">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noWrap w:val="0"/>
                  <w:vAlign w:val="center"/>
                </w:tcPr>
                <w:p w14:paraId="0D543DE6">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14:paraId="398BE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shd w:val="clear" w:color="auto" w:fill="auto"/>
                  <w:noWrap w:val="0"/>
                  <w:vAlign w:val="center"/>
                </w:tcPr>
                <w:p w14:paraId="5A0402B3">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17</w:t>
                  </w:r>
                </w:p>
              </w:tc>
              <w:tc>
                <w:tcPr>
                  <w:tcW w:w="2768" w:type="dxa"/>
                  <w:shd w:val="clear" w:color="auto" w:fill="auto"/>
                  <w:noWrap w:val="0"/>
                  <w:vAlign w:val="center"/>
                </w:tcPr>
                <w:p w14:paraId="278C02BF">
                  <w:pPr>
                    <w:jc w:val="center"/>
                    <w:rPr>
                      <w:rFonts w:hint="default"/>
                      <w:sz w:val="21"/>
                      <w:szCs w:val="21"/>
                      <w:highlight w:val="none"/>
                      <w:lang w:val="en-US" w:eastAsia="zh-CN"/>
                    </w:rPr>
                  </w:pPr>
                  <w:r>
                    <w:rPr>
                      <w:rFonts w:hint="eastAsia"/>
                      <w:sz w:val="21"/>
                      <w:szCs w:val="21"/>
                      <w:highlight w:val="none"/>
                      <w:lang w:val="en-US" w:eastAsia="zh-CN"/>
                    </w:rPr>
                    <w:t>空调系统</w:t>
                  </w:r>
                </w:p>
              </w:tc>
              <w:tc>
                <w:tcPr>
                  <w:tcW w:w="2580" w:type="dxa"/>
                  <w:noWrap w:val="0"/>
                  <w:vAlign w:val="top"/>
                </w:tcPr>
                <w:p w14:paraId="106809D3">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noWrap w:val="0"/>
                  <w:vAlign w:val="center"/>
                </w:tcPr>
                <w:p w14:paraId="6CE95C3C">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14:paraId="21948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shd w:val="clear" w:color="auto" w:fill="auto"/>
                  <w:noWrap w:val="0"/>
                  <w:vAlign w:val="center"/>
                </w:tcPr>
                <w:p w14:paraId="02FBBC6A">
                  <w:pPr>
                    <w:jc w:val="center"/>
                    <w:rPr>
                      <w:rFonts w:hint="default"/>
                      <w:sz w:val="21"/>
                      <w:szCs w:val="21"/>
                      <w:highlight w:val="none"/>
                      <w:lang w:val="en-US" w:eastAsia="zh-CN"/>
                    </w:rPr>
                  </w:pPr>
                  <w:r>
                    <w:rPr>
                      <w:rFonts w:hint="eastAsia"/>
                      <w:sz w:val="21"/>
                      <w:szCs w:val="21"/>
                      <w:highlight w:val="none"/>
                      <w:lang w:val="en-US" w:eastAsia="zh-CN"/>
                    </w:rPr>
                    <w:t>18</w:t>
                  </w:r>
                </w:p>
              </w:tc>
              <w:tc>
                <w:tcPr>
                  <w:tcW w:w="2768" w:type="dxa"/>
                  <w:shd w:val="clear" w:color="auto" w:fill="auto"/>
                  <w:noWrap w:val="0"/>
                  <w:vAlign w:val="center"/>
                </w:tcPr>
                <w:p w14:paraId="29194CD2">
                  <w:pPr>
                    <w:jc w:val="center"/>
                    <w:rPr>
                      <w:rFonts w:hint="default"/>
                      <w:sz w:val="21"/>
                      <w:szCs w:val="21"/>
                      <w:highlight w:val="none"/>
                      <w:lang w:val="en-US" w:eastAsia="zh-CN"/>
                    </w:rPr>
                  </w:pPr>
                  <w:r>
                    <w:rPr>
                      <w:rFonts w:hint="eastAsia"/>
                      <w:sz w:val="21"/>
                      <w:szCs w:val="21"/>
                      <w:highlight w:val="none"/>
                      <w:lang w:val="en-US" w:eastAsia="zh-CN"/>
                    </w:rPr>
                    <w:t>冰箱</w:t>
                  </w:r>
                </w:p>
              </w:tc>
              <w:tc>
                <w:tcPr>
                  <w:tcW w:w="2580" w:type="dxa"/>
                  <w:noWrap w:val="0"/>
                  <w:vAlign w:val="top"/>
                </w:tcPr>
                <w:p w14:paraId="69385304">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美的</w:t>
                  </w:r>
                </w:p>
              </w:tc>
              <w:tc>
                <w:tcPr>
                  <w:tcW w:w="2086" w:type="dxa"/>
                  <w:noWrap w:val="0"/>
                  <w:vAlign w:val="center"/>
                </w:tcPr>
                <w:p w14:paraId="74EC3579">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w:t>
                  </w:r>
                </w:p>
              </w:tc>
            </w:tr>
            <w:tr w14:paraId="73AB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shd w:val="clear" w:color="auto" w:fill="auto"/>
                  <w:noWrap w:val="0"/>
                  <w:vAlign w:val="center"/>
                </w:tcPr>
                <w:p w14:paraId="7DFED239">
                  <w:pPr>
                    <w:jc w:val="center"/>
                    <w:rPr>
                      <w:rFonts w:hint="default"/>
                      <w:sz w:val="21"/>
                      <w:szCs w:val="21"/>
                      <w:highlight w:val="none"/>
                      <w:lang w:val="en-US" w:eastAsia="zh-CN"/>
                    </w:rPr>
                  </w:pPr>
                  <w:r>
                    <w:rPr>
                      <w:rFonts w:hint="eastAsia"/>
                      <w:sz w:val="21"/>
                      <w:szCs w:val="21"/>
                      <w:highlight w:val="none"/>
                      <w:lang w:val="en-US" w:eastAsia="zh-CN"/>
                    </w:rPr>
                    <w:t>19</w:t>
                  </w:r>
                </w:p>
              </w:tc>
              <w:tc>
                <w:tcPr>
                  <w:tcW w:w="2768" w:type="dxa"/>
                  <w:shd w:val="clear" w:color="auto" w:fill="auto"/>
                  <w:noWrap w:val="0"/>
                  <w:vAlign w:val="center"/>
                </w:tcPr>
                <w:p w14:paraId="4CE238FD">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干式过滤器</w:t>
                  </w:r>
                </w:p>
              </w:tc>
              <w:tc>
                <w:tcPr>
                  <w:tcW w:w="2580" w:type="dxa"/>
                  <w:noWrap w:val="0"/>
                  <w:vAlign w:val="top"/>
                </w:tcPr>
                <w:p w14:paraId="49F5A0FD">
                  <w:pPr>
                    <w:spacing w:line="240" w:lineRule="auto"/>
                    <w:ind w:firstLine="0" w:firstLineChars="0"/>
                    <w:jc w:val="center"/>
                    <w:rPr>
                      <w:rFonts w:hint="eastAsia" w:ascii="Times New Roman" w:hAnsi="Times New Roman" w:eastAsia="宋体" w:cs="Times New Roman"/>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noWrap w:val="0"/>
                  <w:vAlign w:val="center"/>
                </w:tcPr>
                <w:p w14:paraId="4712C157">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14:paraId="1FE42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shd w:val="clear" w:color="auto" w:fill="auto"/>
                  <w:noWrap w:val="0"/>
                  <w:vAlign w:val="center"/>
                </w:tcPr>
                <w:p w14:paraId="5AA00601">
                  <w:pPr>
                    <w:jc w:val="center"/>
                    <w:rPr>
                      <w:rFonts w:hint="default"/>
                      <w:sz w:val="21"/>
                      <w:szCs w:val="21"/>
                      <w:highlight w:val="none"/>
                      <w:lang w:val="en-US" w:eastAsia="zh-CN"/>
                    </w:rPr>
                  </w:pPr>
                  <w:r>
                    <w:rPr>
                      <w:rFonts w:hint="eastAsia"/>
                      <w:sz w:val="21"/>
                      <w:szCs w:val="21"/>
                      <w:highlight w:val="none"/>
                      <w:lang w:val="en-US" w:eastAsia="zh-CN"/>
                    </w:rPr>
                    <w:t>20</w:t>
                  </w:r>
                </w:p>
              </w:tc>
              <w:tc>
                <w:tcPr>
                  <w:tcW w:w="2768" w:type="dxa"/>
                  <w:shd w:val="clear" w:color="auto" w:fill="auto"/>
                  <w:noWrap w:val="0"/>
                  <w:vAlign w:val="center"/>
                </w:tcPr>
                <w:p w14:paraId="57EDC060">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二级活性炭吸附装置</w:t>
                  </w:r>
                </w:p>
              </w:tc>
              <w:tc>
                <w:tcPr>
                  <w:tcW w:w="2580" w:type="dxa"/>
                  <w:noWrap w:val="0"/>
                  <w:vAlign w:val="top"/>
                </w:tcPr>
                <w:p w14:paraId="54123B8A">
                  <w:pPr>
                    <w:spacing w:line="240" w:lineRule="auto"/>
                    <w:ind w:firstLine="0" w:firstLineChars="0"/>
                    <w:jc w:val="center"/>
                    <w:rPr>
                      <w:rFonts w:hint="eastAsia" w:ascii="Times New Roman" w:hAnsi="Times New Roman" w:eastAsia="宋体" w:cs="Times New Roman"/>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2086" w:type="dxa"/>
                  <w:noWrap w:val="0"/>
                  <w:vAlign w:val="center"/>
                </w:tcPr>
                <w:p w14:paraId="58F460D9">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bl>
          <w:p w14:paraId="0C32680C">
            <w:pPr>
              <w:keepNext w:val="0"/>
              <w:keepLines w:val="0"/>
              <w:pageBreakBefore w:val="0"/>
              <w:widowControl w:val="0"/>
              <w:kinsoku/>
              <w:wordWrap/>
              <w:overflowPunct/>
              <w:topLinePunct w:val="0"/>
              <w:autoSpaceDE/>
              <w:autoSpaceDN/>
              <w:bidi w:val="0"/>
              <w:adjustRightInd/>
              <w:snapToGrid/>
              <w:spacing w:line="240" w:lineRule="auto"/>
              <w:ind w:left="420" w:leftChars="200"/>
              <w:jc w:val="left"/>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5、原辅材料</w:t>
            </w:r>
          </w:p>
          <w:p w14:paraId="5C463A47">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4"/>
                <w:szCs w:val="24"/>
                <w:highlight w:val="none"/>
              </w:rPr>
              <w:t>2-</w:t>
            </w:r>
            <w:r>
              <w:rPr>
                <w:rFonts w:hint="eastAsia" w:ascii="Times New Roman" w:hAnsi="Times New Roman" w:eastAsia="宋体" w:cs="Times New Roman"/>
                <w:b/>
                <w:color w:val="auto"/>
                <w:kern w:val="2"/>
                <w:sz w:val="24"/>
                <w:szCs w:val="24"/>
                <w:highlight w:val="none"/>
                <w:lang w:val="en-US" w:eastAsia="zh-CN"/>
              </w:rPr>
              <w:t xml:space="preserve">4  </w:t>
            </w:r>
            <w:r>
              <w:rPr>
                <w:rFonts w:hint="default" w:ascii="Times New Roman" w:hAnsi="Times New Roman" w:eastAsia="宋体" w:cs="Times New Roman"/>
                <w:b/>
                <w:color w:val="auto"/>
                <w:kern w:val="2"/>
                <w:sz w:val="24"/>
                <w:szCs w:val="24"/>
                <w:highlight w:val="none"/>
              </w:rPr>
              <w:t>项目原辅材料一览表</w:t>
            </w:r>
          </w:p>
          <w:tbl>
            <w:tblPr>
              <w:tblStyle w:val="23"/>
              <w:tblW w:w="8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519"/>
              <w:gridCol w:w="1619"/>
              <w:gridCol w:w="1635"/>
              <w:gridCol w:w="1306"/>
              <w:gridCol w:w="1669"/>
            </w:tblGrid>
            <w:tr w14:paraId="090A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noWrap w:val="0"/>
                  <w:vAlign w:val="center"/>
                </w:tcPr>
                <w:p w14:paraId="0E4FC21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序号</w:t>
                  </w:r>
                </w:p>
              </w:tc>
              <w:tc>
                <w:tcPr>
                  <w:tcW w:w="1519" w:type="dxa"/>
                  <w:noWrap w:val="0"/>
                  <w:vAlign w:val="center"/>
                </w:tcPr>
                <w:p w14:paraId="6701613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名称</w:t>
                  </w:r>
                </w:p>
              </w:tc>
              <w:tc>
                <w:tcPr>
                  <w:tcW w:w="1619" w:type="dxa"/>
                  <w:noWrap w:val="0"/>
                  <w:vAlign w:val="center"/>
                </w:tcPr>
                <w:p w14:paraId="2966B53F">
                  <w:pPr>
                    <w:pStyle w:val="31"/>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年消耗量</w:t>
                  </w:r>
                </w:p>
              </w:tc>
              <w:tc>
                <w:tcPr>
                  <w:tcW w:w="1635" w:type="dxa"/>
                  <w:noWrap w:val="0"/>
                  <w:vAlign w:val="center"/>
                </w:tcPr>
                <w:p w14:paraId="4BCDC3CD">
                  <w:pPr>
                    <w:pStyle w:val="31"/>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最大储存量</w:t>
                  </w:r>
                </w:p>
              </w:tc>
              <w:tc>
                <w:tcPr>
                  <w:tcW w:w="1306" w:type="dxa"/>
                  <w:noWrap w:val="0"/>
                  <w:vAlign w:val="center"/>
                </w:tcPr>
                <w:p w14:paraId="6331DB3A">
                  <w:pPr>
                    <w:pStyle w:val="31"/>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eastAsia" w:ascii="Times New Roman" w:hAnsi="Times New Roman" w:cs="Times New Roman"/>
                      <w:b/>
                      <w:bCs/>
                      <w:color w:val="auto"/>
                      <w:sz w:val="21"/>
                      <w:szCs w:val="21"/>
                      <w:highlight w:val="none"/>
                      <w:lang w:eastAsia="zh-CN"/>
                    </w:rPr>
                    <w:t>包装规格</w:t>
                  </w:r>
                </w:p>
              </w:tc>
              <w:tc>
                <w:tcPr>
                  <w:tcW w:w="1669" w:type="dxa"/>
                  <w:noWrap w:val="0"/>
                  <w:vAlign w:val="center"/>
                </w:tcPr>
                <w:p w14:paraId="72F73603">
                  <w:pPr>
                    <w:pStyle w:val="31"/>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储存</w:t>
                  </w:r>
                  <w:r>
                    <w:rPr>
                      <w:rFonts w:hint="default" w:ascii="Times New Roman" w:hAnsi="Times New Roman" w:eastAsia="宋体" w:cs="Times New Roman"/>
                      <w:b/>
                      <w:bCs/>
                      <w:color w:val="auto"/>
                      <w:sz w:val="21"/>
                      <w:szCs w:val="21"/>
                      <w:highlight w:val="none"/>
                      <w:lang w:val="en-US" w:eastAsia="zh-CN"/>
                    </w:rPr>
                    <w:t>/放置</w:t>
                  </w:r>
                  <w:r>
                    <w:rPr>
                      <w:rFonts w:hint="default" w:ascii="Times New Roman" w:hAnsi="Times New Roman" w:eastAsia="宋体" w:cs="Times New Roman"/>
                      <w:b/>
                      <w:bCs/>
                      <w:color w:val="auto"/>
                      <w:sz w:val="21"/>
                      <w:szCs w:val="21"/>
                      <w:highlight w:val="none"/>
                      <w:lang w:eastAsia="zh-CN"/>
                    </w:rPr>
                    <w:t>位置</w:t>
                  </w:r>
                </w:p>
              </w:tc>
            </w:tr>
            <w:tr w14:paraId="2404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noWrap w:val="0"/>
                  <w:vAlign w:val="center"/>
                </w:tcPr>
                <w:p w14:paraId="4BD43727">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1</w:t>
                  </w:r>
                </w:p>
              </w:tc>
              <w:tc>
                <w:tcPr>
                  <w:tcW w:w="1519" w:type="dxa"/>
                  <w:noWrap w:val="0"/>
                  <w:vAlign w:val="center"/>
                </w:tcPr>
                <w:p w14:paraId="5EE7FDE1">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PCB板（P2.5）</w:t>
                  </w:r>
                </w:p>
              </w:tc>
              <w:tc>
                <w:tcPr>
                  <w:tcW w:w="1619" w:type="dxa"/>
                  <w:shd w:val="clear" w:color="auto" w:fill="auto"/>
                  <w:noWrap w:val="0"/>
                  <w:vAlign w:val="center"/>
                </w:tcPr>
                <w:p w14:paraId="7FD05C3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240万件</w:t>
                  </w:r>
                </w:p>
              </w:tc>
              <w:tc>
                <w:tcPr>
                  <w:tcW w:w="1635" w:type="dxa"/>
                  <w:shd w:val="clear" w:color="auto" w:fill="auto"/>
                  <w:noWrap w:val="0"/>
                  <w:vAlign w:val="center"/>
                </w:tcPr>
                <w:p w14:paraId="68F61A8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18万</w:t>
                  </w:r>
                </w:p>
              </w:tc>
              <w:tc>
                <w:tcPr>
                  <w:tcW w:w="1306" w:type="dxa"/>
                  <w:noWrap w:val="0"/>
                  <w:vAlign w:val="center"/>
                </w:tcPr>
                <w:p w14:paraId="7A76781D">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noWrap w:val="0"/>
                  <w:vAlign w:val="center"/>
                </w:tcPr>
                <w:p w14:paraId="503D85A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2D43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1062FB15">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2</w:t>
                  </w:r>
                </w:p>
              </w:tc>
              <w:tc>
                <w:tcPr>
                  <w:tcW w:w="1519" w:type="dxa"/>
                  <w:shd w:val="clear" w:color="auto" w:fill="auto"/>
                  <w:noWrap w:val="0"/>
                  <w:vAlign w:val="center"/>
                </w:tcPr>
                <w:p w14:paraId="1D02890E">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LED灯</w:t>
                  </w:r>
                </w:p>
              </w:tc>
              <w:tc>
                <w:tcPr>
                  <w:tcW w:w="1619" w:type="dxa"/>
                  <w:shd w:val="clear" w:color="auto" w:fill="auto"/>
                  <w:noWrap w:val="0"/>
                  <w:vAlign w:val="center"/>
                </w:tcPr>
                <w:p w14:paraId="37DD2BE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19660800万粒</w:t>
                  </w:r>
                </w:p>
              </w:tc>
              <w:tc>
                <w:tcPr>
                  <w:tcW w:w="1635" w:type="dxa"/>
                  <w:shd w:val="clear" w:color="auto" w:fill="auto"/>
                  <w:noWrap w:val="0"/>
                  <w:vAlign w:val="center"/>
                </w:tcPr>
                <w:p w14:paraId="27334B93">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147456万粒</w:t>
                  </w:r>
                </w:p>
              </w:tc>
              <w:tc>
                <w:tcPr>
                  <w:tcW w:w="1306" w:type="dxa"/>
                  <w:noWrap w:val="0"/>
                  <w:vAlign w:val="center"/>
                </w:tcPr>
                <w:p w14:paraId="34E9FEB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sz w:val="21"/>
                      <w:szCs w:val="21"/>
                      <w:highlight w:val="none"/>
                      <w:vertAlign w:val="baseline"/>
                      <w:lang w:val="en-US" w:eastAsia="zh-CN"/>
                    </w:rPr>
                  </w:pPr>
                </w:p>
              </w:tc>
              <w:tc>
                <w:tcPr>
                  <w:tcW w:w="1669" w:type="dxa"/>
                  <w:noWrap w:val="0"/>
                  <w:vAlign w:val="center"/>
                </w:tcPr>
                <w:p w14:paraId="6C684F5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3E2D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2C68A79B">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3</w:t>
                  </w:r>
                </w:p>
              </w:tc>
              <w:tc>
                <w:tcPr>
                  <w:tcW w:w="1519" w:type="dxa"/>
                  <w:shd w:val="clear" w:color="auto" w:fill="auto"/>
                  <w:noWrap w:val="0"/>
                  <w:vAlign w:val="center"/>
                </w:tcPr>
                <w:p w14:paraId="4962725B">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电阻</w:t>
                  </w:r>
                </w:p>
              </w:tc>
              <w:tc>
                <w:tcPr>
                  <w:tcW w:w="1619" w:type="dxa"/>
                  <w:shd w:val="clear" w:color="auto" w:fill="auto"/>
                  <w:noWrap w:val="0"/>
                  <w:vAlign w:val="center"/>
                </w:tcPr>
                <w:p w14:paraId="2952D5B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456万粒</w:t>
                  </w:r>
                </w:p>
              </w:tc>
              <w:tc>
                <w:tcPr>
                  <w:tcW w:w="1635" w:type="dxa"/>
                  <w:shd w:val="clear" w:color="auto" w:fill="auto"/>
                  <w:noWrap w:val="0"/>
                  <w:vAlign w:val="center"/>
                </w:tcPr>
                <w:p w14:paraId="5EB724B6">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10万粒</w:t>
                  </w:r>
                </w:p>
              </w:tc>
              <w:tc>
                <w:tcPr>
                  <w:tcW w:w="1306" w:type="dxa"/>
                  <w:noWrap w:val="0"/>
                  <w:vAlign w:val="center"/>
                </w:tcPr>
                <w:p w14:paraId="093642B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noWrap w:val="0"/>
                  <w:vAlign w:val="center"/>
                </w:tcPr>
                <w:p w14:paraId="4287380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5758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68CCF880">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4</w:t>
                  </w:r>
                </w:p>
              </w:tc>
              <w:tc>
                <w:tcPr>
                  <w:tcW w:w="1519" w:type="dxa"/>
                  <w:shd w:val="clear" w:color="auto" w:fill="auto"/>
                  <w:noWrap w:val="0"/>
                  <w:vAlign w:val="center"/>
                </w:tcPr>
                <w:p w14:paraId="030F5596">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电容</w:t>
                  </w:r>
                </w:p>
              </w:tc>
              <w:tc>
                <w:tcPr>
                  <w:tcW w:w="1619" w:type="dxa"/>
                  <w:shd w:val="clear" w:color="auto" w:fill="auto"/>
                  <w:noWrap w:val="0"/>
                  <w:vAlign w:val="center"/>
                </w:tcPr>
                <w:p w14:paraId="555800F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456万粒</w:t>
                  </w:r>
                </w:p>
              </w:tc>
              <w:tc>
                <w:tcPr>
                  <w:tcW w:w="1635" w:type="dxa"/>
                  <w:shd w:val="clear" w:color="auto" w:fill="auto"/>
                  <w:noWrap w:val="0"/>
                  <w:vAlign w:val="center"/>
                </w:tcPr>
                <w:p w14:paraId="4FEDC11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10万粒</w:t>
                  </w:r>
                </w:p>
              </w:tc>
              <w:tc>
                <w:tcPr>
                  <w:tcW w:w="1306" w:type="dxa"/>
                  <w:noWrap w:val="0"/>
                  <w:vAlign w:val="center"/>
                </w:tcPr>
                <w:p w14:paraId="2B13799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0EE9650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3F039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7CD23B2A">
                  <w:pPr>
                    <w:jc w:val="center"/>
                    <w:rPr>
                      <w:rFonts w:hint="eastAsia" w:asciiTheme="minorHAnsi" w:hAnsiTheme="minorHAnsi" w:eastAsiaTheme="minorEastAsia" w:cstheme="minorBidi"/>
                      <w:kern w:val="2"/>
                      <w:sz w:val="21"/>
                      <w:szCs w:val="21"/>
                      <w:highlight w:val="none"/>
                      <w:lang w:val="en-US" w:eastAsia="zh-CN" w:bidi="ar-SA"/>
                    </w:rPr>
                  </w:pPr>
                  <w:r>
                    <w:rPr>
                      <w:sz w:val="21"/>
                      <w:szCs w:val="21"/>
                      <w:highlight w:val="none"/>
                    </w:rPr>
                    <w:t>5</w:t>
                  </w:r>
                </w:p>
              </w:tc>
              <w:tc>
                <w:tcPr>
                  <w:tcW w:w="1519" w:type="dxa"/>
                  <w:shd w:val="clear" w:color="auto" w:fill="auto"/>
                  <w:noWrap w:val="0"/>
                  <w:vAlign w:val="center"/>
                </w:tcPr>
                <w:p w14:paraId="33884439">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IC</w:t>
                  </w:r>
                </w:p>
              </w:tc>
              <w:tc>
                <w:tcPr>
                  <w:tcW w:w="1619" w:type="dxa"/>
                  <w:shd w:val="clear" w:color="auto" w:fill="auto"/>
                  <w:noWrap w:val="0"/>
                  <w:vAlign w:val="center"/>
                </w:tcPr>
                <w:p w14:paraId="3E4AB43B">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18480万粒</w:t>
                  </w:r>
                </w:p>
              </w:tc>
              <w:tc>
                <w:tcPr>
                  <w:tcW w:w="1635" w:type="dxa"/>
                  <w:shd w:val="clear" w:color="auto" w:fill="auto"/>
                  <w:noWrap w:val="0"/>
                  <w:vAlign w:val="center"/>
                </w:tcPr>
                <w:p w14:paraId="2FDF3D90">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15万粒</w:t>
                  </w:r>
                </w:p>
              </w:tc>
              <w:tc>
                <w:tcPr>
                  <w:tcW w:w="1306" w:type="dxa"/>
                  <w:noWrap w:val="0"/>
                  <w:vAlign w:val="center"/>
                </w:tcPr>
                <w:p w14:paraId="5A0516F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7FBF032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270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shd w:val="clear" w:color="auto" w:fill="auto"/>
                  <w:noWrap w:val="0"/>
                  <w:vAlign w:val="center"/>
                </w:tcPr>
                <w:p w14:paraId="00838B5B">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6</w:t>
                  </w:r>
                </w:p>
              </w:tc>
              <w:tc>
                <w:tcPr>
                  <w:tcW w:w="1519" w:type="dxa"/>
                  <w:shd w:val="clear" w:color="auto" w:fill="auto"/>
                  <w:noWrap w:val="0"/>
                  <w:vAlign w:val="center"/>
                </w:tcPr>
                <w:p w14:paraId="32A233C6">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电源座</w:t>
                  </w:r>
                </w:p>
              </w:tc>
              <w:tc>
                <w:tcPr>
                  <w:tcW w:w="1619" w:type="dxa"/>
                  <w:shd w:val="clear" w:color="auto" w:fill="auto"/>
                  <w:noWrap w:val="0"/>
                  <w:vAlign w:val="center"/>
                </w:tcPr>
                <w:p w14:paraId="504421D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240万</w:t>
                  </w:r>
                </w:p>
              </w:tc>
              <w:tc>
                <w:tcPr>
                  <w:tcW w:w="1635" w:type="dxa"/>
                  <w:shd w:val="clear" w:color="auto" w:fill="auto"/>
                  <w:noWrap w:val="0"/>
                  <w:vAlign w:val="center"/>
                </w:tcPr>
                <w:p w14:paraId="30F96208">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18万</w:t>
                  </w:r>
                </w:p>
              </w:tc>
              <w:tc>
                <w:tcPr>
                  <w:tcW w:w="1306" w:type="dxa"/>
                  <w:noWrap w:val="0"/>
                  <w:vAlign w:val="center"/>
                </w:tcPr>
                <w:p w14:paraId="60402C3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46D530A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5E048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2269D514">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7</w:t>
                  </w:r>
                </w:p>
              </w:tc>
              <w:tc>
                <w:tcPr>
                  <w:tcW w:w="1519" w:type="dxa"/>
                  <w:shd w:val="clear" w:color="auto" w:fill="auto"/>
                  <w:noWrap w:val="0"/>
                  <w:vAlign w:val="center"/>
                </w:tcPr>
                <w:p w14:paraId="34AD3540">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排针</w:t>
                  </w:r>
                </w:p>
              </w:tc>
              <w:tc>
                <w:tcPr>
                  <w:tcW w:w="1619" w:type="dxa"/>
                  <w:shd w:val="clear" w:color="auto" w:fill="auto"/>
                  <w:noWrap w:val="0"/>
                  <w:vAlign w:val="center"/>
                </w:tcPr>
                <w:p w14:paraId="501BCD20">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480万</w:t>
                  </w:r>
                </w:p>
              </w:tc>
              <w:tc>
                <w:tcPr>
                  <w:tcW w:w="1635" w:type="dxa"/>
                  <w:shd w:val="clear" w:color="auto" w:fill="auto"/>
                  <w:noWrap w:val="0"/>
                  <w:vAlign w:val="center"/>
                </w:tcPr>
                <w:p w14:paraId="50606990">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36万</w:t>
                  </w:r>
                </w:p>
              </w:tc>
              <w:tc>
                <w:tcPr>
                  <w:tcW w:w="1306" w:type="dxa"/>
                  <w:noWrap w:val="0"/>
                  <w:vAlign w:val="center"/>
                </w:tcPr>
                <w:p w14:paraId="1B90509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414E57C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4510E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64311BAD">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8</w:t>
                  </w:r>
                </w:p>
              </w:tc>
              <w:tc>
                <w:tcPr>
                  <w:tcW w:w="1519" w:type="dxa"/>
                  <w:shd w:val="clear" w:color="auto" w:fill="auto"/>
                  <w:noWrap w:val="0"/>
                  <w:vAlign w:val="center"/>
                </w:tcPr>
                <w:p w14:paraId="57373655">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底壳</w:t>
                  </w:r>
                </w:p>
              </w:tc>
              <w:tc>
                <w:tcPr>
                  <w:tcW w:w="1619" w:type="dxa"/>
                  <w:shd w:val="clear" w:color="auto" w:fill="auto"/>
                  <w:noWrap w:val="0"/>
                  <w:vAlign w:val="center"/>
                </w:tcPr>
                <w:p w14:paraId="06F279B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240万件</w:t>
                  </w:r>
                </w:p>
              </w:tc>
              <w:tc>
                <w:tcPr>
                  <w:tcW w:w="1635" w:type="dxa"/>
                  <w:shd w:val="clear" w:color="auto" w:fill="auto"/>
                  <w:noWrap w:val="0"/>
                  <w:vAlign w:val="center"/>
                </w:tcPr>
                <w:p w14:paraId="512C6B7E">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18万件</w:t>
                  </w:r>
                </w:p>
              </w:tc>
              <w:tc>
                <w:tcPr>
                  <w:tcW w:w="1306" w:type="dxa"/>
                  <w:noWrap w:val="0"/>
                  <w:vAlign w:val="center"/>
                </w:tcPr>
                <w:p w14:paraId="4BC3404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192289A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E9B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2D85A9EA">
                  <w:pPr>
                    <w:jc w:val="center"/>
                    <w:rPr>
                      <w:rFonts w:hint="default"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9</w:t>
                  </w:r>
                </w:p>
              </w:tc>
              <w:tc>
                <w:tcPr>
                  <w:tcW w:w="1519" w:type="dxa"/>
                  <w:shd w:val="clear" w:color="auto" w:fill="auto"/>
                  <w:noWrap w:val="0"/>
                  <w:vAlign w:val="center"/>
                </w:tcPr>
                <w:p w14:paraId="72804F2C">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面罩</w:t>
                  </w:r>
                </w:p>
              </w:tc>
              <w:tc>
                <w:tcPr>
                  <w:tcW w:w="1619" w:type="dxa"/>
                  <w:shd w:val="clear" w:color="auto" w:fill="auto"/>
                  <w:noWrap w:val="0"/>
                  <w:vAlign w:val="center"/>
                </w:tcPr>
                <w:p w14:paraId="6CBD25AA">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240万件</w:t>
                  </w:r>
                </w:p>
              </w:tc>
              <w:tc>
                <w:tcPr>
                  <w:tcW w:w="1635" w:type="dxa"/>
                  <w:shd w:val="clear" w:color="auto" w:fill="auto"/>
                  <w:noWrap w:val="0"/>
                  <w:vAlign w:val="center"/>
                </w:tcPr>
                <w:p w14:paraId="01B9CC82">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18万件</w:t>
                  </w:r>
                </w:p>
              </w:tc>
              <w:tc>
                <w:tcPr>
                  <w:tcW w:w="1306" w:type="dxa"/>
                  <w:noWrap w:val="0"/>
                  <w:vAlign w:val="center"/>
                </w:tcPr>
                <w:p w14:paraId="4A1721B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4424CC0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E35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37379665">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10</w:t>
                  </w:r>
                </w:p>
              </w:tc>
              <w:tc>
                <w:tcPr>
                  <w:tcW w:w="1519" w:type="dxa"/>
                  <w:shd w:val="clear" w:color="auto" w:fill="auto"/>
                  <w:noWrap w:val="0"/>
                  <w:vAlign w:val="center"/>
                </w:tcPr>
                <w:p w14:paraId="59D20C72">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电解电容</w:t>
                  </w:r>
                </w:p>
              </w:tc>
              <w:tc>
                <w:tcPr>
                  <w:tcW w:w="1619" w:type="dxa"/>
                  <w:shd w:val="clear" w:color="auto" w:fill="auto"/>
                  <w:noWrap w:val="0"/>
                  <w:vAlign w:val="center"/>
                </w:tcPr>
                <w:p w14:paraId="6733555E">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2400万粒</w:t>
                  </w:r>
                </w:p>
              </w:tc>
              <w:tc>
                <w:tcPr>
                  <w:tcW w:w="1635" w:type="dxa"/>
                  <w:shd w:val="clear" w:color="auto" w:fill="auto"/>
                  <w:noWrap w:val="0"/>
                  <w:vAlign w:val="center"/>
                </w:tcPr>
                <w:p w14:paraId="53E2237C">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20万粒</w:t>
                  </w:r>
                </w:p>
              </w:tc>
              <w:tc>
                <w:tcPr>
                  <w:tcW w:w="1306" w:type="dxa"/>
                  <w:noWrap w:val="0"/>
                  <w:vAlign w:val="center"/>
                </w:tcPr>
                <w:p w14:paraId="7388962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45FED4E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2AC2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2979AA4B">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11</w:t>
                  </w:r>
                </w:p>
              </w:tc>
              <w:tc>
                <w:tcPr>
                  <w:tcW w:w="1519" w:type="dxa"/>
                  <w:shd w:val="clear" w:color="auto" w:fill="auto"/>
                  <w:noWrap w:val="0"/>
                  <w:vAlign w:val="center"/>
                </w:tcPr>
                <w:p w14:paraId="53A4B61C">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磁铁</w:t>
                  </w:r>
                </w:p>
              </w:tc>
              <w:tc>
                <w:tcPr>
                  <w:tcW w:w="1619" w:type="dxa"/>
                  <w:shd w:val="clear" w:color="auto" w:fill="auto"/>
                  <w:noWrap w:val="0"/>
                  <w:vAlign w:val="center"/>
                </w:tcPr>
                <w:p w14:paraId="3693C3E2">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960万</w:t>
                  </w:r>
                </w:p>
              </w:tc>
              <w:tc>
                <w:tcPr>
                  <w:tcW w:w="1635" w:type="dxa"/>
                  <w:shd w:val="clear" w:color="auto" w:fill="auto"/>
                  <w:noWrap w:val="0"/>
                  <w:vAlign w:val="center"/>
                </w:tcPr>
                <w:p w14:paraId="380A8980">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20万</w:t>
                  </w:r>
                </w:p>
              </w:tc>
              <w:tc>
                <w:tcPr>
                  <w:tcW w:w="1306" w:type="dxa"/>
                  <w:noWrap w:val="0"/>
                  <w:vAlign w:val="center"/>
                </w:tcPr>
                <w:p w14:paraId="70F8488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252693D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3F7E9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5F5F1E17">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12</w:t>
                  </w:r>
                </w:p>
              </w:tc>
              <w:tc>
                <w:tcPr>
                  <w:tcW w:w="1519" w:type="dxa"/>
                  <w:shd w:val="clear" w:color="auto" w:fill="auto"/>
                  <w:noWrap w:val="0"/>
                  <w:vAlign w:val="center"/>
                </w:tcPr>
                <w:p w14:paraId="3900E62F">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电源线</w:t>
                  </w:r>
                </w:p>
              </w:tc>
              <w:tc>
                <w:tcPr>
                  <w:tcW w:w="1619" w:type="dxa"/>
                  <w:shd w:val="clear" w:color="auto" w:fill="auto"/>
                  <w:noWrap w:val="0"/>
                  <w:vAlign w:val="center"/>
                </w:tcPr>
                <w:p w14:paraId="5CC07DF9">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240万件</w:t>
                  </w:r>
                </w:p>
              </w:tc>
              <w:tc>
                <w:tcPr>
                  <w:tcW w:w="1635" w:type="dxa"/>
                  <w:shd w:val="clear" w:color="auto" w:fill="auto"/>
                  <w:noWrap w:val="0"/>
                  <w:vAlign w:val="center"/>
                </w:tcPr>
                <w:p w14:paraId="46EDD4D8">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10万件</w:t>
                  </w:r>
                </w:p>
              </w:tc>
              <w:tc>
                <w:tcPr>
                  <w:tcW w:w="1306" w:type="dxa"/>
                  <w:noWrap w:val="0"/>
                  <w:vAlign w:val="center"/>
                </w:tcPr>
                <w:p w14:paraId="0186856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28D8DA4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1D3E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16" w:type="dxa"/>
                  <w:shd w:val="clear" w:color="auto" w:fill="auto"/>
                  <w:noWrap w:val="0"/>
                  <w:vAlign w:val="center"/>
                </w:tcPr>
                <w:p w14:paraId="4FC211E2">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13</w:t>
                  </w:r>
                </w:p>
              </w:tc>
              <w:tc>
                <w:tcPr>
                  <w:tcW w:w="1519" w:type="dxa"/>
                  <w:shd w:val="clear" w:color="auto" w:fill="auto"/>
                  <w:noWrap w:val="0"/>
                  <w:vAlign w:val="center"/>
                </w:tcPr>
                <w:p w14:paraId="7851BF31">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排线</w:t>
                  </w:r>
                </w:p>
              </w:tc>
              <w:tc>
                <w:tcPr>
                  <w:tcW w:w="1619" w:type="dxa"/>
                  <w:shd w:val="clear" w:color="auto" w:fill="auto"/>
                  <w:noWrap w:val="0"/>
                  <w:vAlign w:val="center"/>
                </w:tcPr>
                <w:p w14:paraId="4074EF41">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240万件</w:t>
                  </w:r>
                </w:p>
              </w:tc>
              <w:tc>
                <w:tcPr>
                  <w:tcW w:w="1635" w:type="dxa"/>
                  <w:shd w:val="clear" w:color="auto" w:fill="auto"/>
                  <w:noWrap w:val="0"/>
                  <w:vAlign w:val="center"/>
                </w:tcPr>
                <w:p w14:paraId="0B906B2E">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10万件</w:t>
                  </w:r>
                </w:p>
              </w:tc>
              <w:tc>
                <w:tcPr>
                  <w:tcW w:w="1306" w:type="dxa"/>
                  <w:noWrap w:val="0"/>
                  <w:vAlign w:val="center"/>
                </w:tcPr>
                <w:p w14:paraId="017FE4F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63CE967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6BEF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noWrap w:val="0"/>
                  <w:vAlign w:val="center"/>
                </w:tcPr>
                <w:p w14:paraId="7E3F90E7">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14</w:t>
                  </w:r>
                </w:p>
              </w:tc>
              <w:tc>
                <w:tcPr>
                  <w:tcW w:w="1519" w:type="dxa"/>
                  <w:shd w:val="clear" w:color="auto" w:fill="auto"/>
                  <w:noWrap w:val="0"/>
                  <w:vAlign w:val="center"/>
                </w:tcPr>
                <w:p w14:paraId="1B991D7E">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珍珠棉</w:t>
                  </w:r>
                </w:p>
              </w:tc>
              <w:tc>
                <w:tcPr>
                  <w:tcW w:w="1619" w:type="dxa"/>
                  <w:shd w:val="clear" w:color="auto" w:fill="auto"/>
                  <w:noWrap w:val="0"/>
                  <w:vAlign w:val="center"/>
                </w:tcPr>
                <w:p w14:paraId="6FAE5B79">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6万套</w:t>
                  </w:r>
                </w:p>
              </w:tc>
              <w:tc>
                <w:tcPr>
                  <w:tcW w:w="1635" w:type="dxa"/>
                  <w:shd w:val="clear" w:color="auto" w:fill="auto"/>
                  <w:noWrap w:val="0"/>
                  <w:vAlign w:val="center"/>
                </w:tcPr>
                <w:p w14:paraId="72C8D5E3">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5万套</w:t>
                  </w:r>
                </w:p>
              </w:tc>
              <w:tc>
                <w:tcPr>
                  <w:tcW w:w="1306" w:type="dxa"/>
                  <w:noWrap w:val="0"/>
                  <w:vAlign w:val="center"/>
                </w:tcPr>
                <w:p w14:paraId="6A15621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noWrap w:val="0"/>
                  <w:vAlign w:val="center"/>
                </w:tcPr>
                <w:p w14:paraId="7726B9B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739A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6F7D408D">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15</w:t>
                  </w:r>
                </w:p>
              </w:tc>
              <w:tc>
                <w:tcPr>
                  <w:tcW w:w="1519" w:type="dxa"/>
                  <w:shd w:val="clear" w:color="auto" w:fill="auto"/>
                  <w:vAlign w:val="center"/>
                </w:tcPr>
                <w:p w14:paraId="4006AA47">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套件螺丝</w:t>
                  </w:r>
                </w:p>
              </w:tc>
              <w:tc>
                <w:tcPr>
                  <w:tcW w:w="1619" w:type="dxa"/>
                  <w:shd w:val="clear" w:color="auto" w:fill="auto"/>
                  <w:vAlign w:val="center"/>
                </w:tcPr>
                <w:p w14:paraId="4064EE5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5520万粒</w:t>
                  </w:r>
                </w:p>
              </w:tc>
              <w:tc>
                <w:tcPr>
                  <w:tcW w:w="1635" w:type="dxa"/>
                  <w:vAlign w:val="center"/>
                </w:tcPr>
                <w:p w14:paraId="0E812FF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2.5万</w:t>
                  </w:r>
                  <w:r>
                    <w:rPr>
                      <w:rFonts w:hint="eastAsia"/>
                      <w:szCs w:val="21"/>
                      <w:lang w:val="en-US" w:eastAsia="zh-CN"/>
                    </w:rPr>
                    <w:t>粒</w:t>
                  </w:r>
                </w:p>
              </w:tc>
              <w:tc>
                <w:tcPr>
                  <w:tcW w:w="1306" w:type="dxa"/>
                  <w:vAlign w:val="center"/>
                </w:tcPr>
                <w:p w14:paraId="77345F9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vAlign w:val="center"/>
                </w:tcPr>
                <w:p w14:paraId="5A7BD08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5C01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7BBC19A7">
                  <w:pPr>
                    <w:jc w:val="center"/>
                    <w:rPr>
                      <w:rFonts w:hint="eastAsia" w:eastAsia="宋体" w:asciiTheme="minorHAnsi" w:hAnsiTheme="minorHAnsi" w:cstheme="minorBidi"/>
                      <w:kern w:val="2"/>
                      <w:sz w:val="21"/>
                      <w:szCs w:val="21"/>
                      <w:highlight w:val="none"/>
                      <w:lang w:val="en-US" w:eastAsia="zh-CN" w:bidi="ar-SA"/>
                    </w:rPr>
                  </w:pPr>
                  <w:r>
                    <w:rPr>
                      <w:rFonts w:hint="eastAsia"/>
                      <w:sz w:val="21"/>
                      <w:szCs w:val="21"/>
                      <w:highlight w:val="none"/>
                      <w:lang w:val="en-US" w:eastAsia="zh-CN"/>
                    </w:rPr>
                    <w:t>16</w:t>
                  </w:r>
                </w:p>
              </w:tc>
              <w:tc>
                <w:tcPr>
                  <w:tcW w:w="1519" w:type="dxa"/>
                  <w:shd w:val="clear" w:color="auto" w:fill="auto"/>
                  <w:vAlign w:val="center"/>
                </w:tcPr>
                <w:p w14:paraId="499083B1">
                  <w:pPr>
                    <w:jc w:val="center"/>
                    <w:rPr>
                      <w:rFonts w:hint="default"/>
                      <w:sz w:val="21"/>
                      <w:szCs w:val="21"/>
                      <w:highlight w:val="none"/>
                      <w:lang w:val="en-US" w:eastAsia="zh-CN"/>
                    </w:rPr>
                  </w:pPr>
                  <w:r>
                    <w:rPr>
                      <w:rFonts w:hint="eastAsia"/>
                      <w:sz w:val="21"/>
                      <w:szCs w:val="21"/>
                      <w:highlight w:val="none"/>
                      <w:lang w:val="en-US" w:eastAsia="zh-CN"/>
                    </w:rPr>
                    <w:t>螺丝（非标定制）</w:t>
                  </w:r>
                </w:p>
              </w:tc>
              <w:tc>
                <w:tcPr>
                  <w:tcW w:w="1619" w:type="dxa"/>
                  <w:shd w:val="clear" w:color="auto" w:fill="auto"/>
                  <w:vAlign w:val="center"/>
                </w:tcPr>
                <w:p w14:paraId="1A3477AD">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500万粒</w:t>
                  </w:r>
                </w:p>
              </w:tc>
              <w:tc>
                <w:tcPr>
                  <w:tcW w:w="1635" w:type="dxa"/>
                  <w:shd w:val="clear" w:color="auto" w:fill="auto"/>
                  <w:vAlign w:val="center"/>
                </w:tcPr>
                <w:p w14:paraId="4AE4B48E">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150万粒</w:t>
                  </w:r>
                </w:p>
              </w:tc>
              <w:tc>
                <w:tcPr>
                  <w:tcW w:w="1306" w:type="dxa"/>
                  <w:vAlign w:val="center"/>
                </w:tcPr>
                <w:p w14:paraId="4643884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69" w:type="dxa"/>
                  <w:vAlign w:val="center"/>
                </w:tcPr>
                <w:p w14:paraId="3AF46A9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原辅料仓库</w:t>
                  </w:r>
                </w:p>
              </w:tc>
            </w:tr>
            <w:tr w14:paraId="086A1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5EB2B177">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17</w:t>
                  </w:r>
                </w:p>
              </w:tc>
              <w:tc>
                <w:tcPr>
                  <w:tcW w:w="1519" w:type="dxa"/>
                  <w:shd w:val="clear" w:color="auto" w:fill="auto"/>
                  <w:vAlign w:val="center"/>
                </w:tcPr>
                <w:p w14:paraId="4B8EC807">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无铅锡膏</w:t>
                  </w:r>
                </w:p>
              </w:tc>
              <w:tc>
                <w:tcPr>
                  <w:tcW w:w="1619" w:type="dxa"/>
                  <w:shd w:val="clear" w:color="auto" w:fill="auto"/>
                  <w:vAlign w:val="center"/>
                </w:tcPr>
                <w:p w14:paraId="6FF5AE54">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9.6t</w:t>
                  </w:r>
                </w:p>
              </w:tc>
              <w:tc>
                <w:tcPr>
                  <w:tcW w:w="1635" w:type="dxa"/>
                  <w:shd w:val="clear" w:color="auto" w:fill="auto"/>
                  <w:vAlign w:val="center"/>
                </w:tcPr>
                <w:p w14:paraId="2CDBEED9">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100kg</w:t>
                  </w:r>
                </w:p>
              </w:tc>
              <w:tc>
                <w:tcPr>
                  <w:tcW w:w="1306" w:type="dxa"/>
                  <w:shd w:val="clear" w:color="auto" w:fill="auto"/>
                  <w:vAlign w:val="center"/>
                </w:tcPr>
                <w:p w14:paraId="26D4C47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500g/罐</w:t>
                  </w:r>
                </w:p>
              </w:tc>
              <w:tc>
                <w:tcPr>
                  <w:tcW w:w="1669" w:type="dxa"/>
                  <w:vAlign w:val="center"/>
                </w:tcPr>
                <w:p w14:paraId="5B8DE8C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40F24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79A35FA2">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18</w:t>
                  </w:r>
                </w:p>
              </w:tc>
              <w:tc>
                <w:tcPr>
                  <w:tcW w:w="1519" w:type="dxa"/>
                  <w:shd w:val="clear" w:color="auto" w:fill="auto"/>
                  <w:vAlign w:val="center"/>
                </w:tcPr>
                <w:p w14:paraId="22C2D2A3">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无铅锡丝</w:t>
                  </w:r>
                </w:p>
              </w:tc>
              <w:tc>
                <w:tcPr>
                  <w:tcW w:w="1619" w:type="dxa"/>
                  <w:shd w:val="clear" w:color="auto" w:fill="auto"/>
                  <w:vAlign w:val="center"/>
                </w:tcPr>
                <w:p w14:paraId="778AE8B0">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120kg</w:t>
                  </w:r>
                </w:p>
              </w:tc>
              <w:tc>
                <w:tcPr>
                  <w:tcW w:w="1635" w:type="dxa"/>
                  <w:shd w:val="clear" w:color="auto" w:fill="auto"/>
                  <w:vAlign w:val="center"/>
                </w:tcPr>
                <w:p w14:paraId="02EBF51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10kg</w:t>
                  </w:r>
                </w:p>
              </w:tc>
              <w:tc>
                <w:tcPr>
                  <w:tcW w:w="1306" w:type="dxa"/>
                  <w:shd w:val="clear" w:color="auto" w:fill="auto"/>
                  <w:vAlign w:val="center"/>
                </w:tcPr>
                <w:p w14:paraId="70C2127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1kg/卷</w:t>
                  </w:r>
                </w:p>
              </w:tc>
              <w:tc>
                <w:tcPr>
                  <w:tcW w:w="1669" w:type="dxa"/>
                  <w:vAlign w:val="center"/>
                </w:tcPr>
                <w:p w14:paraId="3DF0CEC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1B19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716" w:type="dxa"/>
                  <w:shd w:val="clear" w:color="auto" w:fill="auto"/>
                  <w:vAlign w:val="center"/>
                </w:tcPr>
                <w:p w14:paraId="20BEADFE">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19</w:t>
                  </w:r>
                </w:p>
              </w:tc>
              <w:tc>
                <w:tcPr>
                  <w:tcW w:w="1519" w:type="dxa"/>
                  <w:shd w:val="clear" w:color="auto" w:fill="auto"/>
                  <w:vAlign w:val="center"/>
                </w:tcPr>
                <w:p w14:paraId="7A9EA264">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酒精（98%）</w:t>
                  </w:r>
                </w:p>
              </w:tc>
              <w:tc>
                <w:tcPr>
                  <w:tcW w:w="1619" w:type="dxa"/>
                  <w:shd w:val="clear" w:color="auto" w:fill="auto"/>
                  <w:vAlign w:val="center"/>
                </w:tcPr>
                <w:p w14:paraId="717AAB02">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340kg</w:t>
                  </w:r>
                </w:p>
              </w:tc>
              <w:tc>
                <w:tcPr>
                  <w:tcW w:w="1635" w:type="dxa"/>
                  <w:shd w:val="clear" w:color="auto" w:fill="auto"/>
                  <w:vAlign w:val="center"/>
                </w:tcPr>
                <w:p w14:paraId="08D3B2E7">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25kg</w:t>
                  </w:r>
                </w:p>
              </w:tc>
              <w:tc>
                <w:tcPr>
                  <w:tcW w:w="1306" w:type="dxa"/>
                  <w:shd w:val="clear" w:color="auto" w:fill="auto"/>
                  <w:vAlign w:val="center"/>
                </w:tcPr>
                <w:p w14:paraId="288AC45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25L/桶</w:t>
                  </w:r>
                </w:p>
              </w:tc>
              <w:tc>
                <w:tcPr>
                  <w:tcW w:w="1669" w:type="dxa"/>
                  <w:vAlign w:val="center"/>
                </w:tcPr>
                <w:p w14:paraId="2EC8E15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原辅料仓库防爆柜</w:t>
                  </w:r>
                </w:p>
              </w:tc>
            </w:tr>
            <w:tr w14:paraId="1E83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2EE9AA3A">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20</w:t>
                  </w:r>
                </w:p>
              </w:tc>
              <w:tc>
                <w:tcPr>
                  <w:tcW w:w="1519" w:type="dxa"/>
                  <w:shd w:val="clear" w:color="auto" w:fill="auto"/>
                  <w:vAlign w:val="center"/>
                </w:tcPr>
                <w:p w14:paraId="29E81AB9">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无尘擦拭纸</w:t>
                  </w:r>
                </w:p>
              </w:tc>
              <w:tc>
                <w:tcPr>
                  <w:tcW w:w="1619" w:type="dxa"/>
                  <w:shd w:val="clear" w:color="auto" w:fill="auto"/>
                  <w:vAlign w:val="center"/>
                </w:tcPr>
                <w:p w14:paraId="507ED617">
                  <w:pPr>
                    <w:jc w:val="center"/>
                    <w:rPr>
                      <w:rFonts w:hint="default"/>
                      <w:szCs w:val="21"/>
                      <w:lang w:val="en-US" w:eastAsia="zh-CN"/>
                    </w:rPr>
                  </w:pPr>
                  <w:r>
                    <w:rPr>
                      <w:rFonts w:hint="eastAsia"/>
                      <w:szCs w:val="21"/>
                      <w:lang w:val="en-US" w:eastAsia="zh-CN"/>
                    </w:rPr>
                    <w:t>7560张</w:t>
                  </w:r>
                </w:p>
              </w:tc>
              <w:tc>
                <w:tcPr>
                  <w:tcW w:w="1635" w:type="dxa"/>
                  <w:shd w:val="clear" w:color="auto" w:fill="auto"/>
                  <w:vAlign w:val="center"/>
                </w:tcPr>
                <w:p w14:paraId="53EC84DA">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500张</w:t>
                  </w:r>
                </w:p>
              </w:tc>
              <w:tc>
                <w:tcPr>
                  <w:tcW w:w="1306" w:type="dxa"/>
                  <w:vAlign w:val="center"/>
                </w:tcPr>
                <w:p w14:paraId="4AA754C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w:t>
                  </w:r>
                </w:p>
              </w:tc>
              <w:tc>
                <w:tcPr>
                  <w:tcW w:w="1669" w:type="dxa"/>
                  <w:vAlign w:val="center"/>
                </w:tcPr>
                <w:p w14:paraId="5C7B381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4E2BD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686EC558">
                  <w:pPr>
                    <w:jc w:val="center"/>
                    <w:rPr>
                      <w:rFonts w:hint="default"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21</w:t>
                  </w:r>
                </w:p>
              </w:tc>
              <w:tc>
                <w:tcPr>
                  <w:tcW w:w="1519" w:type="dxa"/>
                  <w:shd w:val="clear" w:color="auto" w:fill="auto"/>
                  <w:vAlign w:val="center"/>
                </w:tcPr>
                <w:p w14:paraId="63181499">
                  <w:pPr>
                    <w:jc w:val="center"/>
                    <w:rPr>
                      <w:rFonts w:hint="eastAsia" w:asciiTheme="minorHAnsi" w:hAnsiTheme="minorHAnsi" w:eastAsiaTheme="minorEastAsia" w:cstheme="minorBidi"/>
                      <w:kern w:val="2"/>
                      <w:sz w:val="21"/>
                      <w:szCs w:val="21"/>
                      <w:highlight w:val="none"/>
                      <w:lang w:val="en-US" w:eastAsia="zh-CN" w:bidi="ar-SA"/>
                    </w:rPr>
                  </w:pPr>
                  <w:r>
                    <w:rPr>
                      <w:rFonts w:hint="eastAsia"/>
                      <w:sz w:val="21"/>
                      <w:szCs w:val="21"/>
                      <w:highlight w:val="none"/>
                      <w:lang w:val="en-US" w:eastAsia="zh-CN"/>
                    </w:rPr>
                    <w:t>纸箱</w:t>
                  </w:r>
                </w:p>
              </w:tc>
              <w:tc>
                <w:tcPr>
                  <w:tcW w:w="1619" w:type="dxa"/>
                  <w:shd w:val="clear" w:color="auto" w:fill="auto"/>
                  <w:vAlign w:val="center"/>
                </w:tcPr>
                <w:p w14:paraId="1AAF567A">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6万件</w:t>
                  </w:r>
                </w:p>
              </w:tc>
              <w:tc>
                <w:tcPr>
                  <w:tcW w:w="1635" w:type="dxa"/>
                  <w:shd w:val="clear" w:color="auto" w:fill="auto"/>
                  <w:vAlign w:val="center"/>
                </w:tcPr>
                <w:p w14:paraId="7844587A">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5000件</w:t>
                  </w:r>
                </w:p>
              </w:tc>
              <w:tc>
                <w:tcPr>
                  <w:tcW w:w="1306" w:type="dxa"/>
                  <w:vAlign w:val="center"/>
                </w:tcPr>
                <w:p w14:paraId="11E70E9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vAlign w:val="center"/>
                </w:tcPr>
                <w:p w14:paraId="6030DAC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2B4B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42DE37F8">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22</w:t>
                  </w:r>
                </w:p>
              </w:tc>
              <w:tc>
                <w:tcPr>
                  <w:tcW w:w="1519" w:type="dxa"/>
                  <w:shd w:val="clear" w:color="auto" w:fill="auto"/>
                  <w:vAlign w:val="center"/>
                </w:tcPr>
                <w:p w14:paraId="75A51DD5">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机油</w:t>
                  </w:r>
                </w:p>
              </w:tc>
              <w:tc>
                <w:tcPr>
                  <w:tcW w:w="1619" w:type="dxa"/>
                  <w:shd w:val="clear" w:color="auto" w:fill="auto"/>
                  <w:vAlign w:val="center"/>
                </w:tcPr>
                <w:p w14:paraId="33E780F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1t</w:t>
                  </w:r>
                </w:p>
              </w:tc>
              <w:tc>
                <w:tcPr>
                  <w:tcW w:w="1635" w:type="dxa"/>
                  <w:shd w:val="clear" w:color="auto" w:fill="auto"/>
                  <w:vAlign w:val="center"/>
                </w:tcPr>
                <w:p w14:paraId="6452B12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0.2t</w:t>
                  </w:r>
                </w:p>
              </w:tc>
              <w:tc>
                <w:tcPr>
                  <w:tcW w:w="1306" w:type="dxa"/>
                  <w:shd w:val="clear" w:color="auto" w:fill="auto"/>
                  <w:vAlign w:val="center"/>
                </w:tcPr>
                <w:p w14:paraId="79605DDD">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25kg/桶</w:t>
                  </w:r>
                </w:p>
              </w:tc>
              <w:tc>
                <w:tcPr>
                  <w:tcW w:w="1669" w:type="dxa"/>
                  <w:shd w:val="clear" w:color="auto" w:fill="auto"/>
                  <w:vAlign w:val="center"/>
                </w:tcPr>
                <w:p w14:paraId="4403B1C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原辅料仓库</w:t>
                  </w:r>
                </w:p>
              </w:tc>
            </w:tr>
            <w:tr w14:paraId="2D9B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716" w:type="dxa"/>
                  <w:shd w:val="clear" w:color="auto" w:fill="auto"/>
                  <w:vAlign w:val="center"/>
                </w:tcPr>
                <w:p w14:paraId="7570F954">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23</w:t>
                  </w:r>
                </w:p>
              </w:tc>
              <w:tc>
                <w:tcPr>
                  <w:tcW w:w="1519" w:type="dxa"/>
                  <w:shd w:val="clear" w:color="auto" w:fill="auto"/>
                  <w:vAlign w:val="center"/>
                </w:tcPr>
                <w:p w14:paraId="27131CDA">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活性炭</w:t>
                  </w:r>
                </w:p>
              </w:tc>
              <w:tc>
                <w:tcPr>
                  <w:tcW w:w="1619" w:type="dxa"/>
                  <w:shd w:val="clear" w:color="auto" w:fill="auto"/>
                  <w:vAlign w:val="center"/>
                </w:tcPr>
                <w:p w14:paraId="5FF507A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4.84t</w:t>
                  </w:r>
                </w:p>
              </w:tc>
              <w:tc>
                <w:tcPr>
                  <w:tcW w:w="1635" w:type="dxa"/>
                  <w:shd w:val="clear" w:color="auto" w:fill="auto"/>
                  <w:vAlign w:val="center"/>
                </w:tcPr>
                <w:p w14:paraId="39CFF85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0.2t</w:t>
                  </w:r>
                </w:p>
              </w:tc>
              <w:tc>
                <w:tcPr>
                  <w:tcW w:w="1306" w:type="dxa"/>
                  <w:shd w:val="clear" w:color="auto" w:fill="auto"/>
                  <w:vAlign w:val="center"/>
                </w:tcPr>
                <w:p w14:paraId="5286E0E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25kg/桶</w:t>
                  </w:r>
                </w:p>
              </w:tc>
              <w:tc>
                <w:tcPr>
                  <w:tcW w:w="1669" w:type="dxa"/>
                  <w:vMerge w:val="restart"/>
                  <w:shd w:val="clear" w:color="auto" w:fill="auto"/>
                  <w:vAlign w:val="center"/>
                </w:tcPr>
                <w:p w14:paraId="099803A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不储存，即买即用</w:t>
                  </w:r>
                </w:p>
              </w:tc>
            </w:tr>
            <w:tr w14:paraId="5CC8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shd w:val="clear" w:color="auto" w:fill="auto"/>
                  <w:vAlign w:val="center"/>
                </w:tcPr>
                <w:p w14:paraId="1F63C914">
                  <w:pPr>
                    <w:jc w:val="center"/>
                    <w:rPr>
                      <w:rFonts w:hint="default"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24</w:t>
                  </w:r>
                </w:p>
              </w:tc>
              <w:tc>
                <w:tcPr>
                  <w:tcW w:w="1519" w:type="dxa"/>
                  <w:shd w:val="clear" w:color="auto" w:fill="auto"/>
                  <w:vAlign w:val="center"/>
                </w:tcPr>
                <w:p w14:paraId="57751F03">
                  <w:pPr>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滤料</w:t>
                  </w:r>
                </w:p>
              </w:tc>
              <w:tc>
                <w:tcPr>
                  <w:tcW w:w="1619" w:type="dxa"/>
                  <w:shd w:val="clear" w:color="auto" w:fill="auto"/>
                  <w:vAlign w:val="center"/>
                </w:tcPr>
                <w:p w14:paraId="039406F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3.74t</w:t>
                  </w:r>
                </w:p>
              </w:tc>
              <w:tc>
                <w:tcPr>
                  <w:tcW w:w="1635" w:type="dxa"/>
                  <w:shd w:val="clear" w:color="auto" w:fill="auto"/>
                  <w:vAlign w:val="center"/>
                </w:tcPr>
                <w:p w14:paraId="2C697BF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306" w:type="dxa"/>
                  <w:shd w:val="clear" w:color="auto" w:fill="auto"/>
                  <w:vAlign w:val="center"/>
                </w:tcPr>
                <w:p w14:paraId="45E3825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69" w:type="dxa"/>
                  <w:vMerge w:val="continue"/>
                  <w:shd w:val="clear" w:color="auto" w:fill="auto"/>
                  <w:vAlign w:val="center"/>
                </w:tcPr>
                <w:p w14:paraId="7F41FE3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p>
              </w:tc>
            </w:tr>
            <w:tr w14:paraId="79D9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4" w:type="dxa"/>
                  <w:gridSpan w:val="6"/>
                  <w:vAlign w:val="center"/>
                </w:tcPr>
                <w:p w14:paraId="798C183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能源</w:t>
                  </w:r>
                </w:p>
              </w:tc>
            </w:tr>
            <w:tr w14:paraId="6BC67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392EBC44">
                  <w:pPr>
                    <w:jc w:val="center"/>
                    <w:rPr>
                      <w:rFonts w:hint="default"/>
                      <w:sz w:val="21"/>
                      <w:szCs w:val="21"/>
                      <w:highlight w:val="none"/>
                      <w:lang w:val="en-US" w:eastAsia="zh-CN"/>
                    </w:rPr>
                  </w:pPr>
                  <w:r>
                    <w:rPr>
                      <w:rFonts w:hint="eastAsia"/>
                      <w:sz w:val="21"/>
                      <w:szCs w:val="21"/>
                      <w:highlight w:val="none"/>
                      <w:lang w:val="en-US" w:eastAsia="zh-CN"/>
                    </w:rPr>
                    <w:t>1</w:t>
                  </w:r>
                </w:p>
              </w:tc>
              <w:tc>
                <w:tcPr>
                  <w:tcW w:w="1519" w:type="dxa"/>
                  <w:vAlign w:val="center"/>
                </w:tcPr>
                <w:p w14:paraId="7C1AC144">
                  <w:pPr>
                    <w:jc w:val="center"/>
                    <w:rPr>
                      <w:rFonts w:hint="eastAsia"/>
                      <w:sz w:val="21"/>
                      <w:szCs w:val="21"/>
                      <w:highlight w:val="none"/>
                      <w:lang w:val="en-US" w:eastAsia="zh-CN"/>
                    </w:rPr>
                  </w:pPr>
                  <w:r>
                    <w:rPr>
                      <w:rFonts w:hint="eastAsia"/>
                      <w:sz w:val="21"/>
                      <w:szCs w:val="21"/>
                      <w:highlight w:val="none"/>
                      <w:lang w:val="en-US" w:eastAsia="zh-CN"/>
                    </w:rPr>
                    <w:t>水</w:t>
                  </w:r>
                </w:p>
              </w:tc>
              <w:tc>
                <w:tcPr>
                  <w:tcW w:w="1619" w:type="dxa"/>
                  <w:vAlign w:val="center"/>
                </w:tcPr>
                <w:p w14:paraId="2F07D2C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1440t/a</w:t>
                  </w:r>
                </w:p>
              </w:tc>
              <w:tc>
                <w:tcPr>
                  <w:tcW w:w="4610" w:type="dxa"/>
                  <w:gridSpan w:val="3"/>
                  <w:vAlign w:val="center"/>
                </w:tcPr>
                <w:p w14:paraId="5DBCF4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市政供水管网供给</w:t>
                  </w:r>
                </w:p>
              </w:tc>
            </w:tr>
            <w:tr w14:paraId="6C518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3406C4CF">
                  <w:pPr>
                    <w:jc w:val="center"/>
                    <w:rPr>
                      <w:rFonts w:hint="default"/>
                      <w:sz w:val="21"/>
                      <w:szCs w:val="21"/>
                      <w:highlight w:val="none"/>
                      <w:lang w:val="en-US" w:eastAsia="zh-CN"/>
                    </w:rPr>
                  </w:pPr>
                  <w:r>
                    <w:rPr>
                      <w:rFonts w:hint="eastAsia"/>
                      <w:sz w:val="21"/>
                      <w:szCs w:val="21"/>
                      <w:highlight w:val="none"/>
                      <w:lang w:val="en-US" w:eastAsia="zh-CN"/>
                    </w:rPr>
                    <w:t>2</w:t>
                  </w:r>
                </w:p>
              </w:tc>
              <w:tc>
                <w:tcPr>
                  <w:tcW w:w="1519" w:type="dxa"/>
                  <w:vAlign w:val="center"/>
                </w:tcPr>
                <w:p w14:paraId="14069ECA">
                  <w:pPr>
                    <w:jc w:val="center"/>
                    <w:rPr>
                      <w:rFonts w:hint="eastAsia"/>
                      <w:sz w:val="21"/>
                      <w:szCs w:val="21"/>
                      <w:highlight w:val="none"/>
                      <w:lang w:val="en-US" w:eastAsia="zh-CN"/>
                    </w:rPr>
                  </w:pPr>
                  <w:r>
                    <w:rPr>
                      <w:rFonts w:hint="eastAsia"/>
                      <w:sz w:val="21"/>
                      <w:szCs w:val="21"/>
                      <w:highlight w:val="none"/>
                      <w:lang w:val="en-US" w:eastAsia="zh-CN"/>
                    </w:rPr>
                    <w:t>电</w:t>
                  </w:r>
                </w:p>
              </w:tc>
              <w:tc>
                <w:tcPr>
                  <w:tcW w:w="1619" w:type="dxa"/>
                  <w:vAlign w:val="center"/>
                </w:tcPr>
                <w:p w14:paraId="41D6C22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lang w:val="en-US" w:eastAsia="zh-CN"/>
                    </w:rPr>
                    <w:t>1320</w:t>
                  </w:r>
                  <w:r>
                    <w:rPr>
                      <w:rFonts w:hint="default" w:ascii="Times New Roman" w:hAnsi="Times New Roman" w:cs="Times New Roman"/>
                      <w:color w:val="auto"/>
                      <w:sz w:val="21"/>
                      <w:szCs w:val="21"/>
                      <w:highlight w:val="none"/>
                    </w:rPr>
                    <w:t>万</w:t>
                  </w:r>
                  <w:r>
                    <w:rPr>
                      <w:rFonts w:hint="eastAsia" w:ascii="Times New Roman" w:hAnsi="Times New Roman" w:eastAsia="宋体" w:cs="Times New Roman"/>
                      <w:b w:val="0"/>
                      <w:bCs w:val="0"/>
                      <w:color w:val="auto"/>
                      <w:sz w:val="21"/>
                      <w:szCs w:val="21"/>
                      <w:highlight w:val="none"/>
                      <w:lang w:val="en-US" w:eastAsia="zh-CN"/>
                    </w:rPr>
                    <w:t>kW•h</w:t>
                  </w:r>
                </w:p>
              </w:tc>
              <w:tc>
                <w:tcPr>
                  <w:tcW w:w="4610" w:type="dxa"/>
                  <w:gridSpan w:val="3"/>
                  <w:vAlign w:val="center"/>
                </w:tcPr>
                <w:p w14:paraId="294BBB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rPr>
                    <w:t>市政供电网供应</w:t>
                  </w:r>
                </w:p>
              </w:tc>
            </w:tr>
          </w:tbl>
          <w:p w14:paraId="5D122F7D">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无铅锡膏：</w:t>
            </w:r>
            <w:r>
              <w:rPr>
                <w:rFonts w:hint="eastAsia" w:cs="Times New Roman"/>
                <w:color w:val="auto"/>
                <w:sz w:val="24"/>
                <w:szCs w:val="24"/>
                <w:highlight w:val="none"/>
                <w:lang w:val="en-US" w:eastAsia="zh-CN"/>
              </w:rPr>
              <w:t>本项目使用的</w:t>
            </w:r>
            <w:r>
              <w:rPr>
                <w:rFonts w:hint="eastAsia" w:ascii="Times New Roman" w:hAnsi="Times New Roman" w:eastAsia="宋体" w:cs="Times New Roman"/>
                <w:color w:val="auto"/>
                <w:sz w:val="24"/>
                <w:szCs w:val="24"/>
                <w:highlight w:val="none"/>
                <w:lang w:val="en-US" w:eastAsia="zh-CN"/>
              </w:rPr>
              <w:t>无铅锡膏的主要成分是锡、铜、银等金属，</w:t>
            </w:r>
            <w:r>
              <w:rPr>
                <w:rFonts w:hint="eastAsia" w:cs="Times New Roman"/>
                <w:color w:val="auto"/>
                <w:sz w:val="24"/>
                <w:szCs w:val="24"/>
                <w:highlight w:val="none"/>
                <w:lang w:val="en-US" w:eastAsia="zh-CN"/>
              </w:rPr>
              <w:t>含量占锡膏成分81-96%</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混合醚含量占锡膏成分2-8%，氢化松香含量占锡膏成分2-5%，有机酸含量占锡膏成分0.2-1%。助剂闪点&gt;140</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，熔点220</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是一种环保、高强度、稳定性强的焊接材料。</w:t>
            </w:r>
          </w:p>
          <w:p w14:paraId="5A9F25D5">
            <w:pPr>
              <w:adjustRightInd w:val="0"/>
              <w:snapToGrid w:val="0"/>
              <w:spacing w:line="360" w:lineRule="auto"/>
              <w:ind w:firstLine="480" w:firstLineChars="200"/>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无铅锡丝：项目使用的无铅锡丝</w:t>
            </w:r>
            <w:r>
              <w:rPr>
                <w:rFonts w:hint="eastAsia" w:ascii="Times New Roman" w:hAnsi="Times New Roman" w:eastAsia="宋体" w:cs="Times New Roman"/>
                <w:color w:val="auto"/>
                <w:sz w:val="24"/>
                <w:szCs w:val="24"/>
                <w:highlight w:val="none"/>
                <w:lang w:val="en-US" w:eastAsia="zh-CN"/>
              </w:rPr>
              <w:t>的主要成分</w:t>
            </w:r>
            <w:r>
              <w:rPr>
                <w:rFonts w:hint="eastAsia" w:cs="Times New Roman"/>
                <w:color w:val="auto"/>
                <w:sz w:val="24"/>
                <w:szCs w:val="24"/>
                <w:highlight w:val="none"/>
                <w:lang w:val="en-US" w:eastAsia="zh-CN"/>
              </w:rPr>
              <w:t>为锡、铜、树脂</w:t>
            </w:r>
            <w:r>
              <w:rPr>
                <w:rFonts w:hint="eastAsia" w:ascii="Times New Roman" w:hAnsi="Times New Roman" w:eastAsia="宋体" w:cs="Times New Roman"/>
                <w:color w:val="auto"/>
                <w:sz w:val="24"/>
                <w:szCs w:val="24"/>
                <w:highlight w:val="none"/>
                <w:lang w:val="en-US" w:eastAsia="zh-CN"/>
              </w:rPr>
              <w:t>，成分中</w:t>
            </w:r>
            <w:r>
              <w:rPr>
                <w:rFonts w:hint="eastAsia" w:cs="Times New Roman"/>
                <w:color w:val="auto"/>
                <w:sz w:val="24"/>
                <w:szCs w:val="24"/>
                <w:highlight w:val="none"/>
                <w:lang w:val="en-US" w:eastAsia="zh-CN"/>
              </w:rPr>
              <w:t>金属在锡丝所占百分含量约96.7%</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98.9%</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其中锡占金属成分百分含量约99.3%，铜占金属成分百分含量约0.7%，树脂在锡丝所占百分含量约1.1</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3.3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。银白色固体，熔点227</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具有良好的润湿性、导电率、热导率，易上锡</w:t>
            </w:r>
            <w:r>
              <w:rPr>
                <w:rFonts w:hint="eastAsia" w:cs="Times New Roman"/>
                <w:color w:val="auto"/>
                <w:sz w:val="24"/>
                <w:szCs w:val="24"/>
                <w:highlight w:val="none"/>
                <w:lang w:val="en-US" w:eastAsia="zh-CN"/>
              </w:rPr>
              <w:t>。</w:t>
            </w:r>
          </w:p>
          <w:p w14:paraId="67ABCB48">
            <w:pPr>
              <w:adjustRightInd w:val="0"/>
              <w:snapToGrid w:val="0"/>
              <w:spacing w:line="360" w:lineRule="auto"/>
              <w:ind w:firstLine="480" w:firstLineChars="200"/>
              <w:jc w:val="left"/>
              <w:rPr>
                <w:rFonts w:hint="default"/>
                <w:sz w:val="24"/>
                <w:szCs w:val="24"/>
                <w:highlight w:val="none"/>
                <w:lang w:val="en-US" w:eastAsia="zh-CN"/>
              </w:rPr>
            </w:pPr>
            <w:r>
              <w:rPr>
                <w:rFonts w:hint="eastAsia"/>
                <w:sz w:val="24"/>
                <w:szCs w:val="24"/>
                <w:highlight w:val="none"/>
                <w:lang w:val="en-US" w:eastAsia="zh-CN"/>
              </w:rPr>
              <w:t>酒精：质量浓度98%，常温常压下是一种易挥发的无色透明液体，毒性较低，可以与水以任意比互溶，溶液具有酒香味，略带刺激性，也可与多数有机溶剂混溶。乙醇蒸汽与空气混合可以形成爆炸性混合物。</w:t>
            </w:r>
          </w:p>
          <w:p w14:paraId="5570C7E9">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6、劳动定员及工作制度</w:t>
            </w:r>
          </w:p>
          <w:p w14:paraId="04DDEBED">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劳动定员：</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80</w:t>
            </w:r>
            <w:r>
              <w:rPr>
                <w:rFonts w:hint="default" w:ascii="Times New Roman" w:hAnsi="Times New Roman" w:cs="Times New Roman"/>
                <w:color w:val="auto"/>
                <w:sz w:val="24"/>
                <w:szCs w:val="24"/>
                <w:highlight w:val="none"/>
              </w:rPr>
              <w:t>人。</w:t>
            </w:r>
          </w:p>
          <w:p w14:paraId="402FB153">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工作制度：年工作</w:t>
            </w:r>
            <w:r>
              <w:rPr>
                <w:rFonts w:hint="eastAsia" w:cs="Times New Roman"/>
                <w:color w:val="auto"/>
                <w:sz w:val="24"/>
                <w:szCs w:val="24"/>
                <w:highlight w:val="none"/>
                <w:lang w:val="en-US" w:eastAsia="zh-CN"/>
              </w:rPr>
              <w:t>300</w:t>
            </w:r>
            <w:r>
              <w:rPr>
                <w:rFonts w:hint="default" w:ascii="Times New Roman" w:hAnsi="Times New Roman" w:cs="Times New Roman"/>
                <w:color w:val="auto"/>
                <w:sz w:val="24"/>
                <w:szCs w:val="24"/>
                <w:highlight w:val="none"/>
              </w:rPr>
              <w:t>天，实行</w:t>
            </w:r>
            <w:r>
              <w:rPr>
                <w:rFonts w:hint="eastAsia" w:ascii="Times New Roman" w:hAnsi="Times New Roman" w:cs="Times New Roman"/>
                <w:color w:val="auto"/>
                <w:sz w:val="24"/>
                <w:szCs w:val="24"/>
                <w:highlight w:val="none"/>
                <w:lang w:val="en-US" w:eastAsia="zh-CN"/>
              </w:rPr>
              <w:t>两</w:t>
            </w:r>
            <w:r>
              <w:rPr>
                <w:rFonts w:hint="default" w:ascii="Times New Roman" w:hAnsi="Times New Roman" w:cs="Times New Roman"/>
                <w:color w:val="auto"/>
                <w:sz w:val="24"/>
                <w:szCs w:val="24"/>
                <w:highlight w:val="none"/>
              </w:rPr>
              <w:t>班制，每班工作8小时，年工作时间</w:t>
            </w:r>
            <w:r>
              <w:rPr>
                <w:rFonts w:hint="eastAsia" w:cs="Times New Roman"/>
                <w:color w:val="auto"/>
                <w:sz w:val="24"/>
                <w:szCs w:val="24"/>
                <w:highlight w:val="none"/>
                <w:lang w:val="en-US" w:eastAsia="zh-CN"/>
              </w:rPr>
              <w:t>480</w:t>
            </w:r>
            <w:r>
              <w:rPr>
                <w:rFonts w:hint="eastAsia" w:ascii="Times New Roman" w:hAnsi="Times New Roman" w:cs="Times New Roman"/>
                <w:color w:val="auto"/>
                <w:sz w:val="24"/>
                <w:szCs w:val="24"/>
                <w:highlight w:val="none"/>
                <w:lang w:val="en-US" w:eastAsia="zh-CN"/>
              </w:rPr>
              <w:t>0</w:t>
            </w:r>
            <w:r>
              <w:rPr>
                <w:rFonts w:hint="default" w:ascii="Times New Roman" w:hAnsi="Times New Roman" w:cs="Times New Roman"/>
                <w:color w:val="auto"/>
                <w:sz w:val="24"/>
                <w:szCs w:val="24"/>
                <w:highlight w:val="none"/>
              </w:rPr>
              <w:t>小时；厂区不提供食堂和住宿。</w:t>
            </w:r>
          </w:p>
          <w:p w14:paraId="1CF93E74">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7、公用工程</w:t>
            </w:r>
          </w:p>
          <w:p w14:paraId="194603ED">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（1）供水</w:t>
            </w:r>
          </w:p>
          <w:p w14:paraId="13E00F7B">
            <w:pPr>
              <w:spacing w:line="360" w:lineRule="auto"/>
              <w:ind w:firstLine="480" w:firstLineChars="200"/>
              <w:jc w:val="left"/>
              <w:rPr>
                <w:rFonts w:hint="eastAsia" w:ascii="Times New Roman" w:hAnsi="Times New Roman" w:eastAsia="宋体" w:cs="Times New Roman"/>
                <w:bCs/>
                <w:color w:val="auto"/>
                <w:sz w:val="24"/>
                <w:szCs w:val="24"/>
                <w:highlight w:val="none"/>
                <w:lang w:eastAsia="zh-CN"/>
              </w:rPr>
            </w:pPr>
            <w:r>
              <w:rPr>
                <w:rFonts w:hint="default" w:ascii="Times New Roman" w:hAnsi="Times New Roman" w:cs="Times New Roman"/>
                <w:color w:val="auto"/>
                <w:sz w:val="24"/>
                <w:szCs w:val="24"/>
                <w:highlight w:val="none"/>
              </w:rPr>
              <w:t>本项目供水由市政供水管网供给。项目用水主要为</w:t>
            </w:r>
            <w:r>
              <w:rPr>
                <w:rFonts w:hint="eastAsia" w:ascii="Times New Roman" w:hAnsi="Times New Roman" w:cs="Times New Roman"/>
                <w:color w:val="auto"/>
                <w:sz w:val="24"/>
                <w:szCs w:val="24"/>
                <w:highlight w:val="none"/>
                <w:lang w:eastAsia="zh-CN"/>
              </w:rPr>
              <w:t>职工</w:t>
            </w:r>
            <w:r>
              <w:rPr>
                <w:rFonts w:hint="default" w:ascii="Times New Roman" w:hAnsi="Times New Roman" w:cs="Times New Roman"/>
                <w:color w:val="auto"/>
                <w:sz w:val="24"/>
                <w:szCs w:val="24"/>
                <w:highlight w:val="none"/>
              </w:rPr>
              <w:t>生活用水，</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80</w:t>
            </w:r>
            <w:r>
              <w:rPr>
                <w:rFonts w:hint="default" w:ascii="Times New Roman" w:hAnsi="Times New Roman" w:cs="Times New Roman"/>
                <w:color w:val="auto"/>
                <w:sz w:val="24"/>
                <w:szCs w:val="24"/>
                <w:highlight w:val="none"/>
              </w:rPr>
              <w:t>人</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bCs/>
                <w:color w:val="auto"/>
                <w:sz w:val="24"/>
                <w:szCs w:val="24"/>
                <w:highlight w:val="none"/>
              </w:rPr>
              <w:t>不提供食堂和住宿，根据《安徽省行业用水定额》（DB34/T679-2019），职工生活用水按60L/人·d计，年工作</w:t>
            </w:r>
            <w:r>
              <w:rPr>
                <w:rFonts w:hint="eastAsia" w:cs="Times New Roman"/>
                <w:bCs/>
                <w:color w:val="auto"/>
                <w:sz w:val="24"/>
                <w:szCs w:val="24"/>
                <w:highlight w:val="none"/>
                <w:lang w:val="en-US" w:eastAsia="zh-CN"/>
              </w:rPr>
              <w:t>30</w:t>
            </w:r>
            <w:r>
              <w:rPr>
                <w:rFonts w:hint="eastAsia" w:ascii="Times New Roman" w:hAnsi="Times New Roman" w:cs="Times New Roman"/>
                <w:bCs/>
                <w:color w:val="auto"/>
                <w:sz w:val="24"/>
                <w:szCs w:val="24"/>
                <w:highlight w:val="none"/>
                <w:lang w:val="en-US" w:eastAsia="zh-CN"/>
              </w:rPr>
              <w:t>0</w:t>
            </w:r>
            <w:r>
              <w:rPr>
                <w:rFonts w:hint="default" w:ascii="Times New Roman" w:hAnsi="Times New Roman" w:cs="Times New Roman"/>
                <w:bCs/>
                <w:color w:val="auto"/>
                <w:sz w:val="24"/>
                <w:szCs w:val="24"/>
                <w:highlight w:val="none"/>
              </w:rPr>
              <w:t>天，则</w:t>
            </w:r>
            <w:r>
              <w:rPr>
                <w:rFonts w:hint="default" w:ascii="Times New Roman" w:hAnsi="Times New Roman" w:cs="Times New Roman"/>
                <w:color w:val="auto"/>
                <w:sz w:val="24"/>
                <w:szCs w:val="24"/>
                <w:highlight w:val="none"/>
              </w:rPr>
              <w:t>预计用水量</w:t>
            </w:r>
            <w:r>
              <w:rPr>
                <w:rFonts w:hint="eastAsia" w:cs="Times New Roman"/>
                <w:color w:val="auto"/>
                <w:sz w:val="24"/>
                <w:szCs w:val="24"/>
                <w:highlight w:val="none"/>
                <w:lang w:val="en-US" w:eastAsia="zh-CN"/>
              </w:rPr>
              <w:t>4.8t/d（1440</w:t>
            </w:r>
            <w:r>
              <w:rPr>
                <w:rFonts w:hint="eastAsia" w:ascii="Times New Roman" w:hAnsi="Times New Roman" w:cs="Times New Roman"/>
                <w:color w:val="auto"/>
                <w:sz w:val="24"/>
                <w:szCs w:val="24"/>
                <w:highlight w:val="none"/>
                <w:vertAlign w:val="baseline"/>
                <w:lang w:val="en-US" w:eastAsia="zh-CN"/>
              </w:rPr>
              <w:t>t/a</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bCs/>
                <w:color w:val="auto"/>
                <w:sz w:val="24"/>
                <w:szCs w:val="24"/>
                <w:highlight w:val="none"/>
              </w:rPr>
              <w:t>生活污水产污系数按0.8</w:t>
            </w:r>
            <w:r>
              <w:rPr>
                <w:rFonts w:hint="eastAsia" w:ascii="Times New Roman" w:hAnsi="Times New Roman" w:cs="Times New Roman"/>
                <w:bCs/>
                <w:color w:val="auto"/>
                <w:sz w:val="24"/>
                <w:szCs w:val="24"/>
                <w:highlight w:val="none"/>
                <w:lang w:val="en-US" w:eastAsia="zh-CN"/>
              </w:rPr>
              <w:t>5</w:t>
            </w:r>
            <w:r>
              <w:rPr>
                <w:rFonts w:hint="default" w:ascii="Times New Roman" w:hAnsi="Times New Roman" w:cs="Times New Roman"/>
                <w:bCs/>
                <w:color w:val="auto"/>
                <w:sz w:val="24"/>
                <w:szCs w:val="24"/>
                <w:highlight w:val="none"/>
              </w:rPr>
              <w:t>计，则生活污水产生量为</w:t>
            </w:r>
            <w:r>
              <w:rPr>
                <w:rFonts w:hint="eastAsia" w:cs="Times New Roman"/>
                <w:bCs/>
                <w:color w:val="auto"/>
                <w:sz w:val="24"/>
                <w:szCs w:val="24"/>
                <w:highlight w:val="none"/>
                <w:lang w:val="en-US" w:eastAsia="zh-CN"/>
              </w:rPr>
              <w:t>4.08</w:t>
            </w:r>
            <w:r>
              <w:rPr>
                <w:rFonts w:hint="default" w:ascii="Times New Roman" w:hAnsi="Times New Roman" w:cs="Times New Roman"/>
                <w:bCs/>
                <w:color w:val="auto"/>
                <w:sz w:val="24"/>
                <w:szCs w:val="24"/>
                <w:highlight w:val="none"/>
              </w:rPr>
              <w:t>t/d（</w:t>
            </w:r>
            <w:r>
              <w:rPr>
                <w:rFonts w:hint="eastAsia" w:cs="Times New Roman"/>
                <w:bCs/>
                <w:color w:val="auto"/>
                <w:sz w:val="24"/>
                <w:szCs w:val="24"/>
                <w:highlight w:val="none"/>
                <w:lang w:val="en-US" w:eastAsia="zh-CN"/>
              </w:rPr>
              <w:t>1224</w:t>
            </w:r>
            <w:r>
              <w:rPr>
                <w:rFonts w:hint="default" w:ascii="Times New Roman" w:hAnsi="Times New Roman" w:cs="Times New Roman"/>
                <w:bCs/>
                <w:color w:val="auto"/>
                <w:sz w:val="24"/>
                <w:szCs w:val="24"/>
                <w:highlight w:val="none"/>
              </w:rPr>
              <w:t>t/a）</w:t>
            </w:r>
            <w:r>
              <w:rPr>
                <w:rFonts w:hint="eastAsia" w:ascii="Times New Roman" w:hAnsi="Times New Roman" w:cs="Times New Roman"/>
                <w:bCs/>
                <w:color w:val="auto"/>
                <w:sz w:val="24"/>
                <w:szCs w:val="24"/>
                <w:highlight w:val="none"/>
                <w:lang w:eastAsia="zh-CN"/>
              </w:rPr>
              <w:t>。</w:t>
            </w:r>
          </w:p>
          <w:p w14:paraId="73B9EF6F">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（2）排水</w:t>
            </w:r>
          </w:p>
          <w:p w14:paraId="560386CE">
            <w:pPr>
              <w:spacing w:line="360" w:lineRule="auto"/>
              <w:ind w:firstLine="480" w:firstLineChars="200"/>
              <w:jc w:val="left"/>
              <w:rPr>
                <w:rFonts w:hint="eastAsia" w:ascii="Times New Roman" w:hAnsi="Times New Roman"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eastAsia="宋体" w:cs="Times New Roman"/>
                <w:color w:val="auto"/>
                <w:sz w:val="24"/>
                <w:szCs w:val="24"/>
                <w:highlight w:val="none"/>
              </w:rPr>
              <w:t>雨污分流制</w:t>
            </w:r>
            <w:r>
              <w:rPr>
                <w:rFonts w:hint="eastAsia" w:ascii="Times New Roman" w:hAnsi="Times New Roman" w:eastAsia="宋体" w:cs="Times New Roman"/>
                <w:color w:val="auto"/>
                <w:sz w:val="24"/>
                <w:szCs w:val="24"/>
                <w:highlight w:val="none"/>
                <w:lang w:eastAsia="zh-CN"/>
              </w:rPr>
              <w:t>，生活污水经</w:t>
            </w:r>
            <w:r>
              <w:rPr>
                <w:rFonts w:hint="eastAsia" w:cs="Times New Roman"/>
                <w:color w:val="auto"/>
                <w:sz w:val="24"/>
                <w:szCs w:val="24"/>
                <w:highlight w:val="none"/>
                <w:lang w:val="en-US" w:eastAsia="zh-CN"/>
              </w:rPr>
              <w:t>科技孵化园</w:t>
            </w:r>
            <w:r>
              <w:rPr>
                <w:rFonts w:hint="eastAsia" w:ascii="Times New Roman" w:hAnsi="Times New Roman" w:eastAsia="宋体" w:cs="Times New Roman"/>
                <w:color w:val="auto"/>
                <w:sz w:val="24"/>
                <w:szCs w:val="24"/>
                <w:highlight w:val="none"/>
                <w:lang w:eastAsia="zh-CN"/>
              </w:rPr>
              <w:t>园区化粪池预处理后排入江南产业集中区第一污水处理厂，处理达标后经九华河排入长江。</w:t>
            </w:r>
            <w:r>
              <w:drawing>
                <wp:inline distT="0" distB="0" distL="114300" distR="114300">
                  <wp:extent cx="5346700" cy="970280"/>
                  <wp:effectExtent l="0" t="0" r="6350" b="127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0"/>
                          <a:stretch>
                            <a:fillRect/>
                          </a:stretch>
                        </pic:blipFill>
                        <pic:spPr>
                          <a:xfrm>
                            <a:off x="0" y="0"/>
                            <a:ext cx="5346700" cy="970280"/>
                          </a:xfrm>
                          <a:prstGeom prst="rect">
                            <a:avLst/>
                          </a:prstGeom>
                          <a:noFill/>
                          <a:ln>
                            <a:noFill/>
                          </a:ln>
                        </pic:spPr>
                      </pic:pic>
                    </a:graphicData>
                  </a:graphic>
                </wp:inline>
              </w:drawing>
            </w:r>
          </w:p>
          <w:p w14:paraId="057DBD22">
            <w:pPr>
              <w:spacing w:line="360" w:lineRule="auto"/>
              <w:ind w:firstLine="482" w:firstLineChars="200"/>
              <w:jc w:val="center"/>
              <w:rPr>
                <w:rFonts w:hint="eastAsia" w:ascii="Times New Roman" w:hAnsi="Times New Roman" w:cs="Times New Roman"/>
                <w:b/>
                <w:bCs/>
                <w:color w:val="auto"/>
                <w:sz w:val="24"/>
                <w:szCs w:val="24"/>
                <w:highlight w:val="none"/>
                <w:vertAlign w:val="baseline"/>
                <w:lang w:val="en-US" w:eastAsia="zh-CN"/>
              </w:rPr>
            </w:pPr>
            <w:r>
              <w:rPr>
                <w:rFonts w:hint="eastAsia" w:ascii="Times New Roman" w:hAnsi="Times New Roman" w:cs="Times New Roman"/>
                <w:b/>
                <w:bCs/>
                <w:color w:val="auto"/>
                <w:sz w:val="24"/>
                <w:szCs w:val="24"/>
                <w:highlight w:val="none"/>
                <w:vertAlign w:val="baseline"/>
                <w:lang w:val="en-US" w:eastAsia="zh-CN"/>
              </w:rPr>
              <w:t>图2-</w:t>
            </w:r>
            <w:r>
              <w:rPr>
                <w:rFonts w:hint="eastAsia" w:cs="Times New Roman"/>
                <w:b/>
                <w:bCs/>
                <w:color w:val="auto"/>
                <w:sz w:val="24"/>
                <w:szCs w:val="24"/>
                <w:highlight w:val="none"/>
                <w:vertAlign w:val="baseline"/>
                <w:lang w:val="en-US" w:eastAsia="zh-CN"/>
              </w:rPr>
              <w:t>2</w:t>
            </w:r>
            <w:r>
              <w:rPr>
                <w:rFonts w:hint="eastAsia" w:ascii="Times New Roman" w:hAnsi="Times New Roman" w:cs="Times New Roman"/>
                <w:b/>
                <w:bCs/>
                <w:color w:val="auto"/>
                <w:sz w:val="24"/>
                <w:szCs w:val="24"/>
                <w:highlight w:val="none"/>
                <w:vertAlign w:val="baseline"/>
                <w:lang w:val="en-US" w:eastAsia="zh-CN"/>
              </w:rPr>
              <w:t xml:space="preserve">  项目水平衡图（单位：t/</w:t>
            </w:r>
            <w:r>
              <w:rPr>
                <w:rFonts w:hint="eastAsia" w:cs="Times New Roman"/>
                <w:b/>
                <w:bCs/>
                <w:color w:val="auto"/>
                <w:sz w:val="24"/>
                <w:szCs w:val="24"/>
                <w:highlight w:val="none"/>
                <w:vertAlign w:val="baseline"/>
                <w:lang w:val="en-US" w:eastAsia="zh-CN"/>
              </w:rPr>
              <w:t>d</w:t>
            </w:r>
            <w:r>
              <w:rPr>
                <w:rFonts w:hint="eastAsia" w:ascii="Times New Roman" w:hAnsi="Times New Roman" w:cs="Times New Roman"/>
                <w:b/>
                <w:bCs/>
                <w:color w:val="auto"/>
                <w:sz w:val="24"/>
                <w:szCs w:val="24"/>
                <w:highlight w:val="none"/>
                <w:vertAlign w:val="baseline"/>
                <w:lang w:val="en-US" w:eastAsia="zh-CN"/>
              </w:rPr>
              <w:t>）</w:t>
            </w:r>
          </w:p>
          <w:p w14:paraId="390742E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p>
          <w:p w14:paraId="0E9107A4">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表2-5  项目排水情况一览表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350"/>
              <w:gridCol w:w="3765"/>
              <w:gridCol w:w="1905"/>
            </w:tblGrid>
            <w:tr w14:paraId="34E0F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79825EC">
                  <w:pPr>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污染物类别</w:t>
                  </w:r>
                </w:p>
              </w:tc>
              <w:tc>
                <w:tcPr>
                  <w:tcW w:w="1350" w:type="dxa"/>
                </w:tcPr>
                <w:p w14:paraId="2C0276A2">
                  <w:pPr>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用水量（</w:t>
                  </w:r>
                  <w:r>
                    <w:rPr>
                      <w:rFonts w:hint="eastAsia" w:ascii="Times New Roman" w:hAnsi="Times New Roman" w:cs="Times New Roman"/>
                      <w:b/>
                      <w:bCs/>
                      <w:color w:val="auto"/>
                      <w:sz w:val="21"/>
                      <w:szCs w:val="21"/>
                      <w:highlight w:val="none"/>
                      <w:vertAlign w:val="baseline"/>
                      <w:lang w:val="en-US" w:eastAsia="zh-CN"/>
                    </w:rPr>
                    <w:t>t/a</w:t>
                  </w:r>
                  <w:r>
                    <w:rPr>
                      <w:rFonts w:hint="eastAsia" w:ascii="Times New Roman" w:hAnsi="Times New Roman" w:eastAsia="宋体" w:cs="Times New Roman"/>
                      <w:b/>
                      <w:bCs/>
                      <w:sz w:val="21"/>
                      <w:szCs w:val="21"/>
                      <w:highlight w:val="none"/>
                      <w:lang w:val="en-US" w:eastAsia="zh-CN"/>
                    </w:rPr>
                    <w:t>）</w:t>
                  </w:r>
                </w:p>
              </w:tc>
              <w:tc>
                <w:tcPr>
                  <w:tcW w:w="3765" w:type="dxa"/>
                </w:tcPr>
                <w:p w14:paraId="271B455D">
                  <w:pPr>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治理措施</w:t>
                  </w:r>
                </w:p>
              </w:tc>
              <w:tc>
                <w:tcPr>
                  <w:tcW w:w="1905" w:type="dxa"/>
                </w:tcPr>
                <w:p w14:paraId="58C701D2">
                  <w:pPr>
                    <w:jc w:val="center"/>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排水量（</w:t>
                  </w:r>
                  <w:r>
                    <w:rPr>
                      <w:rFonts w:hint="eastAsia" w:ascii="Times New Roman" w:hAnsi="Times New Roman" w:cs="Times New Roman"/>
                      <w:b/>
                      <w:bCs/>
                      <w:color w:val="auto"/>
                      <w:sz w:val="21"/>
                      <w:szCs w:val="21"/>
                      <w:highlight w:val="none"/>
                      <w:vertAlign w:val="baseline"/>
                      <w:lang w:val="en-US" w:eastAsia="zh-CN"/>
                    </w:rPr>
                    <w:t>t/a</w:t>
                  </w:r>
                  <w:r>
                    <w:rPr>
                      <w:rFonts w:hint="eastAsia" w:ascii="Times New Roman" w:hAnsi="Times New Roman" w:eastAsia="宋体" w:cs="Times New Roman"/>
                      <w:b/>
                      <w:bCs/>
                      <w:sz w:val="21"/>
                      <w:szCs w:val="21"/>
                      <w:highlight w:val="none"/>
                      <w:lang w:val="en-US" w:eastAsia="zh-CN"/>
                    </w:rPr>
                    <w:t>）</w:t>
                  </w:r>
                </w:p>
              </w:tc>
            </w:tr>
            <w:tr w14:paraId="2D0B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93A4E94">
                  <w:pPr>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生活污水</w:t>
                  </w:r>
                </w:p>
              </w:tc>
              <w:tc>
                <w:tcPr>
                  <w:tcW w:w="1350" w:type="dxa"/>
                </w:tcPr>
                <w:p w14:paraId="7DBAD4FF">
                  <w:pPr>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1440</w:t>
                  </w:r>
                </w:p>
              </w:tc>
              <w:tc>
                <w:tcPr>
                  <w:tcW w:w="3765" w:type="dxa"/>
                </w:tcPr>
                <w:p w14:paraId="79463F70">
                  <w:pPr>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化粪池</w:t>
                  </w:r>
                </w:p>
              </w:tc>
              <w:tc>
                <w:tcPr>
                  <w:tcW w:w="1905" w:type="dxa"/>
                </w:tcPr>
                <w:p w14:paraId="33302672">
                  <w:pPr>
                    <w:jc w:val="center"/>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1224</w:t>
                  </w:r>
                </w:p>
              </w:tc>
            </w:tr>
          </w:tbl>
          <w:p w14:paraId="4C81BCEA">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（3）供电</w:t>
            </w:r>
          </w:p>
          <w:p w14:paraId="54B8E109">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本项目用电由市政电网提供，</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年用电量约</w:t>
            </w:r>
            <w:r>
              <w:rPr>
                <w:rFonts w:hint="eastAsia" w:cs="Times New Roman"/>
                <w:color w:val="auto"/>
                <w:sz w:val="24"/>
                <w:szCs w:val="24"/>
                <w:highlight w:val="none"/>
                <w:lang w:val="en-US" w:eastAsia="zh-CN"/>
              </w:rPr>
              <w:t>1320</w:t>
            </w:r>
            <w:r>
              <w:rPr>
                <w:rFonts w:hint="default" w:ascii="Times New Roman" w:hAnsi="Times New Roman" w:cs="Times New Roman"/>
                <w:color w:val="auto"/>
                <w:sz w:val="24"/>
                <w:szCs w:val="24"/>
                <w:highlight w:val="none"/>
              </w:rPr>
              <w:t>万</w:t>
            </w:r>
            <w:r>
              <w:rPr>
                <w:rFonts w:hint="eastAsia" w:ascii="Times New Roman" w:hAnsi="Times New Roman" w:eastAsia="宋体" w:cs="Times New Roman"/>
                <w:b w:val="0"/>
                <w:bCs w:val="0"/>
                <w:color w:val="auto"/>
                <w:sz w:val="24"/>
                <w:szCs w:val="24"/>
                <w:highlight w:val="none"/>
                <w:lang w:val="en-US" w:eastAsia="zh-CN"/>
              </w:rPr>
              <w:t>kW•h</w:t>
            </w:r>
            <w:r>
              <w:rPr>
                <w:rFonts w:hint="default" w:ascii="Times New Roman" w:hAnsi="Times New Roman" w:cs="Times New Roman"/>
                <w:color w:val="auto"/>
                <w:sz w:val="24"/>
                <w:szCs w:val="24"/>
                <w:highlight w:val="none"/>
              </w:rPr>
              <w:t>。</w:t>
            </w:r>
          </w:p>
          <w:p w14:paraId="07D09BD5">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8、总平面图布置</w:t>
            </w:r>
          </w:p>
          <w:p w14:paraId="6DC23FEC">
            <w:pPr>
              <w:spacing w:line="360" w:lineRule="auto"/>
              <w:ind w:firstLine="480" w:firstLineChars="200"/>
              <w:rPr>
                <w:rFonts w:hint="default"/>
                <w:sz w:val="24"/>
                <w:szCs w:val="24"/>
                <w:highlight w:val="none"/>
              </w:rPr>
            </w:pPr>
            <w:r>
              <w:rPr>
                <w:rFonts w:hint="default" w:ascii="Times New Roman" w:hAnsi="Times New Roman" w:cs="Times New Roman"/>
                <w:color w:val="auto"/>
                <w:sz w:val="24"/>
                <w:szCs w:val="24"/>
                <w:highlight w:val="none"/>
              </w:rPr>
              <w:t>项目租赁</w:t>
            </w:r>
            <w:r>
              <w:rPr>
                <w:rFonts w:hint="eastAsia" w:cs="Times New Roman"/>
                <w:color w:val="auto"/>
                <w:sz w:val="24"/>
                <w:szCs w:val="24"/>
                <w:highlight w:val="none"/>
                <w:lang w:val="en-US" w:eastAsia="zh-CN"/>
              </w:rPr>
              <w:t>皖江江南新兴产业集中区科技孵化园A5号厂房3-4层，建筑总面积15178.64m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厂房3</w:t>
            </w:r>
            <w:r>
              <w:rPr>
                <w:rFonts w:hint="eastAsia" w:ascii="Times New Roman" w:hAnsi="Times New Roman" w:cs="Times New Roman"/>
                <w:color w:val="auto"/>
                <w:sz w:val="24"/>
                <w:szCs w:val="24"/>
                <w:highlight w:val="none"/>
                <w:lang w:val="en-US" w:eastAsia="zh-CN"/>
              </w:rPr>
              <w:t>层</w:t>
            </w:r>
            <w:r>
              <w:rPr>
                <w:rFonts w:hint="eastAsia" w:cs="Times New Roman"/>
                <w:color w:val="auto"/>
                <w:sz w:val="24"/>
                <w:szCs w:val="24"/>
                <w:highlight w:val="none"/>
                <w:lang w:val="en-US" w:eastAsia="zh-CN"/>
              </w:rPr>
              <w:t>东侧</w:t>
            </w:r>
            <w:r>
              <w:rPr>
                <w:rFonts w:hint="eastAsia" w:ascii="Times New Roman" w:hAnsi="Times New Roman" w:cs="Times New Roman"/>
                <w:color w:val="auto"/>
                <w:sz w:val="24"/>
                <w:szCs w:val="24"/>
                <w:highlight w:val="none"/>
                <w:lang w:val="en-US" w:eastAsia="zh-CN"/>
              </w:rPr>
              <w:t>设置</w:t>
            </w:r>
            <w:r>
              <w:rPr>
                <w:rFonts w:hint="eastAsia" w:cs="Times New Roman"/>
                <w:color w:val="auto"/>
                <w:sz w:val="24"/>
                <w:szCs w:val="24"/>
                <w:highlight w:val="none"/>
                <w:lang w:val="en-US" w:eastAsia="zh-CN"/>
              </w:rPr>
              <w:t>办公室，3层西侧及中心区域设置原辅料仓库及成品仓库</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厂房4层主要用做生产车间，项目危废库布设于厂房4层西北侧，一般固废库布设于厂房4层西南侧</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eastAsia="zh-CN"/>
              </w:rPr>
              <w:t>项目总平面布置图详见附图</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eastAsia="zh-CN"/>
              </w:rPr>
              <w:t>。</w:t>
            </w:r>
          </w:p>
        </w:tc>
      </w:tr>
      <w:tr w14:paraId="00EFB5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877" w:hRule="atLeast"/>
          <w:jc w:val="center"/>
        </w:trPr>
        <w:tc>
          <w:tcPr>
            <w:tcW w:w="424" w:type="dxa"/>
            <w:noWrap w:val="0"/>
            <w:vAlign w:val="center"/>
          </w:tcPr>
          <w:p w14:paraId="7553B45A">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工艺流程和产排污环节</w:t>
            </w:r>
          </w:p>
        </w:tc>
        <w:tc>
          <w:tcPr>
            <w:tcW w:w="8636" w:type="dxa"/>
            <w:noWrap w:val="0"/>
            <w:vAlign w:val="top"/>
          </w:tcPr>
          <w:p w14:paraId="7E550663">
            <w:pPr>
              <w:adjustRightInd w:val="0"/>
              <w:spacing w:line="360" w:lineRule="auto"/>
              <w:ind w:firstLine="498" w:firstLineChars="200"/>
              <w:rPr>
                <w:rFonts w:hint="default" w:ascii="Times New Roman" w:hAnsi="Times New Roman" w:cs="Times New Roman"/>
                <w:b/>
                <w:bCs/>
                <w:color w:val="auto"/>
                <w:spacing w:val="4"/>
                <w:kern w:val="18"/>
                <w:sz w:val="24"/>
                <w:szCs w:val="24"/>
                <w:highlight w:val="none"/>
              </w:rPr>
            </w:pPr>
            <w:r>
              <w:rPr>
                <w:rFonts w:hint="default" w:ascii="Times New Roman" w:hAnsi="Times New Roman" w:cs="Times New Roman"/>
                <w:b/>
                <w:bCs/>
                <w:color w:val="auto"/>
                <w:spacing w:val="4"/>
                <w:kern w:val="18"/>
                <w:sz w:val="24"/>
                <w:szCs w:val="24"/>
                <w:highlight w:val="none"/>
              </w:rPr>
              <w:t>一、施工期主要工艺过程和产污环节</w:t>
            </w:r>
          </w:p>
          <w:p w14:paraId="59226EBC">
            <w:pPr>
              <w:pStyle w:val="19"/>
              <w:adjustRightInd w:val="0"/>
              <w:snapToGrid w:val="0"/>
              <w:spacing w:after="0" w:line="360" w:lineRule="auto"/>
              <w:ind w:firstLine="480" w:firstLineChars="200"/>
              <w:jc w:val="left"/>
              <w:rPr>
                <w:rFonts w:hint="eastAsia"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本项目租赁</w:t>
            </w:r>
            <w:r>
              <w:rPr>
                <w:rFonts w:hint="eastAsia" w:cs="Times New Roman"/>
                <w:color w:val="auto"/>
                <w:sz w:val="24"/>
                <w:szCs w:val="24"/>
                <w:highlight w:val="none"/>
                <w:lang w:val="en-US" w:eastAsia="zh-CN"/>
              </w:rPr>
              <w:t>已建成</w:t>
            </w:r>
            <w:r>
              <w:rPr>
                <w:rFonts w:hint="default" w:ascii="Times New Roman" w:hAnsi="Times New Roman" w:cs="Times New Roman"/>
                <w:color w:val="auto"/>
                <w:sz w:val="24"/>
                <w:szCs w:val="24"/>
                <w:highlight w:val="none"/>
              </w:rPr>
              <w:t>的空置厂房，目前厂房、供水、供电、排水、道路等基础工程已经全部建成。本项目施工期公用、辅助工程等设施均依托现有设施，该项目施工期主要工作是室内分割、装饰及设备安装调试</w:t>
            </w:r>
            <w:r>
              <w:rPr>
                <w:rFonts w:hint="eastAsia" w:ascii="Times New Roman" w:hAnsi="Times New Roman" w:cs="Times New Roman"/>
                <w:color w:val="auto"/>
                <w:sz w:val="24"/>
                <w:szCs w:val="24"/>
                <w:highlight w:val="none"/>
                <w:lang w:eastAsia="zh-CN"/>
              </w:rPr>
              <w:t>。</w:t>
            </w:r>
          </w:p>
          <w:p w14:paraId="6A32DBEF">
            <w:pPr>
              <w:adjustRightInd w:val="0"/>
              <w:spacing w:line="360" w:lineRule="auto"/>
              <w:ind w:firstLine="498" w:firstLineChars="200"/>
              <w:rPr>
                <w:rFonts w:hint="default" w:ascii="Times New Roman" w:hAnsi="Times New Roman" w:eastAsia="宋体" w:cs="Times New Roman"/>
                <w:b/>
                <w:bCs/>
                <w:color w:val="auto"/>
                <w:spacing w:val="4"/>
                <w:kern w:val="18"/>
                <w:sz w:val="24"/>
                <w:szCs w:val="24"/>
                <w:highlight w:val="none"/>
              </w:rPr>
            </w:pPr>
            <w:r>
              <w:rPr>
                <w:rFonts w:hint="default" w:ascii="Times New Roman" w:hAnsi="Times New Roman" w:eastAsia="宋体" w:cs="Times New Roman"/>
                <w:b/>
                <w:bCs/>
                <w:color w:val="auto"/>
                <w:spacing w:val="4"/>
                <w:kern w:val="18"/>
                <w:sz w:val="24"/>
                <w:szCs w:val="24"/>
                <w:highlight w:val="none"/>
              </w:rPr>
              <w:t>二、项目运营期工艺流程</w:t>
            </w:r>
          </w:p>
          <w:p w14:paraId="2E9606C2">
            <w:pPr>
              <w:pStyle w:val="19"/>
              <w:adjustRightInd w:val="0"/>
              <w:snapToGrid w:val="0"/>
              <w:spacing w:after="0" w:line="360" w:lineRule="auto"/>
              <w:ind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1、生产工艺流程及说明</w:t>
            </w:r>
          </w:p>
          <w:p w14:paraId="24843132">
            <w:pPr>
              <w:pStyle w:val="7"/>
              <w:numPr>
                <w:ilvl w:val="0"/>
                <w:numId w:val="0"/>
              </w:numPr>
              <w:spacing w:line="360" w:lineRule="auto"/>
              <w:ind w:firstLine="480" w:firstLineChars="200"/>
              <w:jc w:val="both"/>
              <w:rPr>
                <w:rFonts w:hint="eastAsia"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生产工艺流程如下：</w:t>
            </w:r>
          </w:p>
          <w:p w14:paraId="0CD40040">
            <w:pPr>
              <w:pStyle w:val="7"/>
              <w:numPr>
                <w:ilvl w:val="0"/>
                <w:numId w:val="0"/>
              </w:numPr>
              <w:spacing w:line="360" w:lineRule="auto"/>
              <w:jc w:val="center"/>
              <w:rPr>
                <w:rFonts w:hint="eastAsia" w:ascii="Times New Roman" w:hAnsi="Times New Roman" w:cs="Times New Roman"/>
                <w:b/>
                <w:bCs/>
                <w:color w:val="auto"/>
                <w:sz w:val="24"/>
                <w:szCs w:val="24"/>
                <w:highlight w:val="none"/>
                <w:lang w:val="en-US" w:eastAsia="zh-CN"/>
              </w:rPr>
            </w:pPr>
            <w:r>
              <w:drawing>
                <wp:inline distT="0" distB="0" distL="114300" distR="114300">
                  <wp:extent cx="5340985" cy="6131560"/>
                  <wp:effectExtent l="0" t="0" r="12065"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1"/>
                          <a:stretch>
                            <a:fillRect/>
                          </a:stretch>
                        </pic:blipFill>
                        <pic:spPr>
                          <a:xfrm>
                            <a:off x="0" y="0"/>
                            <a:ext cx="5340985" cy="6131560"/>
                          </a:xfrm>
                          <a:prstGeom prst="rect">
                            <a:avLst/>
                          </a:prstGeom>
                          <a:noFill/>
                          <a:ln>
                            <a:noFill/>
                          </a:ln>
                        </pic:spPr>
                      </pic:pic>
                    </a:graphicData>
                  </a:graphic>
                </wp:inline>
              </w:drawing>
            </w:r>
            <w:r>
              <w:rPr>
                <w:rFonts w:hint="eastAsia" w:ascii="Times New Roman" w:hAnsi="Times New Roman" w:cs="Times New Roman"/>
                <w:b/>
                <w:bCs/>
                <w:color w:val="auto"/>
                <w:sz w:val="24"/>
                <w:szCs w:val="24"/>
                <w:highlight w:val="none"/>
                <w:lang w:eastAsia="zh-CN"/>
              </w:rPr>
              <w:t>图</w:t>
            </w:r>
            <w:r>
              <w:rPr>
                <w:rFonts w:hint="eastAsia" w:ascii="Times New Roman" w:hAnsi="Times New Roman" w:cs="Times New Roman"/>
                <w:b/>
                <w:bCs/>
                <w:color w:val="auto"/>
                <w:sz w:val="24"/>
                <w:szCs w:val="24"/>
                <w:highlight w:val="none"/>
                <w:lang w:val="en-US" w:eastAsia="zh-CN"/>
              </w:rPr>
              <w:t>2-</w:t>
            </w:r>
            <w:r>
              <w:rPr>
                <w:rFonts w:hint="eastAsia" w:cs="Times New Roman"/>
                <w:b/>
                <w:bCs/>
                <w:color w:val="auto"/>
                <w:sz w:val="24"/>
                <w:szCs w:val="24"/>
                <w:highlight w:val="none"/>
                <w:lang w:val="en-US" w:eastAsia="zh-CN"/>
              </w:rPr>
              <w:t>3</w:t>
            </w:r>
            <w:r>
              <w:rPr>
                <w:rFonts w:hint="eastAsia" w:ascii="Times New Roman" w:hAnsi="Times New Roman" w:cs="Times New Roman"/>
                <w:b/>
                <w:bCs/>
                <w:color w:val="auto"/>
                <w:sz w:val="24"/>
                <w:szCs w:val="24"/>
                <w:highlight w:val="none"/>
                <w:lang w:val="en-US" w:eastAsia="zh-CN"/>
              </w:rPr>
              <w:t xml:space="preserve">  </w:t>
            </w:r>
            <w:r>
              <w:rPr>
                <w:rFonts w:hint="eastAsia" w:cs="Times New Roman"/>
                <w:b/>
                <w:bCs/>
                <w:color w:val="auto"/>
                <w:sz w:val="24"/>
                <w:szCs w:val="24"/>
                <w:highlight w:val="none"/>
                <w:lang w:val="en-US" w:eastAsia="zh-CN"/>
              </w:rPr>
              <w:t>产品</w:t>
            </w:r>
            <w:r>
              <w:rPr>
                <w:rFonts w:hint="eastAsia" w:ascii="Times New Roman" w:hAnsi="Times New Roman" w:cs="Times New Roman"/>
                <w:b/>
                <w:bCs/>
                <w:color w:val="auto"/>
                <w:sz w:val="24"/>
                <w:szCs w:val="24"/>
                <w:highlight w:val="none"/>
                <w:lang w:val="en-US" w:eastAsia="zh-CN"/>
              </w:rPr>
              <w:t>生产工艺及产污环节图</w:t>
            </w:r>
          </w:p>
          <w:p w14:paraId="42F53F39">
            <w:pPr>
              <w:pStyle w:val="19"/>
              <w:adjustRightInd w:val="0"/>
              <w:snapToGrid w:val="0"/>
              <w:spacing w:after="0"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1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cs="Times New Roman"/>
                <w:sz w:val="24"/>
                <w:szCs w:val="24"/>
                <w:highlight w:val="none"/>
              </w:rPr>
              <w:t>①</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烘料：</w:t>
            </w:r>
            <w:r>
              <w:rPr>
                <w:rFonts w:hint="eastAsia" w:ascii="Times New Roman" w:hAnsi="Times New Roman" w:eastAsia="宋体" w:cs="Times New Roman"/>
                <w:color w:val="auto"/>
                <w:sz w:val="24"/>
                <w:szCs w:val="24"/>
                <w:highlight w:val="none"/>
                <w:lang w:eastAsia="zh-CN"/>
              </w:rPr>
              <w:t>将PC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w:t>
            </w:r>
            <w:r>
              <w:rPr>
                <w:rFonts w:hint="eastAsia" w:ascii="Times New Roman" w:hAnsi="Times New Roman" w:eastAsia="宋体" w:cs="Times New Roman"/>
                <w:color w:val="auto"/>
                <w:sz w:val="24"/>
                <w:szCs w:val="24"/>
                <w:highlight w:val="none"/>
                <w:lang w:val="en-US" w:eastAsia="zh-CN"/>
              </w:rPr>
              <w:t>LED灯、电容、电阻</w:t>
            </w:r>
            <w:r>
              <w:rPr>
                <w:rFonts w:hint="eastAsia" w:ascii="Times New Roman" w:hAnsi="Times New Roman" w:eastAsia="宋体" w:cs="Times New Roman"/>
                <w:color w:val="auto"/>
                <w:sz w:val="24"/>
                <w:szCs w:val="24"/>
                <w:highlight w:val="none"/>
                <w:lang w:eastAsia="zh-CN"/>
              </w:rPr>
              <w:t>等</w:t>
            </w:r>
            <w:r>
              <w:rPr>
                <w:rFonts w:hint="eastAsia" w:cs="Times New Roman"/>
                <w:color w:val="auto"/>
                <w:sz w:val="24"/>
                <w:szCs w:val="24"/>
                <w:highlight w:val="none"/>
                <w:lang w:val="en-US" w:eastAsia="zh-CN"/>
              </w:rPr>
              <w:t>电子元件类</w:t>
            </w:r>
            <w:r>
              <w:rPr>
                <w:rFonts w:hint="eastAsia" w:ascii="Times New Roman" w:hAnsi="Times New Roman" w:eastAsia="宋体" w:cs="Times New Roman"/>
                <w:color w:val="auto"/>
                <w:sz w:val="24"/>
                <w:szCs w:val="24"/>
                <w:highlight w:val="none"/>
                <w:lang w:eastAsia="zh-CN"/>
              </w:rPr>
              <w:t>物料放进烤箱烘干水分，烘干温度为40~50</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，烘干时间约为10min。烘箱采用电加热，烘料过程无污染物产生</w:t>
            </w:r>
            <w:r>
              <w:rPr>
                <w:rFonts w:hint="default" w:ascii="Times New Roman" w:hAnsi="Times New Roman" w:eastAsia="宋体" w:cs="Times New Roman"/>
                <w:color w:val="auto"/>
                <w:sz w:val="24"/>
                <w:szCs w:val="24"/>
                <w:highlight w:val="none"/>
              </w:rPr>
              <w:t>；</w:t>
            </w:r>
          </w:p>
          <w:p w14:paraId="6E3F8242">
            <w:pPr>
              <w:pStyle w:val="19"/>
              <w:adjustRightInd w:val="0"/>
              <w:snapToGrid w:val="0"/>
              <w:spacing w:after="0"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2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②</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锡膏印刷：</w:t>
            </w:r>
            <w:r>
              <w:rPr>
                <w:rFonts w:hint="eastAsia" w:ascii="Times New Roman" w:hAnsi="Times New Roman" w:eastAsia="宋体" w:cs="Times New Roman"/>
                <w:color w:val="auto"/>
                <w:sz w:val="24"/>
                <w:szCs w:val="24"/>
                <w:highlight w:val="none"/>
                <w:lang w:eastAsia="zh-CN"/>
              </w:rPr>
              <w:t>将免清洗无铅锡膏提前30分钟从</w:t>
            </w:r>
            <w:r>
              <w:rPr>
                <w:rFonts w:hint="eastAsia" w:cs="Times New Roman"/>
                <w:color w:val="auto"/>
                <w:sz w:val="24"/>
                <w:szCs w:val="24"/>
                <w:highlight w:val="none"/>
                <w:lang w:val="en-US" w:eastAsia="zh-CN"/>
              </w:rPr>
              <w:t>冰箱</w:t>
            </w:r>
            <w:r>
              <w:rPr>
                <w:rFonts w:hint="eastAsia" w:ascii="Times New Roman" w:hAnsi="Times New Roman" w:eastAsia="宋体" w:cs="Times New Roman"/>
                <w:color w:val="auto"/>
                <w:sz w:val="24"/>
                <w:szCs w:val="24"/>
                <w:highlight w:val="none"/>
                <w:lang w:eastAsia="zh-CN"/>
              </w:rPr>
              <w:t>取出，在</w:t>
            </w:r>
            <w:r>
              <w:rPr>
                <w:rFonts w:hint="eastAsia" w:cs="Times New Roman"/>
                <w:color w:val="auto"/>
                <w:sz w:val="24"/>
                <w:szCs w:val="24"/>
                <w:highlight w:val="none"/>
                <w:lang w:val="en-US" w:eastAsia="zh-CN"/>
              </w:rPr>
              <w:t>上</w:t>
            </w:r>
            <w:r>
              <w:rPr>
                <w:rFonts w:hint="eastAsia" w:ascii="Times New Roman" w:hAnsi="Times New Roman" w:eastAsia="宋体" w:cs="Times New Roman"/>
                <w:color w:val="auto"/>
                <w:sz w:val="24"/>
                <w:szCs w:val="24"/>
                <w:highlight w:val="none"/>
                <w:lang w:eastAsia="zh-CN"/>
              </w:rPr>
              <w:t>板机放100片内PC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板，钢网网孔与PC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板相应插位对正，</w:t>
            </w:r>
            <w:r>
              <w:rPr>
                <w:rFonts w:hint="eastAsia" w:cs="Times New Roman"/>
                <w:color w:val="auto"/>
                <w:sz w:val="24"/>
                <w:szCs w:val="24"/>
                <w:highlight w:val="none"/>
                <w:lang w:val="en-US" w:eastAsia="zh-CN"/>
              </w:rPr>
              <w:t>人工</w:t>
            </w:r>
            <w:r>
              <w:rPr>
                <w:rFonts w:hint="eastAsia" w:ascii="Times New Roman" w:hAnsi="Times New Roman" w:eastAsia="宋体" w:cs="Times New Roman"/>
                <w:color w:val="auto"/>
                <w:sz w:val="24"/>
                <w:szCs w:val="24"/>
                <w:highlight w:val="none"/>
                <w:lang w:eastAsia="zh-CN"/>
              </w:rPr>
              <w:t>将锡膏均匀上到印刷区域钢网上，打开印刷主机，印刷PC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板核对准后开始</w:t>
            </w:r>
            <w:r>
              <w:rPr>
                <w:rFonts w:hint="eastAsia" w:cs="Times New Roman"/>
                <w:color w:val="auto"/>
                <w:sz w:val="24"/>
                <w:szCs w:val="24"/>
                <w:highlight w:val="none"/>
                <w:lang w:val="en-US" w:eastAsia="zh-CN"/>
              </w:rPr>
              <w:t>印刷，印刷后的</w:t>
            </w:r>
            <w:r>
              <w:rPr>
                <w:rFonts w:hint="eastAsia" w:ascii="Times New Roman" w:hAnsi="Times New Roman" w:eastAsia="宋体" w:cs="Times New Roman"/>
                <w:color w:val="auto"/>
                <w:sz w:val="24"/>
                <w:szCs w:val="24"/>
                <w:highlight w:val="none"/>
                <w:lang w:eastAsia="zh-CN"/>
              </w:rPr>
              <w:t>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w:t>
            </w:r>
            <w:r>
              <w:rPr>
                <w:rFonts w:hint="eastAsia" w:cs="Times New Roman"/>
                <w:color w:val="auto"/>
                <w:sz w:val="24"/>
                <w:szCs w:val="24"/>
                <w:highlight w:val="none"/>
                <w:lang w:val="en-US" w:eastAsia="zh-CN"/>
              </w:rPr>
              <w:t>通过SPI（锡膏检测设备）进行印刷检测</w:t>
            </w:r>
            <w:r>
              <w:rPr>
                <w:rFonts w:hint="eastAsia" w:cs="Times New Roman"/>
                <w:color w:val="auto"/>
                <w:sz w:val="24"/>
                <w:szCs w:val="24"/>
                <w:highlight w:val="none"/>
                <w:lang w:eastAsia="zh-CN"/>
              </w:rPr>
              <w:t>。此工序产生的污染物主要为印刷废气（非甲烷总烃）、废锡膏罐、设备噪声。</w:t>
            </w:r>
            <w:r>
              <w:rPr>
                <w:rFonts w:hint="eastAsia" w:ascii="Times New Roman" w:hAnsi="Times New Roman" w:eastAsia="宋体" w:cs="Times New Roman"/>
                <w:color w:val="auto"/>
                <w:sz w:val="24"/>
                <w:szCs w:val="24"/>
                <w:highlight w:val="none"/>
                <w:lang w:val="en-US" w:eastAsia="zh-CN"/>
              </w:rPr>
              <w:t>自动印刷机里的钢网每4-6小时进行一次擦拭，由印刷机内配套的擦拭装置完成，擦拭装置抓取无尘纸浸取少量酒精后将钢网表面沾染的锡膏擦拭去除，无尘纸及酒精定期补充</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此工序</w:t>
            </w:r>
            <w:r>
              <w:rPr>
                <w:rFonts w:hint="eastAsia" w:ascii="Times New Roman" w:hAnsi="Times New Roman" w:eastAsia="宋体" w:cs="Times New Roman"/>
                <w:color w:val="auto"/>
                <w:sz w:val="24"/>
                <w:szCs w:val="24"/>
                <w:highlight w:val="none"/>
                <w:lang w:eastAsia="zh-CN"/>
              </w:rPr>
              <w:t>产生的</w:t>
            </w:r>
            <w:r>
              <w:rPr>
                <w:rFonts w:hint="eastAsia" w:ascii="Times New Roman" w:hAnsi="Times New Roman" w:eastAsia="宋体" w:cs="Times New Roman"/>
                <w:color w:val="auto"/>
                <w:sz w:val="24"/>
                <w:szCs w:val="24"/>
                <w:highlight w:val="none"/>
                <w:lang w:val="en-US" w:eastAsia="zh-CN"/>
              </w:rPr>
              <w:t>污染物主要为酒精挥发产生的废气</w:t>
            </w:r>
            <w:r>
              <w:rPr>
                <w:rFonts w:hint="eastAsia" w:cs="Times New Roman"/>
                <w:color w:val="auto"/>
                <w:sz w:val="24"/>
                <w:szCs w:val="24"/>
                <w:highlight w:val="none"/>
                <w:lang w:val="en-US" w:eastAsia="zh-CN"/>
              </w:rPr>
              <w:t>（非甲烷总烃）</w:t>
            </w:r>
            <w:r>
              <w:rPr>
                <w:rFonts w:hint="eastAsia" w:ascii="Times New Roman" w:hAnsi="Times New Roman" w:eastAsia="宋体" w:cs="Times New Roman"/>
                <w:color w:val="auto"/>
                <w:sz w:val="24"/>
                <w:szCs w:val="24"/>
                <w:highlight w:val="none"/>
                <w:lang w:val="en-US" w:eastAsia="zh-CN"/>
              </w:rPr>
              <w:t>、擦拭废纸</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锡膏搅拌机</w:t>
            </w:r>
            <w:r>
              <w:rPr>
                <w:rFonts w:hint="eastAsia" w:cs="Times New Roman"/>
                <w:color w:val="auto"/>
                <w:sz w:val="24"/>
                <w:szCs w:val="24"/>
                <w:highlight w:val="none"/>
                <w:lang w:val="en-US" w:eastAsia="zh-CN"/>
              </w:rPr>
              <w:t>需使用酒精清洗，产生清洗废气，搅拌过程产生搅拌废气</w:t>
            </w:r>
            <w:r>
              <w:rPr>
                <w:rFonts w:hint="eastAsia" w:ascii="Times New Roman" w:hAnsi="Times New Roman" w:eastAsia="宋体" w:cs="Times New Roman"/>
                <w:color w:val="auto"/>
                <w:sz w:val="24"/>
                <w:szCs w:val="24"/>
                <w:highlight w:val="none"/>
                <w:lang w:eastAsia="zh-CN"/>
              </w:rPr>
              <w:t>；</w:t>
            </w:r>
          </w:p>
          <w:p w14:paraId="53892C66">
            <w:pPr>
              <w:pStyle w:val="19"/>
              <w:adjustRightInd w:val="0"/>
              <w:snapToGrid w:val="0"/>
              <w:spacing w:after="0"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3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③</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元件贴片：</w:t>
            </w:r>
            <w:r>
              <w:rPr>
                <w:rFonts w:hint="default" w:ascii="Times New Roman" w:hAnsi="Times New Roman" w:eastAsia="宋体" w:cs="Times New Roman"/>
                <w:color w:val="auto"/>
                <w:sz w:val="24"/>
                <w:szCs w:val="24"/>
                <w:highlight w:val="none"/>
                <w:lang w:val="en-US" w:eastAsia="zh-CN"/>
              </w:rPr>
              <w:t>接驳台传送PBC板至贴片机</w:t>
            </w:r>
            <w:r>
              <w:rPr>
                <w:rFonts w:hint="eastAsia" w:cs="Times New Roman"/>
                <w:color w:val="auto"/>
                <w:sz w:val="24"/>
                <w:szCs w:val="24"/>
                <w:highlight w:val="none"/>
                <w:lang w:val="en-US" w:eastAsia="zh-CN"/>
              </w:rPr>
              <w:t>及插件机上</w:t>
            </w:r>
            <w:r>
              <w:rPr>
                <w:rFonts w:hint="default" w:ascii="Times New Roman" w:hAnsi="Times New Roman" w:eastAsia="宋体" w:cs="Times New Roman"/>
                <w:color w:val="auto"/>
                <w:sz w:val="24"/>
                <w:szCs w:val="24"/>
                <w:highlight w:val="none"/>
                <w:lang w:val="en-US" w:eastAsia="zh-CN"/>
              </w:rPr>
              <w:t>贴装</w:t>
            </w:r>
            <w:r>
              <w:rPr>
                <w:rFonts w:hint="eastAsia" w:cs="Times New Roman"/>
                <w:color w:val="auto"/>
                <w:sz w:val="24"/>
                <w:szCs w:val="24"/>
                <w:highlight w:val="none"/>
                <w:lang w:val="en-US" w:eastAsia="zh-CN"/>
              </w:rPr>
              <w:t>IC、</w:t>
            </w:r>
            <w:r>
              <w:rPr>
                <w:rFonts w:hint="eastAsia" w:ascii="Times New Roman" w:hAnsi="Times New Roman" w:eastAsia="宋体" w:cs="Times New Roman"/>
                <w:color w:val="auto"/>
                <w:sz w:val="24"/>
                <w:szCs w:val="24"/>
                <w:highlight w:val="none"/>
                <w:lang w:val="en-US" w:eastAsia="zh-CN"/>
              </w:rPr>
              <w:t>LED灯、电容、电阻等物料，</w:t>
            </w:r>
            <w:r>
              <w:rPr>
                <w:rFonts w:hint="default" w:ascii="Times New Roman" w:hAnsi="Times New Roman" w:eastAsia="宋体" w:cs="Times New Roman"/>
                <w:color w:val="auto"/>
                <w:sz w:val="24"/>
                <w:szCs w:val="24"/>
                <w:highlight w:val="none"/>
                <w:lang w:val="en-US" w:eastAsia="zh-CN"/>
              </w:rPr>
              <w:t>手贴件人员轻取产品</w:t>
            </w:r>
            <w:r>
              <w:rPr>
                <w:rFonts w:hint="eastAsia"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检查有无贴装不良，</w:t>
            </w:r>
            <w:r>
              <w:rPr>
                <w:rFonts w:hint="eastAsia" w:cs="Times New Roman"/>
                <w:color w:val="auto"/>
                <w:sz w:val="24"/>
                <w:szCs w:val="24"/>
                <w:highlight w:val="none"/>
                <w:lang w:val="en-US" w:eastAsia="zh-CN"/>
              </w:rPr>
              <w:t>并在</w:t>
            </w:r>
            <w:r>
              <w:rPr>
                <w:rFonts w:hint="default" w:ascii="Times New Roman" w:hAnsi="Times New Roman" w:eastAsia="宋体" w:cs="Times New Roman"/>
                <w:color w:val="auto"/>
                <w:sz w:val="24"/>
                <w:szCs w:val="24"/>
                <w:highlight w:val="none"/>
                <w:lang w:val="en-US" w:eastAsia="zh-CN"/>
              </w:rPr>
              <w:t>相应位置上贴装电源座</w:t>
            </w:r>
            <w:r>
              <w:rPr>
                <w:rFonts w:hint="eastAsia" w:ascii="Times New Roman" w:hAnsi="Times New Roman" w:eastAsia="宋体" w:cs="Times New Roman"/>
                <w:color w:val="auto"/>
                <w:sz w:val="24"/>
                <w:szCs w:val="24"/>
                <w:highlight w:val="none"/>
                <w:lang w:val="en-US" w:eastAsia="zh-CN"/>
              </w:rPr>
              <w:t>、</w:t>
            </w:r>
            <w:r>
              <w:rPr>
                <w:rFonts w:hint="eastAsia" w:eastAsia="宋体" w:cs="Times New Roman"/>
                <w:color w:val="auto"/>
                <w:sz w:val="24"/>
                <w:szCs w:val="24"/>
                <w:highlight w:val="none"/>
                <w:lang w:val="en-US" w:eastAsia="zh-CN"/>
              </w:rPr>
              <w:t>电源线、</w:t>
            </w:r>
            <w:r>
              <w:rPr>
                <w:rFonts w:hint="eastAsia" w:ascii="Times New Roman" w:hAnsi="Times New Roman" w:eastAsia="宋体" w:cs="Times New Roman"/>
                <w:color w:val="auto"/>
                <w:sz w:val="24"/>
                <w:szCs w:val="24"/>
                <w:highlight w:val="none"/>
                <w:lang w:val="en-US" w:eastAsia="zh-CN"/>
              </w:rPr>
              <w:t>排针</w:t>
            </w:r>
            <w:r>
              <w:rPr>
                <w:rFonts w:hint="eastAsia" w:eastAsia="宋体" w:cs="Times New Roman"/>
                <w:color w:val="auto"/>
                <w:sz w:val="24"/>
                <w:szCs w:val="24"/>
                <w:highlight w:val="none"/>
                <w:lang w:val="en-US" w:eastAsia="zh-CN"/>
              </w:rPr>
              <w:t>、排线等物料</w:t>
            </w:r>
            <w:r>
              <w:rPr>
                <w:rFonts w:hint="default" w:ascii="Times New Roman" w:hAnsi="Times New Roman" w:eastAsia="宋体" w:cs="Times New Roman"/>
                <w:color w:val="auto"/>
                <w:sz w:val="24"/>
                <w:szCs w:val="24"/>
                <w:highlight w:val="none"/>
                <w:lang w:val="en-US" w:eastAsia="zh-CN"/>
              </w:rPr>
              <w:t>，</w:t>
            </w:r>
            <w:r>
              <w:rPr>
                <w:rFonts w:hint="eastAsia" w:eastAsia="宋体" w:cs="Times New Roman"/>
                <w:color w:val="auto"/>
                <w:sz w:val="24"/>
                <w:szCs w:val="24"/>
                <w:highlight w:val="none"/>
                <w:lang w:val="en-US" w:eastAsia="zh-CN"/>
              </w:rPr>
              <w:t>而后</w:t>
            </w:r>
            <w:r>
              <w:rPr>
                <w:rFonts w:hint="default" w:ascii="Times New Roman" w:hAnsi="Times New Roman" w:eastAsia="宋体" w:cs="Times New Roman"/>
                <w:color w:val="auto"/>
                <w:sz w:val="24"/>
                <w:szCs w:val="24"/>
                <w:highlight w:val="none"/>
                <w:lang w:val="en-US" w:eastAsia="zh-CN"/>
              </w:rPr>
              <w:t>持平放入</w:t>
            </w:r>
            <w:r>
              <w:rPr>
                <w:rFonts w:hint="eastAsia" w:cs="Times New Roman"/>
                <w:color w:val="auto"/>
                <w:sz w:val="24"/>
                <w:szCs w:val="24"/>
                <w:highlight w:val="none"/>
                <w:lang w:val="en-US" w:eastAsia="zh-CN"/>
              </w:rPr>
              <w:t>流水线，进入</w:t>
            </w:r>
            <w:r>
              <w:rPr>
                <w:rFonts w:hint="default" w:ascii="Times New Roman" w:hAnsi="Times New Roman" w:eastAsia="宋体" w:cs="Times New Roman"/>
                <w:color w:val="auto"/>
                <w:sz w:val="24"/>
                <w:szCs w:val="24"/>
                <w:highlight w:val="none"/>
                <w:lang w:val="en-US" w:eastAsia="zh-CN"/>
              </w:rPr>
              <w:t>回流焊炉</w:t>
            </w:r>
            <w:r>
              <w:rPr>
                <w:rFonts w:hint="eastAsia" w:ascii="Times New Roman" w:hAnsi="Times New Roman" w:eastAsia="宋体" w:cs="Times New Roman"/>
                <w:color w:val="auto"/>
                <w:sz w:val="24"/>
                <w:szCs w:val="24"/>
                <w:highlight w:val="none"/>
                <w:lang w:val="en-US" w:eastAsia="zh-CN"/>
              </w:rPr>
              <w:t>。此工序产生的污染物主要为设备噪声；</w:t>
            </w:r>
          </w:p>
          <w:p w14:paraId="4911BC97">
            <w:pPr>
              <w:pStyle w:val="19"/>
              <w:adjustRightInd w:val="0"/>
              <w:snapToGrid w:val="0"/>
              <w:spacing w:after="0"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4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④</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芯片面回流焊、检验：</w:t>
            </w:r>
            <w:r>
              <w:rPr>
                <w:rFonts w:hint="eastAsia" w:ascii="Times New Roman" w:hAnsi="Times New Roman" w:eastAsia="宋体" w:cs="Times New Roman"/>
                <w:color w:val="auto"/>
                <w:sz w:val="24"/>
                <w:szCs w:val="24"/>
                <w:highlight w:val="none"/>
                <w:lang w:eastAsia="zh-CN"/>
              </w:rPr>
              <w:t>根据PCB</w:t>
            </w:r>
            <w:r>
              <w:rPr>
                <w:rFonts w:hint="eastAsia" w:cs="Times New Roman"/>
                <w:color w:val="auto"/>
                <w:sz w:val="24"/>
                <w:szCs w:val="24"/>
                <w:highlight w:val="none"/>
                <w:lang w:val="en-US" w:eastAsia="zh-CN"/>
              </w:rPr>
              <w:t>板</w:t>
            </w:r>
            <w:r>
              <w:rPr>
                <w:rFonts w:hint="eastAsia" w:ascii="Times New Roman" w:hAnsi="Times New Roman" w:eastAsia="宋体" w:cs="Times New Roman"/>
                <w:color w:val="auto"/>
                <w:sz w:val="24"/>
                <w:szCs w:val="24"/>
                <w:highlight w:val="none"/>
                <w:lang w:eastAsia="zh-CN"/>
              </w:rPr>
              <w:t>宽度调整回焊炉轨道大小，轨道可调边/轨道固定边与载具或板相距约1mm，由相关人员进行炉温测试，经品质人员确认后方可过炉，将检查的PCB</w:t>
            </w:r>
            <w:r>
              <w:rPr>
                <w:rFonts w:hint="eastAsia" w:cs="Times New Roman"/>
                <w:color w:val="auto"/>
                <w:sz w:val="24"/>
                <w:szCs w:val="24"/>
                <w:highlight w:val="none"/>
                <w:lang w:val="en-US" w:eastAsia="zh-CN"/>
              </w:rPr>
              <w:t>板</w:t>
            </w:r>
            <w:r>
              <w:rPr>
                <w:rFonts w:hint="eastAsia" w:ascii="Times New Roman" w:hAnsi="Times New Roman" w:eastAsia="宋体" w:cs="Times New Roman"/>
                <w:color w:val="auto"/>
                <w:sz w:val="24"/>
                <w:szCs w:val="24"/>
                <w:highlight w:val="none"/>
                <w:lang w:eastAsia="zh-CN"/>
              </w:rPr>
              <w:t>水平放置在传送带上。将贴好元器件的PCB</w:t>
            </w:r>
            <w:r>
              <w:rPr>
                <w:rFonts w:hint="eastAsia" w:cs="Times New Roman"/>
                <w:color w:val="auto"/>
                <w:sz w:val="24"/>
                <w:szCs w:val="24"/>
                <w:highlight w:val="none"/>
                <w:lang w:val="en-US" w:eastAsia="zh-CN"/>
              </w:rPr>
              <w:t>板</w:t>
            </w:r>
            <w:r>
              <w:rPr>
                <w:rFonts w:hint="eastAsia" w:ascii="Times New Roman" w:hAnsi="Times New Roman" w:eastAsia="宋体" w:cs="Times New Roman"/>
                <w:color w:val="auto"/>
                <w:sz w:val="24"/>
                <w:szCs w:val="24"/>
                <w:highlight w:val="none"/>
                <w:lang w:eastAsia="zh-CN"/>
              </w:rPr>
              <w:t>放进</w:t>
            </w:r>
            <w:r>
              <w:rPr>
                <w:rFonts w:hint="eastAsia" w:cs="Times New Roman"/>
                <w:color w:val="auto"/>
                <w:sz w:val="24"/>
                <w:szCs w:val="24"/>
                <w:highlight w:val="none"/>
                <w:lang w:val="en-US" w:eastAsia="zh-CN"/>
              </w:rPr>
              <w:t>密闭</w:t>
            </w:r>
            <w:r>
              <w:rPr>
                <w:rFonts w:hint="eastAsia" w:ascii="Times New Roman" w:hAnsi="Times New Roman" w:eastAsia="宋体" w:cs="Times New Roman"/>
                <w:color w:val="auto"/>
                <w:sz w:val="24"/>
                <w:szCs w:val="24"/>
                <w:highlight w:val="none"/>
                <w:lang w:eastAsia="zh-CN"/>
              </w:rPr>
              <w:t>回流焊机</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焊接温度为200~300</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。经过回流焊后，焊后检板</w:t>
            </w:r>
            <w:r>
              <w:rPr>
                <w:rFonts w:hint="eastAsia" w:cs="Times New Roman"/>
                <w:color w:val="auto"/>
                <w:sz w:val="24"/>
                <w:szCs w:val="24"/>
                <w:highlight w:val="none"/>
                <w:lang w:val="en-US" w:eastAsia="zh-CN"/>
              </w:rPr>
              <w:t>通过AOI（自动光学检测设备）检测</w:t>
            </w:r>
            <w:r>
              <w:rPr>
                <w:rFonts w:hint="eastAsia" w:ascii="Times New Roman" w:hAnsi="Times New Roman" w:eastAsia="宋体" w:cs="Times New Roman"/>
                <w:color w:val="auto"/>
                <w:sz w:val="24"/>
                <w:szCs w:val="24"/>
                <w:highlight w:val="none"/>
                <w:lang w:eastAsia="zh-CN"/>
              </w:rPr>
              <w:t>贴件是否移位、缺件、虚焊、连焊、元器件变形、贴错、贴反等不良情形，发现同一位置有</w:t>
            </w:r>
            <w:r>
              <w:rPr>
                <w:rFonts w:hint="eastAsia" w:cs="Times New Roman"/>
                <w:color w:val="auto"/>
                <w:sz w:val="24"/>
                <w:szCs w:val="24"/>
                <w:highlight w:val="none"/>
                <w:lang w:eastAsia="zh-CN"/>
              </w:rPr>
              <w:t>不合格</w:t>
            </w:r>
            <w:r>
              <w:rPr>
                <w:rFonts w:hint="eastAsia" w:ascii="Times New Roman" w:hAnsi="Times New Roman" w:eastAsia="宋体" w:cs="Times New Roman"/>
                <w:color w:val="auto"/>
                <w:sz w:val="24"/>
                <w:szCs w:val="24"/>
                <w:highlight w:val="none"/>
                <w:lang w:eastAsia="zh-CN"/>
              </w:rPr>
              <w:t>品时，及时停机调机</w:t>
            </w:r>
            <w:r>
              <w:rPr>
                <w:rFonts w:hint="eastAsia" w:cs="Times New Roman"/>
                <w:color w:val="auto"/>
                <w:sz w:val="24"/>
                <w:szCs w:val="24"/>
                <w:highlight w:val="none"/>
                <w:lang w:eastAsia="zh-CN"/>
              </w:rPr>
              <w:t>。此工序产生的污染物主要为焊接废气（</w:t>
            </w:r>
            <w:r>
              <w:rPr>
                <w:rFonts w:hint="eastAsia" w:cs="Times New Roman"/>
                <w:color w:val="auto"/>
                <w:sz w:val="24"/>
                <w:szCs w:val="24"/>
                <w:highlight w:val="none"/>
                <w:lang w:val="en-US" w:eastAsia="zh-CN"/>
              </w:rPr>
              <w:t>非甲烷总烃、颗粒物、</w:t>
            </w:r>
            <w:r>
              <w:rPr>
                <w:rFonts w:hint="eastAsia" w:cs="Times New Roman"/>
                <w:color w:val="auto"/>
                <w:sz w:val="24"/>
                <w:szCs w:val="24"/>
                <w:highlight w:val="none"/>
                <w:lang w:eastAsia="zh-CN"/>
              </w:rPr>
              <w:t>锡及其化合物）、设备噪声</w:t>
            </w:r>
            <w:r>
              <w:rPr>
                <w:rFonts w:hint="eastAsia" w:ascii="Times New Roman" w:hAnsi="Times New Roman" w:eastAsia="宋体" w:cs="Times New Roman"/>
                <w:color w:val="auto"/>
                <w:sz w:val="24"/>
                <w:szCs w:val="24"/>
                <w:highlight w:val="none"/>
                <w:lang w:eastAsia="zh-CN"/>
              </w:rPr>
              <w:t>；</w:t>
            </w:r>
          </w:p>
          <w:p w14:paraId="69EC5020">
            <w:pPr>
              <w:pStyle w:val="19"/>
              <w:adjustRightInd w:val="0"/>
              <w:snapToGrid w:val="0"/>
              <w:spacing w:after="0"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5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⑤</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手工焊接：</w:t>
            </w:r>
            <w:r>
              <w:rPr>
                <w:rFonts w:hint="eastAsia" w:ascii="Times New Roman" w:hAnsi="Times New Roman" w:eastAsia="宋体" w:cs="Times New Roman"/>
                <w:color w:val="auto"/>
                <w:sz w:val="24"/>
                <w:szCs w:val="24"/>
                <w:highlight w:val="none"/>
                <w:lang w:val="en-US" w:eastAsia="zh-CN"/>
              </w:rPr>
              <w:t>回流焊过程中产生的不合格品，由人工使用</w:t>
            </w:r>
            <w:r>
              <w:rPr>
                <w:rFonts w:hint="eastAsia" w:cs="Times New Roman"/>
                <w:color w:val="auto"/>
                <w:sz w:val="24"/>
                <w:szCs w:val="24"/>
                <w:highlight w:val="none"/>
                <w:lang w:eastAsia="zh-CN"/>
              </w:rPr>
              <w:t>无铅锡丝</w:t>
            </w:r>
            <w:r>
              <w:rPr>
                <w:rFonts w:hint="eastAsia" w:ascii="Times New Roman" w:hAnsi="Times New Roman" w:eastAsia="宋体" w:cs="Times New Roman"/>
                <w:color w:val="auto"/>
                <w:sz w:val="24"/>
                <w:szCs w:val="24"/>
                <w:highlight w:val="none"/>
                <w:lang w:val="en-US" w:eastAsia="zh-CN"/>
              </w:rPr>
              <w:t>进行手工焊接，</w:t>
            </w:r>
            <w:r>
              <w:rPr>
                <w:rFonts w:hint="eastAsia" w:ascii="Times New Roman" w:hAnsi="Times New Roman" w:eastAsia="宋体" w:cs="Times New Roman"/>
                <w:color w:val="auto"/>
                <w:sz w:val="24"/>
                <w:szCs w:val="24"/>
                <w:highlight w:val="none"/>
                <w:lang w:eastAsia="zh-CN"/>
              </w:rPr>
              <w:t>将</w:t>
            </w:r>
            <w:r>
              <w:rPr>
                <w:rFonts w:hint="eastAsia" w:cs="Times New Roman"/>
                <w:color w:val="auto"/>
                <w:sz w:val="24"/>
                <w:szCs w:val="24"/>
                <w:highlight w:val="none"/>
                <w:lang w:eastAsia="zh-CN"/>
              </w:rPr>
              <w:t>锡丝</w:t>
            </w:r>
            <w:r>
              <w:rPr>
                <w:rFonts w:hint="eastAsia" w:ascii="Times New Roman" w:hAnsi="Times New Roman" w:eastAsia="宋体" w:cs="Times New Roman"/>
                <w:color w:val="auto"/>
                <w:sz w:val="24"/>
                <w:szCs w:val="24"/>
                <w:highlight w:val="none"/>
                <w:lang w:eastAsia="zh-CN"/>
              </w:rPr>
              <w:t>焊接到电路板上。此工序产生的污染物主要为焊接废气</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颗粒物、</w:t>
            </w:r>
            <w:r>
              <w:rPr>
                <w:rFonts w:hint="eastAsia" w:cs="Times New Roman"/>
                <w:color w:val="auto"/>
                <w:sz w:val="24"/>
                <w:szCs w:val="24"/>
                <w:highlight w:val="none"/>
                <w:lang w:eastAsia="zh-CN"/>
              </w:rPr>
              <w:t>锡及其化合物）</w:t>
            </w:r>
            <w:r>
              <w:rPr>
                <w:rFonts w:hint="eastAsia" w:ascii="Times New Roman" w:hAnsi="Times New Roman" w:eastAsia="宋体" w:cs="Times New Roman"/>
                <w:color w:val="auto"/>
                <w:sz w:val="24"/>
                <w:szCs w:val="24"/>
                <w:highlight w:val="none"/>
                <w:lang w:eastAsia="zh-CN"/>
              </w:rPr>
              <w:t>、设备噪声；</w:t>
            </w:r>
          </w:p>
          <w:p w14:paraId="3D694ADA">
            <w:pPr>
              <w:pStyle w:val="19"/>
              <w:adjustRightInd w:val="0"/>
              <w:snapToGrid w:val="0"/>
              <w:spacing w:after="0" w:line="360" w:lineRule="auto"/>
              <w:ind w:firstLine="480" w:firstLineChars="200"/>
              <w:jc w:val="left"/>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6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⑥</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灯珠面回流焊</w:t>
            </w:r>
            <w:r>
              <w:rPr>
                <w:rFonts w:hint="eastAsia" w:cs="Times New Roman"/>
                <w:color w:val="auto"/>
                <w:sz w:val="24"/>
                <w:szCs w:val="24"/>
                <w:highlight w:val="none"/>
                <w:lang w:val="en-US" w:eastAsia="zh-CN"/>
              </w:rPr>
              <w:t>、检验</w:t>
            </w:r>
            <w:r>
              <w:rPr>
                <w:rFonts w:hint="eastAsia"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灯珠面放进</w:t>
            </w:r>
            <w:r>
              <w:rPr>
                <w:rFonts w:hint="eastAsia" w:cs="Times New Roman"/>
                <w:color w:val="auto"/>
                <w:sz w:val="24"/>
                <w:szCs w:val="24"/>
                <w:highlight w:val="none"/>
                <w:lang w:val="en-US" w:eastAsia="zh-CN"/>
              </w:rPr>
              <w:t>密闭</w:t>
            </w:r>
            <w:r>
              <w:rPr>
                <w:rFonts w:hint="default" w:ascii="Times New Roman" w:hAnsi="Times New Roman" w:eastAsia="宋体" w:cs="Times New Roman"/>
                <w:color w:val="auto"/>
                <w:sz w:val="24"/>
                <w:szCs w:val="24"/>
                <w:highlight w:val="none"/>
              </w:rPr>
              <w:t>回流焊机</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焊接温度为200~300</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。经过回流焊后，焊后检板</w:t>
            </w:r>
            <w:r>
              <w:rPr>
                <w:rFonts w:hint="eastAsia" w:cs="Times New Roman"/>
                <w:color w:val="auto"/>
                <w:sz w:val="24"/>
                <w:szCs w:val="24"/>
                <w:highlight w:val="none"/>
                <w:lang w:val="en-US" w:eastAsia="zh-CN"/>
              </w:rPr>
              <w:t>通过AOI（自动光学检测设备）检测LED灯</w:t>
            </w:r>
            <w:r>
              <w:rPr>
                <w:rFonts w:hint="default" w:ascii="Times New Roman" w:hAnsi="Times New Roman" w:eastAsia="宋体" w:cs="Times New Roman"/>
                <w:color w:val="auto"/>
                <w:sz w:val="24"/>
                <w:szCs w:val="24"/>
                <w:highlight w:val="none"/>
              </w:rPr>
              <w:t>是否移位、贴错、贴反等不良情形，发现同一位置有</w:t>
            </w:r>
            <w:r>
              <w:rPr>
                <w:rFonts w:hint="eastAsia" w:cs="Times New Roman"/>
                <w:color w:val="auto"/>
                <w:sz w:val="24"/>
                <w:szCs w:val="24"/>
                <w:highlight w:val="none"/>
                <w:lang w:eastAsia="zh-CN"/>
              </w:rPr>
              <w:t>不合格</w:t>
            </w:r>
            <w:r>
              <w:rPr>
                <w:rFonts w:hint="default" w:ascii="Times New Roman" w:hAnsi="Times New Roman" w:eastAsia="宋体" w:cs="Times New Roman"/>
                <w:color w:val="auto"/>
                <w:sz w:val="24"/>
                <w:szCs w:val="24"/>
                <w:highlight w:val="none"/>
              </w:rPr>
              <w:t>品时，及时停机调机</w:t>
            </w:r>
            <w:r>
              <w:rPr>
                <w:rFonts w:hint="eastAsia" w:cs="Times New Roman"/>
                <w:color w:val="auto"/>
                <w:sz w:val="24"/>
                <w:szCs w:val="24"/>
                <w:highlight w:val="none"/>
                <w:lang w:eastAsia="zh-CN"/>
              </w:rPr>
              <w:t>。此工序产生的污染物主要为焊接废气（</w:t>
            </w:r>
            <w:r>
              <w:rPr>
                <w:rFonts w:hint="eastAsia" w:cs="Times New Roman"/>
                <w:color w:val="auto"/>
                <w:sz w:val="24"/>
                <w:szCs w:val="24"/>
                <w:highlight w:val="none"/>
                <w:lang w:val="en-US" w:eastAsia="zh-CN"/>
              </w:rPr>
              <w:t>非甲烷总烃、颗粒物、</w:t>
            </w:r>
            <w:r>
              <w:rPr>
                <w:rFonts w:hint="eastAsia" w:cs="Times New Roman"/>
                <w:color w:val="auto"/>
                <w:sz w:val="24"/>
                <w:szCs w:val="24"/>
                <w:highlight w:val="none"/>
                <w:lang w:eastAsia="zh-CN"/>
              </w:rPr>
              <w:t>锡及其化合物）、设备噪声；</w:t>
            </w:r>
          </w:p>
          <w:p w14:paraId="271E4CC1">
            <w:pPr>
              <w:pStyle w:val="19"/>
              <w:adjustRightInd w:val="0"/>
              <w:snapToGrid w:val="0"/>
              <w:spacing w:after="0"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⑦</w:t>
            </w:r>
            <w:r>
              <w:rPr>
                <w:rFonts w:hint="eastAsia" w:cs="Times New Roman"/>
                <w:color w:val="auto"/>
                <w:sz w:val="24"/>
                <w:szCs w:val="24"/>
                <w:highlight w:val="none"/>
                <w:lang w:val="en-US" w:eastAsia="zh-CN"/>
              </w:rPr>
              <w:t>打螺丝套装：</w:t>
            </w:r>
            <w:r>
              <w:rPr>
                <w:rFonts w:hint="eastAsia" w:ascii="Times New Roman" w:hAnsi="Times New Roman" w:eastAsia="宋体" w:cs="Times New Roman"/>
                <w:color w:val="auto"/>
                <w:sz w:val="24"/>
                <w:szCs w:val="24"/>
                <w:highlight w:val="none"/>
                <w:lang w:eastAsia="zh-CN"/>
              </w:rPr>
              <w:t>装套件人员把套件底座箭头向上摆放桌面上，产品箭头与底座箭头一致，对准底座立柱放入底座，面罩反光源向上，立柱向下对准底座立柱孔位</w:t>
            </w:r>
            <w:r>
              <w:rPr>
                <w:rFonts w:hint="eastAsia" w:cs="Times New Roman"/>
                <w:color w:val="auto"/>
                <w:sz w:val="24"/>
                <w:szCs w:val="24"/>
                <w:highlight w:val="none"/>
                <w:lang w:val="en-US" w:eastAsia="zh-CN"/>
              </w:rPr>
              <w:t>在压面罩机上</w:t>
            </w:r>
            <w:r>
              <w:rPr>
                <w:rFonts w:hint="eastAsia" w:ascii="Times New Roman" w:hAnsi="Times New Roman" w:eastAsia="宋体" w:cs="Times New Roman"/>
                <w:color w:val="auto"/>
                <w:sz w:val="24"/>
                <w:szCs w:val="24"/>
                <w:highlight w:val="none"/>
                <w:lang w:eastAsia="zh-CN"/>
              </w:rPr>
              <w:t>装配面罩，将螺丝对准圆孔，</w:t>
            </w:r>
            <w:r>
              <w:rPr>
                <w:rFonts w:hint="eastAsia" w:cs="Times New Roman"/>
                <w:color w:val="auto"/>
                <w:sz w:val="24"/>
                <w:szCs w:val="24"/>
                <w:highlight w:val="none"/>
                <w:lang w:val="en-US" w:eastAsia="zh-CN"/>
              </w:rPr>
              <w:t>打螺丝机</w:t>
            </w:r>
            <w:r>
              <w:rPr>
                <w:rFonts w:hint="eastAsia" w:ascii="Times New Roman" w:hAnsi="Times New Roman" w:eastAsia="宋体" w:cs="Times New Roman"/>
                <w:color w:val="auto"/>
                <w:sz w:val="24"/>
                <w:szCs w:val="24"/>
                <w:highlight w:val="none"/>
                <w:lang w:eastAsia="zh-CN"/>
              </w:rPr>
              <w:t>完成打螺丝操作，将套件放</w:t>
            </w:r>
            <w:r>
              <w:rPr>
                <w:rFonts w:hint="eastAsia" w:cs="Times New Roman"/>
                <w:color w:val="auto"/>
                <w:sz w:val="24"/>
                <w:szCs w:val="24"/>
                <w:highlight w:val="none"/>
                <w:lang w:val="en-US" w:eastAsia="zh-CN"/>
              </w:rPr>
              <w:t>回</w:t>
            </w:r>
            <w:r>
              <w:rPr>
                <w:rFonts w:hint="eastAsia" w:ascii="Times New Roman" w:hAnsi="Times New Roman" w:eastAsia="宋体" w:cs="Times New Roman"/>
                <w:color w:val="auto"/>
                <w:sz w:val="24"/>
                <w:szCs w:val="24"/>
                <w:highlight w:val="none"/>
                <w:lang w:eastAsia="zh-CN"/>
              </w:rPr>
              <w:t>流水线。此工序产生的污染物主要为设备噪声；</w:t>
            </w:r>
          </w:p>
          <w:p w14:paraId="19FE4D7F">
            <w:pPr>
              <w:pStyle w:val="19"/>
              <w:adjustRightInd w:val="0"/>
              <w:snapToGrid w:val="0"/>
              <w:spacing w:after="0"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⑧</w:t>
            </w:r>
            <w:r>
              <w:rPr>
                <w:rFonts w:hint="eastAsia" w:cs="Times New Roman"/>
                <w:color w:val="auto"/>
                <w:sz w:val="24"/>
                <w:szCs w:val="24"/>
                <w:highlight w:val="none"/>
                <w:lang w:val="en-US" w:eastAsia="zh-CN"/>
              </w:rPr>
              <w:t>老化：</w:t>
            </w:r>
            <w:r>
              <w:rPr>
                <w:rFonts w:hint="eastAsia" w:ascii="Times New Roman" w:hAnsi="Times New Roman" w:eastAsia="宋体" w:cs="Times New Roman"/>
                <w:color w:val="auto"/>
                <w:sz w:val="24"/>
                <w:szCs w:val="24"/>
                <w:highlight w:val="none"/>
                <w:lang w:eastAsia="zh-CN"/>
              </w:rPr>
              <w:t>将PC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上到老化架上，每个槽位横竖排列对应，排线依次串联板子输入、输出端口，电源插上电源座，用排线连接系统驱动卡输出端口与第一片板输入端口，打开自动老化线电源开关，测试连接是否全部通路，调整至全部通路为止，老化扫描半小时，全亮一小时，按要求切换模式，观察挑选不合格品，收起测试完成的合格品。此工序产生的污染物主要为不合格品；</w:t>
            </w:r>
          </w:p>
          <w:p w14:paraId="3EF77909">
            <w:pPr>
              <w:pStyle w:val="19"/>
              <w:adjustRightInd w:val="0"/>
              <w:snapToGrid w:val="0"/>
              <w:spacing w:after="0"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⑨</w:t>
            </w:r>
            <w:r>
              <w:rPr>
                <w:rFonts w:hint="eastAsia" w:cs="Times New Roman"/>
                <w:color w:val="auto"/>
                <w:sz w:val="24"/>
                <w:szCs w:val="24"/>
                <w:highlight w:val="none"/>
                <w:lang w:val="en-US" w:eastAsia="zh-CN"/>
              </w:rPr>
              <w:t>调试：</w:t>
            </w:r>
            <w:r>
              <w:rPr>
                <w:rFonts w:hint="eastAsia" w:ascii="Times New Roman" w:hAnsi="Times New Roman" w:eastAsia="宋体" w:cs="Times New Roman"/>
                <w:color w:val="auto"/>
                <w:sz w:val="24"/>
                <w:szCs w:val="24"/>
                <w:highlight w:val="none"/>
                <w:lang w:eastAsia="zh-CN"/>
              </w:rPr>
              <w:t>套件背面及印刷箭头朝上摆放台面，排线插头分别插入板子左右两侧排插座，电源夹子夹住电源座输入和输出的两个引脚上，分别切换全亮、扫描、灰度的接收卡模式，每个模式检查3秒查验是否有短路、死灯现象，检出板子</w:t>
            </w:r>
            <w:r>
              <w:rPr>
                <w:rFonts w:hint="eastAsia" w:cs="Times New Roman"/>
                <w:color w:val="auto"/>
                <w:sz w:val="24"/>
                <w:szCs w:val="24"/>
                <w:highlight w:val="none"/>
                <w:lang w:eastAsia="zh-CN"/>
              </w:rPr>
              <w:t>合格品</w:t>
            </w:r>
            <w:r>
              <w:rPr>
                <w:rFonts w:hint="eastAsia" w:ascii="Times New Roman" w:hAnsi="Times New Roman" w:eastAsia="宋体" w:cs="Times New Roman"/>
                <w:color w:val="auto"/>
                <w:sz w:val="24"/>
                <w:szCs w:val="24"/>
                <w:highlight w:val="none"/>
                <w:lang w:eastAsia="zh-CN"/>
              </w:rPr>
              <w:t>与</w:t>
            </w:r>
            <w:r>
              <w:rPr>
                <w:rFonts w:hint="eastAsia" w:cs="Times New Roman"/>
                <w:color w:val="auto"/>
                <w:sz w:val="24"/>
                <w:szCs w:val="24"/>
                <w:highlight w:val="none"/>
                <w:lang w:eastAsia="zh-CN"/>
              </w:rPr>
              <w:t>不合格品</w:t>
            </w:r>
            <w:r>
              <w:rPr>
                <w:rFonts w:hint="eastAsia" w:ascii="Times New Roman" w:hAnsi="Times New Roman" w:eastAsia="宋体" w:cs="Times New Roman"/>
                <w:color w:val="auto"/>
                <w:sz w:val="24"/>
                <w:szCs w:val="24"/>
                <w:highlight w:val="none"/>
                <w:lang w:eastAsia="zh-CN"/>
              </w:rPr>
              <w:t>分开摆放，不合格品贴不合格标待返修。此工序产生的污染物主要为不合格品；</w:t>
            </w:r>
          </w:p>
          <w:p w14:paraId="4F36CCD2">
            <w:pPr>
              <w:pStyle w:val="19"/>
              <w:adjustRightInd w:val="0"/>
              <w:snapToGrid w:val="0"/>
              <w:spacing w:after="0" w:line="360" w:lineRule="auto"/>
              <w:ind w:firstLine="480" w:firstLineChars="200"/>
              <w:jc w:val="left"/>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⑩</w:t>
            </w:r>
            <w:r>
              <w:rPr>
                <w:rFonts w:hint="eastAsia" w:cs="Times New Roman"/>
                <w:color w:val="auto"/>
                <w:sz w:val="24"/>
                <w:szCs w:val="24"/>
                <w:highlight w:val="none"/>
                <w:lang w:val="en-US" w:eastAsia="zh-CN"/>
              </w:rPr>
              <w:t>包装入库：</w:t>
            </w:r>
            <w:r>
              <w:rPr>
                <w:rFonts w:hint="default" w:ascii="Times New Roman" w:hAnsi="Times New Roman" w:eastAsia="宋体" w:cs="Times New Roman"/>
                <w:color w:val="auto"/>
                <w:sz w:val="24"/>
                <w:szCs w:val="24"/>
                <w:highlight w:val="none"/>
                <w:lang w:eastAsia="zh-CN"/>
              </w:rPr>
              <w:t>按订单纸箱勾选产品类型，封纸箱三竖一横底部放纸隔板，透明胶纸两边长出封贴面各10cm，纸箱底部、中间放隔板，成品面对面且反光源相反装箱，70pcs/箱、35pcs/层，共两层，纸箱开口封三竖一横，放到打包机上打包装带，打</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井</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字形，印刷字体向上，每层数量相同且规则的放到胶栈板上，整齐码好，贴上产品标示卡检验入库</w:t>
            </w:r>
            <w:r>
              <w:rPr>
                <w:rFonts w:hint="eastAsia" w:ascii="Times New Roman" w:hAnsi="Times New Roman" w:eastAsia="宋体" w:cs="Times New Roman"/>
                <w:color w:val="auto"/>
                <w:sz w:val="24"/>
                <w:szCs w:val="24"/>
                <w:highlight w:val="none"/>
                <w:lang w:eastAsia="zh-CN"/>
              </w:rPr>
              <w:t>。此工序产生的污染物主要为废包装</w:t>
            </w:r>
            <w:r>
              <w:rPr>
                <w:rFonts w:hint="eastAsia" w:cs="Times New Roman"/>
                <w:color w:val="auto"/>
                <w:sz w:val="24"/>
                <w:szCs w:val="24"/>
                <w:highlight w:val="none"/>
                <w:lang w:val="en-US" w:eastAsia="zh-CN"/>
              </w:rPr>
              <w:t>箱</w:t>
            </w:r>
            <w:r>
              <w:rPr>
                <w:rFonts w:hint="eastAsia" w:ascii="Times New Roman" w:hAnsi="Times New Roman" w:eastAsia="宋体" w:cs="Times New Roman"/>
                <w:color w:val="auto"/>
                <w:sz w:val="24"/>
                <w:szCs w:val="24"/>
                <w:highlight w:val="none"/>
                <w:lang w:eastAsia="zh-CN"/>
              </w:rPr>
              <w:t>。</w:t>
            </w:r>
          </w:p>
          <w:p w14:paraId="3E47167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eastAsia="zh-CN"/>
              </w:rPr>
              <w:t>表</w:t>
            </w:r>
            <w:r>
              <w:rPr>
                <w:rFonts w:hint="eastAsia" w:ascii="Times New Roman" w:hAnsi="Times New Roman" w:eastAsia="宋体" w:cs="Times New Roman"/>
                <w:b/>
                <w:color w:val="auto"/>
                <w:kern w:val="2"/>
                <w:sz w:val="24"/>
                <w:szCs w:val="24"/>
                <w:highlight w:val="none"/>
                <w:lang w:val="en-US" w:eastAsia="zh-CN"/>
              </w:rPr>
              <w:t>2-6  建设项目主要污染物</w:t>
            </w:r>
          </w:p>
          <w:tbl>
            <w:tblPr>
              <w:tblStyle w:val="23"/>
              <w:tblW w:w="8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3"/>
              <w:gridCol w:w="3936"/>
              <w:gridCol w:w="3049"/>
            </w:tblGrid>
            <w:tr w14:paraId="388D2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noWrap w:val="0"/>
                  <w:vAlign w:val="center"/>
                </w:tcPr>
                <w:p w14:paraId="6CE0CC67">
                  <w:pPr>
                    <w:spacing w:line="240" w:lineRule="auto"/>
                    <w:jc w:val="center"/>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污染因子</w:t>
                  </w:r>
                </w:p>
              </w:tc>
              <w:tc>
                <w:tcPr>
                  <w:tcW w:w="3936" w:type="dxa"/>
                  <w:noWrap w:val="0"/>
                  <w:vAlign w:val="center"/>
                </w:tcPr>
                <w:p w14:paraId="4A51E1E6">
                  <w:pPr>
                    <w:spacing w:line="240" w:lineRule="auto"/>
                    <w:jc w:val="center"/>
                    <w:rPr>
                      <w:rFonts w:hint="eastAsia"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主要污染物</w:t>
                  </w:r>
                </w:p>
              </w:tc>
              <w:tc>
                <w:tcPr>
                  <w:tcW w:w="3049" w:type="dxa"/>
                  <w:noWrap w:val="0"/>
                  <w:vAlign w:val="center"/>
                </w:tcPr>
                <w:p w14:paraId="34F21365">
                  <w:pPr>
                    <w:spacing w:line="240" w:lineRule="auto"/>
                    <w:jc w:val="center"/>
                    <w:rPr>
                      <w:rFonts w:hint="default" w:ascii="Times New Roman" w:hAnsi="Times New Roman" w:eastAsia="宋体" w:cs="Times New Roman"/>
                      <w:b/>
                      <w:bCs/>
                      <w:color w:val="000000"/>
                      <w:sz w:val="21"/>
                      <w:szCs w:val="21"/>
                      <w:highlight w:val="none"/>
                      <w:lang w:val="en-US" w:eastAsia="zh-CN"/>
                    </w:rPr>
                  </w:pPr>
                  <w:r>
                    <w:rPr>
                      <w:rFonts w:hint="eastAsia" w:cs="Times New Roman"/>
                      <w:b/>
                      <w:bCs/>
                      <w:color w:val="000000"/>
                      <w:sz w:val="21"/>
                      <w:szCs w:val="21"/>
                      <w:highlight w:val="none"/>
                      <w:lang w:val="en-US" w:eastAsia="zh-CN"/>
                    </w:rPr>
                    <w:t>产生工序</w:t>
                  </w:r>
                </w:p>
              </w:tc>
            </w:tr>
            <w:tr w14:paraId="70A0F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noWrap w:val="0"/>
                  <w:vAlign w:val="center"/>
                </w:tcPr>
                <w:p w14:paraId="13F091F7">
                  <w:pPr>
                    <w:spacing w:line="240" w:lineRule="auto"/>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废水</w:t>
                  </w:r>
                </w:p>
              </w:tc>
              <w:tc>
                <w:tcPr>
                  <w:tcW w:w="3936" w:type="dxa"/>
                  <w:noWrap w:val="0"/>
                  <w:vAlign w:val="center"/>
                </w:tcPr>
                <w:p w14:paraId="26F0B387">
                  <w:pPr>
                    <w:spacing w:line="240" w:lineRule="auto"/>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pH、</w:t>
                  </w:r>
                  <w:r>
                    <w:rPr>
                      <w:rFonts w:hint="eastAsia" w:ascii="Times New Roman" w:hAnsi="Times New Roman" w:eastAsia="宋体" w:cs="Times New Roman"/>
                      <w:color w:val="000000"/>
                      <w:sz w:val="21"/>
                      <w:szCs w:val="21"/>
                      <w:highlight w:val="none"/>
                      <w:lang w:val="en-US" w:eastAsia="zh-CN"/>
                    </w:rPr>
                    <w:t>COD、BOD</w:t>
                  </w:r>
                  <w:r>
                    <w:rPr>
                      <w:rFonts w:hint="eastAsia" w:ascii="Times New Roman" w:hAnsi="Times New Roman" w:eastAsia="宋体" w:cs="Times New Roman"/>
                      <w:color w:val="000000"/>
                      <w:sz w:val="21"/>
                      <w:szCs w:val="21"/>
                      <w:highlight w:val="none"/>
                      <w:vertAlign w:val="subscript"/>
                      <w:lang w:val="en-US" w:eastAsia="zh-CN"/>
                    </w:rPr>
                    <w:t>5</w:t>
                  </w:r>
                  <w:r>
                    <w:rPr>
                      <w:rFonts w:hint="eastAsia" w:ascii="Times New Roman" w:hAnsi="Times New Roman" w:eastAsia="宋体" w:cs="Times New Roman"/>
                      <w:color w:val="000000"/>
                      <w:sz w:val="21"/>
                      <w:szCs w:val="21"/>
                      <w:highlight w:val="none"/>
                      <w:lang w:val="en-US" w:eastAsia="zh-CN"/>
                    </w:rPr>
                    <w:t>、NH</w:t>
                  </w:r>
                  <w:r>
                    <w:rPr>
                      <w:rFonts w:hint="eastAsia" w:ascii="Times New Roman" w:hAnsi="Times New Roman" w:eastAsia="宋体" w:cs="Times New Roman"/>
                      <w:color w:val="000000"/>
                      <w:sz w:val="21"/>
                      <w:szCs w:val="21"/>
                      <w:highlight w:val="none"/>
                      <w:vertAlign w:val="subscript"/>
                      <w:lang w:val="en-US" w:eastAsia="zh-CN"/>
                    </w:rPr>
                    <w:t>3</w:t>
                  </w:r>
                  <w:r>
                    <w:rPr>
                      <w:rFonts w:hint="eastAsia" w:ascii="Times New Roman" w:hAnsi="Times New Roman" w:eastAsia="宋体" w:cs="Times New Roman"/>
                      <w:color w:val="000000"/>
                      <w:sz w:val="21"/>
                      <w:szCs w:val="21"/>
                      <w:highlight w:val="none"/>
                      <w:lang w:val="en-US" w:eastAsia="zh-CN"/>
                    </w:rPr>
                    <w:t>-N、SS、TP</w:t>
                  </w:r>
                </w:p>
              </w:tc>
              <w:tc>
                <w:tcPr>
                  <w:tcW w:w="3049" w:type="dxa"/>
                  <w:noWrap w:val="0"/>
                  <w:vAlign w:val="center"/>
                </w:tcPr>
                <w:p w14:paraId="61939A61">
                  <w:pPr>
                    <w:spacing w:line="240" w:lineRule="auto"/>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职工日常生活</w:t>
                  </w:r>
                </w:p>
              </w:tc>
            </w:tr>
            <w:tr w14:paraId="7DD1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restart"/>
                  <w:noWrap w:val="0"/>
                  <w:vAlign w:val="center"/>
                </w:tcPr>
                <w:p w14:paraId="3B13F479">
                  <w:pPr>
                    <w:spacing w:line="240" w:lineRule="auto"/>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废气</w:t>
                  </w:r>
                </w:p>
              </w:tc>
              <w:tc>
                <w:tcPr>
                  <w:tcW w:w="3936" w:type="dxa"/>
                  <w:noWrap w:val="0"/>
                  <w:vAlign w:val="center"/>
                </w:tcPr>
                <w:p w14:paraId="0F7607C7">
                  <w:pPr>
                    <w:spacing w:line="240" w:lineRule="auto"/>
                    <w:jc w:val="center"/>
                    <w:rPr>
                      <w:rFonts w:hint="eastAsia"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非甲烷总烃</w:t>
                  </w:r>
                </w:p>
              </w:tc>
              <w:tc>
                <w:tcPr>
                  <w:tcW w:w="3049" w:type="dxa"/>
                  <w:noWrap w:val="0"/>
                  <w:vAlign w:val="center"/>
                </w:tcPr>
                <w:p w14:paraId="49C0C972">
                  <w:pPr>
                    <w:spacing w:line="240" w:lineRule="auto"/>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锡膏印刷、</w:t>
                  </w:r>
                  <w:r>
                    <w:rPr>
                      <w:rFonts w:hint="eastAsia" w:cs="Times New Roman"/>
                      <w:color w:val="auto"/>
                      <w:sz w:val="21"/>
                      <w:szCs w:val="21"/>
                      <w:highlight w:val="none"/>
                      <w:lang w:val="en-US" w:eastAsia="zh-CN"/>
                    </w:rPr>
                    <w:t>钢网擦拭</w:t>
                  </w:r>
                  <w:r>
                    <w:rPr>
                      <w:rFonts w:hint="eastAsia" w:cs="Times New Roman"/>
                      <w:color w:val="000000"/>
                      <w:sz w:val="21"/>
                      <w:szCs w:val="21"/>
                      <w:highlight w:val="none"/>
                      <w:lang w:val="en-US" w:eastAsia="zh-CN"/>
                    </w:rPr>
                    <w:t>、回流焊</w:t>
                  </w:r>
                </w:p>
              </w:tc>
            </w:tr>
            <w:tr w14:paraId="727F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continue"/>
                  <w:noWrap w:val="0"/>
                  <w:vAlign w:val="center"/>
                </w:tcPr>
                <w:p w14:paraId="4D14A69E">
                  <w:pPr>
                    <w:spacing w:line="240" w:lineRule="auto"/>
                    <w:jc w:val="center"/>
                    <w:rPr>
                      <w:rFonts w:hint="eastAsia" w:ascii="Times New Roman" w:hAnsi="Times New Roman" w:eastAsia="宋体" w:cs="Times New Roman"/>
                      <w:color w:val="000000"/>
                      <w:sz w:val="21"/>
                      <w:szCs w:val="21"/>
                      <w:highlight w:val="none"/>
                      <w:lang w:val="en-US" w:eastAsia="zh-CN"/>
                    </w:rPr>
                  </w:pPr>
                </w:p>
              </w:tc>
              <w:tc>
                <w:tcPr>
                  <w:tcW w:w="3936" w:type="dxa"/>
                  <w:noWrap w:val="0"/>
                  <w:vAlign w:val="center"/>
                </w:tcPr>
                <w:p w14:paraId="67370B09">
                  <w:pPr>
                    <w:spacing w:line="240" w:lineRule="auto"/>
                    <w:jc w:val="center"/>
                    <w:rPr>
                      <w:rFonts w:hint="eastAsia"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颗粒物、锡及其化合物</w:t>
                  </w:r>
                </w:p>
              </w:tc>
              <w:tc>
                <w:tcPr>
                  <w:tcW w:w="3049" w:type="dxa"/>
                  <w:noWrap w:val="0"/>
                  <w:vAlign w:val="center"/>
                </w:tcPr>
                <w:p w14:paraId="2454D775">
                  <w:pPr>
                    <w:spacing w:line="240" w:lineRule="auto"/>
                    <w:jc w:val="center"/>
                    <w:rPr>
                      <w:rFonts w:hint="eastAsia"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回流焊、手工焊</w:t>
                  </w:r>
                </w:p>
              </w:tc>
            </w:tr>
            <w:tr w14:paraId="61F5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noWrap w:val="0"/>
                  <w:vAlign w:val="center"/>
                </w:tcPr>
                <w:p w14:paraId="3EF10869">
                  <w:pPr>
                    <w:spacing w:line="240" w:lineRule="auto"/>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噪声</w:t>
                  </w:r>
                </w:p>
              </w:tc>
              <w:tc>
                <w:tcPr>
                  <w:tcW w:w="3936" w:type="dxa"/>
                  <w:noWrap w:val="0"/>
                  <w:vAlign w:val="center"/>
                </w:tcPr>
                <w:p w14:paraId="2CA28B72">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设备运行噪声</w:t>
                  </w:r>
                </w:p>
              </w:tc>
              <w:tc>
                <w:tcPr>
                  <w:tcW w:w="3049" w:type="dxa"/>
                  <w:noWrap w:val="0"/>
                  <w:vAlign w:val="center"/>
                </w:tcPr>
                <w:p w14:paraId="4A6F823E">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生产过程</w:t>
                  </w:r>
                </w:p>
              </w:tc>
            </w:tr>
            <w:tr w14:paraId="767B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restart"/>
                  <w:noWrap w:val="0"/>
                  <w:vAlign w:val="center"/>
                </w:tcPr>
                <w:p w14:paraId="3A1B5159">
                  <w:pPr>
                    <w:spacing w:line="240" w:lineRule="auto"/>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固废</w:t>
                  </w:r>
                </w:p>
              </w:tc>
              <w:tc>
                <w:tcPr>
                  <w:tcW w:w="3936" w:type="dxa"/>
                  <w:noWrap w:val="0"/>
                  <w:vAlign w:val="center"/>
                </w:tcPr>
                <w:p w14:paraId="41084072">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生活垃圾</w:t>
                  </w:r>
                </w:p>
              </w:tc>
              <w:tc>
                <w:tcPr>
                  <w:tcW w:w="3049" w:type="dxa"/>
                  <w:noWrap w:val="0"/>
                  <w:vAlign w:val="center"/>
                </w:tcPr>
                <w:p w14:paraId="1E3AF745">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职工日常生活</w:t>
                  </w:r>
                </w:p>
              </w:tc>
            </w:tr>
            <w:tr w14:paraId="63E0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continue"/>
                  <w:noWrap w:val="0"/>
                  <w:vAlign w:val="center"/>
                </w:tcPr>
                <w:p w14:paraId="21713926">
                  <w:pPr>
                    <w:spacing w:line="240" w:lineRule="auto"/>
                    <w:jc w:val="center"/>
                    <w:rPr>
                      <w:rFonts w:hint="eastAsia" w:ascii="Times New Roman" w:hAnsi="Times New Roman" w:eastAsia="宋体" w:cs="Times New Roman"/>
                      <w:color w:val="000000"/>
                      <w:sz w:val="21"/>
                      <w:szCs w:val="21"/>
                      <w:highlight w:val="none"/>
                      <w:lang w:val="en-US" w:eastAsia="zh-CN"/>
                    </w:rPr>
                  </w:pPr>
                </w:p>
              </w:tc>
              <w:tc>
                <w:tcPr>
                  <w:tcW w:w="3936" w:type="dxa"/>
                  <w:noWrap w:val="0"/>
                  <w:vAlign w:val="center"/>
                </w:tcPr>
                <w:p w14:paraId="5D2DE1A4">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废包装</w:t>
                  </w:r>
                  <w:r>
                    <w:rPr>
                      <w:rFonts w:hint="eastAsia" w:cs="Times New Roman"/>
                      <w:color w:val="auto"/>
                      <w:sz w:val="21"/>
                      <w:szCs w:val="21"/>
                      <w:highlight w:val="none"/>
                      <w:lang w:val="en-US" w:eastAsia="zh-CN"/>
                    </w:rPr>
                    <w:t>罐</w:t>
                  </w:r>
                  <w:r>
                    <w:rPr>
                      <w:rFonts w:hint="eastAsia" w:ascii="Times New Roman" w:hAnsi="Times New Roman" w:eastAsia="宋体" w:cs="Times New Roman"/>
                      <w:color w:val="auto"/>
                      <w:sz w:val="21"/>
                      <w:szCs w:val="21"/>
                      <w:highlight w:val="none"/>
                      <w:lang w:val="en-US" w:eastAsia="zh-CN"/>
                    </w:rPr>
                    <w:t>、包装箱</w:t>
                  </w:r>
                </w:p>
              </w:tc>
              <w:tc>
                <w:tcPr>
                  <w:tcW w:w="3049" w:type="dxa"/>
                  <w:noWrap w:val="0"/>
                  <w:vAlign w:val="center"/>
                </w:tcPr>
                <w:p w14:paraId="1CB35287">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原辅料使用</w:t>
                  </w:r>
                </w:p>
              </w:tc>
            </w:tr>
            <w:tr w14:paraId="5BC30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continue"/>
                  <w:noWrap w:val="0"/>
                  <w:vAlign w:val="center"/>
                </w:tcPr>
                <w:p w14:paraId="5E6B7478">
                  <w:pPr>
                    <w:spacing w:line="240" w:lineRule="auto"/>
                    <w:jc w:val="center"/>
                    <w:rPr>
                      <w:rFonts w:hint="eastAsia" w:ascii="Times New Roman" w:hAnsi="Times New Roman" w:eastAsia="宋体" w:cs="Times New Roman"/>
                      <w:color w:val="000000"/>
                      <w:sz w:val="21"/>
                      <w:szCs w:val="21"/>
                      <w:highlight w:val="none"/>
                      <w:lang w:val="en-US" w:eastAsia="zh-CN"/>
                    </w:rPr>
                  </w:pPr>
                </w:p>
              </w:tc>
              <w:tc>
                <w:tcPr>
                  <w:tcW w:w="3936" w:type="dxa"/>
                  <w:noWrap w:val="0"/>
                  <w:vAlign w:val="center"/>
                </w:tcPr>
                <w:p w14:paraId="2644D69C">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擦拭废纸</w:t>
                  </w:r>
                </w:p>
              </w:tc>
              <w:tc>
                <w:tcPr>
                  <w:tcW w:w="3049" w:type="dxa"/>
                  <w:noWrap w:val="0"/>
                  <w:vAlign w:val="center"/>
                </w:tcPr>
                <w:p w14:paraId="3132DA7D">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钢网擦拭</w:t>
                  </w:r>
                </w:p>
              </w:tc>
            </w:tr>
            <w:tr w14:paraId="0C844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continue"/>
                  <w:noWrap w:val="0"/>
                  <w:vAlign w:val="center"/>
                </w:tcPr>
                <w:p w14:paraId="5DD8D25A">
                  <w:pPr>
                    <w:spacing w:line="240" w:lineRule="auto"/>
                    <w:jc w:val="center"/>
                    <w:rPr>
                      <w:rFonts w:hint="eastAsia" w:ascii="Times New Roman" w:hAnsi="Times New Roman" w:eastAsia="宋体" w:cs="Times New Roman"/>
                      <w:color w:val="000000"/>
                      <w:sz w:val="21"/>
                      <w:szCs w:val="21"/>
                      <w:highlight w:val="none"/>
                      <w:lang w:val="en-US" w:eastAsia="zh-CN"/>
                    </w:rPr>
                  </w:pPr>
                </w:p>
              </w:tc>
              <w:tc>
                <w:tcPr>
                  <w:tcW w:w="3936" w:type="dxa"/>
                  <w:noWrap w:val="0"/>
                  <w:vAlign w:val="center"/>
                </w:tcPr>
                <w:p w14:paraId="09E3C305">
                  <w:pPr>
                    <w:spacing w:line="240" w:lineRule="auto"/>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锡焊焊渣</w:t>
                  </w:r>
                </w:p>
              </w:tc>
              <w:tc>
                <w:tcPr>
                  <w:tcW w:w="3049" w:type="dxa"/>
                  <w:noWrap w:val="0"/>
                  <w:vAlign w:val="center"/>
                </w:tcPr>
                <w:p w14:paraId="0CA82653">
                  <w:pPr>
                    <w:spacing w:line="240" w:lineRule="auto"/>
                    <w:jc w:val="center"/>
                    <w:rPr>
                      <w:rFonts w:hint="eastAsia" w:cs="Times New Roman"/>
                      <w:color w:val="auto"/>
                      <w:sz w:val="21"/>
                      <w:szCs w:val="21"/>
                      <w:highlight w:val="none"/>
                      <w:lang w:val="en-US" w:eastAsia="zh-CN"/>
                    </w:rPr>
                  </w:pPr>
                  <w:r>
                    <w:rPr>
                      <w:rFonts w:hint="eastAsia" w:cs="Times New Roman"/>
                      <w:color w:val="000000"/>
                      <w:sz w:val="21"/>
                      <w:szCs w:val="21"/>
                      <w:highlight w:val="none"/>
                      <w:lang w:val="en-US" w:eastAsia="zh-CN"/>
                    </w:rPr>
                    <w:t>回流焊、手工焊</w:t>
                  </w:r>
                </w:p>
              </w:tc>
            </w:tr>
            <w:tr w14:paraId="32AF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continue"/>
                  <w:noWrap w:val="0"/>
                  <w:vAlign w:val="center"/>
                </w:tcPr>
                <w:p w14:paraId="3BC39C44">
                  <w:pPr>
                    <w:spacing w:line="240" w:lineRule="auto"/>
                    <w:jc w:val="center"/>
                    <w:rPr>
                      <w:rFonts w:hint="eastAsia" w:ascii="Times New Roman" w:hAnsi="Times New Roman" w:eastAsia="宋体" w:cs="Times New Roman"/>
                      <w:color w:val="000000"/>
                      <w:sz w:val="21"/>
                      <w:szCs w:val="21"/>
                      <w:highlight w:val="none"/>
                      <w:lang w:val="en-US" w:eastAsia="zh-CN"/>
                    </w:rPr>
                  </w:pPr>
                </w:p>
              </w:tc>
              <w:tc>
                <w:tcPr>
                  <w:tcW w:w="3936" w:type="dxa"/>
                  <w:noWrap w:val="0"/>
                  <w:vAlign w:val="center"/>
                </w:tcPr>
                <w:p w14:paraId="62120C40">
                  <w:pPr>
                    <w:spacing w:line="240" w:lineRule="auto"/>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不合格品</w:t>
                  </w:r>
                </w:p>
              </w:tc>
              <w:tc>
                <w:tcPr>
                  <w:tcW w:w="3049" w:type="dxa"/>
                  <w:noWrap w:val="0"/>
                  <w:vAlign w:val="center"/>
                </w:tcPr>
                <w:p w14:paraId="1387037F">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产品老化及调试</w:t>
                  </w:r>
                </w:p>
              </w:tc>
            </w:tr>
            <w:tr w14:paraId="18393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continue"/>
                  <w:noWrap w:val="0"/>
                  <w:vAlign w:val="center"/>
                </w:tcPr>
                <w:p w14:paraId="3F93A389">
                  <w:pPr>
                    <w:spacing w:line="240" w:lineRule="auto"/>
                    <w:jc w:val="center"/>
                    <w:rPr>
                      <w:rFonts w:hint="eastAsia" w:ascii="Times New Roman" w:hAnsi="Times New Roman" w:eastAsia="宋体" w:cs="Times New Roman"/>
                      <w:color w:val="000000"/>
                      <w:sz w:val="21"/>
                      <w:szCs w:val="21"/>
                      <w:highlight w:val="none"/>
                      <w:lang w:val="en-US" w:eastAsia="zh-CN"/>
                    </w:rPr>
                  </w:pPr>
                </w:p>
              </w:tc>
              <w:tc>
                <w:tcPr>
                  <w:tcW w:w="3936" w:type="dxa"/>
                  <w:noWrap w:val="0"/>
                  <w:vAlign w:val="center"/>
                </w:tcPr>
                <w:p w14:paraId="45951D86">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eastAsia="zh-CN"/>
                    </w:rPr>
                    <w:t>废机油、</w:t>
                  </w:r>
                  <w:r>
                    <w:rPr>
                      <w:rFonts w:hint="eastAsia" w:cs="Times New Roman"/>
                      <w:color w:val="auto"/>
                      <w:sz w:val="21"/>
                      <w:szCs w:val="21"/>
                      <w:highlight w:val="none"/>
                      <w:lang w:val="en-US" w:eastAsia="zh-CN"/>
                    </w:rPr>
                    <w:t>废机油桶</w:t>
                  </w:r>
                </w:p>
              </w:tc>
              <w:tc>
                <w:tcPr>
                  <w:tcW w:w="3049" w:type="dxa"/>
                  <w:noWrap w:val="0"/>
                  <w:vAlign w:val="center"/>
                </w:tcPr>
                <w:p w14:paraId="6E0BBD74">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设备维护</w:t>
                  </w:r>
                </w:p>
              </w:tc>
            </w:tr>
            <w:tr w14:paraId="73E55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3" w:type="dxa"/>
                  <w:vMerge w:val="continue"/>
                  <w:noWrap w:val="0"/>
                  <w:vAlign w:val="center"/>
                </w:tcPr>
                <w:p w14:paraId="54AD17B0">
                  <w:pPr>
                    <w:spacing w:line="240" w:lineRule="auto"/>
                    <w:jc w:val="center"/>
                    <w:rPr>
                      <w:rFonts w:hint="eastAsia" w:ascii="Times New Roman" w:hAnsi="Times New Roman" w:eastAsia="宋体" w:cs="Times New Roman"/>
                      <w:color w:val="000000"/>
                      <w:sz w:val="21"/>
                      <w:szCs w:val="21"/>
                      <w:highlight w:val="none"/>
                      <w:lang w:val="en-US" w:eastAsia="zh-CN"/>
                    </w:rPr>
                  </w:pPr>
                </w:p>
              </w:tc>
              <w:tc>
                <w:tcPr>
                  <w:tcW w:w="3936" w:type="dxa"/>
                  <w:noWrap w:val="0"/>
                  <w:vAlign w:val="center"/>
                </w:tcPr>
                <w:p w14:paraId="48DBFDF3">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废含油抹布</w:t>
                  </w:r>
                </w:p>
              </w:tc>
              <w:tc>
                <w:tcPr>
                  <w:tcW w:w="3049" w:type="dxa"/>
                  <w:noWrap w:val="0"/>
                  <w:vAlign w:val="center"/>
                </w:tcPr>
                <w:p w14:paraId="1A469F58">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设备维护</w:t>
                  </w:r>
                </w:p>
              </w:tc>
            </w:tr>
            <w:tr w14:paraId="4468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continue"/>
                  <w:noWrap w:val="0"/>
                  <w:vAlign w:val="center"/>
                </w:tcPr>
                <w:p w14:paraId="0F058FD9">
                  <w:pPr>
                    <w:spacing w:line="240" w:lineRule="auto"/>
                    <w:jc w:val="center"/>
                    <w:rPr>
                      <w:rFonts w:hint="eastAsia" w:ascii="Times New Roman" w:hAnsi="Times New Roman" w:eastAsia="宋体" w:cs="Times New Roman"/>
                      <w:color w:val="000000"/>
                      <w:sz w:val="21"/>
                      <w:szCs w:val="21"/>
                      <w:highlight w:val="none"/>
                      <w:lang w:val="en-US" w:eastAsia="zh-CN"/>
                    </w:rPr>
                  </w:pPr>
                </w:p>
              </w:tc>
              <w:tc>
                <w:tcPr>
                  <w:tcW w:w="3936" w:type="dxa"/>
                  <w:noWrap w:val="0"/>
                  <w:vAlign w:val="center"/>
                </w:tcPr>
                <w:p w14:paraId="7F423FE8">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eastAsia="zh-CN"/>
                    </w:rPr>
                    <w:t>废活性炭</w:t>
                  </w:r>
                </w:p>
              </w:tc>
              <w:tc>
                <w:tcPr>
                  <w:tcW w:w="3049" w:type="dxa"/>
                  <w:noWrap w:val="0"/>
                  <w:vAlign w:val="center"/>
                </w:tcPr>
                <w:p w14:paraId="59086E0D">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废气处理</w:t>
                  </w:r>
                </w:p>
              </w:tc>
            </w:tr>
            <w:tr w14:paraId="188D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03" w:type="dxa"/>
                  <w:vMerge w:val="continue"/>
                  <w:noWrap w:val="0"/>
                  <w:vAlign w:val="center"/>
                </w:tcPr>
                <w:p w14:paraId="728914BD">
                  <w:pPr>
                    <w:spacing w:line="240" w:lineRule="auto"/>
                    <w:jc w:val="center"/>
                    <w:rPr>
                      <w:rFonts w:hint="eastAsia" w:ascii="Times New Roman" w:hAnsi="Times New Roman" w:eastAsia="宋体" w:cs="Times New Roman"/>
                      <w:color w:val="000000"/>
                      <w:sz w:val="21"/>
                      <w:szCs w:val="21"/>
                      <w:highlight w:val="none"/>
                      <w:lang w:val="en-US" w:eastAsia="zh-CN"/>
                    </w:rPr>
                  </w:pPr>
                </w:p>
              </w:tc>
              <w:tc>
                <w:tcPr>
                  <w:tcW w:w="3936" w:type="dxa"/>
                  <w:noWrap w:val="0"/>
                  <w:vAlign w:val="center"/>
                </w:tcPr>
                <w:p w14:paraId="58E96D41">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废滤料</w:t>
                  </w:r>
                </w:p>
              </w:tc>
              <w:tc>
                <w:tcPr>
                  <w:tcW w:w="3049" w:type="dxa"/>
                  <w:noWrap w:val="0"/>
                  <w:vAlign w:val="center"/>
                </w:tcPr>
                <w:p w14:paraId="22DCE1F1">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废气处理</w:t>
                  </w:r>
                </w:p>
              </w:tc>
            </w:tr>
          </w:tbl>
          <w:p w14:paraId="7B814557">
            <w:pPr>
              <w:pStyle w:val="33"/>
              <w:ind w:firstLine="0" w:firstLineChars="0"/>
              <w:rPr>
                <w:rFonts w:hint="default" w:ascii="Times New Roman" w:hAnsi="Times New Roman" w:cs="Times New Roman"/>
                <w:color w:val="auto"/>
                <w:sz w:val="24"/>
                <w:szCs w:val="24"/>
                <w:highlight w:val="none"/>
              </w:rPr>
            </w:pPr>
          </w:p>
        </w:tc>
      </w:tr>
      <w:tr w14:paraId="78ECCB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888" w:hRule="atLeast"/>
          <w:jc w:val="center"/>
        </w:trPr>
        <w:tc>
          <w:tcPr>
            <w:tcW w:w="424" w:type="dxa"/>
            <w:noWrap w:val="0"/>
            <w:vAlign w:val="center"/>
          </w:tcPr>
          <w:p w14:paraId="6DB5709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bCs/>
                <w:color w:val="auto"/>
                <w:kern w:val="2"/>
                <w:sz w:val="24"/>
                <w:szCs w:val="24"/>
                <w:highlight w:val="none"/>
              </w:rPr>
              <w:t>与项目有关的原有环境污染问题</w:t>
            </w:r>
          </w:p>
        </w:tc>
        <w:tc>
          <w:tcPr>
            <w:tcW w:w="8636" w:type="dxa"/>
            <w:noWrap w:val="0"/>
            <w:vAlign w:val="center"/>
          </w:tcPr>
          <w:p w14:paraId="321C1DBB">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2BB0684E">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7DACA1FE">
            <w:pPr>
              <w:spacing w:line="360" w:lineRule="auto"/>
              <w:ind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本项目为新建项目，租赁空置厂房进行生产，无原有环境污染问题。</w:t>
            </w:r>
          </w:p>
          <w:p w14:paraId="393C948C">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7E6879D2">
            <w:pPr>
              <w:spacing w:line="360" w:lineRule="auto"/>
              <w:ind w:firstLine="480" w:firstLineChars="200"/>
              <w:rPr>
                <w:rFonts w:hint="default" w:ascii="Times New Roman" w:hAnsi="Times New Roman" w:cs="Times New Roman"/>
                <w:bCs/>
                <w:color w:val="auto"/>
                <w:sz w:val="24"/>
                <w:szCs w:val="24"/>
                <w:highlight w:val="none"/>
                <w:lang w:val="en-US" w:eastAsia="zh-CN"/>
              </w:rPr>
            </w:pPr>
          </w:p>
        </w:tc>
      </w:tr>
    </w:tbl>
    <w:p w14:paraId="21D58BEF">
      <w:pPr>
        <w:pStyle w:val="20"/>
        <w:jc w:val="center"/>
        <w:rPr>
          <w:rFonts w:hint="default" w:ascii="Times New Roman" w:hAnsi="Times New Roman" w:eastAsia="黑体" w:cs="Times New Roman"/>
          <w:snapToGrid w:val="0"/>
          <w:color w:val="auto"/>
          <w:sz w:val="36"/>
          <w:szCs w:val="36"/>
          <w:highlight w:val="none"/>
        </w:rPr>
        <w:sectPr>
          <w:pgSz w:w="11906" w:h="16838"/>
          <w:pgMar w:top="1701" w:right="1531" w:bottom="1701" w:left="1531" w:header="851" w:footer="851" w:gutter="0"/>
          <w:cols w:space="720" w:num="1"/>
          <w:docGrid w:linePitch="312" w:charSpace="0"/>
        </w:sectPr>
      </w:pPr>
    </w:p>
    <w:p w14:paraId="45F98FAE">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三、区域环境质量现状、环境保护目标及评价标准</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43"/>
        <w:gridCol w:w="8617"/>
      </w:tblGrid>
      <w:tr w14:paraId="3C9E68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7E06A56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区域</w:t>
            </w:r>
          </w:p>
          <w:p w14:paraId="1CA478D9">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6005E71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质量</w:t>
            </w:r>
          </w:p>
          <w:p w14:paraId="41D18354">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现状</w:t>
            </w:r>
          </w:p>
        </w:tc>
        <w:tc>
          <w:tcPr>
            <w:tcW w:w="8617" w:type="dxa"/>
            <w:noWrap w:val="0"/>
            <w:vAlign w:val="center"/>
          </w:tcPr>
          <w:p w14:paraId="1CE6A31A">
            <w:pPr>
              <w:pStyle w:val="4"/>
              <w:numPr>
                <w:ilvl w:val="0"/>
                <w:numId w:val="0"/>
              </w:numPr>
              <w:tabs>
                <w:tab w:val="clear" w:pos="794"/>
              </w:tabs>
              <w:spacing w:before="0" w:beforeLines="0" w:after="0" w:afterLines="0" w:line="360" w:lineRule="auto"/>
              <w:ind w:firstLine="482"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1、环境空气质量现状</w:t>
            </w:r>
          </w:p>
          <w:p w14:paraId="7435E370">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（1）基本污染物环境质量现状</w:t>
            </w:r>
          </w:p>
          <w:p w14:paraId="55B35978">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常规污染物引用与建设项目距离近的有效数据，包括近3年的规划环境影响评价的监测数据，国家、地方环境空气质量监测网数据或生态环境主管部门公开发布的质量数据等”。</w:t>
            </w:r>
          </w:p>
          <w:p w14:paraId="2BA69C7A">
            <w:pPr>
              <w:widowControl w:val="0"/>
              <w:spacing w:after="0" w:line="360" w:lineRule="auto"/>
              <w:ind w:left="0" w:leftChars="0" w:firstLine="480" w:firstLineChars="20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根据《202</w:t>
            </w:r>
            <w:r>
              <w:rPr>
                <w:rFonts w:hint="eastAsia" w:ascii="Times New Roman" w:hAnsi="Times New Roman" w:eastAsia="宋体" w:cs="Times New Roman"/>
                <w:color w:val="auto"/>
                <w:kern w:val="0"/>
                <w:sz w:val="24"/>
                <w:szCs w:val="24"/>
                <w:highlight w:val="none"/>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池州市</w:t>
            </w:r>
            <w:r>
              <w:rPr>
                <w:rFonts w:hint="default" w:ascii="Times New Roman" w:hAnsi="Times New Roman" w:eastAsia="宋体" w:cs="Times New Roman"/>
                <w:color w:val="auto"/>
                <w:kern w:val="0"/>
                <w:sz w:val="24"/>
                <w:szCs w:val="24"/>
                <w:highlight w:val="none"/>
                <w:lang w:val="en-US" w:eastAsia="zh-CN" w:bidi="ar-SA"/>
              </w:rPr>
              <w:t>生态环境状况公报》相关数据可知，202</w:t>
            </w:r>
            <w:r>
              <w:rPr>
                <w:rFonts w:hint="eastAsia" w:ascii="Times New Roman" w:hAnsi="Times New Roman" w:eastAsia="宋体" w:cs="Times New Roman"/>
                <w:color w:val="auto"/>
                <w:kern w:val="0"/>
                <w:sz w:val="24"/>
                <w:szCs w:val="24"/>
                <w:highlight w:val="none"/>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w:t>
            </w:r>
            <w:r>
              <w:rPr>
                <w:rFonts w:hint="default" w:ascii="Times New Roman" w:hAnsi="Times New Roman" w:eastAsia="宋体" w:cs="Times New Roman"/>
                <w:color w:val="auto"/>
                <w:kern w:val="0"/>
                <w:sz w:val="24"/>
                <w:szCs w:val="24"/>
                <w:highlight w:val="none"/>
                <w:lang w:val="en-US" w:eastAsia="zh-CN" w:bidi="ar-SA"/>
              </w:rPr>
              <w:t>市环境空气中SO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、CO和O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等六项基本污染物全部达标，故项目所在地区域为“达标区”。项目所在区域空气质量现状评价结果见下表。</w:t>
            </w:r>
          </w:p>
          <w:p w14:paraId="12086A61">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 xml:space="preserve">表3-1  </w:t>
            </w:r>
            <w:r>
              <w:rPr>
                <w:rFonts w:hint="default" w:ascii="Times New Roman" w:hAnsi="Times New Roman" w:eastAsia="宋体" w:cs="Times New Roman"/>
                <w:b/>
                <w:color w:val="auto"/>
                <w:kern w:val="2"/>
                <w:sz w:val="24"/>
                <w:szCs w:val="24"/>
                <w:highlight w:val="none"/>
                <w:lang w:val="en-US" w:eastAsia="zh-CN"/>
              </w:rPr>
              <w:t>项目所在区域空气质量现状评价结果一览表</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323"/>
              <w:gridCol w:w="1232"/>
              <w:gridCol w:w="1319"/>
              <w:gridCol w:w="1336"/>
              <w:gridCol w:w="1270"/>
            </w:tblGrid>
            <w:tr w14:paraId="6EEA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541" w:type="pct"/>
                  <w:noWrap w:val="0"/>
                  <w:vAlign w:val="center"/>
                </w:tcPr>
                <w:p w14:paraId="2902CEE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384" w:type="pct"/>
                  <w:noWrap w:val="0"/>
                  <w:vAlign w:val="center"/>
                </w:tcPr>
                <w:p w14:paraId="425FB168">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年评价指标</w:t>
                  </w:r>
                </w:p>
              </w:tc>
              <w:tc>
                <w:tcPr>
                  <w:tcW w:w="734" w:type="pct"/>
                  <w:noWrap w:val="0"/>
                  <w:vAlign w:val="center"/>
                </w:tcPr>
                <w:p w14:paraId="6A7E1ABC">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现状浓度</w:t>
                  </w:r>
                </w:p>
              </w:tc>
              <w:tc>
                <w:tcPr>
                  <w:tcW w:w="786" w:type="pct"/>
                  <w:noWrap w:val="0"/>
                  <w:vAlign w:val="center"/>
                </w:tcPr>
                <w:p w14:paraId="7621226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w:t>
                  </w:r>
                </w:p>
              </w:tc>
              <w:tc>
                <w:tcPr>
                  <w:tcW w:w="796" w:type="pct"/>
                  <w:noWrap w:val="0"/>
                  <w:vAlign w:val="center"/>
                </w:tcPr>
                <w:p w14:paraId="29F3695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757" w:type="pct"/>
                  <w:noWrap w:val="0"/>
                  <w:vAlign w:val="center"/>
                </w:tcPr>
                <w:p w14:paraId="520E5E95">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r>
            <w:tr w14:paraId="76393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1" w:type="pct"/>
                  <w:noWrap w:val="0"/>
                  <w:vAlign w:val="center"/>
                </w:tcPr>
                <w:p w14:paraId="1A6AA51A">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2.5</w:t>
                  </w:r>
                </w:p>
              </w:tc>
              <w:tc>
                <w:tcPr>
                  <w:tcW w:w="1384" w:type="pct"/>
                  <w:noWrap w:val="0"/>
                  <w:vAlign w:val="center"/>
                </w:tcPr>
                <w:p w14:paraId="69FE396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2171B0AD">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32</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5AF591A9">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35</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06FB4D22">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91.43</w:t>
                  </w:r>
                </w:p>
              </w:tc>
              <w:tc>
                <w:tcPr>
                  <w:tcW w:w="757" w:type="pct"/>
                  <w:noWrap w:val="0"/>
                  <w:vAlign w:val="center"/>
                </w:tcPr>
                <w:p w14:paraId="084A2468">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F8C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1" w:type="pct"/>
                  <w:noWrap w:val="0"/>
                  <w:vAlign w:val="center"/>
                </w:tcPr>
                <w:p w14:paraId="3BFA7DF6">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10</w:t>
                  </w:r>
                </w:p>
              </w:tc>
              <w:tc>
                <w:tcPr>
                  <w:tcW w:w="1384" w:type="pct"/>
                  <w:noWrap w:val="0"/>
                  <w:vAlign w:val="center"/>
                </w:tcPr>
                <w:p w14:paraId="7185C809">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6BB6905A">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51</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4CF5337D">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70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0B2FC32C">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72.86</w:t>
                  </w:r>
                </w:p>
              </w:tc>
              <w:tc>
                <w:tcPr>
                  <w:tcW w:w="757" w:type="pct"/>
                  <w:noWrap w:val="0"/>
                  <w:vAlign w:val="center"/>
                </w:tcPr>
                <w:p w14:paraId="34B753D9">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3A0A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1" w:type="pct"/>
                  <w:noWrap w:val="0"/>
                  <w:vAlign w:val="center"/>
                </w:tcPr>
                <w:p w14:paraId="012E5A9D">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SO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384" w:type="pct"/>
                  <w:noWrap w:val="0"/>
                  <w:vAlign w:val="center"/>
                </w:tcPr>
                <w:p w14:paraId="63641720">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3099A8BD">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6</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3BC4BD26">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60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643222B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10.00</w:t>
                  </w:r>
                </w:p>
              </w:tc>
              <w:tc>
                <w:tcPr>
                  <w:tcW w:w="757" w:type="pct"/>
                  <w:noWrap w:val="0"/>
                  <w:vAlign w:val="center"/>
                </w:tcPr>
                <w:p w14:paraId="6D866267">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32B9E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1" w:type="pct"/>
                  <w:noWrap w:val="0"/>
                  <w:vAlign w:val="center"/>
                </w:tcPr>
                <w:p w14:paraId="584C4EE5">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NO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384" w:type="pct"/>
                  <w:noWrap w:val="0"/>
                  <w:vAlign w:val="center"/>
                </w:tcPr>
                <w:p w14:paraId="6E61ED1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2F91DF9F">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7956381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200EED66">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50.00</w:t>
                  </w:r>
                </w:p>
              </w:tc>
              <w:tc>
                <w:tcPr>
                  <w:tcW w:w="757" w:type="pct"/>
                  <w:noWrap w:val="0"/>
                  <w:vAlign w:val="center"/>
                </w:tcPr>
                <w:p w14:paraId="59889580">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B73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1" w:type="pct"/>
                  <w:noWrap w:val="0"/>
                  <w:vAlign w:val="center"/>
                </w:tcPr>
                <w:p w14:paraId="4358D350">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CO</w:t>
                  </w:r>
                </w:p>
              </w:tc>
              <w:tc>
                <w:tcPr>
                  <w:tcW w:w="1384" w:type="pct"/>
                  <w:noWrap w:val="0"/>
                  <w:vAlign w:val="center"/>
                </w:tcPr>
                <w:p w14:paraId="117C3AE0">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第95百分位数24h平均浓度</w:t>
                  </w:r>
                </w:p>
              </w:tc>
              <w:tc>
                <w:tcPr>
                  <w:tcW w:w="734" w:type="pct"/>
                  <w:noWrap w:val="0"/>
                  <w:vAlign w:val="center"/>
                </w:tcPr>
                <w:p w14:paraId="44D68755">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316463D9">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4B81C8DC">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25.00</w:t>
                  </w:r>
                </w:p>
              </w:tc>
              <w:tc>
                <w:tcPr>
                  <w:tcW w:w="757" w:type="pct"/>
                  <w:noWrap w:val="0"/>
                  <w:vAlign w:val="center"/>
                </w:tcPr>
                <w:p w14:paraId="691AAD4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5734B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1" w:type="pct"/>
                  <w:noWrap w:val="0"/>
                  <w:vAlign w:val="center"/>
                </w:tcPr>
                <w:p w14:paraId="0E709C1B">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O</w:t>
                  </w:r>
                  <w:r>
                    <w:rPr>
                      <w:rFonts w:hint="eastAsia" w:ascii="Times New Roman" w:hAnsi="Times New Roman" w:eastAsia="宋体" w:cs="Times New Roman"/>
                      <w:b w:val="0"/>
                      <w:bCs/>
                      <w:color w:val="auto"/>
                      <w:sz w:val="21"/>
                      <w:szCs w:val="21"/>
                      <w:highlight w:val="none"/>
                      <w:vertAlign w:val="subscript"/>
                      <w:lang w:val="en-US" w:eastAsia="zh-CN"/>
                    </w:rPr>
                    <w:t>3</w:t>
                  </w:r>
                </w:p>
              </w:tc>
              <w:tc>
                <w:tcPr>
                  <w:tcW w:w="1384" w:type="pct"/>
                  <w:noWrap w:val="0"/>
                  <w:vAlign w:val="center"/>
                </w:tcPr>
                <w:p w14:paraId="25B7ED27">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第90百分位数8h平均浓度</w:t>
                  </w:r>
                </w:p>
              </w:tc>
              <w:tc>
                <w:tcPr>
                  <w:tcW w:w="734" w:type="pct"/>
                  <w:noWrap w:val="0"/>
                  <w:vAlign w:val="center"/>
                </w:tcPr>
                <w:p w14:paraId="66CEE09F">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156</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591016B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160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2B29D41A">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97.50</w:t>
                  </w:r>
                </w:p>
              </w:tc>
              <w:tc>
                <w:tcPr>
                  <w:tcW w:w="757" w:type="pct"/>
                  <w:noWrap w:val="0"/>
                  <w:vAlign w:val="center"/>
                </w:tcPr>
                <w:p w14:paraId="0EFDA222">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bl>
          <w:p w14:paraId="2DFDF45A">
            <w:pPr>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2</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特征污染物环境质量现状</w:t>
            </w:r>
          </w:p>
          <w:p w14:paraId="7C9FF415">
            <w:pPr>
              <w:keepNext w:val="0"/>
              <w:keepLines w:val="0"/>
              <w:pageBreakBefore w:val="0"/>
              <w:kinsoku/>
              <w:wordWrap/>
              <w:overflowPunct/>
              <w:topLinePunct w:val="0"/>
              <w:bidi w:val="0"/>
              <w:snapToGrid/>
              <w:spacing w:line="360" w:lineRule="auto"/>
              <w:ind w:firstLine="480" w:firstLineChars="200"/>
              <w:jc w:val="both"/>
              <w:textAlignment w:val="auto"/>
              <w:rPr>
                <w:rFonts w:hint="eastAsia"/>
              </w:rPr>
            </w:pPr>
            <w:r>
              <w:rPr>
                <w:rFonts w:hint="default" w:ascii="Times New Roman" w:hAnsi="Times New Roman" w:cs="Times New Roman"/>
                <w:color w:val="auto"/>
                <w:sz w:val="24"/>
                <w:szCs w:val="24"/>
                <w:highlight w:val="none"/>
              </w:rPr>
              <w:t>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本项目废气特征污染物</w:t>
            </w:r>
            <w:r>
              <w:rPr>
                <w:rFonts w:hint="eastAsia" w:ascii="Times New Roman" w:hAnsi="Times New Roman" w:cs="Times New Roman"/>
                <w:color w:val="auto"/>
                <w:sz w:val="24"/>
                <w:szCs w:val="24"/>
                <w:highlight w:val="none"/>
                <w:lang w:val="en-US" w:eastAsia="zh-CN"/>
              </w:rPr>
              <w:t>主要为</w:t>
            </w:r>
            <w:r>
              <w:rPr>
                <w:rFonts w:hint="default" w:ascii="Times New Roman" w:hAnsi="Times New Roman" w:cs="Times New Roman"/>
                <w:color w:val="auto"/>
                <w:sz w:val="24"/>
                <w:szCs w:val="24"/>
                <w:highlight w:val="none"/>
              </w:rPr>
              <w:t>非甲烷总烃</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TSP、</w:t>
            </w:r>
            <w:r>
              <w:rPr>
                <w:rFonts w:hint="eastAsia" w:cs="Times New Roman"/>
                <w:color w:val="auto"/>
                <w:sz w:val="24"/>
                <w:szCs w:val="24"/>
                <w:highlight w:val="none"/>
                <w:lang w:eastAsia="zh-CN"/>
              </w:rPr>
              <w:t>锡及其化合物。其中，</w:t>
            </w:r>
            <w:r>
              <w:rPr>
                <w:rFonts w:hint="eastAsia"/>
                <w:color w:val="auto"/>
                <w:sz w:val="24"/>
              </w:rPr>
              <w:t>国家</w:t>
            </w:r>
            <w:r>
              <w:rPr>
                <w:rFonts w:hint="eastAsia" w:ascii="Times New Roman" w:hAnsi="Times New Roman" w:eastAsia="宋体" w:cs="Times New Roman"/>
                <w:color w:val="auto"/>
                <w:sz w:val="24"/>
                <w:szCs w:val="24"/>
                <w:highlight w:val="none"/>
              </w:rPr>
              <w:t>、地方环境空气质量标准中</w:t>
            </w:r>
            <w:r>
              <w:rPr>
                <w:rFonts w:hint="eastAsia" w:ascii="Times New Roman" w:hAnsi="Times New Roman" w:eastAsia="宋体" w:cs="Times New Roman"/>
                <w:color w:val="auto"/>
                <w:sz w:val="24"/>
                <w:szCs w:val="24"/>
                <w:highlight w:val="none"/>
                <w:lang w:eastAsia="zh-CN"/>
              </w:rPr>
              <w:t>均</w:t>
            </w:r>
            <w:r>
              <w:rPr>
                <w:rFonts w:hint="eastAsia" w:ascii="Times New Roman" w:hAnsi="Times New Roman" w:eastAsia="宋体" w:cs="Times New Roman"/>
                <w:color w:val="auto"/>
                <w:sz w:val="24"/>
                <w:szCs w:val="24"/>
                <w:highlight w:val="none"/>
              </w:rPr>
              <w:t>没有</w:t>
            </w:r>
            <w:r>
              <w:rPr>
                <w:rFonts w:hint="eastAsia" w:ascii="Times New Roman" w:hAnsi="Times New Roman" w:eastAsia="宋体" w:cs="Times New Roman"/>
                <w:color w:val="auto"/>
                <w:sz w:val="24"/>
                <w:szCs w:val="24"/>
                <w:highlight w:val="none"/>
                <w:lang w:eastAsia="zh-CN"/>
              </w:rPr>
              <w:t>锡及其化合物</w:t>
            </w:r>
            <w:r>
              <w:rPr>
                <w:rFonts w:hint="eastAsia" w:ascii="Times New Roman" w:hAnsi="Times New Roman" w:eastAsia="宋体" w:cs="Times New Roman"/>
                <w:color w:val="auto"/>
                <w:sz w:val="24"/>
                <w:szCs w:val="24"/>
                <w:highlight w:val="none"/>
              </w:rPr>
              <w:t>标准限值要求，因此无需监测</w:t>
            </w:r>
            <w:r>
              <w:rPr>
                <w:rFonts w:hint="eastAsia" w:ascii="Times New Roman" w:hAnsi="Times New Roman"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本次评价非甲烷总烃和TSP现状浓度引用《安徽华航电子科技有限公司智能终端研发生产基地项目环境影响报告表》中的现状监测数据（安徽绿健检测技术服务有限公司于2023年8月7日~8月9日进行监测），孵化园公租房</w:t>
            </w:r>
            <w:r>
              <w:rPr>
                <w:rFonts w:hint="eastAsia" w:ascii="Times New Roman" w:hAnsi="Times New Roman" w:eastAsia="宋体" w:cs="Times New Roman"/>
                <w:color w:val="auto"/>
                <w:sz w:val="24"/>
                <w:szCs w:val="24"/>
                <w:highlight w:val="none"/>
                <w:lang w:val="en-US" w:eastAsia="zh-CN"/>
              </w:rPr>
              <w:t>监测点</w:t>
            </w:r>
            <w:r>
              <w:rPr>
                <w:rFonts w:hint="eastAsia" w:cs="Times New Roman"/>
                <w:color w:val="auto"/>
                <w:sz w:val="24"/>
                <w:szCs w:val="24"/>
                <w:highlight w:val="none"/>
                <w:lang w:val="en-US" w:eastAsia="zh-CN"/>
              </w:rPr>
              <w:t>位于</w:t>
            </w:r>
            <w:r>
              <w:rPr>
                <w:rFonts w:hint="eastAsia" w:ascii="Times New Roman" w:hAnsi="Times New Roman" w:eastAsia="宋体" w:cs="Times New Roman"/>
                <w:color w:val="auto"/>
                <w:sz w:val="24"/>
                <w:szCs w:val="24"/>
                <w:highlight w:val="none"/>
              </w:rPr>
              <w:t>本项目区</w:t>
            </w:r>
            <w:r>
              <w:rPr>
                <w:rFonts w:hint="eastAsia" w:ascii="Times New Roman" w:hAnsi="Times New Roman" w:eastAsia="宋体" w:cs="Times New Roman"/>
                <w:color w:val="auto"/>
                <w:sz w:val="24"/>
                <w:szCs w:val="24"/>
                <w:highlight w:val="none"/>
                <w:lang w:val="en-US" w:eastAsia="zh-CN"/>
              </w:rPr>
              <w:t>西</w:t>
            </w:r>
            <w:r>
              <w:rPr>
                <w:rFonts w:hint="eastAsia" w:ascii="Times New Roman" w:hAnsi="Times New Roman" w:eastAsia="宋体" w:cs="Times New Roman"/>
                <w:color w:val="auto"/>
                <w:sz w:val="24"/>
                <w:szCs w:val="24"/>
                <w:highlight w:val="none"/>
              </w:rPr>
              <w:t>侧约</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val="en-US" w:eastAsia="zh-CN"/>
              </w:rPr>
              <w:t>75</w:t>
            </w:r>
            <w:r>
              <w:rPr>
                <w:rFonts w:hint="eastAsia" w:ascii="Times New Roman" w:hAnsi="Times New Roman" w:eastAsia="宋体" w:cs="Times New Roman"/>
                <w:color w:val="auto"/>
                <w:sz w:val="24"/>
                <w:szCs w:val="24"/>
                <w:highlight w:val="none"/>
              </w:rPr>
              <w:t>m。具体监测内容如下：</w:t>
            </w:r>
          </w:p>
          <w:p w14:paraId="338240A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4"/>
                <w:szCs w:val="24"/>
                <w:highlight w:val="none"/>
                <w:lang w:val="en-US" w:eastAsia="zh-CN"/>
              </w:rPr>
              <w:t>表3-</w:t>
            </w:r>
            <w:r>
              <w:rPr>
                <w:rFonts w:hint="eastAsia" w:ascii="Times New Roman" w:hAnsi="Times New Roman" w:eastAsia="宋体" w:cs="Times New Roman"/>
                <w:b/>
                <w:color w:val="auto"/>
                <w:kern w:val="2"/>
                <w:sz w:val="24"/>
                <w:szCs w:val="24"/>
                <w:highlight w:val="none"/>
                <w:lang w:val="en-US" w:eastAsia="zh-CN"/>
              </w:rPr>
              <w:t>2</w:t>
            </w:r>
            <w:r>
              <w:rPr>
                <w:rFonts w:hint="default" w:ascii="Times New Roman" w:hAnsi="Times New Roman" w:eastAsia="宋体" w:cs="Times New Roman"/>
                <w:b/>
                <w:color w:val="auto"/>
                <w:kern w:val="2"/>
                <w:sz w:val="24"/>
                <w:szCs w:val="24"/>
                <w:highlight w:val="none"/>
                <w:lang w:val="en-US" w:eastAsia="zh-CN"/>
              </w:rPr>
              <w:t>　空气环境现状监测结果</w:t>
            </w:r>
          </w:p>
          <w:tbl>
            <w:tblPr>
              <w:tblStyle w:val="2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815"/>
              <w:gridCol w:w="921"/>
              <w:gridCol w:w="1346"/>
              <w:gridCol w:w="674"/>
              <w:gridCol w:w="876"/>
              <w:gridCol w:w="844"/>
              <w:gridCol w:w="748"/>
              <w:gridCol w:w="765"/>
              <w:gridCol w:w="635"/>
            </w:tblGrid>
            <w:tr w14:paraId="7CE1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3" w:type="pct"/>
                  <w:noWrap w:val="0"/>
                  <w:vAlign w:val="center"/>
                </w:tcPr>
                <w:p w14:paraId="479951E4">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监测点位</w:t>
                  </w:r>
                </w:p>
              </w:tc>
              <w:tc>
                <w:tcPr>
                  <w:tcW w:w="486" w:type="pct"/>
                  <w:noWrap w:val="0"/>
                  <w:vAlign w:val="center"/>
                </w:tcPr>
                <w:p w14:paraId="201856E7">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污染物</w:t>
                  </w:r>
                </w:p>
              </w:tc>
              <w:tc>
                <w:tcPr>
                  <w:tcW w:w="549" w:type="pct"/>
                  <w:noWrap w:val="0"/>
                  <w:vAlign w:val="center"/>
                </w:tcPr>
                <w:p w14:paraId="08DEC187">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取值时间</w:t>
                  </w:r>
                </w:p>
              </w:tc>
              <w:tc>
                <w:tcPr>
                  <w:tcW w:w="802" w:type="pct"/>
                  <w:noWrap w:val="0"/>
                  <w:vAlign w:val="center"/>
                </w:tcPr>
                <w:p w14:paraId="26C8D79D">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浓度范围</w:t>
                  </w:r>
                </w:p>
              </w:tc>
              <w:tc>
                <w:tcPr>
                  <w:tcW w:w="402" w:type="pct"/>
                  <w:noWrap w:val="0"/>
                  <w:vAlign w:val="center"/>
                </w:tcPr>
                <w:p w14:paraId="2562DF2C">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标准限值</w:t>
                  </w:r>
                </w:p>
              </w:tc>
              <w:tc>
                <w:tcPr>
                  <w:tcW w:w="522" w:type="pct"/>
                  <w:noWrap w:val="0"/>
                  <w:vAlign w:val="center"/>
                </w:tcPr>
                <w:p w14:paraId="1F45CBE0">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最大占标率(%)</w:t>
                  </w:r>
                </w:p>
              </w:tc>
              <w:tc>
                <w:tcPr>
                  <w:tcW w:w="503" w:type="pct"/>
                  <w:noWrap w:val="0"/>
                  <w:vAlign w:val="center"/>
                </w:tcPr>
                <w:p w14:paraId="2FF53688">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超标数(个)</w:t>
                  </w:r>
                </w:p>
              </w:tc>
              <w:tc>
                <w:tcPr>
                  <w:tcW w:w="446" w:type="pct"/>
                  <w:noWrap w:val="0"/>
                  <w:vAlign w:val="center"/>
                </w:tcPr>
                <w:p w14:paraId="487DE454">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超标率(%)</w:t>
                  </w:r>
                </w:p>
              </w:tc>
              <w:tc>
                <w:tcPr>
                  <w:tcW w:w="456" w:type="pct"/>
                  <w:noWrap w:val="0"/>
                  <w:vAlign w:val="center"/>
                </w:tcPr>
                <w:p w14:paraId="5B2B9549">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最大超标倍数</w:t>
                  </w:r>
                </w:p>
              </w:tc>
              <w:tc>
                <w:tcPr>
                  <w:tcW w:w="378" w:type="pct"/>
                  <w:noWrap w:val="0"/>
                  <w:vAlign w:val="center"/>
                </w:tcPr>
                <w:p w14:paraId="64A4B7C5">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是否达标</w:t>
                  </w:r>
                </w:p>
              </w:tc>
            </w:tr>
            <w:tr w14:paraId="581E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3" w:type="pct"/>
                  <w:vMerge w:val="restart"/>
                  <w:noWrap w:val="0"/>
                  <w:vAlign w:val="center"/>
                </w:tcPr>
                <w:p w14:paraId="24D1A5F8">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孵化园公租房</w:t>
                  </w:r>
                </w:p>
              </w:tc>
              <w:tc>
                <w:tcPr>
                  <w:tcW w:w="486" w:type="pct"/>
                  <w:noWrap w:val="0"/>
                  <w:vAlign w:val="center"/>
                </w:tcPr>
                <w:p w14:paraId="08F152C6">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非甲烷总烃</w:t>
                  </w:r>
                </w:p>
              </w:tc>
              <w:tc>
                <w:tcPr>
                  <w:tcW w:w="549" w:type="pct"/>
                  <w:vMerge w:val="restart"/>
                  <w:noWrap w:val="0"/>
                  <w:vAlign w:val="center"/>
                </w:tcPr>
                <w:p w14:paraId="1E15FED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1小时平均浓度</w:t>
                  </w:r>
                </w:p>
              </w:tc>
              <w:tc>
                <w:tcPr>
                  <w:tcW w:w="802" w:type="pct"/>
                  <w:noWrap w:val="0"/>
                  <w:vAlign w:val="center"/>
                </w:tcPr>
                <w:p w14:paraId="3DD892E8">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1.08~1.88</w:t>
                  </w:r>
                </w:p>
              </w:tc>
              <w:tc>
                <w:tcPr>
                  <w:tcW w:w="402" w:type="pct"/>
                  <w:noWrap w:val="0"/>
                  <w:vAlign w:val="center"/>
                </w:tcPr>
                <w:p w14:paraId="28B24E60">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2.0</w:t>
                  </w:r>
                </w:p>
              </w:tc>
              <w:tc>
                <w:tcPr>
                  <w:tcW w:w="522" w:type="pct"/>
                  <w:noWrap w:val="0"/>
                  <w:vAlign w:val="center"/>
                </w:tcPr>
                <w:p w14:paraId="343C3302">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94%</w:t>
                  </w:r>
                </w:p>
              </w:tc>
              <w:tc>
                <w:tcPr>
                  <w:tcW w:w="503" w:type="pct"/>
                  <w:noWrap w:val="0"/>
                  <w:vAlign w:val="center"/>
                </w:tcPr>
                <w:p w14:paraId="166BDB0D">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0</w:t>
                  </w:r>
                </w:p>
              </w:tc>
              <w:tc>
                <w:tcPr>
                  <w:tcW w:w="446" w:type="pct"/>
                  <w:noWrap w:val="0"/>
                  <w:vAlign w:val="center"/>
                </w:tcPr>
                <w:p w14:paraId="446FCCDF">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0</w:t>
                  </w:r>
                </w:p>
              </w:tc>
              <w:tc>
                <w:tcPr>
                  <w:tcW w:w="456" w:type="pct"/>
                  <w:noWrap w:val="0"/>
                  <w:vAlign w:val="center"/>
                </w:tcPr>
                <w:p w14:paraId="4758C171">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0</w:t>
                  </w:r>
                </w:p>
              </w:tc>
              <w:tc>
                <w:tcPr>
                  <w:tcW w:w="378" w:type="pct"/>
                  <w:noWrap w:val="0"/>
                  <w:vAlign w:val="center"/>
                </w:tcPr>
                <w:p w14:paraId="6D998D2F">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是</w:t>
                  </w:r>
                </w:p>
              </w:tc>
            </w:tr>
            <w:tr w14:paraId="091C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3" w:type="pct"/>
                  <w:vMerge w:val="continue"/>
                  <w:noWrap w:val="0"/>
                  <w:vAlign w:val="center"/>
                </w:tcPr>
                <w:p w14:paraId="466760D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486" w:type="pct"/>
                  <w:noWrap w:val="0"/>
                  <w:vAlign w:val="center"/>
                </w:tcPr>
                <w:p w14:paraId="5DB584B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TSP</w:t>
                  </w:r>
                </w:p>
              </w:tc>
              <w:tc>
                <w:tcPr>
                  <w:tcW w:w="549" w:type="pct"/>
                  <w:vMerge w:val="continue"/>
                  <w:noWrap w:val="0"/>
                  <w:vAlign w:val="center"/>
                </w:tcPr>
                <w:p w14:paraId="56C3B31B">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802" w:type="pct"/>
                  <w:noWrap w:val="0"/>
                  <w:vAlign w:val="center"/>
                </w:tcPr>
                <w:p w14:paraId="331C7736">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0.099~0.105</w:t>
                  </w:r>
                </w:p>
              </w:tc>
              <w:tc>
                <w:tcPr>
                  <w:tcW w:w="402" w:type="pct"/>
                  <w:noWrap w:val="0"/>
                  <w:vAlign w:val="center"/>
                </w:tcPr>
                <w:p w14:paraId="5C6FFFA5">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0.5</w:t>
                  </w:r>
                </w:p>
              </w:tc>
              <w:tc>
                <w:tcPr>
                  <w:tcW w:w="522" w:type="pct"/>
                  <w:noWrap w:val="0"/>
                  <w:vAlign w:val="center"/>
                </w:tcPr>
                <w:p w14:paraId="7A75378D">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21%</w:t>
                  </w:r>
                </w:p>
              </w:tc>
              <w:tc>
                <w:tcPr>
                  <w:tcW w:w="503" w:type="pct"/>
                  <w:noWrap w:val="0"/>
                  <w:vAlign w:val="center"/>
                </w:tcPr>
                <w:p w14:paraId="518EE4D9">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0</w:t>
                  </w:r>
                </w:p>
              </w:tc>
              <w:tc>
                <w:tcPr>
                  <w:tcW w:w="446" w:type="pct"/>
                  <w:noWrap w:val="0"/>
                  <w:vAlign w:val="center"/>
                </w:tcPr>
                <w:p w14:paraId="036D8B0C">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0</w:t>
                  </w:r>
                </w:p>
              </w:tc>
              <w:tc>
                <w:tcPr>
                  <w:tcW w:w="456" w:type="pct"/>
                  <w:noWrap w:val="0"/>
                  <w:vAlign w:val="center"/>
                </w:tcPr>
                <w:p w14:paraId="2680C382">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0</w:t>
                  </w:r>
                </w:p>
              </w:tc>
              <w:tc>
                <w:tcPr>
                  <w:tcW w:w="378" w:type="pct"/>
                  <w:noWrap w:val="0"/>
                  <w:vAlign w:val="center"/>
                </w:tcPr>
                <w:p w14:paraId="1AC2EB4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是</w:t>
                  </w:r>
                </w:p>
              </w:tc>
            </w:tr>
          </w:tbl>
          <w:p w14:paraId="39EB630E">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由上表可知，</w:t>
            </w:r>
            <w:r>
              <w:rPr>
                <w:rFonts w:hint="eastAsia" w:cs="Times New Roman"/>
                <w:color w:val="auto"/>
                <w:sz w:val="24"/>
                <w:szCs w:val="24"/>
                <w:highlight w:val="none"/>
                <w:lang w:val="en-US" w:eastAsia="zh-CN"/>
              </w:rPr>
              <w:t>评价区域</w:t>
            </w:r>
            <w:r>
              <w:rPr>
                <w:rFonts w:hint="default" w:ascii="Times New Roman" w:hAnsi="Times New Roman" w:eastAsia="宋体" w:cs="Times New Roman"/>
                <w:color w:val="auto"/>
                <w:sz w:val="24"/>
                <w:szCs w:val="24"/>
                <w:highlight w:val="none"/>
                <w:lang w:val="en-US" w:eastAsia="zh-CN"/>
              </w:rPr>
              <w:t>非甲烷总烃满足</w:t>
            </w:r>
            <w:r>
              <w:rPr>
                <w:rFonts w:hint="eastAsia" w:ascii="Times New Roman" w:hAnsi="Times New Roman" w:eastAsia="宋体" w:cs="Times New Roman"/>
                <w:color w:val="auto"/>
                <w:sz w:val="24"/>
                <w:szCs w:val="24"/>
                <w:highlight w:val="none"/>
                <w:lang w:val="en-US" w:eastAsia="zh-CN"/>
              </w:rPr>
              <w:t>《大气污染物综合排放标准详解》</w:t>
            </w:r>
            <w:r>
              <w:rPr>
                <w:rFonts w:hint="default" w:ascii="Times New Roman" w:hAnsi="Times New Roman" w:eastAsia="宋体" w:cs="Times New Roman"/>
                <w:color w:val="auto"/>
                <w:sz w:val="24"/>
                <w:szCs w:val="24"/>
                <w:highlight w:val="none"/>
                <w:lang w:val="en-US" w:eastAsia="zh-CN"/>
              </w:rPr>
              <w:t>中的</w:t>
            </w:r>
            <w:r>
              <w:rPr>
                <w:rFonts w:hint="eastAsia" w:cs="Times New Roman"/>
                <w:color w:val="auto"/>
                <w:sz w:val="24"/>
                <w:szCs w:val="24"/>
                <w:highlight w:val="none"/>
                <w:lang w:val="en-US" w:eastAsia="zh-CN"/>
              </w:rPr>
              <w:t>限值</w:t>
            </w:r>
            <w:r>
              <w:rPr>
                <w:rFonts w:hint="default" w:ascii="Times New Roman" w:hAnsi="Times New Roman" w:eastAsia="宋体" w:cs="Times New Roman"/>
                <w:color w:val="auto"/>
                <w:sz w:val="24"/>
                <w:szCs w:val="24"/>
                <w:highlight w:val="none"/>
                <w:lang w:val="en-US" w:eastAsia="zh-CN"/>
              </w:rPr>
              <w:t>要求</w:t>
            </w:r>
            <w:r>
              <w:rPr>
                <w:rFonts w:hint="eastAsia" w:cs="Times New Roman"/>
                <w:color w:val="auto"/>
                <w:sz w:val="24"/>
                <w:szCs w:val="24"/>
                <w:highlight w:val="none"/>
                <w:lang w:val="en-US" w:eastAsia="zh-CN"/>
              </w:rPr>
              <w:t>，TSP满足《环境空气质量标准》（GB3095-2012）限值要求</w:t>
            </w:r>
            <w:r>
              <w:rPr>
                <w:rFonts w:hint="default" w:ascii="Times New Roman" w:hAnsi="Times New Roman" w:eastAsia="宋体" w:cs="Times New Roman"/>
                <w:color w:val="auto"/>
                <w:sz w:val="24"/>
                <w:szCs w:val="24"/>
                <w:highlight w:val="none"/>
                <w:lang w:val="en-US" w:eastAsia="zh-CN"/>
              </w:rPr>
              <w:t>。</w:t>
            </w:r>
          </w:p>
          <w:p w14:paraId="1C24112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地表水环境质量现状</w:t>
            </w:r>
          </w:p>
          <w:p w14:paraId="333448BB">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环境影响报告表编制技术指南（污染影响类）》（试行），地表水环境可引用与建设项目距离近的有效数据，包括近3年的规划环境影响评价的监测数据，所在流域控制单元内国家、地方控制断面监测数据，生态环境主管部门发布的水环境质量数据或地表水达标情况结论。</w:t>
            </w:r>
          </w:p>
          <w:p w14:paraId="12CE3559">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根据《2023年池州市生态环境状况公报》，按照《地表水环境质量标准》（GB3838—2002）和《地表水环境质量评价办法（试行）》（2011年3月）进行评价，2023年全市长江（池州段）、秋浦河、青通河、尧</w:t>
            </w:r>
            <w:r>
              <w:rPr>
                <w:rFonts w:hint="default" w:ascii="Times New Roman" w:hAnsi="Times New Roman" w:eastAsia="宋体" w:cs="Times New Roman"/>
                <w:color w:val="auto"/>
                <w:sz w:val="24"/>
                <w:szCs w:val="24"/>
                <w:highlight w:val="none"/>
                <w:lang w:val="en-US" w:eastAsia="zh-CN"/>
              </w:rPr>
              <w:t>渡河、黄湓河、九华河、龙泉河、陵阳河、白洋河、香隅河、大通河、官溪河、丁香河、青弋江14条河流和升金湖、平天湖、牛桥水库、古潭水库、石湖水库5个湖库共计25个国省监测断面（点位），其中达到Ⅰ类水的断面（点位）有6个，占24%；达到Ⅱ类水的断面有15个，占60%；达到Ⅲ类水的断面（点位）有3个，占12%；有1个断面（点位）水质为Ⅳ类。清溪河城区4个监控断面的水质为Ⅲ类</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Ⅳ类，水</w:t>
            </w:r>
            <w:r>
              <w:rPr>
                <w:rFonts w:hint="default" w:ascii="Times New Roman" w:hAnsi="Times New Roman" w:eastAsia="宋体" w:cs="Times New Roman"/>
                <w:color w:val="auto"/>
                <w:sz w:val="24"/>
                <w:szCs w:val="24"/>
                <w:highlight w:val="none"/>
              </w:rPr>
              <w:t>质与去年基本持平。监测结果表明，</w:t>
            </w:r>
            <w:r>
              <w:rPr>
                <w:rFonts w:hint="eastAsia" w:cs="Times New Roman"/>
                <w:color w:val="auto"/>
                <w:sz w:val="24"/>
                <w:szCs w:val="24"/>
                <w:highlight w:val="none"/>
                <w:lang w:val="en-US" w:eastAsia="zh-CN"/>
              </w:rPr>
              <w:t>九华河及</w:t>
            </w:r>
            <w:r>
              <w:rPr>
                <w:rFonts w:hint="default" w:ascii="Times New Roman" w:hAnsi="Times New Roman" w:eastAsia="宋体" w:cs="Times New Roman"/>
                <w:color w:val="auto"/>
                <w:sz w:val="24"/>
                <w:szCs w:val="24"/>
                <w:highlight w:val="none"/>
              </w:rPr>
              <w:t>长江水质满足《地表水环境质量标准》（（GB3838-2002）中Ⅲ类标准要求。</w:t>
            </w:r>
          </w:p>
          <w:p w14:paraId="03F22A2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3、</w:t>
            </w:r>
            <w:r>
              <w:rPr>
                <w:rFonts w:hint="default" w:ascii="Times New Roman" w:hAnsi="Times New Roman" w:cs="Times New Roman"/>
                <w:b/>
                <w:color w:val="auto"/>
                <w:sz w:val="24"/>
                <w:szCs w:val="24"/>
                <w:highlight w:val="none"/>
              </w:rPr>
              <w:t>声环境质量现状</w:t>
            </w:r>
          </w:p>
          <w:p w14:paraId="5254E5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000000" w:themeColor="text1"/>
                <w:spacing w:val="0"/>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0"/>
                <w:sz w:val="24"/>
                <w:szCs w:val="24"/>
                <w:highlight w:val="none"/>
                <w:lang w:eastAsia="zh-CN"/>
                <w14:textFill>
                  <w14:solidFill>
                    <w14:schemeClr w14:val="tx1"/>
                  </w14:solidFill>
                </w14:textFill>
              </w:rPr>
              <w:t>根据《建设项目环境影响报告表编制技术指南（污染影响类）》（试行），厂界外50m范围内存在声环境保护目标的建设项目，应监测保护目标声环境质量现状并评价达标情况。各点位应监测昼夜间噪声，监测时间不少于1天。本项目厂界外50m范围内无声环境保护目标，因此本项目不进行声环境质量现状监测。</w:t>
            </w:r>
            <w:r>
              <w:rPr>
                <w:rFonts w:hint="eastAsia" w:cs="Times New Roman"/>
                <w:color w:val="000000" w:themeColor="text1"/>
                <w:spacing w:val="0"/>
                <w:sz w:val="24"/>
                <w:szCs w:val="24"/>
                <w:highlight w:val="none"/>
                <w:lang w:val="en-US" w:eastAsia="zh-CN"/>
                <w14:textFill>
                  <w14:solidFill>
                    <w14:schemeClr w14:val="tx1"/>
                  </w14:solidFill>
                </w14:textFill>
              </w:rPr>
              <w:t xml:space="preserve">                                </w:t>
            </w:r>
          </w:p>
          <w:p w14:paraId="0012C0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cs="Times New Roman"/>
                <w:b/>
                <w:bCs/>
                <w:color w:val="000000" w:themeColor="text1"/>
                <w:spacing w:val="0"/>
                <w:sz w:val="24"/>
                <w:szCs w:val="24"/>
                <w:highlight w:val="none"/>
                <w:lang w:val="en-US" w:eastAsia="zh-CN"/>
                <w14:textFill>
                  <w14:solidFill>
                    <w14:schemeClr w14:val="tx1"/>
                  </w14:solidFill>
                </w14:textFill>
              </w:rPr>
            </w:pPr>
            <w:r>
              <w:rPr>
                <w:rFonts w:hint="eastAsia" w:cs="Times New Roman"/>
                <w:b/>
                <w:bCs/>
                <w:color w:val="000000" w:themeColor="text1"/>
                <w:spacing w:val="0"/>
                <w:sz w:val="24"/>
                <w:szCs w:val="24"/>
                <w:highlight w:val="none"/>
                <w:lang w:val="en-US" w:eastAsia="zh-CN"/>
                <w14:textFill>
                  <w14:solidFill>
                    <w14:schemeClr w14:val="tx1"/>
                  </w14:solidFill>
                </w14:textFill>
              </w:rPr>
              <w:t>4、生态环境</w:t>
            </w:r>
          </w:p>
          <w:p w14:paraId="4F63DD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项目属于安徽</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b w:val="0"/>
                <w:bCs/>
                <w:color w:val="auto"/>
                <w:sz w:val="24"/>
                <w:szCs w:val="24"/>
                <w:highlight w:val="none"/>
                <w:lang w:val="en-US" w:eastAsia="zh-CN"/>
              </w:rPr>
              <w:t>内建设项目，且建设范围不含有生态环境保护目标，</w:t>
            </w:r>
            <w:r>
              <w:rPr>
                <w:rFonts w:hint="eastAsia" w:ascii="Times New Roman" w:hAnsi="Times New Roman" w:cs="Times New Roman"/>
                <w:b w:val="0"/>
                <w:bCs/>
                <w:color w:val="auto"/>
                <w:sz w:val="24"/>
                <w:szCs w:val="24"/>
                <w:highlight w:val="none"/>
                <w:lang w:val="en-US" w:eastAsia="zh-CN"/>
              </w:rPr>
              <w:t>无需</w:t>
            </w:r>
            <w:r>
              <w:rPr>
                <w:rFonts w:hint="default" w:ascii="Times New Roman" w:hAnsi="Times New Roman" w:cs="Times New Roman"/>
                <w:b w:val="0"/>
                <w:bCs/>
                <w:color w:val="auto"/>
                <w:sz w:val="24"/>
                <w:szCs w:val="24"/>
                <w:highlight w:val="none"/>
                <w:lang w:val="en-US" w:eastAsia="zh-CN"/>
              </w:rPr>
              <w:t>开展生态环境影响现状调查。</w:t>
            </w:r>
          </w:p>
          <w:p w14:paraId="595AB5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5、电磁辐射</w:t>
            </w:r>
          </w:p>
          <w:p w14:paraId="62751A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项目不涉及电磁辐射影响</w:t>
            </w:r>
            <w:r>
              <w:rPr>
                <w:rFonts w:hint="eastAsia" w:ascii="Times New Roman" w:hAnsi="Times New Roman" w:cs="Times New Roman"/>
                <w:b w:val="0"/>
                <w:bCs/>
                <w:color w:val="auto"/>
                <w:sz w:val="24"/>
                <w:szCs w:val="24"/>
                <w:highlight w:val="none"/>
                <w:lang w:val="en-US" w:eastAsia="zh-CN"/>
              </w:rPr>
              <w:t>。</w:t>
            </w:r>
          </w:p>
          <w:p w14:paraId="3A2C1EF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6</w:t>
            </w:r>
            <w:r>
              <w:rPr>
                <w:rFonts w:hint="default" w:ascii="Times New Roman" w:hAnsi="Times New Roman" w:cs="Times New Roman"/>
                <w:b/>
                <w:color w:val="auto"/>
                <w:sz w:val="24"/>
                <w:szCs w:val="24"/>
                <w:highlight w:val="none"/>
                <w:lang w:val="en-US" w:eastAsia="zh-CN"/>
              </w:rPr>
              <w:t>、</w:t>
            </w:r>
            <w:r>
              <w:rPr>
                <w:rFonts w:hint="default" w:ascii="Times New Roman" w:hAnsi="Times New Roman" w:cs="Times New Roman"/>
                <w:b/>
                <w:color w:val="auto"/>
                <w:sz w:val="24"/>
                <w:szCs w:val="24"/>
                <w:highlight w:val="none"/>
              </w:rPr>
              <w:t>地下水</w:t>
            </w:r>
            <w:r>
              <w:rPr>
                <w:rFonts w:hint="eastAsia" w:cs="Times New Roman"/>
                <w:b/>
                <w:color w:val="auto"/>
                <w:sz w:val="24"/>
                <w:szCs w:val="24"/>
                <w:highlight w:val="none"/>
                <w:lang w:eastAsia="zh-CN"/>
              </w:rPr>
              <w:t>、土壤</w:t>
            </w:r>
            <w:r>
              <w:rPr>
                <w:rFonts w:hint="default" w:ascii="Times New Roman" w:hAnsi="Times New Roman" w:cs="Times New Roman"/>
                <w:b/>
                <w:color w:val="auto"/>
                <w:sz w:val="24"/>
                <w:szCs w:val="24"/>
                <w:highlight w:val="none"/>
              </w:rPr>
              <w:t>环境质量现状</w:t>
            </w:r>
          </w:p>
          <w:p w14:paraId="2D6EF1D3">
            <w:pPr>
              <w:pStyle w:val="19"/>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根据《建设项目环境影响报告表编制技术指南（污染影响类）》（试行），地下水、土壤原则上不开展环境质量现状调查。建设项目存在土壤、地下水环境污染途径的，应结合污染源、保护目标分布情况开展现状调查以留作背景值。</w:t>
            </w:r>
            <w:r>
              <w:rPr>
                <w:rFonts w:hint="eastAsia" w:ascii="Times New Roman" w:hAnsi="Times New Roman" w:cs="Times New Roman"/>
                <w:color w:val="auto"/>
                <w:sz w:val="24"/>
                <w:szCs w:val="24"/>
                <w:highlight w:val="none"/>
                <w:lang w:val="en-US" w:eastAsia="zh-CN"/>
              </w:rPr>
              <w:t>项目</w:t>
            </w:r>
            <w:r>
              <w:rPr>
                <w:rFonts w:hint="eastAsia" w:cs="Times New Roman"/>
                <w:color w:val="auto"/>
                <w:sz w:val="24"/>
                <w:szCs w:val="24"/>
                <w:highlight w:val="none"/>
                <w:lang w:val="en-US" w:eastAsia="zh-CN"/>
              </w:rPr>
              <w:t>厂区采取了严格的防泄漏、防渗措施，基本上可以排除土壤、地下水污染途径，因此不开展地下水、土壤环境质量现状调查</w:t>
            </w:r>
            <w:r>
              <w:rPr>
                <w:rFonts w:hint="default" w:ascii="Times New Roman" w:hAnsi="Times New Roman" w:cs="Times New Roman"/>
                <w:color w:val="auto"/>
                <w:sz w:val="24"/>
                <w:szCs w:val="24"/>
                <w:highlight w:val="none"/>
                <w:lang w:val="en-US" w:eastAsia="zh-CN"/>
              </w:rPr>
              <w:t>。</w:t>
            </w:r>
          </w:p>
        </w:tc>
      </w:tr>
      <w:tr w14:paraId="37703C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0764163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5DA38D5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保护</w:t>
            </w:r>
          </w:p>
          <w:p w14:paraId="5FAE2E7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目标</w:t>
            </w:r>
          </w:p>
        </w:tc>
        <w:tc>
          <w:tcPr>
            <w:tcW w:w="8617" w:type="dxa"/>
            <w:noWrap w:val="0"/>
            <w:vAlign w:val="top"/>
          </w:tcPr>
          <w:p w14:paraId="2160CE04">
            <w:pPr>
              <w:spacing w:line="360" w:lineRule="auto"/>
              <w:ind w:firstLine="482" w:firstLineChars="200"/>
              <w:rPr>
                <w:rFonts w:hint="default" w:ascii="Times New Roman" w:hAnsi="Times New Roman" w:cs="Times New Roman"/>
                <w:bCs/>
                <w:color w:val="000000"/>
                <w:sz w:val="24"/>
                <w:szCs w:val="24"/>
                <w:highlight w:val="none"/>
              </w:rPr>
            </w:pPr>
            <w:r>
              <w:rPr>
                <w:rFonts w:hint="eastAsia" w:cs="Times New Roman"/>
                <w:b/>
                <w:bCs w:val="0"/>
                <w:color w:val="000000"/>
                <w:sz w:val="24"/>
                <w:szCs w:val="24"/>
                <w:highlight w:val="none"/>
                <w:lang w:val="en-US" w:eastAsia="zh-CN"/>
              </w:rPr>
              <w:t>1、</w:t>
            </w:r>
            <w:r>
              <w:rPr>
                <w:rFonts w:hint="default" w:ascii="Times New Roman" w:hAnsi="Times New Roman" w:cs="Times New Roman"/>
                <w:b/>
                <w:bCs w:val="0"/>
                <w:color w:val="000000"/>
                <w:sz w:val="24"/>
                <w:szCs w:val="24"/>
                <w:highlight w:val="none"/>
              </w:rPr>
              <w:t>大气环境：</w:t>
            </w:r>
          </w:p>
          <w:p w14:paraId="14FE0B3D">
            <w:pPr>
              <w:widowControl w:val="0"/>
              <w:spacing w:line="360" w:lineRule="auto"/>
              <w:ind w:firstLine="480" w:firstLineChars="200"/>
              <w:jc w:val="both"/>
              <w:rPr>
                <w:rFonts w:hint="eastAsia" w:cs="Times New Roman"/>
                <w:color w:val="000000"/>
                <w:kern w:val="2"/>
                <w:sz w:val="24"/>
                <w:szCs w:val="24"/>
                <w:highlight w:val="none"/>
                <w:lang w:val="en-US" w:eastAsia="zh-CN" w:bidi="ar-SA"/>
              </w:rPr>
            </w:pPr>
            <w:r>
              <w:rPr>
                <w:rFonts w:hint="eastAsia" w:cs="Times New Roman"/>
                <w:color w:val="000000"/>
                <w:kern w:val="2"/>
                <w:sz w:val="24"/>
                <w:szCs w:val="24"/>
                <w:highlight w:val="none"/>
                <w:lang w:val="en-US" w:eastAsia="zh-CN" w:bidi="ar-SA"/>
              </w:rPr>
              <w:t>本项目大气评价范围500米内无自然保护区、风景名胜区和文物古迹等需要特殊保护的环境敏感对象，保护目标以周边居民住宅及园区管委会为主。</w:t>
            </w:r>
          </w:p>
          <w:p w14:paraId="59FBF1FB">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表3-4  项目大气环境保护目标一览表</w:t>
            </w:r>
          </w:p>
          <w:tbl>
            <w:tblPr>
              <w:tblStyle w:val="23"/>
              <w:tblW w:w="8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197"/>
              <w:gridCol w:w="765"/>
              <w:gridCol w:w="1122"/>
              <w:gridCol w:w="1767"/>
              <w:gridCol w:w="1095"/>
              <w:gridCol w:w="1496"/>
            </w:tblGrid>
            <w:tr w14:paraId="65DC3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2" w:type="dxa"/>
                  <w:noWrap w:val="0"/>
                  <w:vAlign w:val="center"/>
                </w:tcPr>
                <w:p w14:paraId="50235D83">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b/>
                      <w:bCs/>
                      <w:color w:val="000000"/>
                      <w:sz w:val="21"/>
                      <w:szCs w:val="21"/>
                      <w:highlight w:val="none"/>
                      <w:lang w:val="en-US" w:eastAsia="zh-CN" w:bidi="ar"/>
                    </w:rPr>
                  </w:pPr>
                  <w:r>
                    <w:rPr>
                      <w:rFonts w:hint="eastAsia" w:ascii="Times New Roman" w:hAnsi="Times New Roman" w:eastAsia="宋体" w:cs="Times New Roman"/>
                      <w:b/>
                      <w:bCs/>
                      <w:color w:val="000000"/>
                      <w:sz w:val="21"/>
                      <w:szCs w:val="21"/>
                      <w:highlight w:val="none"/>
                      <w:lang w:val="en-US" w:eastAsia="zh-CN" w:bidi="ar"/>
                    </w:rPr>
                    <w:t>环境要素</w:t>
                  </w:r>
                </w:p>
              </w:tc>
              <w:tc>
                <w:tcPr>
                  <w:tcW w:w="1197" w:type="dxa"/>
                  <w:noWrap w:val="0"/>
                  <w:vAlign w:val="center"/>
                </w:tcPr>
                <w:p w14:paraId="75C3B39C">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b/>
                      <w:bCs/>
                      <w:color w:val="000000"/>
                      <w:sz w:val="21"/>
                      <w:szCs w:val="21"/>
                      <w:highlight w:val="none"/>
                      <w:lang w:val="en-US" w:eastAsia="zh-CN" w:bidi="ar"/>
                    </w:rPr>
                  </w:pPr>
                  <w:r>
                    <w:rPr>
                      <w:rFonts w:hint="eastAsia" w:ascii="Times New Roman" w:hAnsi="Times New Roman" w:eastAsia="宋体" w:cs="Times New Roman"/>
                      <w:b/>
                      <w:bCs/>
                      <w:color w:val="000000"/>
                      <w:sz w:val="21"/>
                      <w:szCs w:val="21"/>
                      <w:highlight w:val="none"/>
                      <w:lang w:val="en-US" w:eastAsia="zh-CN" w:bidi="ar"/>
                    </w:rPr>
                    <w:t>名称</w:t>
                  </w:r>
                </w:p>
              </w:tc>
              <w:tc>
                <w:tcPr>
                  <w:tcW w:w="765" w:type="dxa"/>
                  <w:noWrap w:val="0"/>
                  <w:vAlign w:val="center"/>
                </w:tcPr>
                <w:p w14:paraId="57B32599">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b/>
                      <w:bCs/>
                      <w:color w:val="000000"/>
                      <w:sz w:val="21"/>
                      <w:szCs w:val="21"/>
                      <w:highlight w:val="none"/>
                      <w:lang w:val="en-US" w:eastAsia="zh-CN" w:bidi="ar"/>
                    </w:rPr>
                  </w:pPr>
                  <w:r>
                    <w:rPr>
                      <w:rFonts w:hint="eastAsia" w:ascii="Times New Roman" w:hAnsi="Times New Roman" w:eastAsia="宋体" w:cs="Times New Roman"/>
                      <w:b/>
                      <w:bCs/>
                      <w:color w:val="000000"/>
                      <w:sz w:val="21"/>
                      <w:szCs w:val="21"/>
                      <w:highlight w:val="none"/>
                      <w:lang w:val="en-US" w:eastAsia="zh-CN" w:bidi="ar"/>
                    </w:rPr>
                    <w:t>保护对象</w:t>
                  </w:r>
                </w:p>
              </w:tc>
              <w:tc>
                <w:tcPr>
                  <w:tcW w:w="1122" w:type="dxa"/>
                  <w:noWrap w:val="0"/>
                  <w:vAlign w:val="center"/>
                </w:tcPr>
                <w:p w14:paraId="39979636">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b/>
                      <w:bCs/>
                      <w:color w:val="000000"/>
                      <w:sz w:val="21"/>
                      <w:szCs w:val="21"/>
                      <w:highlight w:val="none"/>
                      <w:lang w:val="en-US" w:eastAsia="zh-CN" w:bidi="ar"/>
                    </w:rPr>
                  </w:pPr>
                  <w:r>
                    <w:rPr>
                      <w:rFonts w:hint="eastAsia" w:ascii="Times New Roman" w:hAnsi="Times New Roman" w:eastAsia="宋体" w:cs="Times New Roman"/>
                      <w:b/>
                      <w:bCs/>
                      <w:color w:val="000000"/>
                      <w:sz w:val="21"/>
                      <w:szCs w:val="21"/>
                      <w:highlight w:val="none"/>
                      <w:lang w:val="en-US" w:eastAsia="zh-CN" w:bidi="ar"/>
                    </w:rPr>
                    <w:t>人数</w:t>
                  </w:r>
                </w:p>
              </w:tc>
              <w:tc>
                <w:tcPr>
                  <w:tcW w:w="1767" w:type="dxa"/>
                  <w:noWrap w:val="0"/>
                  <w:vAlign w:val="center"/>
                </w:tcPr>
                <w:p w14:paraId="5D5FE372">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b/>
                      <w:bCs/>
                      <w:color w:val="000000"/>
                      <w:sz w:val="21"/>
                      <w:szCs w:val="21"/>
                      <w:highlight w:val="none"/>
                      <w:lang w:val="en-US" w:eastAsia="zh-CN" w:bidi="ar"/>
                    </w:rPr>
                  </w:pPr>
                  <w:r>
                    <w:rPr>
                      <w:rFonts w:hint="eastAsia" w:ascii="Times New Roman" w:hAnsi="Times New Roman" w:eastAsia="宋体" w:cs="Times New Roman"/>
                      <w:b/>
                      <w:bCs/>
                      <w:color w:val="000000"/>
                      <w:sz w:val="21"/>
                      <w:szCs w:val="21"/>
                      <w:highlight w:val="none"/>
                      <w:lang w:val="en-US" w:eastAsia="zh-CN" w:bidi="ar"/>
                    </w:rPr>
                    <w:t>保护级别</w:t>
                  </w:r>
                </w:p>
              </w:tc>
              <w:tc>
                <w:tcPr>
                  <w:tcW w:w="1095" w:type="dxa"/>
                  <w:noWrap w:val="0"/>
                  <w:vAlign w:val="center"/>
                </w:tcPr>
                <w:p w14:paraId="1C01A04F">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b/>
                      <w:bCs/>
                      <w:color w:val="000000"/>
                      <w:sz w:val="21"/>
                      <w:szCs w:val="21"/>
                      <w:highlight w:val="none"/>
                      <w:lang w:val="en-US" w:eastAsia="zh-CN" w:bidi="ar"/>
                    </w:rPr>
                  </w:pPr>
                  <w:r>
                    <w:rPr>
                      <w:rFonts w:hint="eastAsia" w:ascii="Times New Roman" w:hAnsi="Times New Roman" w:eastAsia="宋体" w:cs="Times New Roman"/>
                      <w:b/>
                      <w:bCs/>
                      <w:color w:val="000000"/>
                      <w:sz w:val="21"/>
                      <w:szCs w:val="21"/>
                      <w:highlight w:val="none"/>
                      <w:lang w:val="en-US" w:eastAsia="zh-CN" w:bidi="ar"/>
                    </w:rPr>
                    <w:t>相对厂址方位</w:t>
                  </w:r>
                </w:p>
              </w:tc>
              <w:tc>
                <w:tcPr>
                  <w:tcW w:w="1496" w:type="dxa"/>
                  <w:noWrap w:val="0"/>
                  <w:vAlign w:val="center"/>
                </w:tcPr>
                <w:p w14:paraId="3335051D">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b/>
                      <w:bCs/>
                      <w:color w:val="000000"/>
                      <w:sz w:val="21"/>
                      <w:szCs w:val="21"/>
                      <w:highlight w:val="none"/>
                      <w:lang w:val="en-US" w:eastAsia="zh-CN" w:bidi="ar"/>
                    </w:rPr>
                  </w:pPr>
                  <w:r>
                    <w:rPr>
                      <w:rFonts w:hint="eastAsia" w:ascii="Times New Roman" w:hAnsi="Times New Roman" w:eastAsia="宋体" w:cs="Times New Roman"/>
                      <w:b/>
                      <w:bCs/>
                      <w:color w:val="000000"/>
                      <w:sz w:val="21"/>
                      <w:szCs w:val="21"/>
                      <w:highlight w:val="none"/>
                      <w:lang w:val="en-US" w:eastAsia="zh-CN" w:bidi="ar"/>
                    </w:rPr>
                    <w:t>相对厂界距离/m</w:t>
                  </w:r>
                </w:p>
              </w:tc>
            </w:tr>
            <w:tr w14:paraId="68A1D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2" w:type="dxa"/>
                  <w:vMerge w:val="restart"/>
                  <w:noWrap w:val="0"/>
                  <w:vAlign w:val="center"/>
                </w:tcPr>
                <w:p w14:paraId="11BD4E24">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大气环境</w:t>
                  </w:r>
                </w:p>
              </w:tc>
              <w:tc>
                <w:tcPr>
                  <w:tcW w:w="1197" w:type="dxa"/>
                  <w:shd w:val="clear" w:color="auto" w:fill="auto"/>
                  <w:noWrap w:val="0"/>
                  <w:vAlign w:val="center"/>
                </w:tcPr>
                <w:p w14:paraId="256C633D">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kern w:val="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园区公租房</w:t>
                  </w:r>
                </w:p>
              </w:tc>
              <w:tc>
                <w:tcPr>
                  <w:tcW w:w="765" w:type="dxa"/>
                  <w:shd w:val="clear" w:color="auto" w:fill="auto"/>
                  <w:noWrap w:val="0"/>
                  <w:vAlign w:val="center"/>
                </w:tcPr>
                <w:p w14:paraId="0509C351">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居民</w:t>
                  </w:r>
                </w:p>
              </w:tc>
              <w:tc>
                <w:tcPr>
                  <w:tcW w:w="1122" w:type="dxa"/>
                  <w:shd w:val="clear" w:color="auto" w:fill="auto"/>
                  <w:noWrap w:val="0"/>
                  <w:vAlign w:val="center"/>
                </w:tcPr>
                <w:p w14:paraId="62DE8FE6">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约</w:t>
                  </w:r>
                  <w:r>
                    <w:rPr>
                      <w:rFonts w:hint="eastAsia" w:ascii="Times New Roman" w:hAnsi="Times New Roman" w:cs="Times New Roman"/>
                      <w:color w:val="000000"/>
                      <w:sz w:val="21"/>
                      <w:szCs w:val="21"/>
                      <w:highlight w:val="none"/>
                      <w:lang w:val="en-US" w:eastAsia="zh-CN" w:bidi="ar"/>
                    </w:rPr>
                    <w:t>150</w:t>
                  </w:r>
                  <w:r>
                    <w:rPr>
                      <w:rFonts w:hint="eastAsia" w:ascii="Times New Roman" w:hAnsi="Times New Roman" w:eastAsia="宋体" w:cs="Times New Roman"/>
                      <w:color w:val="000000"/>
                      <w:sz w:val="21"/>
                      <w:szCs w:val="21"/>
                      <w:highlight w:val="none"/>
                      <w:lang w:val="en-US" w:eastAsia="zh-CN" w:bidi="ar"/>
                    </w:rPr>
                    <w:t>人</w:t>
                  </w:r>
                </w:p>
              </w:tc>
              <w:tc>
                <w:tcPr>
                  <w:tcW w:w="1767" w:type="dxa"/>
                  <w:vMerge w:val="restart"/>
                  <w:shd w:val="clear" w:color="auto" w:fill="auto"/>
                  <w:noWrap w:val="0"/>
                  <w:vAlign w:val="center"/>
                </w:tcPr>
                <w:p w14:paraId="448A362A">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《环境空气质量标准》（GB3095-2012）中及其修改单（2018年）二级标准</w:t>
                  </w:r>
                </w:p>
              </w:tc>
              <w:tc>
                <w:tcPr>
                  <w:tcW w:w="1095" w:type="dxa"/>
                  <w:shd w:val="clear" w:color="auto" w:fill="auto"/>
                  <w:noWrap w:val="0"/>
                  <w:vAlign w:val="center"/>
                </w:tcPr>
                <w:p w14:paraId="37DF3283">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W</w:t>
                  </w:r>
                </w:p>
              </w:tc>
              <w:tc>
                <w:tcPr>
                  <w:tcW w:w="1496" w:type="dxa"/>
                  <w:shd w:val="clear" w:color="auto" w:fill="auto"/>
                  <w:noWrap w:val="0"/>
                  <w:vAlign w:val="center"/>
                </w:tcPr>
                <w:p w14:paraId="253F155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275</w:t>
                  </w:r>
                </w:p>
              </w:tc>
            </w:tr>
            <w:tr w14:paraId="4E561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2" w:type="dxa"/>
                  <w:vMerge w:val="continue"/>
                  <w:noWrap w:val="0"/>
                  <w:vAlign w:val="center"/>
                </w:tcPr>
                <w:p w14:paraId="70F24FAD">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sz w:val="21"/>
                      <w:szCs w:val="21"/>
                      <w:highlight w:val="none"/>
                      <w:lang w:val="en-US" w:eastAsia="zh-CN" w:bidi="ar"/>
                    </w:rPr>
                  </w:pPr>
                </w:p>
              </w:tc>
              <w:tc>
                <w:tcPr>
                  <w:tcW w:w="1197" w:type="dxa"/>
                  <w:noWrap w:val="0"/>
                  <w:vAlign w:val="center"/>
                </w:tcPr>
                <w:p w14:paraId="797630DB">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江南集中区管委会</w:t>
                  </w:r>
                </w:p>
              </w:tc>
              <w:tc>
                <w:tcPr>
                  <w:tcW w:w="765" w:type="dxa"/>
                  <w:noWrap w:val="0"/>
                  <w:vAlign w:val="center"/>
                </w:tcPr>
                <w:p w14:paraId="3733B5EC">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办公区</w:t>
                  </w:r>
                </w:p>
              </w:tc>
              <w:tc>
                <w:tcPr>
                  <w:tcW w:w="1122" w:type="dxa"/>
                  <w:noWrap w:val="0"/>
                  <w:vAlign w:val="center"/>
                </w:tcPr>
                <w:p w14:paraId="19C4CAA0">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约</w:t>
                  </w:r>
                  <w:r>
                    <w:rPr>
                      <w:rFonts w:hint="eastAsia" w:ascii="Times New Roman" w:hAnsi="Times New Roman" w:cs="Times New Roman"/>
                      <w:color w:val="000000"/>
                      <w:sz w:val="21"/>
                      <w:szCs w:val="21"/>
                      <w:highlight w:val="none"/>
                      <w:lang w:val="en-US" w:eastAsia="zh-CN" w:bidi="ar"/>
                    </w:rPr>
                    <w:t>500</w:t>
                  </w:r>
                  <w:r>
                    <w:rPr>
                      <w:rFonts w:hint="eastAsia" w:ascii="Times New Roman" w:hAnsi="Times New Roman" w:eastAsia="宋体" w:cs="Times New Roman"/>
                      <w:color w:val="000000"/>
                      <w:sz w:val="21"/>
                      <w:szCs w:val="21"/>
                      <w:highlight w:val="none"/>
                      <w:lang w:val="en-US" w:eastAsia="zh-CN" w:bidi="ar"/>
                    </w:rPr>
                    <w:t>人</w:t>
                  </w:r>
                </w:p>
              </w:tc>
              <w:tc>
                <w:tcPr>
                  <w:tcW w:w="1767" w:type="dxa"/>
                  <w:vMerge w:val="continue"/>
                  <w:noWrap w:val="0"/>
                  <w:vAlign w:val="center"/>
                </w:tcPr>
                <w:p w14:paraId="24B92E95">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sz w:val="21"/>
                      <w:szCs w:val="21"/>
                      <w:highlight w:val="none"/>
                      <w:lang w:val="en-US" w:eastAsia="zh-CN" w:bidi="ar"/>
                    </w:rPr>
                  </w:pPr>
                </w:p>
              </w:tc>
              <w:tc>
                <w:tcPr>
                  <w:tcW w:w="1095" w:type="dxa"/>
                  <w:noWrap w:val="0"/>
                  <w:vAlign w:val="center"/>
                </w:tcPr>
                <w:p w14:paraId="7F5148C1">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N</w:t>
                  </w:r>
                </w:p>
              </w:tc>
              <w:tc>
                <w:tcPr>
                  <w:tcW w:w="1496" w:type="dxa"/>
                  <w:noWrap w:val="0"/>
                  <w:vAlign w:val="center"/>
                </w:tcPr>
                <w:p w14:paraId="43A4D854">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200</w:t>
                  </w:r>
                </w:p>
              </w:tc>
            </w:tr>
            <w:tr w14:paraId="5514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2" w:type="dxa"/>
                  <w:vMerge w:val="continue"/>
                  <w:noWrap w:val="0"/>
                  <w:vAlign w:val="center"/>
                </w:tcPr>
                <w:p w14:paraId="36004424">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sz w:val="21"/>
                      <w:szCs w:val="21"/>
                      <w:highlight w:val="none"/>
                      <w:lang w:val="en-US" w:eastAsia="zh-CN" w:bidi="ar"/>
                    </w:rPr>
                  </w:pPr>
                </w:p>
              </w:tc>
              <w:tc>
                <w:tcPr>
                  <w:tcW w:w="1197" w:type="dxa"/>
                  <w:shd w:val="clear" w:color="auto" w:fill="auto"/>
                  <w:noWrap w:val="0"/>
                  <w:vAlign w:val="center"/>
                </w:tcPr>
                <w:p w14:paraId="0E6426C4">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kern w:val="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梅龙街道</w:t>
                  </w:r>
                </w:p>
              </w:tc>
              <w:tc>
                <w:tcPr>
                  <w:tcW w:w="765" w:type="dxa"/>
                  <w:shd w:val="clear" w:color="auto" w:fill="auto"/>
                  <w:noWrap w:val="0"/>
                  <w:vAlign w:val="center"/>
                </w:tcPr>
                <w:p w14:paraId="0C6BEBBD">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居民</w:t>
                  </w:r>
                </w:p>
              </w:tc>
              <w:tc>
                <w:tcPr>
                  <w:tcW w:w="1122" w:type="dxa"/>
                  <w:shd w:val="clear" w:color="auto" w:fill="auto"/>
                  <w:noWrap w:val="0"/>
                  <w:vAlign w:val="center"/>
                </w:tcPr>
                <w:p w14:paraId="00A9DE4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约</w:t>
                  </w:r>
                  <w:r>
                    <w:rPr>
                      <w:rFonts w:hint="eastAsia" w:ascii="Times New Roman" w:hAnsi="Times New Roman" w:cs="Times New Roman"/>
                      <w:color w:val="000000"/>
                      <w:sz w:val="21"/>
                      <w:szCs w:val="21"/>
                      <w:highlight w:val="none"/>
                      <w:lang w:val="en-US" w:eastAsia="zh-CN" w:bidi="ar"/>
                    </w:rPr>
                    <w:t>40户170</w:t>
                  </w:r>
                  <w:r>
                    <w:rPr>
                      <w:rFonts w:hint="eastAsia" w:ascii="Times New Roman" w:hAnsi="Times New Roman" w:eastAsia="宋体" w:cs="Times New Roman"/>
                      <w:color w:val="000000"/>
                      <w:sz w:val="21"/>
                      <w:szCs w:val="21"/>
                      <w:highlight w:val="none"/>
                      <w:lang w:val="en-US" w:eastAsia="zh-CN" w:bidi="ar"/>
                    </w:rPr>
                    <w:t>人</w:t>
                  </w:r>
                </w:p>
              </w:tc>
              <w:tc>
                <w:tcPr>
                  <w:tcW w:w="1767" w:type="dxa"/>
                  <w:vMerge w:val="continue"/>
                  <w:noWrap w:val="0"/>
                  <w:vAlign w:val="center"/>
                </w:tcPr>
                <w:p w14:paraId="1B3C93CD">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000000"/>
                      <w:sz w:val="21"/>
                      <w:szCs w:val="21"/>
                      <w:highlight w:val="none"/>
                      <w:lang w:val="en-US" w:eastAsia="zh-CN" w:bidi="ar"/>
                    </w:rPr>
                  </w:pPr>
                </w:p>
              </w:tc>
              <w:tc>
                <w:tcPr>
                  <w:tcW w:w="1095" w:type="dxa"/>
                  <w:shd w:val="clear" w:color="auto" w:fill="auto"/>
                  <w:noWrap w:val="0"/>
                  <w:vAlign w:val="center"/>
                </w:tcPr>
                <w:p w14:paraId="1FBB6270">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N</w:t>
                  </w:r>
                </w:p>
              </w:tc>
              <w:tc>
                <w:tcPr>
                  <w:tcW w:w="1496" w:type="dxa"/>
                  <w:shd w:val="clear" w:color="auto" w:fill="auto"/>
                  <w:noWrap w:val="0"/>
                  <w:vAlign w:val="center"/>
                </w:tcPr>
                <w:p w14:paraId="369DC1DB">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cs="Times New Roman"/>
                      <w:color w:val="000000"/>
                      <w:kern w:val="0"/>
                      <w:sz w:val="21"/>
                      <w:szCs w:val="21"/>
                      <w:highlight w:val="none"/>
                      <w:lang w:val="en-US" w:eastAsia="zh-CN" w:bidi="ar"/>
                    </w:rPr>
                    <w:t>305</w:t>
                  </w:r>
                </w:p>
              </w:tc>
            </w:tr>
          </w:tbl>
          <w:p w14:paraId="73B668F3">
            <w:pPr>
              <w:widowControl w:val="0"/>
              <w:numPr>
                <w:ilvl w:val="0"/>
                <w:numId w:val="0"/>
              </w:numPr>
              <w:spacing w:line="360" w:lineRule="auto"/>
              <w:ind w:leftChars="200"/>
              <w:jc w:val="both"/>
              <w:rPr>
                <w:rFonts w:hint="eastAsia" w:cs="Times New Roman"/>
                <w:b/>
                <w:bCs w:val="0"/>
                <w:color w:val="000000"/>
                <w:kern w:val="2"/>
                <w:sz w:val="24"/>
                <w:szCs w:val="24"/>
                <w:highlight w:val="none"/>
                <w:lang w:val="en-US" w:eastAsia="zh-CN" w:bidi="ar-SA"/>
              </w:rPr>
            </w:pPr>
            <w:r>
              <w:rPr>
                <w:rFonts w:hint="eastAsia" w:cs="Times New Roman"/>
                <w:b/>
                <w:bCs w:val="0"/>
                <w:color w:val="000000"/>
                <w:kern w:val="2"/>
                <w:sz w:val="24"/>
                <w:szCs w:val="24"/>
                <w:highlight w:val="none"/>
                <w:lang w:val="en-US" w:eastAsia="zh-CN" w:bidi="ar-SA"/>
              </w:rPr>
              <w:t>2、</w:t>
            </w:r>
            <w:r>
              <w:rPr>
                <w:rFonts w:hint="default" w:ascii="Times New Roman" w:hAnsi="Times New Roman" w:eastAsia="宋体" w:cs="Times New Roman"/>
                <w:b/>
                <w:bCs w:val="0"/>
                <w:color w:val="000000"/>
                <w:kern w:val="2"/>
                <w:sz w:val="24"/>
                <w:szCs w:val="24"/>
                <w:highlight w:val="none"/>
                <w:lang w:val="en-US" w:eastAsia="zh-CN" w:bidi="ar-SA"/>
              </w:rPr>
              <w:t>声环境：</w:t>
            </w:r>
            <w:r>
              <w:rPr>
                <w:rFonts w:hint="default" w:ascii="Times New Roman" w:hAnsi="Times New Roman" w:eastAsia="宋体" w:cs="Times New Roman"/>
                <w:bCs/>
                <w:color w:val="000000"/>
                <w:kern w:val="2"/>
                <w:sz w:val="24"/>
                <w:szCs w:val="24"/>
                <w:highlight w:val="none"/>
                <w:lang w:val="en-US" w:eastAsia="zh-CN" w:bidi="ar-SA"/>
              </w:rPr>
              <w:t>项目厂界</w:t>
            </w:r>
            <w:r>
              <w:rPr>
                <w:rFonts w:hint="eastAsia" w:cs="Times New Roman"/>
                <w:bCs/>
                <w:color w:val="000000"/>
                <w:kern w:val="2"/>
                <w:sz w:val="24"/>
                <w:szCs w:val="24"/>
                <w:highlight w:val="none"/>
                <w:lang w:val="en-US" w:eastAsia="zh-CN" w:bidi="ar-SA"/>
              </w:rPr>
              <w:t>西侧50米范围内无声环境保护目标</w:t>
            </w:r>
            <w:r>
              <w:rPr>
                <w:rFonts w:hint="eastAsia" w:cs="Times New Roman"/>
                <w:color w:val="000000"/>
                <w:spacing w:val="0"/>
                <w:sz w:val="24"/>
                <w:szCs w:val="24"/>
                <w:highlight w:val="none"/>
                <w:lang w:eastAsia="zh-CN"/>
              </w:rPr>
              <w:t>。</w:t>
            </w:r>
          </w:p>
          <w:p w14:paraId="79AE9B6E">
            <w:pPr>
              <w:widowControl w:val="0"/>
              <w:spacing w:line="360" w:lineRule="auto"/>
              <w:ind w:firstLine="482" w:firstLineChars="200"/>
              <w:jc w:val="both"/>
              <w:rPr>
                <w:rFonts w:hint="default" w:ascii="Times New Roman" w:hAnsi="Times New Roman" w:eastAsia="宋体" w:cs="Times New Roman"/>
                <w:bCs/>
                <w:color w:val="000000"/>
                <w:kern w:val="2"/>
                <w:sz w:val="24"/>
                <w:szCs w:val="24"/>
                <w:highlight w:val="none"/>
                <w:lang w:val="en-US" w:eastAsia="zh-CN" w:bidi="ar-SA"/>
              </w:rPr>
            </w:pPr>
            <w:r>
              <w:rPr>
                <w:rFonts w:hint="eastAsia" w:cs="Times New Roman"/>
                <w:b/>
                <w:bCs w:val="0"/>
                <w:color w:val="000000"/>
                <w:kern w:val="2"/>
                <w:sz w:val="24"/>
                <w:szCs w:val="24"/>
                <w:highlight w:val="none"/>
                <w:lang w:val="en-US" w:eastAsia="zh-CN" w:bidi="ar-SA"/>
              </w:rPr>
              <w:t>3、</w:t>
            </w:r>
            <w:r>
              <w:rPr>
                <w:rFonts w:hint="default" w:ascii="Times New Roman" w:hAnsi="Times New Roman" w:eastAsia="宋体" w:cs="Times New Roman"/>
                <w:b/>
                <w:bCs w:val="0"/>
                <w:color w:val="000000"/>
                <w:kern w:val="2"/>
                <w:sz w:val="24"/>
                <w:szCs w:val="24"/>
                <w:highlight w:val="none"/>
                <w:lang w:val="en-US" w:eastAsia="zh-CN" w:bidi="ar-SA"/>
              </w:rPr>
              <w:t>地下水环境：</w:t>
            </w:r>
            <w:r>
              <w:rPr>
                <w:rFonts w:hint="default" w:ascii="Times New Roman" w:hAnsi="Times New Roman" w:eastAsia="宋体" w:cs="Times New Roman"/>
                <w:bCs/>
                <w:color w:val="000000"/>
                <w:kern w:val="2"/>
                <w:sz w:val="24"/>
                <w:szCs w:val="24"/>
                <w:highlight w:val="none"/>
                <w:lang w:val="en-US" w:eastAsia="zh-CN" w:bidi="ar-SA"/>
              </w:rPr>
              <w:t>项目厂界外500米范围内无地下水集中式饮用水水源和热水、矿泉水、温泉等特殊地下水资源。</w:t>
            </w:r>
          </w:p>
          <w:p w14:paraId="11B3676F">
            <w:pPr>
              <w:widowControl w:val="0"/>
              <w:spacing w:line="360" w:lineRule="auto"/>
              <w:ind w:firstLine="482" w:firstLineChars="200"/>
              <w:jc w:val="both"/>
              <w:rPr>
                <w:rFonts w:hint="eastAsia" w:cs="Times New Roman"/>
                <w:bCs/>
                <w:color w:val="000000"/>
                <w:kern w:val="2"/>
                <w:sz w:val="24"/>
                <w:szCs w:val="24"/>
                <w:highlight w:val="none"/>
                <w:lang w:val="en-US" w:eastAsia="zh-CN" w:bidi="ar-SA"/>
              </w:rPr>
            </w:pPr>
            <w:r>
              <w:rPr>
                <w:rFonts w:hint="eastAsia" w:cs="Times New Roman"/>
                <w:b/>
                <w:bCs w:val="0"/>
                <w:color w:val="000000"/>
                <w:kern w:val="2"/>
                <w:sz w:val="24"/>
                <w:szCs w:val="24"/>
                <w:highlight w:val="none"/>
                <w:lang w:val="en-US" w:eastAsia="zh-CN" w:bidi="ar-SA"/>
              </w:rPr>
              <w:t>4、</w:t>
            </w:r>
            <w:r>
              <w:rPr>
                <w:rFonts w:hint="default" w:ascii="Times New Roman" w:hAnsi="Times New Roman" w:eastAsia="宋体" w:cs="Times New Roman"/>
                <w:b/>
                <w:bCs w:val="0"/>
                <w:color w:val="000000"/>
                <w:kern w:val="2"/>
                <w:sz w:val="24"/>
                <w:szCs w:val="24"/>
                <w:highlight w:val="none"/>
                <w:lang w:val="en-US" w:eastAsia="zh-CN" w:bidi="ar-SA"/>
              </w:rPr>
              <w:t>生态环境：</w:t>
            </w:r>
            <w:r>
              <w:rPr>
                <w:rFonts w:hint="default" w:ascii="Times New Roman" w:hAnsi="Times New Roman" w:eastAsia="宋体" w:cs="Times New Roman"/>
                <w:bCs/>
                <w:color w:val="000000"/>
                <w:kern w:val="2"/>
                <w:sz w:val="24"/>
                <w:szCs w:val="24"/>
                <w:highlight w:val="none"/>
                <w:lang w:val="en-US" w:eastAsia="zh-CN" w:bidi="ar-SA"/>
              </w:rPr>
              <w:t>项目位于</w:t>
            </w:r>
            <w:r>
              <w:rPr>
                <w:rFonts w:hint="default" w:ascii="Times New Roman" w:hAnsi="Times New Roman" w:cs="Times New Roman"/>
                <w:b w:val="0"/>
                <w:bCs/>
                <w:color w:val="auto"/>
                <w:sz w:val="24"/>
                <w:szCs w:val="24"/>
                <w:highlight w:val="none"/>
                <w:lang w:val="en-US" w:eastAsia="zh-CN"/>
              </w:rPr>
              <w:t>安徽</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bCs/>
                <w:color w:val="000000"/>
                <w:kern w:val="2"/>
                <w:sz w:val="24"/>
                <w:szCs w:val="24"/>
                <w:highlight w:val="none"/>
                <w:lang w:val="en-US" w:eastAsia="zh-CN" w:bidi="ar-SA"/>
              </w:rPr>
              <w:t>，项目用地范围内无生态环境保护目标</w:t>
            </w:r>
            <w:r>
              <w:rPr>
                <w:rFonts w:hint="eastAsia" w:cs="Times New Roman"/>
                <w:bCs/>
                <w:color w:val="000000"/>
                <w:kern w:val="2"/>
                <w:sz w:val="24"/>
                <w:szCs w:val="24"/>
                <w:highlight w:val="none"/>
                <w:lang w:val="en-US" w:eastAsia="zh-CN" w:bidi="ar-SA"/>
              </w:rPr>
              <w:t>。</w:t>
            </w:r>
          </w:p>
          <w:p w14:paraId="6EA26DD4">
            <w:pPr>
              <w:widowControl w:val="0"/>
              <w:spacing w:line="360" w:lineRule="auto"/>
              <w:jc w:val="both"/>
              <w:rPr>
                <w:rFonts w:hint="eastAsia" w:cs="Times New Roman"/>
                <w:bCs/>
                <w:color w:val="000000"/>
                <w:kern w:val="2"/>
                <w:sz w:val="24"/>
                <w:szCs w:val="24"/>
                <w:highlight w:val="none"/>
                <w:lang w:val="en-US" w:eastAsia="zh-CN" w:bidi="ar-SA"/>
              </w:rPr>
            </w:pPr>
            <w:r>
              <w:drawing>
                <wp:anchor distT="0" distB="0" distL="114300" distR="114300" simplePos="0" relativeHeight="251670528" behindDoc="0" locked="0" layoutInCell="1" allowOverlap="1">
                  <wp:simplePos x="0" y="0"/>
                  <wp:positionH relativeFrom="column">
                    <wp:posOffset>3931920</wp:posOffset>
                  </wp:positionH>
                  <wp:positionV relativeFrom="paragraph">
                    <wp:posOffset>3411855</wp:posOffset>
                  </wp:positionV>
                  <wp:extent cx="1400175" cy="695325"/>
                  <wp:effectExtent l="0" t="0" r="9525" b="9525"/>
                  <wp:wrapNone/>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12"/>
                          <a:stretch>
                            <a:fillRect/>
                          </a:stretch>
                        </pic:blipFill>
                        <pic:spPr>
                          <a:xfrm>
                            <a:off x="0" y="0"/>
                            <a:ext cx="1400175" cy="695325"/>
                          </a:xfrm>
                          <a:prstGeom prst="rect">
                            <a:avLst/>
                          </a:prstGeom>
                          <a:noFill/>
                          <a:ln>
                            <a:noFill/>
                          </a:ln>
                        </pic:spPr>
                      </pic:pic>
                    </a:graphicData>
                  </a:graphic>
                </wp:anchor>
              </w:drawing>
            </w:r>
            <w:r>
              <w:rPr>
                <w:rFonts w:ascii="宋体" w:hAnsi="宋体" w:eastAsia="宋体" w:cs="宋体"/>
                <w:sz w:val="24"/>
                <w:szCs w:val="24"/>
              </w:rPr>
              <w:drawing>
                <wp:anchor distT="0" distB="0" distL="114300" distR="114300" simplePos="0" relativeHeight="251669504" behindDoc="0" locked="0" layoutInCell="1" allowOverlap="1">
                  <wp:simplePos x="0" y="0"/>
                  <wp:positionH relativeFrom="column">
                    <wp:posOffset>4634865</wp:posOffset>
                  </wp:positionH>
                  <wp:positionV relativeFrom="paragraph">
                    <wp:posOffset>132715</wp:posOffset>
                  </wp:positionV>
                  <wp:extent cx="742315" cy="771525"/>
                  <wp:effectExtent l="0" t="0" r="0" b="0"/>
                  <wp:wrapNone/>
                  <wp:docPr id="12"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IMG_256"/>
                          <pic:cNvPicPr>
                            <a:picLocks noChangeAspect="1"/>
                          </pic:cNvPicPr>
                        </pic:nvPicPr>
                        <pic:blipFill>
                          <a:blip r:embed="rId13"/>
                          <a:stretch>
                            <a:fillRect/>
                          </a:stretch>
                        </pic:blipFill>
                        <pic:spPr>
                          <a:xfrm>
                            <a:off x="0" y="0"/>
                            <a:ext cx="742315" cy="771525"/>
                          </a:xfrm>
                          <a:prstGeom prst="rect">
                            <a:avLst/>
                          </a:prstGeom>
                          <a:noFill/>
                          <a:ln w="9525">
                            <a:noFill/>
                          </a:ln>
                        </pic:spPr>
                      </pic:pic>
                    </a:graphicData>
                  </a:graphic>
                </wp:anchor>
              </w:drawing>
            </w:r>
            <w:r>
              <w:rPr>
                <w:sz w:val="24"/>
                <w:szCs w:val="24"/>
              </w:rPr>
              <w:drawing>
                <wp:anchor distT="0" distB="0" distL="114300" distR="114300" simplePos="0" relativeHeight="251668480" behindDoc="0" locked="0" layoutInCell="1" allowOverlap="1">
                  <wp:simplePos x="0" y="0"/>
                  <wp:positionH relativeFrom="column">
                    <wp:posOffset>4734560</wp:posOffset>
                  </wp:positionH>
                  <wp:positionV relativeFrom="paragraph">
                    <wp:posOffset>976630</wp:posOffset>
                  </wp:positionV>
                  <wp:extent cx="428625" cy="308610"/>
                  <wp:effectExtent l="0" t="0" r="0" b="0"/>
                  <wp:wrapNone/>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4"/>
                          <a:srcRect r="49400" b="-4516"/>
                          <a:stretch>
                            <a:fillRect/>
                          </a:stretch>
                        </pic:blipFill>
                        <pic:spPr>
                          <a:xfrm>
                            <a:off x="0" y="0"/>
                            <a:ext cx="428625" cy="308610"/>
                          </a:xfrm>
                          <a:prstGeom prst="rect">
                            <a:avLst/>
                          </a:prstGeom>
                          <a:noFill/>
                          <a:ln>
                            <a:noFill/>
                          </a:ln>
                        </pic:spPr>
                      </pic:pic>
                    </a:graphicData>
                  </a:graphic>
                </wp:anchor>
              </w:drawing>
            </w:r>
            <w:r>
              <w:rPr>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1236980</wp:posOffset>
                      </wp:positionH>
                      <wp:positionV relativeFrom="paragraph">
                        <wp:posOffset>1709420</wp:posOffset>
                      </wp:positionV>
                      <wp:extent cx="144145" cy="144145"/>
                      <wp:effectExtent l="12700" t="12700" r="14605" b="14605"/>
                      <wp:wrapNone/>
                      <wp:docPr id="44" name="椭圆 44"/>
                      <wp:cNvGraphicFramePr/>
                      <a:graphic xmlns:a="http://schemas.openxmlformats.org/drawingml/2006/main">
                        <a:graphicData uri="http://schemas.microsoft.com/office/word/2010/wordprocessingShape">
                          <wps:wsp>
                            <wps:cNvSpPr/>
                            <wps:spPr>
                              <a:xfrm>
                                <a:off x="0" y="0"/>
                                <a:ext cx="144145" cy="144145"/>
                              </a:xfrm>
                              <a:prstGeom prst="ellipse">
                                <a:avLst/>
                              </a:prstGeom>
                              <a:solidFill>
                                <a:srgbClr val="FF0000"/>
                              </a:solidFill>
                              <a:ln w="25400" cap="flat" cmpd="sng" algn="ctr">
                                <a:solidFill>
                                  <a:srgbClr val="376092">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97.4pt;margin-top:134.6pt;height:11.35pt;width:11.35pt;z-index:251664384;v-text-anchor:middle;mso-width-relative:page;mso-height-relative:page;" fillcolor="#FF0000" filled="t" stroked="t" coordsize="21600,21600" o:gfxdata="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sv2/dNoAAAALAQAADwAAAAAAAAABACAAAAAi&#10;AAAAZHJzL2Rvd25yZXYueG1sUEsBAhQAFAAAAAgAh07iQC7GTZV6AgAAEQUAAA4AAAAAAAAAAQAg&#10;AAAAKQEAAGRycy9lMm9Eb2MueG1sUEsFBgAAAAAGAAYAWQEAABUGAAAAAA==&#10;">
                      <v:fill on="t" focussize="0,0"/>
                      <v:stroke weight="2pt" color="#29486E" joinstyle="round"/>
                      <v:imagedata o:title=""/>
                      <o:lock v:ext="edit" aspectratio="f"/>
                    </v:shape>
                  </w:pict>
                </mc:Fallback>
              </mc:AlternateContent>
            </w:r>
            <w:r>
              <w:rPr>
                <w:sz w:val="24"/>
                <w:szCs w:val="24"/>
              </w:rPr>
              <w:drawing>
                <wp:inline distT="0" distB="0" distL="114300" distR="114300">
                  <wp:extent cx="5332730" cy="4092575"/>
                  <wp:effectExtent l="0" t="0" r="1270" b="317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5"/>
                          <a:stretch>
                            <a:fillRect/>
                          </a:stretch>
                        </pic:blipFill>
                        <pic:spPr>
                          <a:xfrm>
                            <a:off x="0" y="0"/>
                            <a:ext cx="5332730" cy="4092575"/>
                          </a:xfrm>
                          <a:prstGeom prst="rect">
                            <a:avLst/>
                          </a:prstGeom>
                          <a:noFill/>
                          <a:ln>
                            <a:noFill/>
                          </a:ln>
                        </pic:spPr>
                      </pic:pic>
                    </a:graphicData>
                  </a:graphic>
                </wp:inline>
              </w:drawing>
            </w:r>
            <w:r>
              <w:rPr>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741680</wp:posOffset>
                      </wp:positionH>
                      <wp:positionV relativeFrom="paragraph">
                        <wp:posOffset>1299210</wp:posOffset>
                      </wp:positionV>
                      <wp:extent cx="693420" cy="220345"/>
                      <wp:effectExtent l="4445" t="4445" r="6985" b="22860"/>
                      <wp:wrapNone/>
                      <wp:docPr id="17" name="文本框 17"/>
                      <wp:cNvGraphicFramePr/>
                      <a:graphic xmlns:a="http://schemas.openxmlformats.org/drawingml/2006/main">
                        <a:graphicData uri="http://schemas.microsoft.com/office/word/2010/wordprocessingShape">
                          <wps:wsp>
                            <wps:cNvSpPr txBox="1"/>
                            <wps:spPr>
                              <a:xfrm>
                                <a:off x="2637790" y="3410585"/>
                                <a:ext cx="693420" cy="201930"/>
                              </a:xfrm>
                              <a:prstGeom prst="rect">
                                <a:avLst/>
                              </a:prstGeom>
                              <a:solidFill>
                                <a:srgbClr val="FFFFFF"/>
                              </a:solidFill>
                              <a:ln w="6350">
                                <a:solidFill>
                                  <a:prstClr val="black"/>
                                </a:solidFill>
                              </a:ln>
                              <a:effectLst/>
                            </wps:spPr>
                            <wps:txbx>
                              <w:txbxContent>
                                <w:p w14:paraId="088D360A">
                                  <w:pPr>
                                    <w:rPr>
                                      <w:rFonts w:hint="eastAsia" w:eastAsia="宋体"/>
                                      <w:b/>
                                      <w:bCs/>
                                      <w:sz w:val="15"/>
                                      <w:szCs w:val="15"/>
                                      <w:lang w:eastAsia="zh-CN"/>
                                    </w:rPr>
                                  </w:pPr>
                                  <w:r>
                                    <w:rPr>
                                      <w:rFonts w:hint="eastAsia"/>
                                      <w:b/>
                                      <w:bCs/>
                                      <w:sz w:val="15"/>
                                      <w:szCs w:val="15"/>
                                      <w:lang w:eastAsia="zh-CN"/>
                                    </w:rPr>
                                    <w:t>园区公租房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8.4pt;margin-top:102.3pt;height:17.35pt;width:54.6pt;z-index:251665408;mso-width-relative:page;mso-height-relative:page;" fillcolor="#FFFFFF" filled="t" stroked="t" coordsize="21600,21600" o:gfxdata="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GjfGbbWAAAACwEAAA8AAAAAAAAAAQAgAAAAIgAAAGRycy9kb3ducmV2LnhtbFBL&#10;AQIUABQAAAAIAIdO4kBPfmU7agIAANIEAAAOAAAAAAAAAAEAIAAAACUBAABkcnMvZTJvRG9jLnht&#10;bFBLBQYAAAAABgAGAFkBAAABBgAAAAA=&#10;">
                      <v:fill on="t" focussize="0,0"/>
                      <v:stroke weight="0.5pt" color="#000000" joinstyle="round"/>
                      <v:imagedata o:title=""/>
                      <o:lock v:ext="edit" aspectratio="f"/>
                      <v:textbox>
                        <w:txbxContent>
                          <w:p w14:paraId="088D360A">
                            <w:pPr>
                              <w:rPr>
                                <w:rFonts w:hint="eastAsia" w:eastAsia="宋体"/>
                                <w:b/>
                                <w:bCs/>
                                <w:sz w:val="15"/>
                                <w:szCs w:val="15"/>
                                <w:lang w:eastAsia="zh-CN"/>
                              </w:rPr>
                            </w:pPr>
                            <w:r>
                              <w:rPr>
                                <w:rFonts w:hint="eastAsia"/>
                                <w:b/>
                                <w:bCs/>
                                <w:sz w:val="15"/>
                                <w:szCs w:val="15"/>
                                <w:lang w:eastAsia="zh-CN"/>
                              </w:rPr>
                              <w:t>园区公租房</w:t>
                            </w:r>
                          </w:p>
                        </w:txbxContent>
                      </v:textbox>
                    </v:shape>
                  </w:pict>
                </mc:Fallback>
              </mc:AlternateContent>
            </w:r>
            <w:r>
              <w:rPr>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2586355</wp:posOffset>
                      </wp:positionH>
                      <wp:positionV relativeFrom="paragraph">
                        <wp:posOffset>772160</wp:posOffset>
                      </wp:positionV>
                      <wp:extent cx="144145" cy="144145"/>
                      <wp:effectExtent l="12700" t="12700" r="14605" b="14605"/>
                      <wp:wrapNone/>
                      <wp:docPr id="51" name="椭圆 51"/>
                      <wp:cNvGraphicFramePr/>
                      <a:graphic xmlns:a="http://schemas.openxmlformats.org/drawingml/2006/main">
                        <a:graphicData uri="http://schemas.microsoft.com/office/word/2010/wordprocessingShape">
                          <wps:wsp>
                            <wps:cNvSpPr/>
                            <wps:spPr>
                              <a:xfrm>
                                <a:off x="0" y="0"/>
                                <a:ext cx="144145" cy="144145"/>
                              </a:xfrm>
                              <a:prstGeom prst="ellipse">
                                <a:avLst/>
                              </a:prstGeom>
                              <a:solidFill>
                                <a:srgbClr val="FF0000"/>
                              </a:solidFill>
                              <a:ln w="25400" cap="flat" cmpd="sng" algn="ctr">
                                <a:solidFill>
                                  <a:srgbClr val="376092">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03.65pt;margin-top:60.8pt;height:11.35pt;width:11.35pt;z-index:251662336;v-text-anchor:middle;mso-width-relative:page;mso-height-relative:page;" fillcolor="#FF0000" filled="t" stroked="t" coordsize="21600,21600" o:gfxdata="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TeFcrdoAAAALAQAADwAAAAAAAAABACAAAAAi&#10;AAAAZHJzL2Rvd25yZXYueG1sUEsBAhQAFAAAAAgAh07iQOZZeFp6AgAAEQUAAA4AAAAAAAAAAQAg&#10;AAAAKQEAAGRycy9lMm9Eb2MueG1sUEsFBgAAAAAGAAYAWQEAABUGAAAAAA==&#10;">
                      <v:fill on="t" focussize="0,0"/>
                      <v:stroke weight="2pt" color="#29486E" joinstyle="round"/>
                      <v:imagedata o:title=""/>
                      <o:lock v:ext="edit" aspectratio="f"/>
                    </v:shape>
                  </w:pict>
                </mc:Fallback>
              </mc:AlternateContent>
            </w:r>
            <w:r>
              <w:rPr>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2491105</wp:posOffset>
                      </wp:positionH>
                      <wp:positionV relativeFrom="paragraph">
                        <wp:posOffset>1276985</wp:posOffset>
                      </wp:positionV>
                      <wp:extent cx="772160" cy="211455"/>
                      <wp:effectExtent l="4445" t="4445" r="23495" b="12700"/>
                      <wp:wrapNone/>
                      <wp:docPr id="54" name="文本框 54"/>
                      <wp:cNvGraphicFramePr/>
                      <a:graphic xmlns:a="http://schemas.openxmlformats.org/drawingml/2006/main">
                        <a:graphicData uri="http://schemas.microsoft.com/office/word/2010/wordprocessingShape">
                          <wps:wsp>
                            <wps:cNvSpPr txBox="1"/>
                            <wps:spPr>
                              <a:xfrm>
                                <a:off x="2637790" y="3410585"/>
                                <a:ext cx="772160" cy="211455"/>
                              </a:xfrm>
                              <a:prstGeom prst="rect">
                                <a:avLst/>
                              </a:prstGeom>
                              <a:solidFill>
                                <a:srgbClr val="FFFFFF"/>
                              </a:solidFill>
                              <a:ln w="6350">
                                <a:solidFill>
                                  <a:prstClr val="black"/>
                                </a:solidFill>
                              </a:ln>
                              <a:effectLst/>
                            </wps:spPr>
                            <wps:txbx>
                              <w:txbxContent>
                                <w:p w14:paraId="5592E62C">
                                  <w:pPr>
                                    <w:pStyle w:val="16"/>
                                    <w:ind w:left="0" w:leftChars="0" w:firstLine="0" w:firstLineChars="0"/>
                                    <w:jc w:val="center"/>
                                    <w:rPr>
                                      <w:rFonts w:hint="eastAsia"/>
                                      <w:b/>
                                      <w:bCs/>
                                      <w:lang w:eastAsia="zh-CN"/>
                                    </w:rPr>
                                  </w:pPr>
                                  <w:r>
                                    <w:rPr>
                                      <w:rFonts w:hint="eastAsia"/>
                                      <w:b/>
                                      <w:bCs/>
                                      <w:sz w:val="15"/>
                                      <w:szCs w:val="15"/>
                                      <w:lang w:eastAsia="zh-CN"/>
                                    </w:rPr>
                                    <w:t>集中区管委会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6.15pt;margin-top:100.55pt;height:16.65pt;width:60.8pt;z-index:251659264;mso-width-relative:page;mso-height-relative:page;" fillcolor="#FFFFFF" filled="t" stroked="t" coordsize="21600,21600" o:gfxdata="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a0VHudcAAAALAQAADwAAAAAAAAABACAAAAAiAAAAZHJzL2Rvd25yZXYu&#10;eG1sUEsBAhQAFAAAAAgAh07iQDFZL+1uAgAA0gQAAA4AAAAAAAAAAQAgAAAAJgEAAGRycy9lMm9E&#10;b2MueG1sUEsFBgAAAAAGAAYAWQEAAAYGAAAAAA==&#10;">
                      <v:fill on="t" focussize="0,0"/>
                      <v:stroke weight="0.5pt" color="#000000" joinstyle="round"/>
                      <v:imagedata o:title=""/>
                      <o:lock v:ext="edit" aspectratio="f"/>
                      <v:textbox>
                        <w:txbxContent>
                          <w:p w14:paraId="5592E62C">
                            <w:pPr>
                              <w:pStyle w:val="16"/>
                              <w:ind w:left="0" w:leftChars="0" w:firstLine="0" w:firstLineChars="0"/>
                              <w:jc w:val="center"/>
                              <w:rPr>
                                <w:rFonts w:hint="eastAsia"/>
                                <w:b/>
                                <w:bCs/>
                                <w:lang w:eastAsia="zh-CN"/>
                              </w:rPr>
                            </w:pPr>
                            <w:r>
                              <w:rPr>
                                <w:rFonts w:hint="eastAsia"/>
                                <w:b/>
                                <w:bCs/>
                                <w:sz w:val="15"/>
                                <w:szCs w:val="15"/>
                                <w:lang w:eastAsia="zh-CN"/>
                              </w:rPr>
                              <w:t>集中区管委会</w:t>
                            </w:r>
                          </w:p>
                        </w:txbxContent>
                      </v:textbox>
                    </v:shape>
                  </w:pict>
                </mc:Fallback>
              </mc:AlternateContent>
            </w:r>
            <w:r>
              <w:rPr>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2262505</wp:posOffset>
                      </wp:positionH>
                      <wp:positionV relativeFrom="paragraph">
                        <wp:posOffset>1266190</wp:posOffset>
                      </wp:positionV>
                      <wp:extent cx="144145" cy="144145"/>
                      <wp:effectExtent l="12700" t="12700" r="14605" b="14605"/>
                      <wp:wrapNone/>
                      <wp:docPr id="48" name="椭圆 48"/>
                      <wp:cNvGraphicFramePr/>
                      <a:graphic xmlns:a="http://schemas.openxmlformats.org/drawingml/2006/main">
                        <a:graphicData uri="http://schemas.microsoft.com/office/word/2010/wordprocessingShape">
                          <wps:wsp>
                            <wps:cNvSpPr/>
                            <wps:spPr>
                              <a:xfrm>
                                <a:off x="0" y="0"/>
                                <a:ext cx="144145" cy="144145"/>
                              </a:xfrm>
                              <a:prstGeom prst="ellipse">
                                <a:avLst/>
                              </a:prstGeom>
                              <a:solidFill>
                                <a:srgbClr val="FF0000"/>
                              </a:solidFill>
                              <a:ln w="25400" cap="flat" cmpd="sng" algn="ctr">
                                <a:solidFill>
                                  <a:srgbClr val="376092">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78.15pt;margin-top:99.7pt;height:11.35pt;width:11.35pt;z-index:251661312;v-text-anchor:middle;mso-width-relative:page;mso-height-relative:page;" fillcolor="#FF0000" filled="t" stroked="t" coordsize="21600,21600" o:gfxdata="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1dS0mdoAAAALAQAADwAAAAAAAAABACAAAAAi&#10;AAAAZHJzL2Rvd25yZXYueG1sUEsBAhQAFAAAAAgAh07iQAWmxqJ6AgAAEQUAAA4AAAAAAAAAAQAg&#10;AAAAKQEAAGRycy9lMm9Eb2MueG1sUEsFBgAAAAAGAAYAWQEAABUGAAAAAA==&#10;">
                      <v:fill on="t" focussize="0,0"/>
                      <v:stroke weight="2pt" color="#29486E" joinstyle="round"/>
                      <v:imagedata o:title=""/>
                      <o:lock v:ext="edit" aspectratio="f"/>
                    </v:shape>
                  </w:pict>
                </mc:Fallback>
              </mc:AlternateContent>
            </w:r>
            <w:r>
              <w:rPr>
                <w:sz w:val="24"/>
                <w:szCs w:val="24"/>
              </w:rPr>
              <mc:AlternateContent>
                <mc:Choice Requires="wps">
                  <w:drawing>
                    <wp:anchor distT="0" distB="0" distL="114300" distR="114300" simplePos="0" relativeHeight="251667456" behindDoc="0" locked="0" layoutInCell="1" allowOverlap="1">
                      <wp:simplePos x="0" y="0"/>
                      <wp:positionH relativeFrom="column">
                        <wp:posOffset>3029585</wp:posOffset>
                      </wp:positionH>
                      <wp:positionV relativeFrom="paragraph">
                        <wp:posOffset>1740535</wp:posOffset>
                      </wp:positionV>
                      <wp:extent cx="552450" cy="219075"/>
                      <wp:effectExtent l="0" t="0" r="0" b="0"/>
                      <wp:wrapNone/>
                      <wp:docPr id="9" name="文本框 9"/>
                      <wp:cNvGraphicFramePr/>
                      <a:graphic xmlns:a="http://schemas.openxmlformats.org/drawingml/2006/main">
                        <a:graphicData uri="http://schemas.microsoft.com/office/word/2010/wordprocessingShape">
                          <wps:wsp>
                            <wps:cNvSpPr txBox="1"/>
                            <wps:spPr>
                              <a:xfrm>
                                <a:off x="4330700" y="2827020"/>
                                <a:ext cx="552450" cy="2190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4E3815">
                                  <w:pPr>
                                    <w:rPr>
                                      <w:rFonts w:hint="default" w:eastAsia="宋体"/>
                                      <w:color w:val="FF0000"/>
                                      <w:lang w:val="en-US" w:eastAsia="zh-CN"/>
                                    </w:rPr>
                                  </w:pPr>
                                  <w:r>
                                    <w:rPr>
                                      <w:rFonts w:hint="eastAsia"/>
                                      <w:color w:val="FF0000"/>
                                      <w:lang w:val="en-US" w:eastAsia="zh-CN"/>
                                    </w:rPr>
                                    <w:t>500m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55pt;margin-top:137.05pt;height:17.25pt;width:43.5pt;z-index:251667456;mso-width-relative:page;mso-height-relative:page;" filled="f" stroked="f" coordsize="21600,21600" o:gfxdata="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r+59M3AAAAAsBAAAPAAAAAAAAAAEA&#10;IAAAACIAAABkcnMvZG93bnJldi54bWxQSwECFAAUAAAACACHTuJAL3Z4rkQCAABxBAAADgAAAAAA&#10;AAABACAAAAArAQAAZHJzL2Uyb0RvYy54bWxQSwUGAAAAAAYABgBZAQAA4QUAAAAA&#10;">
                      <v:fill on="f" focussize="0,0"/>
                      <v:stroke on="f" weight="0.5pt"/>
                      <v:imagedata o:title=""/>
                      <o:lock v:ext="edit" aspectratio="f"/>
                      <v:textbox>
                        <w:txbxContent>
                          <w:p w14:paraId="094E3815">
                            <w:pPr>
                              <w:rPr>
                                <w:rFonts w:hint="default" w:eastAsia="宋体"/>
                                <w:color w:val="FF0000"/>
                                <w:lang w:val="en-US" w:eastAsia="zh-CN"/>
                              </w:rPr>
                            </w:pPr>
                            <w:r>
                              <w:rPr>
                                <w:rFonts w:hint="eastAsia"/>
                                <w:color w:val="FF0000"/>
                                <w:lang w:val="en-US" w:eastAsia="zh-CN"/>
                              </w:rPr>
                              <w:t>500m</w:t>
                            </w:r>
                          </w:p>
                        </w:txbxContent>
                      </v:textbox>
                    </v:shape>
                  </w:pict>
                </mc:Fallback>
              </mc:AlternateContent>
            </w:r>
            <w:r>
              <w:rPr>
                <w:sz w:val="24"/>
                <w:szCs w:val="24"/>
              </w:rPr>
              <mc:AlternateContent>
                <mc:Choice Requires="wps">
                  <w:drawing>
                    <wp:anchor distT="0" distB="0" distL="114300" distR="114300" simplePos="0" relativeHeight="251666432" behindDoc="0" locked="0" layoutInCell="1" allowOverlap="1">
                      <wp:simplePos x="0" y="0"/>
                      <wp:positionH relativeFrom="column">
                        <wp:posOffset>2629535</wp:posOffset>
                      </wp:positionH>
                      <wp:positionV relativeFrom="paragraph">
                        <wp:posOffset>1241425</wp:posOffset>
                      </wp:positionV>
                      <wp:extent cx="1106805" cy="718185"/>
                      <wp:effectExtent l="3175" t="5080" r="13970" b="19685"/>
                      <wp:wrapNone/>
                      <wp:docPr id="8" name="直接连接符 8"/>
                      <wp:cNvGraphicFramePr/>
                      <a:graphic xmlns:a="http://schemas.openxmlformats.org/drawingml/2006/main">
                        <a:graphicData uri="http://schemas.microsoft.com/office/word/2010/wordprocessingShape">
                          <wps:wsp>
                            <wps:cNvCnPr/>
                            <wps:spPr>
                              <a:xfrm flipV="1">
                                <a:off x="3540125" y="2969895"/>
                                <a:ext cx="1106805" cy="718185"/>
                              </a:xfrm>
                              <a:prstGeom prst="line">
                                <a:avLst/>
                              </a:prstGeom>
                              <a:ln w="12700" cap="flat" cmpd="sng" algn="ctr">
                                <a:solidFill>
                                  <a:srgbClr val="FF0000"/>
                                </a:solidFill>
                                <a:prstDash val="dash"/>
                                <a:miter lim="800000"/>
                              </a:ln>
                            </wps:spPr>
                            <wps:style>
                              <a:lnRef idx="0">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207.05pt;margin-top:97.75pt;height:56.55pt;width:87.15pt;z-index:251666432;mso-width-relative:page;mso-height-relative:page;" filled="f" stroked="t" coordsize="21600,21600" o:gfxdata="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jy/P/YAAAACwEAAA8AAAAAAAAAAQAgAAAAIgAAAGRycy9k&#10;b3ducmV2LnhtbFBLAQIUABQAAAAIAIdO4kC6rX/mAgIAAMwDAAAOAAAAAAAAAAEAIAAAACcBAABk&#10;cnMvZTJvRG9jLnhtbFBLBQYAAAAABgAGAFkBAACbBQAAAAA=&#10;">
                      <v:fill on="f" focussize="0,0"/>
                      <v:stroke weight="1pt" color="#FF0000 [3204]" miterlimit="8" joinstyle="miter" dashstyle="dash"/>
                      <v:imagedata o:title=""/>
                      <o:lock v:ext="edit" aspectratio="f"/>
                    </v:line>
                  </w:pict>
                </mc:Fallback>
              </mc:AlternateContent>
            </w:r>
            <w:r>
              <w:rPr>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1871980</wp:posOffset>
                      </wp:positionH>
                      <wp:positionV relativeFrom="paragraph">
                        <wp:posOffset>517525</wp:posOffset>
                      </wp:positionV>
                      <wp:extent cx="581660" cy="220980"/>
                      <wp:effectExtent l="5080" t="4445" r="22860" b="22225"/>
                      <wp:wrapNone/>
                      <wp:docPr id="15" name="文本框 15"/>
                      <wp:cNvGraphicFramePr/>
                      <a:graphic xmlns:a="http://schemas.openxmlformats.org/drawingml/2006/main">
                        <a:graphicData uri="http://schemas.microsoft.com/office/word/2010/wordprocessingShape">
                          <wps:wsp>
                            <wps:cNvSpPr txBox="1"/>
                            <wps:spPr>
                              <a:xfrm>
                                <a:off x="0" y="0"/>
                                <a:ext cx="581660" cy="220980"/>
                              </a:xfrm>
                              <a:prstGeom prst="rect">
                                <a:avLst/>
                              </a:prstGeom>
                              <a:solidFill>
                                <a:srgbClr val="FFFFFF"/>
                              </a:solidFill>
                              <a:ln w="6350">
                                <a:solidFill>
                                  <a:prstClr val="black"/>
                                </a:solidFill>
                              </a:ln>
                              <a:effectLst/>
                            </wps:spPr>
                            <wps:txbx>
                              <w:txbxContent>
                                <w:p w14:paraId="11C06FBE">
                                  <w:pPr>
                                    <w:rPr>
                                      <w:rFonts w:hint="eastAsia" w:eastAsia="宋体"/>
                                      <w:b/>
                                      <w:bCs/>
                                      <w:sz w:val="15"/>
                                      <w:szCs w:val="15"/>
                                      <w:lang w:eastAsia="zh-CN"/>
                                    </w:rPr>
                                  </w:pPr>
                                  <w:r>
                                    <w:rPr>
                                      <w:rFonts w:hint="eastAsia"/>
                                      <w:b/>
                                      <w:bCs/>
                                      <w:sz w:val="15"/>
                                      <w:szCs w:val="15"/>
                                      <w:lang w:eastAsia="zh-CN"/>
                                    </w:rPr>
                                    <w:t>梅龙街道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7.4pt;margin-top:40.75pt;height:17.4pt;width:45.8pt;z-index:251663360;mso-width-relative:page;mso-height-relative:page;" fillcolor="#FFFFFF" filled="t" stroked="t" coordsize="21600,21600" o:gfxdata="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VkabldcAAAAKAQAADwAAAAAAAAABACAAAAAiAAAAZHJzL2Rvd25yZXYueG1sUEsBAhQAFAAAAAgA&#10;h07iQGti4EJfAgAAxgQAAA4AAAAAAAAAAQAgAAAAJgEAAGRycy9lMm9Eb2MueG1sUEsFBgAAAAAG&#10;AAYAWQEAAPcFAAAAAA==&#10;">
                      <v:fill on="t" focussize="0,0"/>
                      <v:stroke weight="0.5pt" color="#000000" joinstyle="round"/>
                      <v:imagedata o:title=""/>
                      <o:lock v:ext="edit" aspectratio="f"/>
                      <v:textbox>
                        <w:txbxContent>
                          <w:p w14:paraId="11C06FBE">
                            <w:pPr>
                              <w:rPr>
                                <w:rFonts w:hint="eastAsia" w:eastAsia="宋体"/>
                                <w:b/>
                                <w:bCs/>
                                <w:sz w:val="15"/>
                                <w:szCs w:val="15"/>
                                <w:lang w:eastAsia="zh-CN"/>
                              </w:rPr>
                            </w:pPr>
                            <w:r>
                              <w:rPr>
                                <w:rFonts w:hint="eastAsia"/>
                                <w:b/>
                                <w:bCs/>
                                <w:sz w:val="15"/>
                                <w:szCs w:val="15"/>
                                <w:lang w:eastAsia="zh-CN"/>
                              </w:rPr>
                              <w:t>梅龙街道</w:t>
                            </w:r>
                          </w:p>
                        </w:txbxContent>
                      </v:textbox>
                    </v:shape>
                  </w:pict>
                </mc:Fallback>
              </mc:AlternateContent>
            </w:r>
          </w:p>
          <w:p w14:paraId="54FCC8AC">
            <w:pPr>
              <w:pStyle w:val="36"/>
              <w:numPr>
                <w:ilvl w:val="0"/>
                <w:numId w:val="0"/>
              </w:numPr>
              <w:snapToGrid w:val="0"/>
              <w:spacing w:line="360" w:lineRule="auto"/>
              <w:jc w:val="center"/>
              <w:rPr>
                <w:rFonts w:hint="default" w:ascii="Times New Roman" w:hAnsi="Times New Roman" w:cs="Times New Roman"/>
                <w:color w:val="auto"/>
                <w:kern w:val="0"/>
                <w:sz w:val="24"/>
                <w:szCs w:val="24"/>
                <w:highlight w:val="none"/>
              </w:rPr>
            </w:pPr>
            <w:r>
              <w:rPr>
                <w:rFonts w:hint="eastAsia" w:cs="Times New Roman"/>
                <w:b/>
                <w:bCs w:val="0"/>
                <w:color w:val="000000"/>
                <w:kern w:val="2"/>
                <w:sz w:val="24"/>
                <w:szCs w:val="24"/>
                <w:highlight w:val="none"/>
                <w:lang w:val="en-US" w:eastAsia="zh-CN" w:bidi="ar-SA"/>
              </w:rPr>
              <w:t>图3-1  大气环境敏感图</w:t>
            </w:r>
          </w:p>
        </w:tc>
      </w:tr>
      <w:tr w14:paraId="19B0A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443" w:type="dxa"/>
            <w:noWrap w:val="0"/>
            <w:tcMar>
              <w:left w:w="28" w:type="dxa"/>
              <w:right w:w="28" w:type="dxa"/>
            </w:tcMar>
            <w:vAlign w:val="center"/>
          </w:tcPr>
          <w:p w14:paraId="684E100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污染</w:t>
            </w:r>
          </w:p>
          <w:p w14:paraId="38121D9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物排</w:t>
            </w:r>
          </w:p>
          <w:p w14:paraId="5B6BBB66">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放控</w:t>
            </w:r>
          </w:p>
          <w:p w14:paraId="3F640B3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制标</w:t>
            </w:r>
          </w:p>
          <w:p w14:paraId="48A1B9CD">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准</w:t>
            </w:r>
          </w:p>
        </w:tc>
        <w:tc>
          <w:tcPr>
            <w:tcW w:w="8617" w:type="dxa"/>
            <w:noWrap w:val="0"/>
            <w:vAlign w:val="center"/>
          </w:tcPr>
          <w:p w14:paraId="07FA6CA9">
            <w:pPr>
              <w:pStyle w:val="37"/>
              <w:snapToGrid w:val="0"/>
              <w:ind w:firstLine="482"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1、废气</w:t>
            </w:r>
          </w:p>
          <w:p w14:paraId="0E04041C">
            <w:pPr>
              <w:pStyle w:val="37"/>
              <w:snapToGrid w:val="0"/>
              <w:ind w:firstLine="480" w:firstLineChars="200"/>
              <w:jc w:val="both"/>
              <w:rPr>
                <w:rFonts w:hint="default" w:ascii="Times New Roman" w:hAnsi="Times New Roman" w:cs="Times New Roman"/>
                <w:b w:val="0"/>
                <w:bCs/>
                <w:color w:val="auto"/>
                <w:sz w:val="24"/>
                <w:szCs w:val="24"/>
                <w:highlight w:val="none"/>
              </w:rPr>
            </w:pPr>
            <w:r>
              <w:rPr>
                <w:rFonts w:hint="eastAsia" w:cs="Times New Roman"/>
                <w:b w:val="0"/>
                <w:bCs/>
                <w:color w:val="000000"/>
                <w:sz w:val="24"/>
                <w:szCs w:val="24"/>
                <w:highlight w:val="none"/>
                <w:lang w:val="en-US" w:eastAsia="zh-CN"/>
              </w:rPr>
              <w:t>本项目施工期颗粒物执行《施工场地颗粒物排放标准》（DB34/4811—2024）表1标准限值；</w:t>
            </w:r>
            <w:r>
              <w:rPr>
                <w:rFonts w:hint="default" w:ascii="Times New Roman" w:hAnsi="Times New Roman" w:cs="Times New Roman"/>
                <w:b w:val="0"/>
                <w:bCs/>
                <w:color w:val="auto"/>
                <w:sz w:val="24"/>
                <w:szCs w:val="24"/>
                <w:highlight w:val="none"/>
              </w:rPr>
              <w:t>项目营运期产生的</w:t>
            </w:r>
            <w:r>
              <w:rPr>
                <w:rFonts w:hint="eastAsia" w:cs="Times New Roman"/>
                <w:b w:val="0"/>
                <w:bCs/>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eastAsia"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产生的非甲烷总烃</w:t>
            </w:r>
            <w:r>
              <w:rPr>
                <w:rFonts w:hint="eastAsia" w:cs="Times New Roman"/>
                <w:b w:val="0"/>
                <w:bCs/>
                <w:color w:val="auto"/>
                <w:sz w:val="24"/>
                <w:szCs w:val="24"/>
                <w:highlight w:val="none"/>
                <w:lang w:eastAsia="zh-CN"/>
              </w:rPr>
              <w:t>排放执行《固定源挥发性有机物综合排放标准第 5 部分：电子工业》（DB 34/ 4812.5—2024）标准限值</w:t>
            </w:r>
            <w:r>
              <w:rPr>
                <w:rFonts w:hint="eastAsia" w:cs="Times New Roman"/>
                <w:b w:val="0"/>
                <w:bCs/>
                <w:color w:val="auto"/>
                <w:sz w:val="24"/>
                <w:szCs w:val="24"/>
                <w:highlight w:val="none"/>
                <w:lang w:val="en-US" w:eastAsia="zh-CN"/>
              </w:rPr>
              <w:t>及</w:t>
            </w:r>
            <w:r>
              <w:rPr>
                <w:rFonts w:hint="eastAsia" w:cs="Times New Roman"/>
                <w:b w:val="0"/>
                <w:bCs/>
                <w:color w:val="auto"/>
                <w:sz w:val="24"/>
                <w:szCs w:val="24"/>
                <w:highlight w:val="none"/>
                <w:lang w:eastAsia="zh-CN"/>
              </w:rPr>
              <w:t>《大气污染物综合排放标准》（GB16297-1996）中无组织排放监控限值要求，</w:t>
            </w:r>
            <w:r>
              <w:rPr>
                <w:rFonts w:hint="default" w:ascii="Times New Roman" w:hAnsi="Times New Roman" w:cs="Times New Roman"/>
                <w:b w:val="0"/>
                <w:bCs/>
                <w:color w:val="auto"/>
                <w:sz w:val="24"/>
                <w:szCs w:val="24"/>
                <w:highlight w:val="none"/>
              </w:rPr>
              <w:t>具体见下表：</w:t>
            </w:r>
          </w:p>
          <w:p w14:paraId="3F1162B0">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表3-5  施工期颗粒物排放标准</w:t>
            </w:r>
          </w:p>
          <w:tbl>
            <w:tblPr>
              <w:tblStyle w:val="23"/>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457"/>
              <w:gridCol w:w="2148"/>
              <w:gridCol w:w="2744"/>
            </w:tblGrid>
            <w:tr w14:paraId="4F0A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1" w:type="dxa"/>
                  <w:noWrap w:val="0"/>
                  <w:vAlign w:val="center"/>
                </w:tcPr>
                <w:p w14:paraId="658DCB60">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项目</w:t>
                  </w:r>
                </w:p>
              </w:tc>
              <w:tc>
                <w:tcPr>
                  <w:tcW w:w="2457" w:type="dxa"/>
                  <w:noWrap w:val="0"/>
                  <w:vAlign w:val="center"/>
                </w:tcPr>
                <w:p w14:paraId="0EF120DF">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监测点浓度限值</w:t>
                  </w:r>
                  <w:r>
                    <w:rPr>
                      <w:rFonts w:hint="default" w:ascii="Times New Roman" w:hAnsi="Times New Roman" w:eastAsia="宋体" w:cs="Times New Roman"/>
                      <w:b/>
                      <w:bCs/>
                      <w:color w:val="auto"/>
                      <w:sz w:val="21"/>
                      <w:szCs w:val="21"/>
                      <w:highlight w:val="none"/>
                      <w:vertAlign w:val="baseli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2148" w:type="dxa"/>
                  <w:noWrap w:val="0"/>
                  <w:vAlign w:val="center"/>
                </w:tcPr>
                <w:p w14:paraId="451195EE">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达标判定依据</w:t>
                  </w:r>
                </w:p>
              </w:tc>
              <w:tc>
                <w:tcPr>
                  <w:tcW w:w="2744" w:type="dxa"/>
                  <w:noWrap w:val="0"/>
                  <w:vAlign w:val="center"/>
                </w:tcPr>
                <w:p w14:paraId="73EE08F8">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标准</w:t>
                  </w:r>
                </w:p>
              </w:tc>
            </w:tr>
            <w:tr w14:paraId="0F4A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1" w:type="dxa"/>
                  <w:vMerge w:val="restart"/>
                  <w:noWrap w:val="0"/>
                  <w:vAlign w:val="center"/>
                </w:tcPr>
                <w:p w14:paraId="768540C2">
                  <w:pPr>
                    <w:spacing w:before="120" w:beforeLines="50" w:line="240" w:lineRule="auto"/>
                    <w:jc w:val="center"/>
                    <w:rPr>
                      <w:rFonts w:hint="default"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TSP</w:t>
                  </w:r>
                </w:p>
              </w:tc>
              <w:tc>
                <w:tcPr>
                  <w:tcW w:w="2457" w:type="dxa"/>
                  <w:noWrap w:val="0"/>
                  <w:vAlign w:val="center"/>
                </w:tcPr>
                <w:p w14:paraId="3D000BCA">
                  <w:pPr>
                    <w:spacing w:before="120" w:beforeLines="50" w:line="240" w:lineRule="auto"/>
                    <w:jc w:val="center"/>
                    <w:rPr>
                      <w:rFonts w:hint="default"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1</w:t>
                  </w:r>
                </w:p>
              </w:tc>
              <w:tc>
                <w:tcPr>
                  <w:tcW w:w="2148" w:type="dxa"/>
                  <w:noWrap w:val="0"/>
                  <w:vAlign w:val="center"/>
                </w:tcPr>
                <w:p w14:paraId="7290DA1C">
                  <w:pPr>
                    <w:spacing w:before="120" w:beforeLines="50" w:line="240" w:lineRule="auto"/>
                    <w:jc w:val="center"/>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超标次数≤1次/日</w:t>
                  </w:r>
                </w:p>
              </w:tc>
              <w:tc>
                <w:tcPr>
                  <w:tcW w:w="2744" w:type="dxa"/>
                  <w:vMerge w:val="restart"/>
                  <w:noWrap w:val="0"/>
                  <w:vAlign w:val="center"/>
                </w:tcPr>
                <w:p w14:paraId="3C787480">
                  <w:pPr>
                    <w:spacing w:before="120" w:beforeLines="50" w:line="240" w:lineRule="auto"/>
                    <w:jc w:val="center"/>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lang w:val="en-US" w:eastAsia="zh-CN"/>
                    </w:rPr>
                    <w:t>《施工场地颗粒物排放标准》（DB34/4811—2024）</w:t>
                  </w:r>
                </w:p>
              </w:tc>
            </w:tr>
            <w:tr w14:paraId="0A93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1" w:type="dxa"/>
                  <w:vMerge w:val="continue"/>
                  <w:noWrap w:val="0"/>
                  <w:vAlign w:val="center"/>
                </w:tcPr>
                <w:p w14:paraId="0AC71AD4">
                  <w:pPr>
                    <w:spacing w:before="120" w:beforeLines="50" w:line="240" w:lineRule="auto"/>
                    <w:jc w:val="center"/>
                    <w:rPr>
                      <w:rFonts w:hint="eastAsia" w:cs="Times New Roman"/>
                      <w:b w:val="0"/>
                      <w:bCs/>
                      <w:color w:val="000000"/>
                      <w:sz w:val="21"/>
                      <w:szCs w:val="21"/>
                      <w:highlight w:val="none"/>
                      <w:vertAlign w:val="baseline"/>
                      <w:lang w:val="en-US" w:eastAsia="zh-CN"/>
                    </w:rPr>
                  </w:pPr>
                </w:p>
              </w:tc>
              <w:tc>
                <w:tcPr>
                  <w:tcW w:w="2457" w:type="dxa"/>
                  <w:noWrap w:val="0"/>
                  <w:vAlign w:val="center"/>
                </w:tcPr>
                <w:p w14:paraId="6FE7AA0F">
                  <w:pPr>
                    <w:spacing w:before="120" w:beforeLines="50" w:line="240" w:lineRule="auto"/>
                    <w:jc w:val="center"/>
                    <w:rPr>
                      <w:rFonts w:hint="default"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0.5</w:t>
                  </w:r>
                </w:p>
              </w:tc>
              <w:tc>
                <w:tcPr>
                  <w:tcW w:w="2148" w:type="dxa"/>
                  <w:noWrap w:val="0"/>
                  <w:vAlign w:val="center"/>
                </w:tcPr>
                <w:p w14:paraId="45723DC8">
                  <w:pPr>
                    <w:spacing w:before="120" w:beforeLines="50" w:line="240" w:lineRule="auto"/>
                    <w:jc w:val="center"/>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超标次数≤6次/日</w:t>
                  </w:r>
                </w:p>
              </w:tc>
              <w:tc>
                <w:tcPr>
                  <w:tcW w:w="2744" w:type="dxa"/>
                  <w:vMerge w:val="continue"/>
                  <w:noWrap w:val="0"/>
                  <w:vAlign w:val="center"/>
                </w:tcPr>
                <w:p w14:paraId="4720DD56">
                  <w:pPr>
                    <w:spacing w:before="120" w:beforeLines="50" w:line="240" w:lineRule="auto"/>
                    <w:jc w:val="center"/>
                    <w:rPr>
                      <w:rFonts w:hint="eastAsia" w:cs="Times New Roman"/>
                      <w:b w:val="0"/>
                      <w:bCs/>
                      <w:color w:val="000000"/>
                      <w:sz w:val="21"/>
                      <w:szCs w:val="21"/>
                      <w:highlight w:val="none"/>
                      <w:vertAlign w:val="baseline"/>
                      <w:lang w:val="en-US" w:eastAsia="zh-CN"/>
                    </w:rPr>
                  </w:pPr>
                </w:p>
              </w:tc>
            </w:tr>
            <w:tr w14:paraId="3753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20" w:type="dxa"/>
                  <w:gridSpan w:val="4"/>
                  <w:noWrap w:val="0"/>
                  <w:vAlign w:val="center"/>
                </w:tcPr>
                <w:p w14:paraId="6242D54E">
                  <w:pPr>
                    <w:spacing w:before="120" w:beforeLines="50" w:line="240" w:lineRule="auto"/>
                    <w:ind w:firstLine="420" w:firstLineChars="200"/>
                    <w:jc w:val="center"/>
                    <w:rPr>
                      <w:rFonts w:hint="eastAsia" w:cs="Times New Roman"/>
                      <w:b w:val="0"/>
                      <w:bCs/>
                      <w:color w:val="000000"/>
                      <w:sz w:val="21"/>
                      <w:szCs w:val="21"/>
                      <w:highlight w:val="none"/>
                      <w:lang w:val="en-US" w:eastAsia="zh-CN"/>
                    </w:rPr>
                  </w:pPr>
                  <w:r>
                    <w:rPr>
                      <w:rFonts w:hint="eastAsia" w:cs="Times New Roman"/>
                      <w:b w:val="0"/>
                      <w:bCs/>
                      <w:color w:val="000000"/>
                      <w:sz w:val="21"/>
                      <w:szCs w:val="21"/>
                      <w:highlight w:val="none"/>
                      <w:lang w:val="en-US" w:eastAsia="zh-CN"/>
                    </w:rPr>
                    <w:t>任一监测点自整时起依次顺延15分钟的TSP浓度平均值不得超过的限值。超标次数指一个日历日96个TSP 15分钟浓度平均值超过监测点浓度限值的次数。</w:t>
                  </w:r>
                </w:p>
                <w:p w14:paraId="3F10EE0C">
                  <w:pPr>
                    <w:spacing w:before="120" w:beforeLines="50" w:line="240" w:lineRule="auto"/>
                    <w:ind w:firstLine="420" w:firstLineChars="200"/>
                    <w:jc w:val="center"/>
                    <w:rPr>
                      <w:rFonts w:hint="eastAsia"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lang w:val="en-US" w:eastAsia="zh-CN"/>
                    </w:rPr>
                    <w:t>根据HJ633判定设区市AQI在200~300之间且首要污染物为PM</w:t>
                  </w:r>
                  <w:r>
                    <w:rPr>
                      <w:rFonts w:hint="eastAsia" w:cs="Times New Roman"/>
                      <w:b w:val="0"/>
                      <w:bCs/>
                      <w:color w:val="000000"/>
                      <w:sz w:val="21"/>
                      <w:szCs w:val="21"/>
                      <w:highlight w:val="none"/>
                      <w:vertAlign w:val="subscript"/>
                      <w:lang w:val="en-US" w:eastAsia="zh-CN"/>
                    </w:rPr>
                    <w:t>10</w:t>
                  </w:r>
                  <w:r>
                    <w:rPr>
                      <w:rFonts w:hint="eastAsia" w:cs="Times New Roman"/>
                      <w:b w:val="0"/>
                      <w:bCs/>
                      <w:color w:val="000000"/>
                      <w:sz w:val="21"/>
                      <w:szCs w:val="21"/>
                      <w:highlight w:val="none"/>
                      <w:lang w:val="en-US" w:eastAsia="zh-CN"/>
                    </w:rPr>
                    <w:t>或PM</w:t>
                  </w:r>
                  <w:r>
                    <w:rPr>
                      <w:rFonts w:hint="eastAsia" w:cs="Times New Roman"/>
                      <w:b w:val="0"/>
                      <w:bCs/>
                      <w:color w:val="000000"/>
                      <w:sz w:val="21"/>
                      <w:szCs w:val="21"/>
                      <w:highlight w:val="none"/>
                      <w:vertAlign w:val="subscript"/>
                      <w:lang w:val="en-US" w:eastAsia="zh-CN"/>
                    </w:rPr>
                    <w:t>2.5</w:t>
                  </w:r>
                  <w:r>
                    <w:rPr>
                      <w:rFonts w:hint="eastAsia" w:cs="Times New Roman"/>
                      <w:b w:val="0"/>
                      <w:bCs/>
                      <w:color w:val="000000"/>
                      <w:sz w:val="21"/>
                      <w:szCs w:val="21"/>
                      <w:highlight w:val="none"/>
                      <w:lang w:val="en-US" w:eastAsia="zh-CN"/>
                    </w:rPr>
                    <w:t>时，TSP 实测值扣除200</w:t>
                  </w:r>
                  <w:r>
                    <w:rPr>
                      <w:rFonts w:hint="default" w:ascii="Times New Roman" w:hAnsi="Times New Roman" w:cs="Times New Roman"/>
                      <w:b w:val="0"/>
                      <w:bCs/>
                      <w:color w:val="000000"/>
                      <w:sz w:val="21"/>
                      <w:szCs w:val="21"/>
                      <w:highlight w:val="none"/>
                      <w:lang w:val="en-US" w:eastAsia="zh-CN"/>
                    </w:rPr>
                    <w:t>μg/m</w:t>
                  </w:r>
                  <w:r>
                    <w:rPr>
                      <w:rFonts w:hint="default" w:ascii="Times New Roman" w:hAnsi="Times New Roman" w:cs="Times New Roman"/>
                      <w:b w:val="0"/>
                      <w:bCs/>
                      <w:color w:val="000000"/>
                      <w:sz w:val="21"/>
                      <w:szCs w:val="21"/>
                      <w:highlight w:val="none"/>
                      <w:vertAlign w:val="superscript"/>
                      <w:lang w:val="en-US" w:eastAsia="zh-CN"/>
                    </w:rPr>
                    <w:t>3</w:t>
                  </w:r>
                  <w:r>
                    <w:rPr>
                      <w:rFonts w:hint="eastAsia" w:cs="Times New Roman"/>
                      <w:b w:val="0"/>
                      <w:bCs/>
                      <w:color w:val="000000"/>
                      <w:sz w:val="21"/>
                      <w:szCs w:val="21"/>
                      <w:highlight w:val="none"/>
                      <w:lang w:val="en-US" w:eastAsia="zh-CN"/>
                    </w:rPr>
                    <w:t>后再进行评价。</w:t>
                  </w:r>
                </w:p>
              </w:tc>
            </w:tr>
          </w:tbl>
          <w:p w14:paraId="29C73854">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eastAsia="zh-CN"/>
              </w:rPr>
              <w:t>表</w:t>
            </w:r>
            <w:r>
              <w:rPr>
                <w:rFonts w:hint="eastAsia" w:ascii="Times New Roman" w:hAnsi="Times New Roman" w:eastAsia="宋体" w:cs="Times New Roman"/>
                <w:b/>
                <w:color w:val="auto"/>
                <w:kern w:val="2"/>
                <w:sz w:val="24"/>
                <w:szCs w:val="24"/>
                <w:highlight w:val="none"/>
                <w:lang w:val="en-US" w:eastAsia="zh-CN"/>
              </w:rPr>
              <w:t xml:space="preserve">3-6  </w:t>
            </w:r>
            <w:r>
              <w:rPr>
                <w:rFonts w:hint="default" w:ascii="Times New Roman" w:hAnsi="Times New Roman" w:eastAsia="宋体" w:cs="Times New Roman"/>
                <w:b/>
                <w:color w:val="auto"/>
                <w:kern w:val="2"/>
                <w:sz w:val="24"/>
                <w:szCs w:val="24"/>
                <w:highlight w:val="none"/>
                <w:lang w:val="en-US" w:eastAsia="zh-CN"/>
              </w:rPr>
              <w:t>大气污染物排放限值</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9"/>
              <w:gridCol w:w="2235"/>
              <w:gridCol w:w="1859"/>
              <w:gridCol w:w="1399"/>
              <w:gridCol w:w="1399"/>
            </w:tblGrid>
            <w:tr w14:paraId="7049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99" w:type="dxa"/>
                  <w:vMerge w:val="restart"/>
                  <w:noWrap w:val="0"/>
                  <w:vAlign w:val="center"/>
                </w:tcPr>
                <w:p w14:paraId="54B8BE19">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w:t>
                  </w:r>
                </w:p>
              </w:tc>
              <w:tc>
                <w:tcPr>
                  <w:tcW w:w="4094" w:type="dxa"/>
                  <w:gridSpan w:val="2"/>
                  <w:noWrap w:val="0"/>
                  <w:vAlign w:val="center"/>
                </w:tcPr>
                <w:p w14:paraId="2AC86A9E">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有组织排放监控</w:t>
                  </w:r>
                  <w:r>
                    <w:rPr>
                      <w:rFonts w:hint="default" w:ascii="Times New Roman" w:hAnsi="Times New Roman" w:eastAsia="宋体" w:cs="Times New Roman"/>
                      <w:b/>
                      <w:bCs/>
                      <w:color w:val="auto"/>
                      <w:sz w:val="21"/>
                      <w:szCs w:val="21"/>
                      <w:highlight w:val="none"/>
                      <w:vertAlign w:val="baseline"/>
                      <w:lang w:val="en-US" w:eastAsia="zh-CN"/>
                    </w:rPr>
                    <w:t>浓度限值</w:t>
                  </w:r>
                </w:p>
              </w:tc>
              <w:tc>
                <w:tcPr>
                  <w:tcW w:w="2798" w:type="dxa"/>
                  <w:gridSpan w:val="2"/>
                  <w:noWrap w:val="0"/>
                  <w:vAlign w:val="center"/>
                </w:tcPr>
                <w:p w14:paraId="237D5972">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无组织排放监控浓度限值</w:t>
                  </w:r>
                </w:p>
              </w:tc>
            </w:tr>
            <w:tr w14:paraId="5420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9" w:type="dxa"/>
                  <w:vMerge w:val="continue"/>
                  <w:noWrap w:val="0"/>
                  <w:vAlign w:val="center"/>
                </w:tcPr>
                <w:p w14:paraId="163E1B87">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p>
              </w:tc>
              <w:tc>
                <w:tcPr>
                  <w:tcW w:w="2235" w:type="dxa"/>
                  <w:noWrap w:val="0"/>
                  <w:vAlign w:val="center"/>
                </w:tcPr>
                <w:p w14:paraId="2D6D56EB">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859" w:type="dxa"/>
                  <w:noWrap w:val="0"/>
                  <w:vAlign w:val="center"/>
                </w:tcPr>
                <w:p w14:paraId="1510F715">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399" w:type="dxa"/>
                  <w:noWrap w:val="0"/>
                  <w:vAlign w:val="center"/>
                </w:tcPr>
                <w:p w14:paraId="496C31C7">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监测点位</w:t>
                  </w:r>
                </w:p>
              </w:tc>
              <w:tc>
                <w:tcPr>
                  <w:tcW w:w="1399" w:type="dxa"/>
                  <w:noWrap w:val="0"/>
                  <w:vAlign w:val="center"/>
                </w:tcPr>
                <w:p w14:paraId="3BC981C3">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浓度</w:t>
                  </w:r>
                  <w:r>
                    <w:rPr>
                      <w:rFonts w:hint="default" w:ascii="Times New Roman" w:hAnsi="Times New Roman" w:eastAsia="宋体" w:cs="Times New Roman"/>
                      <w:b/>
                      <w:bCs/>
                      <w:color w:val="auto"/>
                      <w:sz w:val="21"/>
                      <w:szCs w:val="21"/>
                      <w:highlight w:val="none"/>
                      <w:vertAlign w:val="baseline"/>
                      <w:lang w:val="en-US" w:eastAsia="zh-CN"/>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r>
            <w:tr w14:paraId="0709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9" w:type="dxa"/>
                  <w:noWrap w:val="0"/>
                  <w:vAlign w:val="center"/>
                </w:tcPr>
                <w:p w14:paraId="2CF97E6B">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颗粒物</w:t>
                  </w:r>
                </w:p>
              </w:tc>
              <w:tc>
                <w:tcPr>
                  <w:tcW w:w="2235" w:type="dxa"/>
                  <w:noWrap w:val="0"/>
                  <w:vAlign w:val="center"/>
                </w:tcPr>
                <w:p w14:paraId="6CD13B72">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120</w:t>
                  </w:r>
                </w:p>
              </w:tc>
              <w:tc>
                <w:tcPr>
                  <w:tcW w:w="1859" w:type="dxa"/>
                  <w:noWrap w:val="0"/>
                  <w:vAlign w:val="center"/>
                </w:tcPr>
                <w:p w14:paraId="395CBD4C">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2.95</w:t>
                  </w:r>
                </w:p>
              </w:tc>
              <w:tc>
                <w:tcPr>
                  <w:tcW w:w="1399" w:type="dxa"/>
                  <w:vMerge w:val="restart"/>
                  <w:noWrap w:val="0"/>
                  <w:vAlign w:val="center"/>
                </w:tcPr>
                <w:p w14:paraId="450501FE">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周界外浓度最高点</w:t>
                  </w:r>
                </w:p>
              </w:tc>
              <w:tc>
                <w:tcPr>
                  <w:tcW w:w="1399" w:type="dxa"/>
                  <w:noWrap w:val="0"/>
                  <w:vAlign w:val="center"/>
                </w:tcPr>
                <w:p w14:paraId="4063E7A3">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1.0</w:t>
                  </w:r>
                </w:p>
              </w:tc>
            </w:tr>
            <w:tr w14:paraId="415C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9" w:type="dxa"/>
                  <w:shd w:val="clear" w:color="auto" w:fill="auto"/>
                  <w:noWrap w:val="0"/>
                  <w:vAlign w:val="center"/>
                </w:tcPr>
                <w:p w14:paraId="09FAB617">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锡及其化合物</w:t>
                  </w:r>
                </w:p>
              </w:tc>
              <w:tc>
                <w:tcPr>
                  <w:tcW w:w="2235" w:type="dxa"/>
                  <w:shd w:val="clear" w:color="auto" w:fill="auto"/>
                  <w:noWrap w:val="0"/>
                  <w:vAlign w:val="center"/>
                </w:tcPr>
                <w:p w14:paraId="6A5DCD0C">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8.5</w:t>
                  </w:r>
                </w:p>
              </w:tc>
              <w:tc>
                <w:tcPr>
                  <w:tcW w:w="1859" w:type="dxa"/>
                  <w:shd w:val="clear" w:color="auto" w:fill="auto"/>
                  <w:noWrap w:val="0"/>
                  <w:vAlign w:val="center"/>
                </w:tcPr>
                <w:p w14:paraId="7CCDFF6F">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0.26</w:t>
                  </w:r>
                </w:p>
              </w:tc>
              <w:tc>
                <w:tcPr>
                  <w:tcW w:w="1399" w:type="dxa"/>
                  <w:vMerge w:val="continue"/>
                  <w:noWrap w:val="0"/>
                  <w:vAlign w:val="center"/>
                </w:tcPr>
                <w:p w14:paraId="0AD3D66A">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728A94EE">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0.24</w:t>
                  </w:r>
                </w:p>
              </w:tc>
            </w:tr>
            <w:tr w14:paraId="6E27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9" w:type="dxa"/>
                  <w:shd w:val="clear" w:color="auto" w:fill="auto"/>
                  <w:noWrap w:val="0"/>
                  <w:vAlign w:val="center"/>
                </w:tcPr>
                <w:p w14:paraId="06F35651">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非甲烷总烃</w:t>
                  </w:r>
                </w:p>
              </w:tc>
              <w:tc>
                <w:tcPr>
                  <w:tcW w:w="2235" w:type="dxa"/>
                  <w:shd w:val="clear" w:color="auto" w:fill="auto"/>
                  <w:noWrap w:val="0"/>
                  <w:vAlign w:val="center"/>
                </w:tcPr>
                <w:p w14:paraId="285EAFC8">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859" w:type="dxa"/>
                  <w:shd w:val="clear" w:color="auto" w:fill="auto"/>
                  <w:noWrap w:val="0"/>
                  <w:vAlign w:val="center"/>
                </w:tcPr>
                <w:p w14:paraId="7868C01D">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99" w:type="dxa"/>
                  <w:vMerge w:val="continue"/>
                  <w:shd w:val="clear" w:color="auto" w:fill="auto"/>
                  <w:noWrap w:val="0"/>
                  <w:vAlign w:val="center"/>
                </w:tcPr>
                <w:p w14:paraId="585DFC15">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p>
              </w:tc>
              <w:tc>
                <w:tcPr>
                  <w:tcW w:w="1399" w:type="dxa"/>
                  <w:shd w:val="clear" w:color="auto" w:fill="auto"/>
                  <w:noWrap w:val="0"/>
                  <w:vAlign w:val="center"/>
                </w:tcPr>
                <w:p w14:paraId="395493EC">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4.0</w:t>
                  </w:r>
                </w:p>
              </w:tc>
            </w:tr>
          </w:tbl>
          <w:p w14:paraId="61E34008">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360" w:firstLineChars="200"/>
              <w:jc w:val="left"/>
              <w:textAlignment w:val="auto"/>
              <w:rPr>
                <w:rFonts w:hint="eastAsia" w:ascii="Times New Roman" w:hAnsi="Times New Roman" w:eastAsia="宋体" w:cs="Times New Roman"/>
                <w:b w:val="0"/>
                <w:bCs w:val="0"/>
                <w:color w:val="auto"/>
                <w:sz w:val="18"/>
                <w:szCs w:val="18"/>
                <w:highlight w:val="none"/>
                <w:vertAlign w:val="baseline"/>
                <w:lang w:val="en-US" w:eastAsia="zh-CN"/>
              </w:rPr>
            </w:pPr>
            <w:r>
              <w:rPr>
                <w:rFonts w:hint="eastAsia" w:ascii="Times New Roman" w:hAnsi="Times New Roman" w:eastAsia="宋体" w:cs="Times New Roman"/>
                <w:b w:val="0"/>
                <w:bCs w:val="0"/>
                <w:color w:val="auto"/>
                <w:sz w:val="18"/>
                <w:szCs w:val="18"/>
                <w:highlight w:val="none"/>
                <w:vertAlign w:val="baseline"/>
                <w:lang w:val="en-US" w:eastAsia="zh-CN"/>
              </w:rPr>
              <w:t>注：根据《大气污染物综合排放标准》（GB16297-1996）：“7.1 排气筒高度除须遵守表列排放速率标准值外，还应高出周围200 m半径范围的建筑5m以上，不能达到该要求的排气筒，应按其高度对应的表列排放速率标准值严格50%执行”；本项目建筑高度为16.5m，排气筒高度约20m；200m范围内最高建筑为西侧</w:t>
            </w:r>
            <w:r>
              <w:rPr>
                <w:rFonts w:hint="eastAsia" w:ascii="Times New Roman" w:hAnsi="Times New Roman" w:cs="Times New Roman"/>
                <w:b w:val="0"/>
                <w:bCs w:val="0"/>
                <w:color w:val="auto"/>
                <w:sz w:val="18"/>
                <w:szCs w:val="18"/>
                <w:highlight w:val="none"/>
                <w:vertAlign w:val="baseline"/>
                <w:lang w:val="en-US" w:eastAsia="zh-CN"/>
              </w:rPr>
              <w:t>190</w:t>
            </w:r>
            <w:r>
              <w:rPr>
                <w:rFonts w:hint="eastAsia" w:ascii="Times New Roman" w:hAnsi="Times New Roman" w:eastAsia="宋体" w:cs="Times New Roman"/>
                <w:b w:val="0"/>
                <w:bCs w:val="0"/>
                <w:color w:val="auto"/>
                <w:sz w:val="18"/>
                <w:szCs w:val="18"/>
                <w:highlight w:val="none"/>
                <w:vertAlign w:val="baseline"/>
                <w:lang w:val="en-US" w:eastAsia="zh-CN"/>
              </w:rPr>
              <w:t>m的园区公租房，高度约35m；因此，本项目排气筒排放速率须按标准值严格50%执行。</w:t>
            </w:r>
          </w:p>
          <w:p w14:paraId="5BCA8388">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表3-7  《固定源挥发性有机物综合排放标准第 5 部分：电子工业》</w:t>
            </w:r>
          </w:p>
          <w:tbl>
            <w:tblPr>
              <w:tblStyle w:val="23"/>
              <w:tblW w:w="839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530"/>
              <w:gridCol w:w="1500"/>
              <w:gridCol w:w="1230"/>
              <w:gridCol w:w="1230"/>
              <w:gridCol w:w="1155"/>
              <w:gridCol w:w="850"/>
            </w:tblGrid>
            <w:tr w14:paraId="5C11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vMerge w:val="restart"/>
                  <w:vAlign w:val="center"/>
                </w:tcPr>
                <w:p w14:paraId="078B8365">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eastAsia" w:ascii="Times New Roman" w:hAnsi="Times New Roman" w:eastAsia="宋体" w:cs="Times New Roman"/>
                      <w:b/>
                      <w:bCs/>
                      <w:color w:val="auto"/>
                      <w:sz w:val="21"/>
                      <w:szCs w:val="21"/>
                      <w:highlight w:val="none"/>
                      <w:vertAlign w:val="baseline"/>
                      <w:lang w:val="en-US" w:eastAsia="zh-CN"/>
                    </w:rPr>
                    <w:t>污染物项目</w:t>
                  </w:r>
                </w:p>
              </w:tc>
              <w:tc>
                <w:tcPr>
                  <w:tcW w:w="4260" w:type="dxa"/>
                  <w:gridSpan w:val="3"/>
                  <w:vAlign w:val="center"/>
                </w:tcPr>
                <w:p w14:paraId="55581F63">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显示器件及光电子器件（有组织）</w:t>
                  </w:r>
                </w:p>
              </w:tc>
              <w:tc>
                <w:tcPr>
                  <w:tcW w:w="3235" w:type="dxa"/>
                  <w:gridSpan w:val="3"/>
                  <w:vAlign w:val="center"/>
                </w:tcPr>
                <w:p w14:paraId="67D76B34">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厂区内VOCs无组织排放限值</w:t>
                  </w:r>
                </w:p>
              </w:tc>
            </w:tr>
            <w:tr w14:paraId="7DD4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vMerge w:val="continue"/>
                  <w:vAlign w:val="center"/>
                </w:tcPr>
                <w:p w14:paraId="329390FF">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p>
              </w:tc>
              <w:tc>
                <w:tcPr>
                  <w:tcW w:w="1530" w:type="dxa"/>
                  <w:vAlign w:val="center"/>
                </w:tcPr>
                <w:p w14:paraId="5274A2BC">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500" w:type="dxa"/>
                  <w:vAlign w:val="center"/>
                </w:tcPr>
                <w:p w14:paraId="67F61D4F">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230" w:type="dxa"/>
                  <w:vAlign w:val="center"/>
                </w:tcPr>
                <w:p w14:paraId="532122CA">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污染物排放监控位置</w:t>
                  </w:r>
                </w:p>
              </w:tc>
              <w:tc>
                <w:tcPr>
                  <w:tcW w:w="1230" w:type="dxa"/>
                  <w:vAlign w:val="center"/>
                </w:tcPr>
                <w:p w14:paraId="01D19194">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p>
              </w:tc>
              <w:tc>
                <w:tcPr>
                  <w:tcW w:w="1155" w:type="dxa"/>
                  <w:vAlign w:val="center"/>
                </w:tcPr>
                <w:p w14:paraId="7810B0A8">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排放限值含义</w:t>
                  </w:r>
                </w:p>
              </w:tc>
              <w:tc>
                <w:tcPr>
                  <w:tcW w:w="850" w:type="dxa"/>
                  <w:vAlign w:val="center"/>
                </w:tcPr>
                <w:p w14:paraId="3F428902">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监控位置</w:t>
                  </w:r>
                </w:p>
              </w:tc>
            </w:tr>
            <w:tr w14:paraId="4271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900" w:type="dxa"/>
                  <w:vMerge w:val="restart"/>
                  <w:vAlign w:val="center"/>
                </w:tcPr>
                <w:p w14:paraId="73E25665">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NMHC</w:t>
                  </w:r>
                </w:p>
              </w:tc>
              <w:tc>
                <w:tcPr>
                  <w:tcW w:w="1530" w:type="dxa"/>
                  <w:vMerge w:val="restart"/>
                  <w:vAlign w:val="center"/>
                </w:tcPr>
                <w:p w14:paraId="3A6DD8EF">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500" w:type="dxa"/>
                  <w:vMerge w:val="restart"/>
                  <w:vAlign w:val="center"/>
                </w:tcPr>
                <w:p w14:paraId="141C91D1">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230" w:type="dxa"/>
                  <w:vMerge w:val="restart"/>
                  <w:vAlign w:val="center"/>
                </w:tcPr>
                <w:p w14:paraId="3A7CA447">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车间或生产设施的排气筒</w:t>
                  </w:r>
                </w:p>
              </w:tc>
              <w:tc>
                <w:tcPr>
                  <w:tcW w:w="1230" w:type="dxa"/>
                  <w:vAlign w:val="center"/>
                </w:tcPr>
                <w:p w14:paraId="7B619F33">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w:t>
                  </w:r>
                </w:p>
              </w:tc>
              <w:tc>
                <w:tcPr>
                  <w:tcW w:w="1155" w:type="dxa"/>
                  <w:vAlign w:val="center"/>
                </w:tcPr>
                <w:p w14:paraId="7F086F3B">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监控点处1h平均浓度值</w:t>
                  </w:r>
                </w:p>
              </w:tc>
              <w:tc>
                <w:tcPr>
                  <w:tcW w:w="850" w:type="dxa"/>
                  <w:vMerge w:val="restart"/>
                  <w:vAlign w:val="center"/>
                </w:tcPr>
                <w:p w14:paraId="4AF12D53">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在厂房外设置监控点</w:t>
                  </w:r>
                </w:p>
              </w:tc>
            </w:tr>
            <w:tr w14:paraId="5EEE9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900" w:type="dxa"/>
                  <w:vMerge w:val="continue"/>
                  <w:vAlign w:val="center"/>
                </w:tcPr>
                <w:p w14:paraId="3450D7AF">
                  <w:pPr>
                    <w:pStyle w:val="38"/>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530" w:type="dxa"/>
                  <w:vMerge w:val="continue"/>
                  <w:vAlign w:val="center"/>
                </w:tcPr>
                <w:p w14:paraId="15EE9230">
                  <w:pPr>
                    <w:pStyle w:val="38"/>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500" w:type="dxa"/>
                  <w:vMerge w:val="continue"/>
                  <w:vAlign w:val="center"/>
                </w:tcPr>
                <w:p w14:paraId="75AD3247">
                  <w:pPr>
                    <w:pStyle w:val="38"/>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230" w:type="dxa"/>
                  <w:vMerge w:val="continue"/>
                  <w:vAlign w:val="center"/>
                </w:tcPr>
                <w:p w14:paraId="67F4266F">
                  <w:pPr>
                    <w:pStyle w:val="38"/>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sz w:val="21"/>
                      <w:szCs w:val="21"/>
                      <w:highlight w:val="none"/>
                    </w:rPr>
                  </w:pPr>
                </w:p>
              </w:tc>
              <w:tc>
                <w:tcPr>
                  <w:tcW w:w="1230" w:type="dxa"/>
                  <w:vAlign w:val="center"/>
                </w:tcPr>
                <w:p w14:paraId="1FB81D19">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20</w:t>
                  </w:r>
                </w:p>
              </w:tc>
              <w:tc>
                <w:tcPr>
                  <w:tcW w:w="1155" w:type="dxa"/>
                  <w:vAlign w:val="center"/>
                </w:tcPr>
                <w:p w14:paraId="0182BD3D">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监控点处任意一次浓度值</w:t>
                  </w:r>
                </w:p>
              </w:tc>
              <w:tc>
                <w:tcPr>
                  <w:tcW w:w="850" w:type="dxa"/>
                  <w:vMerge w:val="continue"/>
                  <w:vAlign w:val="center"/>
                </w:tcPr>
                <w:p w14:paraId="6D7AA149">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p>
              </w:tc>
            </w:tr>
          </w:tbl>
          <w:p w14:paraId="038C9430">
            <w:pPr>
              <w:autoSpaceDE w:val="0"/>
              <w:autoSpaceDN w:val="0"/>
              <w:spacing w:line="360" w:lineRule="auto"/>
              <w:ind w:firstLine="482" w:firstLineChars="200"/>
              <w:jc w:val="left"/>
              <w:rPr>
                <w:rFonts w:hint="default" w:ascii="Times New Roman" w:hAnsi="Times New Roman" w:eastAsia="宋体" w:cs="Times New Roman"/>
                <w:b/>
                <w:bCs/>
                <w:snapToGrid w:val="0"/>
                <w:color w:val="auto"/>
                <w:kern w:val="0"/>
                <w:sz w:val="24"/>
                <w:szCs w:val="24"/>
                <w:highlight w:val="none"/>
              </w:rPr>
            </w:pPr>
            <w:r>
              <w:rPr>
                <w:rFonts w:hint="default" w:ascii="Times New Roman" w:hAnsi="Times New Roman" w:eastAsia="宋体" w:cs="Times New Roman"/>
                <w:b/>
                <w:bCs/>
                <w:snapToGrid w:val="0"/>
                <w:color w:val="auto"/>
                <w:kern w:val="0"/>
                <w:sz w:val="24"/>
                <w:szCs w:val="24"/>
                <w:highlight w:val="none"/>
              </w:rPr>
              <w:t>2、废水</w:t>
            </w:r>
          </w:p>
          <w:p w14:paraId="6D9153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项目实行雨污分流制，雨水经雨水管网排入市政雨水管网；</w:t>
            </w:r>
            <w:r>
              <w:rPr>
                <w:rFonts w:hint="eastAsia" w:ascii="Times New Roman" w:hAnsi="Times New Roman" w:cs="Times New Roman"/>
                <w:color w:val="auto"/>
                <w:sz w:val="24"/>
                <w:szCs w:val="24"/>
                <w:highlight w:val="none"/>
                <w:lang w:eastAsia="zh-CN"/>
              </w:rPr>
              <w:t>生活污水经园区化粪预处理后排入江南产业集中区第一污水处理厂处理达标后经九华河排入长江</w:t>
            </w:r>
            <w:r>
              <w:rPr>
                <w:rFonts w:hint="eastAsia" w:ascii="Times New Roman" w:hAnsi="Times New Roman" w:eastAsia="宋体" w:cs="Times New Roman"/>
                <w:sz w:val="24"/>
                <w:szCs w:val="24"/>
                <w:highlight w:val="none"/>
                <w:lang w:eastAsia="zh-CN"/>
              </w:rPr>
              <w:t>。</w:t>
            </w:r>
            <w:r>
              <w:rPr>
                <w:sz w:val="24"/>
                <w:szCs w:val="24"/>
                <w:highlight w:val="none"/>
              </w:rPr>
              <w:t>项目废水执行</w:t>
            </w:r>
            <w:r>
              <w:rPr>
                <w:rFonts w:hint="eastAsia"/>
                <w:sz w:val="24"/>
                <w:szCs w:val="24"/>
                <w:highlight w:val="none"/>
                <w:lang w:eastAsia="zh-CN"/>
              </w:rPr>
              <w:t>《</w:t>
            </w:r>
            <w:r>
              <w:rPr>
                <w:rFonts w:hint="eastAsia"/>
                <w:sz w:val="24"/>
                <w:szCs w:val="24"/>
                <w:highlight w:val="none"/>
                <w:lang w:val="en-US" w:eastAsia="zh-CN"/>
              </w:rPr>
              <w:t>电子工业水污染物</w:t>
            </w:r>
            <w:r>
              <w:rPr>
                <w:rFonts w:hint="eastAsia"/>
                <w:sz w:val="24"/>
                <w:szCs w:val="24"/>
                <w:highlight w:val="none"/>
                <w:lang w:eastAsia="zh-CN"/>
              </w:rPr>
              <w:t>排放</w:t>
            </w:r>
            <w:r>
              <w:rPr>
                <w:rFonts w:hint="eastAsia"/>
                <w:sz w:val="24"/>
                <w:szCs w:val="24"/>
                <w:highlight w:val="none"/>
                <w:lang w:val="en-US" w:eastAsia="zh-CN"/>
              </w:rPr>
              <w:t>标准</w:t>
            </w:r>
            <w:r>
              <w:rPr>
                <w:rFonts w:hint="eastAsia"/>
                <w:sz w:val="24"/>
                <w:szCs w:val="24"/>
                <w:highlight w:val="none"/>
                <w:lang w:eastAsia="zh-CN"/>
              </w:rPr>
              <w:t>》（GB</w:t>
            </w:r>
            <w:r>
              <w:rPr>
                <w:rFonts w:hint="eastAsia"/>
                <w:sz w:val="24"/>
                <w:szCs w:val="24"/>
                <w:highlight w:val="none"/>
                <w:lang w:val="en-US" w:eastAsia="zh-CN"/>
              </w:rPr>
              <w:t>39731</w:t>
            </w:r>
            <w:r>
              <w:rPr>
                <w:rFonts w:hint="eastAsia"/>
                <w:sz w:val="24"/>
                <w:szCs w:val="24"/>
                <w:highlight w:val="none"/>
                <w:lang w:eastAsia="zh-CN"/>
              </w:rPr>
              <w:t>-</w:t>
            </w:r>
            <w:r>
              <w:rPr>
                <w:rFonts w:hint="eastAsia"/>
                <w:sz w:val="24"/>
                <w:szCs w:val="24"/>
                <w:highlight w:val="none"/>
                <w:lang w:val="en-US" w:eastAsia="zh-CN"/>
              </w:rPr>
              <w:t>2020</w:t>
            </w:r>
            <w:r>
              <w:rPr>
                <w:rFonts w:hint="eastAsia"/>
                <w:sz w:val="24"/>
                <w:szCs w:val="24"/>
                <w:highlight w:val="none"/>
                <w:lang w:eastAsia="zh-CN"/>
              </w:rPr>
              <w:t xml:space="preserve">）表 </w:t>
            </w:r>
            <w:r>
              <w:rPr>
                <w:rFonts w:hint="eastAsia"/>
                <w:sz w:val="24"/>
                <w:szCs w:val="24"/>
                <w:highlight w:val="none"/>
                <w:lang w:val="en-US" w:eastAsia="zh-CN"/>
              </w:rPr>
              <w:t>1</w:t>
            </w:r>
            <w:r>
              <w:rPr>
                <w:rFonts w:hint="eastAsia"/>
                <w:sz w:val="24"/>
                <w:szCs w:val="24"/>
                <w:highlight w:val="none"/>
                <w:lang w:eastAsia="zh-CN"/>
              </w:rPr>
              <w:t xml:space="preserve"> </w:t>
            </w:r>
            <w:r>
              <w:rPr>
                <w:rFonts w:hint="eastAsia"/>
                <w:sz w:val="24"/>
                <w:szCs w:val="24"/>
                <w:highlight w:val="none"/>
                <w:lang w:val="en-US" w:eastAsia="zh-CN"/>
              </w:rPr>
              <w:t>间接排放限值及</w:t>
            </w:r>
            <w:r>
              <w:rPr>
                <w:rFonts w:hint="eastAsia" w:ascii="Times New Roman" w:hAnsi="Times New Roman" w:cs="Times New Roman"/>
                <w:color w:val="auto"/>
                <w:sz w:val="24"/>
                <w:szCs w:val="24"/>
                <w:highlight w:val="none"/>
                <w:lang w:eastAsia="zh-CN"/>
              </w:rPr>
              <w:t>江南产业集中区第一污水处理厂</w:t>
            </w:r>
            <w:r>
              <w:rPr>
                <w:sz w:val="24"/>
                <w:szCs w:val="24"/>
                <w:highlight w:val="none"/>
              </w:rPr>
              <w:t>接管限值</w:t>
            </w:r>
            <w:r>
              <w:rPr>
                <w:rFonts w:hint="eastAsia"/>
                <w:sz w:val="24"/>
                <w:szCs w:val="24"/>
                <w:highlight w:val="none"/>
                <w:lang w:val="en-US" w:eastAsia="zh-CN"/>
              </w:rPr>
              <w:t>要求</w:t>
            </w:r>
            <w:r>
              <w:rPr>
                <w:rFonts w:hint="eastAsia"/>
                <w:sz w:val="24"/>
                <w:szCs w:val="24"/>
                <w:highlight w:val="none"/>
                <w:lang w:eastAsia="zh-CN"/>
              </w:rPr>
              <w:t>。详见下表：</w:t>
            </w:r>
          </w:p>
          <w:p w14:paraId="57C5C1E5">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rPr>
            </w:pPr>
            <w:r>
              <w:rPr>
                <w:rFonts w:hint="eastAsia" w:ascii="Times New Roman" w:hAnsi="Times New Roman" w:eastAsia="宋体" w:cs="Times New Roman"/>
                <w:b/>
                <w:color w:val="auto"/>
                <w:kern w:val="2"/>
                <w:sz w:val="24"/>
                <w:szCs w:val="24"/>
                <w:highlight w:val="none"/>
                <w:lang w:eastAsia="zh-CN"/>
              </w:rPr>
              <w:t>表</w:t>
            </w:r>
            <w:r>
              <w:rPr>
                <w:rFonts w:hint="eastAsia" w:ascii="Times New Roman" w:hAnsi="Times New Roman" w:eastAsia="宋体" w:cs="Times New Roman"/>
                <w:b/>
                <w:color w:val="auto"/>
                <w:kern w:val="2"/>
                <w:sz w:val="24"/>
                <w:szCs w:val="24"/>
                <w:highlight w:val="none"/>
                <w:lang w:val="en-US" w:eastAsia="zh-CN"/>
              </w:rPr>
              <w:t>3-8  废水排放标准单位：mg/L（pH 无量纲）</w:t>
            </w:r>
          </w:p>
          <w:tbl>
            <w:tblPr>
              <w:tblStyle w:val="23"/>
              <w:tblW w:w="8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1710"/>
              <w:gridCol w:w="1995"/>
              <w:gridCol w:w="1605"/>
              <w:gridCol w:w="1947"/>
            </w:tblGrid>
            <w:tr w14:paraId="1E7D6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056" w:type="dxa"/>
                  <w:noWrap w:val="0"/>
                  <w:vAlign w:val="center"/>
                </w:tcPr>
                <w:p w14:paraId="5A3C8F3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污染物</w:t>
                  </w:r>
                </w:p>
              </w:tc>
              <w:tc>
                <w:tcPr>
                  <w:tcW w:w="1710" w:type="dxa"/>
                  <w:noWrap w:val="0"/>
                  <w:vAlign w:val="center"/>
                </w:tcPr>
                <w:p w14:paraId="7E6F7C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b/>
                      <w:bCs/>
                      <w:sz w:val="21"/>
                      <w:szCs w:val="21"/>
                      <w:highlight w:val="none"/>
                      <w:lang w:eastAsia="zh-CN"/>
                    </w:rPr>
                    <w:t>GB</w:t>
                  </w:r>
                  <w:r>
                    <w:rPr>
                      <w:rFonts w:hint="eastAsia"/>
                      <w:b/>
                      <w:bCs/>
                      <w:sz w:val="21"/>
                      <w:szCs w:val="21"/>
                      <w:highlight w:val="none"/>
                      <w:lang w:val="en-US" w:eastAsia="zh-CN"/>
                    </w:rPr>
                    <w:t>39731</w:t>
                  </w:r>
                  <w:r>
                    <w:rPr>
                      <w:rFonts w:hint="eastAsia"/>
                      <w:b/>
                      <w:bCs/>
                      <w:sz w:val="21"/>
                      <w:szCs w:val="21"/>
                      <w:highlight w:val="none"/>
                      <w:lang w:eastAsia="zh-CN"/>
                    </w:rPr>
                    <w:t>-</w:t>
                  </w:r>
                  <w:r>
                    <w:rPr>
                      <w:rFonts w:hint="eastAsia"/>
                      <w:b/>
                      <w:bCs/>
                      <w:sz w:val="21"/>
                      <w:szCs w:val="21"/>
                      <w:highlight w:val="none"/>
                      <w:lang w:val="en-US" w:eastAsia="zh-CN"/>
                    </w:rPr>
                    <w:t>2020</w:t>
                  </w:r>
                  <w:r>
                    <w:rPr>
                      <w:rFonts w:hint="eastAsia"/>
                      <w:b/>
                      <w:bCs/>
                      <w:sz w:val="21"/>
                      <w:szCs w:val="21"/>
                      <w:highlight w:val="none"/>
                      <w:lang w:eastAsia="zh-CN"/>
                    </w:rPr>
                    <w:t xml:space="preserve">）表 </w:t>
                  </w:r>
                  <w:r>
                    <w:rPr>
                      <w:rFonts w:hint="eastAsia"/>
                      <w:b/>
                      <w:bCs/>
                      <w:sz w:val="21"/>
                      <w:szCs w:val="21"/>
                      <w:highlight w:val="none"/>
                      <w:lang w:val="en-US" w:eastAsia="zh-CN"/>
                    </w:rPr>
                    <w:t>1</w:t>
                  </w:r>
                  <w:r>
                    <w:rPr>
                      <w:rFonts w:hint="eastAsia"/>
                      <w:b/>
                      <w:bCs/>
                      <w:sz w:val="21"/>
                      <w:szCs w:val="21"/>
                      <w:highlight w:val="none"/>
                      <w:lang w:eastAsia="zh-CN"/>
                    </w:rPr>
                    <w:t xml:space="preserve"> </w:t>
                  </w:r>
                  <w:r>
                    <w:rPr>
                      <w:rFonts w:hint="eastAsia"/>
                      <w:b/>
                      <w:bCs/>
                      <w:sz w:val="21"/>
                      <w:szCs w:val="21"/>
                      <w:highlight w:val="none"/>
                      <w:lang w:val="en-US" w:eastAsia="zh-CN"/>
                    </w:rPr>
                    <w:t>限值</w:t>
                  </w:r>
                </w:p>
              </w:tc>
              <w:tc>
                <w:tcPr>
                  <w:tcW w:w="1995" w:type="dxa"/>
                  <w:noWrap w:val="0"/>
                  <w:vAlign w:val="center"/>
                </w:tcPr>
                <w:p w14:paraId="1A55E0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ascii="Times New Roman" w:hAnsi="Times New Roman" w:cs="Times New Roman"/>
                      <w:b/>
                      <w:bCs/>
                      <w:color w:val="auto"/>
                      <w:sz w:val="21"/>
                      <w:szCs w:val="21"/>
                      <w:highlight w:val="none"/>
                      <w:lang w:val="en-US" w:eastAsia="zh-CN"/>
                    </w:rPr>
                    <w:t>江南集中区第一污水处理厂</w:t>
                  </w:r>
                  <w:r>
                    <w:rPr>
                      <w:rFonts w:hint="default" w:ascii="Times New Roman" w:hAnsi="Times New Roman" w:cs="Times New Roman"/>
                      <w:b/>
                      <w:bCs/>
                      <w:color w:val="auto"/>
                      <w:sz w:val="21"/>
                      <w:szCs w:val="21"/>
                      <w:highlight w:val="none"/>
                    </w:rPr>
                    <w:t>接管标准</w:t>
                  </w:r>
                </w:p>
              </w:tc>
              <w:tc>
                <w:tcPr>
                  <w:tcW w:w="1605" w:type="dxa"/>
                  <w:noWrap w:val="0"/>
                  <w:vAlign w:val="center"/>
                </w:tcPr>
                <w:p w14:paraId="590F355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本项目废水排放执行标准</w:t>
                  </w:r>
                </w:p>
              </w:tc>
              <w:tc>
                <w:tcPr>
                  <w:tcW w:w="1947" w:type="dxa"/>
                  <w:noWrap w:val="0"/>
                  <w:vAlign w:val="center"/>
                </w:tcPr>
                <w:p w14:paraId="2A67AC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（GB18918-2002）一级</w:t>
                  </w:r>
                  <w:r>
                    <w:rPr>
                      <w:rFonts w:hint="eastAsia" w:ascii="Times New Roman" w:hAnsi="Times New Roman" w:cs="Times New Roman"/>
                      <w:b/>
                      <w:bCs/>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rPr>
                    <w:t>A 标准</w:t>
                  </w:r>
                </w:p>
              </w:tc>
            </w:tr>
            <w:tr w14:paraId="2EA1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noWrap w:val="0"/>
                  <w:vAlign w:val="center"/>
                </w:tcPr>
                <w:p w14:paraId="66750C0F">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pH</w:t>
                  </w:r>
                </w:p>
              </w:tc>
              <w:tc>
                <w:tcPr>
                  <w:tcW w:w="1710" w:type="dxa"/>
                  <w:noWrap w:val="0"/>
                  <w:vAlign w:val="center"/>
                </w:tcPr>
                <w:p w14:paraId="300145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95" w:type="dxa"/>
                  <w:noWrap w:val="0"/>
                  <w:vAlign w:val="center"/>
                </w:tcPr>
                <w:p w14:paraId="6C985A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605" w:type="dxa"/>
                  <w:noWrap w:val="0"/>
                  <w:vAlign w:val="center"/>
                </w:tcPr>
                <w:p w14:paraId="474531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47" w:type="dxa"/>
                  <w:noWrap w:val="0"/>
                  <w:vAlign w:val="center"/>
                </w:tcPr>
                <w:p w14:paraId="07C944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r>
            <w:tr w14:paraId="2377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noWrap w:val="0"/>
                  <w:vAlign w:val="center"/>
                </w:tcPr>
                <w:p w14:paraId="0C707470">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COD</w:t>
                  </w:r>
                </w:p>
              </w:tc>
              <w:tc>
                <w:tcPr>
                  <w:tcW w:w="1710" w:type="dxa"/>
                  <w:noWrap w:val="0"/>
                  <w:vAlign w:val="center"/>
                </w:tcPr>
                <w:p w14:paraId="6AE486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500</w:t>
                  </w:r>
                </w:p>
              </w:tc>
              <w:tc>
                <w:tcPr>
                  <w:tcW w:w="1995" w:type="dxa"/>
                  <w:noWrap w:val="0"/>
                  <w:vAlign w:val="center"/>
                </w:tcPr>
                <w:p w14:paraId="5135E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500</w:t>
                  </w:r>
                </w:p>
              </w:tc>
              <w:tc>
                <w:tcPr>
                  <w:tcW w:w="1605" w:type="dxa"/>
                  <w:noWrap w:val="0"/>
                  <w:vAlign w:val="center"/>
                </w:tcPr>
                <w:p w14:paraId="1DE537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500</w:t>
                  </w:r>
                </w:p>
              </w:tc>
              <w:tc>
                <w:tcPr>
                  <w:tcW w:w="1947" w:type="dxa"/>
                  <w:noWrap w:val="0"/>
                  <w:vAlign w:val="center"/>
                </w:tcPr>
                <w:p w14:paraId="1846F2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w:t>
                  </w:r>
                </w:p>
              </w:tc>
            </w:tr>
            <w:tr w14:paraId="6113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noWrap w:val="0"/>
                  <w:vAlign w:val="center"/>
                </w:tcPr>
                <w:p w14:paraId="139CED70">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BOD</w:t>
                  </w:r>
                  <w:r>
                    <w:rPr>
                      <w:rFonts w:hint="eastAsia" w:ascii="Times New Roman" w:hAnsi="Times New Roman" w:eastAsia="宋体" w:cs="Times New Roman"/>
                      <w:b w:val="0"/>
                      <w:bCs w:val="0"/>
                      <w:color w:val="auto"/>
                      <w:sz w:val="21"/>
                      <w:szCs w:val="21"/>
                      <w:highlight w:val="none"/>
                      <w:vertAlign w:val="subscript"/>
                      <w:lang w:val="en-US" w:eastAsia="zh-CN"/>
                    </w:rPr>
                    <w:t>5</w:t>
                  </w:r>
                </w:p>
              </w:tc>
              <w:tc>
                <w:tcPr>
                  <w:tcW w:w="1710" w:type="dxa"/>
                  <w:noWrap w:val="0"/>
                  <w:vAlign w:val="center"/>
                </w:tcPr>
                <w:p w14:paraId="19CA76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995" w:type="dxa"/>
                  <w:noWrap w:val="0"/>
                  <w:vAlign w:val="center"/>
                </w:tcPr>
                <w:p w14:paraId="054C60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150</w:t>
                  </w:r>
                </w:p>
              </w:tc>
              <w:tc>
                <w:tcPr>
                  <w:tcW w:w="1605" w:type="dxa"/>
                  <w:noWrap w:val="0"/>
                  <w:vAlign w:val="center"/>
                </w:tcPr>
                <w:p w14:paraId="14167E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rFonts w:hint="eastAsia" w:cs="Times New Roman"/>
                      <w:color w:val="auto"/>
                      <w:sz w:val="21"/>
                      <w:szCs w:val="21"/>
                      <w:highlight w:val="none"/>
                      <w:vertAlign w:val="baseline"/>
                      <w:lang w:val="en-US" w:eastAsia="zh-CN"/>
                    </w:rPr>
                    <w:t>5</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13F7DD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7BC3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noWrap w:val="0"/>
                  <w:vAlign w:val="center"/>
                </w:tcPr>
                <w:p w14:paraId="792838C5">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SS</w:t>
                  </w:r>
                </w:p>
              </w:tc>
              <w:tc>
                <w:tcPr>
                  <w:tcW w:w="1710" w:type="dxa"/>
                  <w:noWrap w:val="0"/>
                  <w:vAlign w:val="center"/>
                </w:tcPr>
                <w:p w14:paraId="732AE4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400</w:t>
                  </w:r>
                </w:p>
              </w:tc>
              <w:tc>
                <w:tcPr>
                  <w:tcW w:w="1995" w:type="dxa"/>
                  <w:noWrap w:val="0"/>
                  <w:vAlign w:val="center"/>
                </w:tcPr>
                <w:p w14:paraId="44B024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200</w:t>
                  </w:r>
                </w:p>
              </w:tc>
              <w:tc>
                <w:tcPr>
                  <w:tcW w:w="1605" w:type="dxa"/>
                  <w:noWrap w:val="0"/>
                  <w:vAlign w:val="center"/>
                </w:tcPr>
                <w:p w14:paraId="130C92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2</w:t>
                  </w:r>
                  <w:r>
                    <w:rPr>
                      <w:rFonts w:hint="eastAsia" w:cs="Times New Roman"/>
                      <w:color w:val="auto"/>
                      <w:sz w:val="21"/>
                      <w:szCs w:val="21"/>
                      <w:highlight w:val="none"/>
                      <w:vertAlign w:val="baseline"/>
                      <w:lang w:val="en-US" w:eastAsia="zh-CN"/>
                    </w:rPr>
                    <w:t>0</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234664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3793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noWrap w:val="0"/>
                  <w:vAlign w:val="center"/>
                </w:tcPr>
                <w:p w14:paraId="5605AEBA">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en-US"/>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-N</w:t>
                  </w:r>
                </w:p>
              </w:tc>
              <w:tc>
                <w:tcPr>
                  <w:tcW w:w="1710" w:type="dxa"/>
                  <w:noWrap w:val="0"/>
                  <w:vAlign w:val="center"/>
                </w:tcPr>
                <w:p w14:paraId="22B406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45</w:t>
                  </w:r>
                </w:p>
              </w:tc>
              <w:tc>
                <w:tcPr>
                  <w:tcW w:w="1995" w:type="dxa"/>
                  <w:noWrap w:val="0"/>
                  <w:vAlign w:val="center"/>
                </w:tcPr>
                <w:p w14:paraId="48D0A2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35</w:t>
                  </w:r>
                </w:p>
              </w:tc>
              <w:tc>
                <w:tcPr>
                  <w:tcW w:w="1605" w:type="dxa"/>
                  <w:noWrap w:val="0"/>
                  <w:vAlign w:val="center"/>
                </w:tcPr>
                <w:p w14:paraId="3E89F9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3</w:t>
                  </w:r>
                  <w:r>
                    <w:rPr>
                      <w:rFonts w:hint="eastAsia" w:cs="Times New Roman"/>
                      <w:color w:val="auto"/>
                      <w:sz w:val="21"/>
                      <w:szCs w:val="21"/>
                      <w:highlight w:val="none"/>
                      <w:vertAlign w:val="baseline"/>
                      <w:lang w:val="en-US" w:eastAsia="zh-CN"/>
                    </w:rPr>
                    <w:t>5</w:t>
                  </w:r>
                </w:p>
              </w:tc>
              <w:tc>
                <w:tcPr>
                  <w:tcW w:w="1947" w:type="dxa"/>
                  <w:noWrap w:val="0"/>
                  <w:vAlign w:val="center"/>
                </w:tcPr>
                <w:p w14:paraId="7FE9B7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w:t>
                  </w:r>
                </w:p>
              </w:tc>
            </w:tr>
            <w:tr w14:paraId="33BC4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noWrap w:val="0"/>
                  <w:vAlign w:val="center"/>
                </w:tcPr>
                <w:p w14:paraId="6AA28210">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TP</w:t>
                  </w:r>
                </w:p>
              </w:tc>
              <w:tc>
                <w:tcPr>
                  <w:tcW w:w="1710" w:type="dxa"/>
                  <w:noWrap w:val="0"/>
                  <w:vAlign w:val="center"/>
                </w:tcPr>
                <w:p w14:paraId="3E4120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8</w:t>
                  </w:r>
                </w:p>
              </w:tc>
              <w:tc>
                <w:tcPr>
                  <w:tcW w:w="1995" w:type="dxa"/>
                  <w:noWrap w:val="0"/>
                  <w:vAlign w:val="center"/>
                </w:tcPr>
                <w:p w14:paraId="01D805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605" w:type="dxa"/>
                  <w:noWrap w:val="0"/>
                  <w:vAlign w:val="center"/>
                </w:tcPr>
                <w:p w14:paraId="50BF46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3</w:t>
                  </w:r>
                </w:p>
              </w:tc>
              <w:tc>
                <w:tcPr>
                  <w:tcW w:w="1947" w:type="dxa"/>
                  <w:noWrap w:val="0"/>
                  <w:vAlign w:val="center"/>
                </w:tcPr>
                <w:p w14:paraId="4F8366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0.5</w:t>
                  </w:r>
                </w:p>
              </w:tc>
            </w:tr>
            <w:tr w14:paraId="6995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6" w:type="dxa"/>
                  <w:noWrap w:val="0"/>
                  <w:vAlign w:val="center"/>
                </w:tcPr>
                <w:p w14:paraId="79C4A2E7">
                  <w:pPr>
                    <w:pStyle w:val="38"/>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排水量</w:t>
                  </w:r>
                </w:p>
              </w:tc>
              <w:tc>
                <w:tcPr>
                  <w:tcW w:w="1710" w:type="dxa"/>
                  <w:noWrap w:val="0"/>
                  <w:vAlign w:val="center"/>
                </w:tcPr>
                <w:p w14:paraId="22E97C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95" w:type="dxa"/>
                  <w:noWrap w:val="0"/>
                  <w:vAlign w:val="center"/>
                </w:tcPr>
                <w:p w14:paraId="0ABC8B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05" w:type="dxa"/>
                  <w:noWrap w:val="0"/>
                  <w:vAlign w:val="center"/>
                </w:tcPr>
                <w:p w14:paraId="4918CA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47" w:type="dxa"/>
                  <w:noWrap w:val="0"/>
                  <w:vAlign w:val="center"/>
                </w:tcPr>
                <w:p w14:paraId="72C6B8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r>
          </w:tbl>
          <w:p w14:paraId="1561EF51">
            <w:pPr>
              <w:pStyle w:val="37"/>
              <w:snapToGrid w:val="0"/>
              <w:ind w:firstLine="482" w:firstLineChars="200"/>
              <w:jc w:val="both"/>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3、噪声</w:t>
            </w:r>
          </w:p>
          <w:p w14:paraId="3D552288">
            <w:pPr>
              <w:pStyle w:val="37"/>
              <w:snapToGrid w:val="0"/>
              <w:ind w:firstLine="480" w:firstLineChars="200"/>
              <w:jc w:val="both"/>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b w:val="0"/>
                <w:bCs/>
                <w:color w:val="auto"/>
                <w:kern w:val="2"/>
                <w:sz w:val="24"/>
                <w:szCs w:val="24"/>
                <w:highlight w:val="none"/>
              </w:rPr>
              <w:t>施工期噪声执行《建筑施工场界环境噪声排放标准》（GB12523-2011）中的规定</w:t>
            </w:r>
            <w:r>
              <w:rPr>
                <w:rFonts w:hint="eastAsia" w:ascii="Times New Roman" w:hAnsi="Times New Roman" w:cs="Times New Roman"/>
                <w:b w:val="0"/>
                <w:bCs/>
                <w:color w:val="auto"/>
                <w:kern w:val="2"/>
                <w:sz w:val="24"/>
                <w:szCs w:val="24"/>
                <w:highlight w:val="none"/>
                <w:lang w:eastAsia="zh-CN"/>
              </w:rPr>
              <w:t>；</w:t>
            </w:r>
            <w:r>
              <w:rPr>
                <w:rFonts w:hint="default" w:ascii="Times New Roman" w:hAnsi="Times New Roman" w:cs="Times New Roman"/>
                <w:b w:val="0"/>
                <w:bCs/>
                <w:color w:val="auto"/>
                <w:kern w:val="2"/>
                <w:sz w:val="24"/>
                <w:szCs w:val="24"/>
                <w:highlight w:val="none"/>
              </w:rPr>
              <w:t>营运期厂界噪声执行《工业企业厂界环境噪声排放标准》（GB12348-2008）中的</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3</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类标准。具体限值见下表：</w:t>
            </w:r>
          </w:p>
          <w:p w14:paraId="5007BB96">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表3-9  </w:t>
            </w:r>
            <w:r>
              <w:rPr>
                <w:rFonts w:hint="default" w:ascii="Times New Roman" w:hAnsi="Times New Roman" w:eastAsia="宋体" w:cs="Times New Roman"/>
                <w:color w:val="auto"/>
                <w:sz w:val="24"/>
                <w:szCs w:val="24"/>
                <w:highlight w:val="none"/>
                <w:lang w:val="en-US" w:eastAsia="zh-CN"/>
              </w:rPr>
              <w:t>建筑施工场界环境噪声排放标准单位：dB（A）</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4"/>
              <w:gridCol w:w="4197"/>
            </w:tblGrid>
            <w:tr w14:paraId="68CE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jc w:val="center"/>
              </w:trPr>
              <w:tc>
                <w:tcPr>
                  <w:tcW w:w="5000" w:type="pct"/>
                  <w:gridSpan w:val="2"/>
                  <w:noWrap w:val="0"/>
                  <w:vAlign w:val="center"/>
                </w:tcPr>
                <w:p w14:paraId="03B3237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噪声限值</w:t>
                  </w:r>
                </w:p>
              </w:tc>
            </w:tr>
            <w:tr w14:paraId="5EBC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jc w:val="center"/>
              </w:trPr>
              <w:tc>
                <w:tcPr>
                  <w:tcW w:w="2499" w:type="pct"/>
                  <w:noWrap w:val="0"/>
                  <w:vAlign w:val="center"/>
                </w:tcPr>
                <w:p w14:paraId="2CEFA6E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2500" w:type="pct"/>
                  <w:noWrap w:val="0"/>
                  <w:vAlign w:val="center"/>
                </w:tcPr>
                <w:p w14:paraId="243A0D5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406E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99" w:type="pct"/>
                  <w:noWrap w:val="0"/>
                  <w:vAlign w:val="center"/>
                </w:tcPr>
                <w:p w14:paraId="3E811E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70</w:t>
                  </w:r>
                </w:p>
              </w:tc>
              <w:tc>
                <w:tcPr>
                  <w:tcW w:w="2500" w:type="pct"/>
                  <w:noWrap w:val="0"/>
                  <w:vAlign w:val="center"/>
                </w:tcPr>
                <w:p w14:paraId="2DEE359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55</w:t>
                  </w:r>
                </w:p>
              </w:tc>
            </w:tr>
          </w:tbl>
          <w:p w14:paraId="04C62A7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sz w:val="24"/>
                <w:szCs w:val="24"/>
                <w:highlight w:val="none"/>
                <w:lang w:eastAsia="zh-CN"/>
              </w:rPr>
            </w:pPr>
            <w:r>
              <w:rPr>
                <w:rFonts w:hint="default" w:ascii="Times New Roman" w:hAnsi="Times New Roman" w:eastAsia="宋体" w:cs="Times New Roman"/>
                <w:b/>
                <w:color w:val="auto"/>
                <w:kern w:val="2"/>
                <w:sz w:val="24"/>
                <w:szCs w:val="24"/>
                <w:highlight w:val="none"/>
              </w:rPr>
              <w:t>表3-</w:t>
            </w:r>
            <w:r>
              <w:rPr>
                <w:rFonts w:hint="eastAsia" w:ascii="Times New Roman" w:eastAsia="宋体" w:cs="Times New Roman"/>
                <w:b/>
                <w:color w:val="auto"/>
                <w:kern w:val="2"/>
                <w:sz w:val="24"/>
                <w:szCs w:val="24"/>
                <w:highlight w:val="none"/>
                <w:lang w:val="en-US" w:eastAsia="zh-CN"/>
              </w:rPr>
              <w:t>10</w:t>
            </w:r>
            <w:r>
              <w:rPr>
                <w:rFonts w:hint="eastAsia" w:ascii="Times New Roman" w:hAnsi="Times New Roman" w:eastAsia="宋体" w:cs="Times New Roman"/>
                <w:b/>
                <w:color w:val="auto"/>
                <w:kern w:val="2"/>
                <w:sz w:val="24"/>
                <w:szCs w:val="24"/>
                <w:highlight w:val="none"/>
                <w:lang w:val="en-US" w:eastAsia="zh-CN"/>
              </w:rPr>
              <w:t xml:space="preserve">  </w:t>
            </w:r>
            <w:r>
              <w:rPr>
                <w:rFonts w:hint="default" w:ascii="Times New Roman" w:hAnsi="Times New Roman" w:eastAsia="宋体" w:cs="Times New Roman"/>
                <w:b/>
                <w:color w:val="auto"/>
                <w:kern w:val="2"/>
                <w:sz w:val="24"/>
                <w:szCs w:val="24"/>
                <w:highlight w:val="none"/>
              </w:rPr>
              <w:t>《工业企业厂界环境噪声排放标准》单位：dB（A）</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7"/>
              <w:gridCol w:w="1049"/>
              <w:gridCol w:w="972"/>
            </w:tblGrid>
            <w:tr w14:paraId="5416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795" w:type="pct"/>
                  <w:noWrap w:val="0"/>
                  <w:vAlign w:val="center"/>
                </w:tcPr>
                <w:p w14:paraId="10D2CF8B">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执行标准</w:t>
                  </w:r>
                </w:p>
              </w:tc>
              <w:tc>
                <w:tcPr>
                  <w:tcW w:w="625" w:type="pct"/>
                  <w:noWrap w:val="0"/>
                  <w:vAlign w:val="center"/>
                </w:tcPr>
                <w:p w14:paraId="543DDE38">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579" w:type="pct"/>
                  <w:noWrap w:val="0"/>
                  <w:vAlign w:val="center"/>
                </w:tcPr>
                <w:p w14:paraId="349D2EC4">
                  <w:pPr>
                    <w:ind w:left="70" w:hanging="7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0290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795" w:type="pct"/>
                  <w:noWrap w:val="0"/>
                  <w:vAlign w:val="center"/>
                </w:tcPr>
                <w:p w14:paraId="0BB58873">
                  <w:pPr>
                    <w:jc w:val="center"/>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《工业企业厂界环境噪声排放标准》（GB12348-2008）3类</w:t>
                  </w:r>
                </w:p>
              </w:tc>
              <w:tc>
                <w:tcPr>
                  <w:tcW w:w="625" w:type="pct"/>
                  <w:noWrap w:val="0"/>
                  <w:vAlign w:val="center"/>
                </w:tcPr>
                <w:p w14:paraId="66D378FB">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65</w:t>
                  </w:r>
                </w:p>
              </w:tc>
              <w:tc>
                <w:tcPr>
                  <w:tcW w:w="579" w:type="pct"/>
                  <w:noWrap w:val="0"/>
                  <w:vAlign w:val="center"/>
                </w:tcPr>
                <w:p w14:paraId="47BD6D3D">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55</w:t>
                  </w:r>
                </w:p>
              </w:tc>
            </w:tr>
          </w:tbl>
          <w:p w14:paraId="277B7B41">
            <w:pPr>
              <w:adjustRightInd w:val="0"/>
              <w:snapToGrid w:val="0"/>
              <w:spacing w:before="120" w:beforeLines="50"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4、固体废物</w:t>
            </w:r>
          </w:p>
          <w:p w14:paraId="6791190F">
            <w:pPr>
              <w:snapToGrid w:val="0"/>
              <w:spacing w:line="360" w:lineRule="auto"/>
              <w:ind w:firstLine="480" w:firstLineChars="200"/>
              <w:rPr>
                <w:rFonts w:hint="default"/>
                <w:color w:val="auto"/>
                <w:sz w:val="24"/>
                <w:szCs w:val="24"/>
                <w:highlight w:val="none"/>
              </w:rPr>
            </w:pPr>
            <w:r>
              <w:rPr>
                <w:rFonts w:hint="default" w:ascii="Times New Roman" w:hAnsi="Times New Roman" w:cs="Times New Roman"/>
                <w:color w:val="auto"/>
                <w:sz w:val="24"/>
                <w:szCs w:val="24"/>
                <w:highlight w:val="none"/>
              </w:rPr>
              <w:t>一般工业固体废物</w:t>
            </w:r>
            <w:r>
              <w:rPr>
                <w:rFonts w:hint="eastAsia" w:cs="Times New Roman"/>
                <w:color w:val="auto"/>
                <w:sz w:val="24"/>
                <w:szCs w:val="24"/>
                <w:highlight w:val="none"/>
                <w:lang w:val="en-US" w:eastAsia="zh-CN"/>
              </w:rPr>
              <w:t>参照</w:t>
            </w:r>
            <w:r>
              <w:rPr>
                <w:rFonts w:hint="default" w:ascii="Times New Roman" w:hAnsi="Times New Roman" w:cs="Times New Roman"/>
                <w:color w:val="auto"/>
                <w:sz w:val="24"/>
                <w:szCs w:val="24"/>
                <w:highlight w:val="none"/>
              </w:rPr>
              <w:t>《一般工业固体废物贮存和填埋污染控制标准》（GB18599-2020）中相关规定执行；危险废物按照《危险废物贮存污染控制标准》（GB18597-20</w:t>
            </w:r>
            <w:r>
              <w:rPr>
                <w:rFonts w:hint="eastAsia" w:ascii="Times New Roman" w:hAnsi="Times New Roman" w:cs="Times New Roman"/>
                <w:color w:val="auto"/>
                <w:sz w:val="24"/>
                <w:szCs w:val="24"/>
                <w:highlight w:val="none"/>
                <w:lang w:val="en-US" w:eastAsia="zh-CN"/>
              </w:rPr>
              <w:t>23</w:t>
            </w:r>
            <w:r>
              <w:rPr>
                <w:rFonts w:hint="default" w:ascii="Times New Roman" w:hAnsi="Times New Roman" w:cs="Times New Roman"/>
                <w:color w:val="auto"/>
                <w:sz w:val="24"/>
                <w:szCs w:val="24"/>
                <w:highlight w:val="none"/>
              </w:rPr>
              <w:t>）中有关规定执行。</w:t>
            </w:r>
          </w:p>
        </w:tc>
      </w:tr>
      <w:tr w14:paraId="705AB5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43" w:type="dxa"/>
            <w:noWrap w:val="0"/>
            <w:vAlign w:val="center"/>
          </w:tcPr>
          <w:p w14:paraId="3A205635">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总量</w:t>
            </w:r>
          </w:p>
          <w:p w14:paraId="26DBA2E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控制</w:t>
            </w:r>
          </w:p>
          <w:p w14:paraId="6985ED5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指标</w:t>
            </w:r>
          </w:p>
        </w:tc>
        <w:tc>
          <w:tcPr>
            <w:tcW w:w="8617" w:type="dxa"/>
            <w:noWrap w:val="0"/>
            <w:vAlign w:val="top"/>
          </w:tcPr>
          <w:p w14:paraId="095E71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环保厅关于进一步加强建设项目新增大气污染物总量指标管理工作的通知》(皖环发[2017]19号)，新增大气主要污染物排放的建设项目环境影响评价文件审批前取得的总量指标从两项增加为四项。在二氧化硫、氮氧化物的基础上增加烟(粉)尘、挥发性有机物(VOCs)。</w:t>
            </w:r>
          </w:p>
          <w:p w14:paraId="66B1AD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项目无二氧化硫、氮氧化物排放</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颗粒物排放量为0.0004t/a，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排放量为0.1609t/a，因此颗粒物总量申请指标为：0.0004t/a，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总量申请指标为：0.1609t/a</w:t>
            </w:r>
            <w:r>
              <w:rPr>
                <w:rFonts w:hint="default" w:ascii="Times New Roman" w:hAnsi="Times New Roman" w:cs="Times New Roman"/>
                <w:color w:val="auto"/>
                <w:sz w:val="24"/>
                <w:szCs w:val="24"/>
                <w:highlight w:val="none"/>
                <w:lang w:val="en-US" w:eastAsia="zh-CN"/>
              </w:rPr>
              <w:t>。</w:t>
            </w:r>
          </w:p>
          <w:p w14:paraId="59FFF0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eastAsia" w:cs="Times New Roman"/>
                <w:color w:val="auto"/>
                <w:sz w:val="24"/>
                <w:szCs w:val="24"/>
                <w:highlight w:val="none"/>
                <w:vertAlign w:val="baseline"/>
                <w:lang w:val="en-US" w:eastAsia="zh-CN"/>
              </w:rPr>
              <w:t>项目</w:t>
            </w:r>
            <w:r>
              <w:rPr>
                <w:rFonts w:hint="eastAsia" w:ascii="Times New Roman" w:hAnsi="Times New Roman" w:eastAsia="宋体" w:cs="Times New Roman"/>
                <w:sz w:val="24"/>
                <w:szCs w:val="24"/>
                <w:highlight w:val="none"/>
                <w:lang w:eastAsia="zh-CN"/>
              </w:rPr>
              <w:t>采用</w:t>
            </w:r>
            <w:r>
              <w:rPr>
                <w:rFonts w:hint="default" w:ascii="Times New Roman" w:hAnsi="Times New Roman" w:cs="Times New Roman"/>
                <w:color w:val="auto"/>
                <w:sz w:val="24"/>
                <w:szCs w:val="24"/>
                <w:highlight w:val="none"/>
              </w:rPr>
              <w:t>雨污分流制</w:t>
            </w:r>
            <w:r>
              <w:rPr>
                <w:rFonts w:hint="eastAsia" w:ascii="Times New Roman" w:hAnsi="Times New Roman" w:cs="Times New Roman"/>
                <w:color w:val="auto"/>
                <w:sz w:val="24"/>
                <w:szCs w:val="24"/>
                <w:highlight w:val="none"/>
                <w:lang w:eastAsia="zh-CN"/>
              </w:rPr>
              <w:t>，生活污水经</w:t>
            </w:r>
            <w:r>
              <w:rPr>
                <w:rFonts w:hint="eastAsia" w:cs="Times New Roman"/>
                <w:color w:val="auto"/>
                <w:sz w:val="24"/>
                <w:szCs w:val="24"/>
                <w:highlight w:val="none"/>
                <w:lang w:val="en-US" w:eastAsia="zh-CN"/>
              </w:rPr>
              <w:t>科技孵化园</w:t>
            </w:r>
            <w:r>
              <w:rPr>
                <w:rFonts w:hint="eastAsia" w:ascii="Times New Roman" w:hAnsi="Times New Roman" w:cs="Times New Roman"/>
                <w:color w:val="auto"/>
                <w:sz w:val="24"/>
                <w:szCs w:val="24"/>
                <w:highlight w:val="none"/>
                <w:lang w:eastAsia="zh-CN"/>
              </w:rPr>
              <w:t>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r>
              <w:rPr>
                <w:rFonts w:hint="default" w:ascii="Times New Roman" w:hAnsi="Times New Roman" w:cs="Times New Roman"/>
                <w:color w:val="auto"/>
                <w:sz w:val="24"/>
                <w:szCs w:val="24"/>
                <w:highlight w:val="none"/>
                <w:lang w:val="en-US" w:eastAsia="zh-CN"/>
              </w:rPr>
              <w:t>项目COD、</w:t>
            </w:r>
            <w:r>
              <w:rPr>
                <w:rFonts w:hint="default" w:ascii="Times New Roman" w:hAnsi="Times New Roman" w:eastAsia="宋体" w:cs="Times New Roman"/>
                <w:b w:val="0"/>
                <w:bCs w:val="0"/>
                <w:color w:val="auto"/>
                <w:sz w:val="24"/>
                <w:szCs w:val="24"/>
                <w:highlight w:val="none"/>
                <w:vertAlign w:val="baseline"/>
                <w:lang w:val="en-US" w:eastAsia="zh-CN"/>
              </w:rPr>
              <w:t>NH</w:t>
            </w:r>
            <w:r>
              <w:rPr>
                <w:rFonts w:hint="default" w:ascii="Times New Roman" w:hAnsi="Times New Roman" w:eastAsia="宋体" w:cs="Times New Roman"/>
                <w:b w:val="0"/>
                <w:bCs w:val="0"/>
                <w:color w:val="auto"/>
                <w:sz w:val="24"/>
                <w:szCs w:val="24"/>
                <w:highlight w:val="none"/>
                <w:vertAlign w:val="subscript"/>
                <w:lang w:val="en-US" w:eastAsia="zh-CN"/>
              </w:rPr>
              <w:t>3</w:t>
            </w:r>
            <w:r>
              <w:rPr>
                <w:rFonts w:hint="default" w:ascii="Times New Roman" w:hAnsi="Times New Roman" w:eastAsia="宋体" w:cs="Times New Roman"/>
                <w:b w:val="0"/>
                <w:bCs w:val="0"/>
                <w:color w:val="auto"/>
                <w:sz w:val="24"/>
                <w:szCs w:val="24"/>
                <w:highlight w:val="none"/>
                <w:vertAlign w:val="baseline"/>
                <w:lang w:val="en-US" w:eastAsia="zh-CN"/>
              </w:rPr>
              <w:t>-N</w:t>
            </w:r>
            <w:r>
              <w:rPr>
                <w:rFonts w:hint="default" w:ascii="Times New Roman" w:hAnsi="Times New Roman" w:cs="Times New Roman"/>
                <w:color w:val="auto"/>
                <w:sz w:val="24"/>
                <w:szCs w:val="24"/>
                <w:highlight w:val="none"/>
                <w:lang w:val="en-US" w:eastAsia="zh-CN"/>
              </w:rPr>
              <w:t>排放总量纳入</w:t>
            </w:r>
            <w:r>
              <w:rPr>
                <w:rFonts w:hint="eastAsia" w:ascii="Times New Roman" w:hAnsi="Times New Roman" w:cs="Times New Roman"/>
                <w:color w:val="auto"/>
                <w:sz w:val="24"/>
                <w:szCs w:val="24"/>
                <w:highlight w:val="none"/>
                <w:lang w:eastAsia="zh-CN"/>
              </w:rPr>
              <w:t>江南产业集中区第一污水处理厂</w:t>
            </w:r>
            <w:r>
              <w:rPr>
                <w:rFonts w:hint="default" w:ascii="Times New Roman" w:hAnsi="Times New Roman" w:cs="Times New Roman"/>
                <w:color w:val="auto"/>
                <w:sz w:val="24"/>
                <w:szCs w:val="24"/>
                <w:highlight w:val="none"/>
                <w:lang w:val="en-US" w:eastAsia="zh-CN"/>
              </w:rPr>
              <w:t>总量控制指标内，故不再申请总量控制指标。</w:t>
            </w:r>
          </w:p>
        </w:tc>
      </w:tr>
    </w:tbl>
    <w:p w14:paraId="5A4B7AA0">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6"/>
          <w:szCs w:val="36"/>
          <w:highlight w:val="none"/>
        </w:rPr>
        <w:br w:type="page"/>
      </w:r>
      <w:r>
        <w:rPr>
          <w:rFonts w:hint="default" w:ascii="Times New Roman" w:hAnsi="Times New Roman" w:eastAsia="黑体" w:cs="Times New Roman"/>
          <w:snapToGrid w:val="0"/>
          <w:color w:val="auto"/>
          <w:sz w:val="30"/>
          <w:szCs w:val="30"/>
          <w:highlight w:val="none"/>
        </w:rPr>
        <w:t>四、主要环境影响和保护措施</w:t>
      </w:r>
    </w:p>
    <w:tbl>
      <w:tblPr>
        <w:tblStyle w:val="22"/>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82"/>
      </w:tblGrid>
      <w:tr w14:paraId="461418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68D860B4">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施工</w:t>
            </w:r>
          </w:p>
          <w:p w14:paraId="67E9D4EE">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期环</w:t>
            </w:r>
          </w:p>
          <w:p w14:paraId="52F06CA3">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境保</w:t>
            </w:r>
          </w:p>
          <w:p w14:paraId="5AE73605">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护措</w:t>
            </w:r>
          </w:p>
          <w:p w14:paraId="18BC75B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color w:val="auto"/>
                <w:kern w:val="2"/>
                <w:sz w:val="24"/>
                <w:szCs w:val="24"/>
                <w:highlight w:val="none"/>
              </w:rPr>
              <w:t>施</w:t>
            </w:r>
          </w:p>
        </w:tc>
        <w:tc>
          <w:tcPr>
            <w:tcW w:w="8182" w:type="dxa"/>
            <w:noWrap w:val="0"/>
            <w:vAlign w:val="center"/>
          </w:tcPr>
          <w:p w14:paraId="0B334C0E">
            <w:pPr>
              <w:adjustRightInd w:val="0"/>
              <w:snapToGrid w:val="0"/>
              <w:spacing w:line="360" w:lineRule="auto"/>
              <w:ind w:firstLine="480" w:firstLineChars="200"/>
              <w:rPr>
                <w:rFonts w:hint="default" w:ascii="Times New Roman" w:hAnsi="Times New Roman" w:cs="Times New Roman"/>
                <w:bCs/>
                <w:color w:val="auto"/>
                <w:spacing w:val="-10"/>
                <w:sz w:val="24"/>
                <w:szCs w:val="24"/>
                <w:highlight w:val="none"/>
              </w:rPr>
            </w:pPr>
            <w:r>
              <w:rPr>
                <w:rFonts w:hint="default" w:ascii="Times New Roman" w:hAnsi="Times New Roman" w:cs="Times New Roman"/>
                <w:color w:val="auto"/>
                <w:sz w:val="24"/>
                <w:szCs w:val="24"/>
                <w:highlight w:val="none"/>
              </w:rPr>
              <w:t>本项目位于</w:t>
            </w:r>
            <w:r>
              <w:rPr>
                <w:rFonts w:hint="eastAsia" w:cs="Times New Roman"/>
                <w:color w:val="auto"/>
                <w:sz w:val="24"/>
                <w:szCs w:val="24"/>
                <w:highlight w:val="none"/>
                <w:lang w:val="en-US" w:eastAsia="zh-CN"/>
              </w:rPr>
              <w:t>皖江江南新兴产业集中区科技孵化园A5号厂房3-4层，建筑总面积15178.64m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，目前厂房、供水、供电、排水、道路等基础工程已经全部建成。施工期的主要工作是厂房装饰及设备安装调试。施工期产生的废建筑材料、施工垃圾等固体废物委托物资公司处理，施工期施工人员生活污水依托</w:t>
            </w:r>
            <w:r>
              <w:rPr>
                <w:rFonts w:hint="eastAsia" w:cs="Times New Roman"/>
                <w:color w:val="auto"/>
                <w:sz w:val="24"/>
                <w:szCs w:val="24"/>
                <w:highlight w:val="none"/>
                <w:lang w:val="en-US" w:eastAsia="zh-CN"/>
              </w:rPr>
              <w:t>科技孵化园</w:t>
            </w:r>
            <w:r>
              <w:rPr>
                <w:rFonts w:hint="eastAsia" w:ascii="Times New Roman" w:hAnsi="Times New Roman" w:cs="Times New Roman"/>
                <w:color w:val="auto"/>
                <w:sz w:val="24"/>
                <w:szCs w:val="24"/>
                <w:highlight w:val="none"/>
                <w:lang w:val="en-US" w:eastAsia="zh-CN"/>
              </w:rPr>
              <w:t>园区</w:t>
            </w:r>
            <w:r>
              <w:rPr>
                <w:rFonts w:hint="default" w:ascii="Times New Roman" w:hAnsi="Times New Roman" w:cs="Times New Roman"/>
                <w:color w:val="auto"/>
                <w:sz w:val="24"/>
                <w:szCs w:val="24"/>
                <w:highlight w:val="none"/>
              </w:rPr>
              <w:t>现有化粪池处理，施工期设备安装、调试产生的噪声通过设备减振、厂房隔声等降噪措施。</w:t>
            </w:r>
          </w:p>
        </w:tc>
      </w:tr>
      <w:tr w14:paraId="7D2DF7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12A5F25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1362CF96">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6519E76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D671EB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0DDDBC7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9912257">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bCs/>
                <w:color w:val="auto"/>
                <w:sz w:val="24"/>
                <w:szCs w:val="24"/>
                <w:highlight w:val="none"/>
              </w:rPr>
              <w:t>措施</w:t>
            </w:r>
          </w:p>
        </w:tc>
        <w:tc>
          <w:tcPr>
            <w:tcW w:w="8182" w:type="dxa"/>
            <w:noWrap w:val="0"/>
            <w:vAlign w:val="center"/>
          </w:tcPr>
          <w:p w14:paraId="48AC082E">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w:t>
            </w:r>
          </w:p>
          <w:p w14:paraId="26F88B83">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废气污染源强分析</w:t>
            </w:r>
          </w:p>
          <w:p w14:paraId="5D9A879A">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项目废气主要为</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、手工焊焊接废气</w:t>
            </w:r>
            <w:r>
              <w:rPr>
                <w:rFonts w:hint="eastAsia" w:ascii="Times New Roman" w:hAnsi="Times New Roman" w:cs="Times New Roman"/>
                <w:color w:val="auto"/>
                <w:kern w:val="0"/>
                <w:sz w:val="24"/>
                <w:szCs w:val="24"/>
                <w:highlight w:val="none"/>
                <w:lang w:val="en-US" w:eastAsia="zh-CN"/>
              </w:rPr>
              <w:t>。</w:t>
            </w:r>
          </w:p>
          <w:p w14:paraId="456774BB">
            <w:pPr>
              <w:spacing w:line="360" w:lineRule="auto"/>
              <w:ind w:firstLine="480" w:firstLineChars="200"/>
              <w:rPr>
                <w:rFonts w:hint="default"/>
                <w:sz w:val="24"/>
                <w:szCs w:val="24"/>
                <w:highlight w:val="none"/>
                <w:lang w:val="en-US" w:eastAsia="zh-CN"/>
              </w:rPr>
            </w:pPr>
            <w:r>
              <w:rPr>
                <w:rFonts w:hint="default" w:ascii="Times New Roman" w:hAnsi="Times New Roman" w:cs="Times New Roman"/>
                <w:b w:val="0"/>
                <w:bCs w:val="0"/>
                <w:color w:val="auto"/>
                <w:kern w:val="0"/>
                <w:sz w:val="24"/>
                <w:szCs w:val="24"/>
                <w:highlight w:val="none"/>
                <w:lang w:eastAsia="zh-CN"/>
              </w:rPr>
              <w:t>①</w:t>
            </w:r>
            <w:r>
              <w:rPr>
                <w:rFonts w:hint="eastAsia" w:cs="Times New Roman"/>
                <w:color w:val="auto"/>
                <w:kern w:val="0"/>
                <w:sz w:val="24"/>
                <w:szCs w:val="24"/>
                <w:highlight w:val="none"/>
                <w:lang w:eastAsia="zh-CN"/>
              </w:rPr>
              <w:t>锡</w:t>
            </w:r>
            <w:r>
              <w:rPr>
                <w:rFonts w:hint="eastAsia" w:cs="Times New Roman"/>
                <w:b w:val="0"/>
                <w:bCs w:val="0"/>
                <w:color w:val="auto"/>
                <w:kern w:val="0"/>
                <w:sz w:val="24"/>
                <w:szCs w:val="24"/>
                <w:highlight w:val="none"/>
                <w:lang w:val="en-US" w:eastAsia="zh-CN"/>
              </w:rPr>
              <w:t>膏印刷废气：根据建设单位提供的资料，每件LED显示模组产品需消耗3-4g无铅锡膏，本次评价按照每件产品消耗4g锡膏计，则无铅锡膏年用量约为9.6/a，</w:t>
            </w:r>
            <w:r>
              <w:rPr>
                <w:rFonts w:hint="eastAsia" w:ascii="Times New Roman" w:hAnsi="Times New Roman" w:cs="Times New Roman"/>
                <w:b w:val="0"/>
                <w:bCs w:val="0"/>
                <w:color w:val="auto"/>
                <w:kern w:val="0"/>
                <w:sz w:val="24"/>
                <w:szCs w:val="24"/>
                <w:highlight w:val="none"/>
                <w:lang w:eastAsia="zh-CN"/>
              </w:rPr>
              <w:t>锡膏印刷过程中锡膏中焊剂会产生有机废气</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本项目使用的无铅锡膏的主要成分是锡、铜、银等金属，含量占锡膏成分81-96%，混合醚含量占锡膏成分2-8%，氢化松香含量占锡膏成分2-5%，有机酸含量占锡膏成分0.2-1%。</w:t>
            </w:r>
            <w:r>
              <w:rPr>
                <w:rFonts w:hint="eastAsia" w:ascii="Times New Roman" w:hAnsi="Times New Roman" w:eastAsia="宋体" w:cs="Times New Roman"/>
                <w:b w:val="0"/>
                <w:bCs w:val="0"/>
                <w:color w:val="auto"/>
                <w:kern w:val="0"/>
                <w:sz w:val="24"/>
                <w:szCs w:val="24"/>
                <w:highlight w:val="none"/>
                <w:lang w:eastAsia="zh-CN"/>
              </w:rPr>
              <w:t>本次环评按</w:t>
            </w:r>
            <w:r>
              <w:rPr>
                <w:rFonts w:hint="eastAsia" w:ascii="Times New Roman" w:hAnsi="Times New Roman" w:cs="Times New Roman"/>
                <w:b w:val="0"/>
                <w:bCs w:val="0"/>
                <w:color w:val="auto"/>
                <w:kern w:val="0"/>
                <w:sz w:val="24"/>
                <w:szCs w:val="24"/>
                <w:highlight w:val="none"/>
                <w:lang w:eastAsia="zh-CN"/>
              </w:rPr>
              <w:t>无铅锡膏</w:t>
            </w:r>
            <w:r>
              <w:rPr>
                <w:rFonts w:hint="eastAsia" w:cs="Times New Roman"/>
                <w:b w:val="0"/>
                <w:bCs w:val="0"/>
                <w:color w:val="auto"/>
                <w:kern w:val="0"/>
                <w:sz w:val="24"/>
                <w:szCs w:val="24"/>
                <w:highlight w:val="none"/>
                <w:lang w:eastAsia="zh-CN"/>
              </w:rPr>
              <w:t>中</w:t>
            </w:r>
            <w:r>
              <w:rPr>
                <w:rFonts w:hint="eastAsia" w:cs="Times New Roman"/>
                <w:b w:val="0"/>
                <w:bCs w:val="0"/>
                <w:color w:val="auto"/>
                <w:kern w:val="0"/>
                <w:sz w:val="24"/>
                <w:szCs w:val="24"/>
                <w:highlight w:val="none"/>
                <w:lang w:val="en-US" w:eastAsia="zh-CN"/>
              </w:rPr>
              <w:t>混合醚</w:t>
            </w:r>
            <w:r>
              <w:rPr>
                <w:rFonts w:hint="eastAsia" w:cs="Times New Roman"/>
                <w:color w:val="auto"/>
                <w:sz w:val="24"/>
                <w:szCs w:val="24"/>
                <w:highlight w:val="none"/>
                <w:lang w:val="en-US" w:eastAsia="zh-CN"/>
              </w:rPr>
              <w:t>、</w:t>
            </w:r>
            <w:r>
              <w:rPr>
                <w:rFonts w:hint="eastAsia" w:cs="Times New Roman"/>
                <w:b w:val="0"/>
                <w:bCs w:val="0"/>
                <w:color w:val="auto"/>
                <w:kern w:val="0"/>
                <w:sz w:val="24"/>
                <w:szCs w:val="24"/>
                <w:highlight w:val="none"/>
                <w:lang w:val="en-US" w:eastAsia="zh-CN"/>
              </w:rPr>
              <w:t>氢化松香</w:t>
            </w:r>
            <w:r>
              <w:rPr>
                <w:rFonts w:hint="eastAsia" w:cs="Times New Roman"/>
                <w:color w:val="auto"/>
                <w:sz w:val="24"/>
                <w:szCs w:val="24"/>
                <w:highlight w:val="none"/>
                <w:lang w:val="en-US" w:eastAsia="zh-CN"/>
              </w:rPr>
              <w:t>及</w:t>
            </w:r>
            <w:r>
              <w:rPr>
                <w:rFonts w:hint="eastAsia" w:cs="Times New Roman"/>
                <w:b w:val="0"/>
                <w:bCs w:val="0"/>
                <w:color w:val="auto"/>
                <w:kern w:val="0"/>
                <w:sz w:val="24"/>
                <w:szCs w:val="24"/>
                <w:highlight w:val="none"/>
                <w:lang w:val="en-US" w:eastAsia="zh-CN"/>
              </w:rPr>
              <w:t>有机酸</w:t>
            </w:r>
            <w:r>
              <w:rPr>
                <w:rFonts w:hint="eastAsia" w:cs="Times New Roman"/>
                <w:color w:val="auto"/>
                <w:sz w:val="24"/>
                <w:szCs w:val="24"/>
                <w:highlight w:val="none"/>
                <w:lang w:val="en-US" w:eastAsia="zh-CN"/>
              </w:rPr>
              <w:t>成分</w:t>
            </w:r>
            <w:r>
              <w:rPr>
                <w:rFonts w:hint="eastAsia" w:ascii="Times New Roman" w:hAnsi="Times New Roman" w:cs="Times New Roman"/>
                <w:b w:val="0"/>
                <w:bCs w:val="0"/>
                <w:color w:val="auto"/>
                <w:kern w:val="0"/>
                <w:sz w:val="24"/>
                <w:szCs w:val="24"/>
                <w:highlight w:val="none"/>
                <w:lang w:eastAsia="zh-CN"/>
              </w:rPr>
              <w:t>100%</w:t>
            </w:r>
            <w:r>
              <w:rPr>
                <w:rFonts w:hint="eastAsia" w:cs="Times New Roman"/>
                <w:color w:val="auto"/>
                <w:sz w:val="24"/>
                <w:szCs w:val="24"/>
                <w:highlight w:val="none"/>
                <w:lang w:val="en-US" w:eastAsia="zh-CN"/>
              </w:rPr>
              <w:t>挥发计（本次评价按挥发性有机物最大</w:t>
            </w:r>
            <w:r>
              <w:rPr>
                <w:rFonts w:hint="eastAsia" w:ascii="Times New Roman" w:hAnsi="Times New Roman" w:cs="Times New Roman"/>
                <w:b w:val="0"/>
                <w:bCs w:val="0"/>
                <w:color w:val="auto"/>
                <w:kern w:val="0"/>
                <w:sz w:val="24"/>
                <w:szCs w:val="24"/>
                <w:highlight w:val="none"/>
                <w:lang w:eastAsia="zh-CN"/>
              </w:rPr>
              <w:t>含量</w:t>
            </w:r>
            <w:r>
              <w:rPr>
                <w:rFonts w:hint="eastAsia" w:cs="Times New Roman"/>
                <w:b w:val="0"/>
                <w:bCs w:val="0"/>
                <w:color w:val="auto"/>
                <w:kern w:val="0"/>
                <w:sz w:val="24"/>
                <w:szCs w:val="24"/>
                <w:highlight w:val="none"/>
                <w:lang w:val="en-US" w:eastAsia="zh-CN"/>
              </w:rPr>
              <w:t>14</w:t>
            </w:r>
            <w:r>
              <w:rPr>
                <w:rFonts w:hint="eastAsia" w:ascii="Times New Roman" w:hAnsi="Times New Roman" w:cs="Times New Roman"/>
                <w:b w:val="0"/>
                <w:bCs w:val="0"/>
                <w:color w:val="auto"/>
                <w:kern w:val="0"/>
                <w:sz w:val="24"/>
                <w:szCs w:val="24"/>
                <w:highlight w:val="none"/>
                <w:lang w:eastAsia="zh-CN"/>
              </w:rPr>
              <w:t>%</w:t>
            </w:r>
            <w:r>
              <w:rPr>
                <w:rFonts w:hint="eastAsia" w:ascii="Times New Roman" w:hAnsi="Times New Roman" w:cs="Times New Roman"/>
                <w:b w:val="0"/>
                <w:bCs w:val="0"/>
                <w:color w:val="auto"/>
                <w:kern w:val="0"/>
                <w:sz w:val="24"/>
                <w:szCs w:val="24"/>
                <w:highlight w:val="none"/>
                <w:lang w:val="en-US" w:eastAsia="zh-CN"/>
              </w:rPr>
              <w:t>计</w:t>
            </w:r>
            <w:r>
              <w:rPr>
                <w:rFonts w:hint="eastAsia" w:cs="Times New Roman"/>
                <w:color w:val="auto"/>
                <w:sz w:val="24"/>
                <w:szCs w:val="24"/>
                <w:highlight w:val="none"/>
                <w:lang w:val="en-US" w:eastAsia="zh-CN"/>
              </w:rPr>
              <w:t>）</w:t>
            </w:r>
            <w:r>
              <w:rPr>
                <w:rFonts w:hint="eastAsia" w:ascii="Times New Roman" w:hAnsi="Times New Roman" w:cs="Times New Roman"/>
                <w:b w:val="0"/>
                <w:bCs w:val="0"/>
                <w:color w:val="auto"/>
                <w:kern w:val="0"/>
                <w:sz w:val="24"/>
                <w:szCs w:val="24"/>
                <w:highlight w:val="none"/>
                <w:lang w:eastAsia="zh-CN"/>
              </w:rPr>
              <w:t>，则</w:t>
            </w:r>
            <w:r>
              <w:rPr>
                <w:rFonts w:hint="eastAsia" w:cs="Times New Roman"/>
                <w:b w:val="0"/>
                <w:bCs w:val="0"/>
                <w:color w:val="auto"/>
                <w:kern w:val="0"/>
                <w:sz w:val="24"/>
                <w:szCs w:val="24"/>
                <w:highlight w:val="none"/>
                <w:lang w:val="en-US" w:eastAsia="zh-CN"/>
              </w:rPr>
              <w:t>项目</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产生量为</w:t>
            </w:r>
            <w:r>
              <w:rPr>
                <w:rFonts w:hint="eastAsia" w:cs="Times New Roman"/>
                <w:b w:val="0"/>
                <w:bCs w:val="0"/>
                <w:color w:val="auto"/>
                <w:kern w:val="0"/>
                <w:sz w:val="24"/>
                <w:szCs w:val="24"/>
                <w:highlight w:val="none"/>
                <w:lang w:val="en-US" w:eastAsia="zh-CN"/>
              </w:rPr>
              <w:t>1.344</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val="en-US" w:eastAsia="zh-CN"/>
              </w:rPr>
              <w:t>，锡膏印刷工序常温下进行，以</w:t>
            </w:r>
            <w:r>
              <w:rPr>
                <w:rFonts w:hint="eastAsia" w:cs="Times New Roman"/>
                <w:color w:val="auto"/>
                <w:sz w:val="24"/>
                <w:szCs w:val="24"/>
                <w:highlight w:val="none"/>
                <w:lang w:val="en-US" w:eastAsia="zh-CN"/>
              </w:rPr>
              <w:t>挥发性有机物</w:t>
            </w:r>
            <w:r>
              <w:rPr>
                <w:rFonts w:hint="eastAsia" w:cs="Times New Roman"/>
                <w:b w:val="0"/>
                <w:bCs w:val="0"/>
                <w:color w:val="auto"/>
                <w:kern w:val="0"/>
                <w:sz w:val="24"/>
                <w:szCs w:val="24"/>
                <w:highlight w:val="none"/>
                <w:lang w:val="en-US" w:eastAsia="zh-CN"/>
              </w:rPr>
              <w:t>含量挥发1%计，则锡膏印刷过程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0.0134</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，年生产</w:t>
            </w:r>
            <w:r>
              <w:rPr>
                <w:rFonts w:hint="eastAsia" w:cs="Times New Roman"/>
                <w:b w:val="0"/>
                <w:bCs w:val="0"/>
                <w:color w:val="auto"/>
                <w:kern w:val="0"/>
                <w:sz w:val="24"/>
                <w:szCs w:val="24"/>
                <w:highlight w:val="none"/>
                <w:lang w:val="en-US" w:eastAsia="zh-CN"/>
              </w:rPr>
              <w:t>4800h，产生速率约为0.0028kg/h</w:t>
            </w:r>
            <w:r>
              <w:rPr>
                <w:rFonts w:hint="eastAsia" w:ascii="Times New Roman" w:hAnsi="Times New Roman" w:cs="Times New Roman"/>
                <w:b w:val="0"/>
                <w:bCs w:val="0"/>
                <w:color w:val="auto"/>
                <w:kern w:val="0"/>
                <w:sz w:val="24"/>
                <w:szCs w:val="24"/>
                <w:highlight w:val="none"/>
                <w:lang w:eastAsia="zh-CN"/>
              </w:rPr>
              <w:t>。</w:t>
            </w:r>
          </w:p>
          <w:p w14:paraId="17A69533">
            <w:pPr>
              <w:tabs>
                <w:tab w:val="left" w:pos="2310"/>
              </w:tabs>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lang w:eastAsia="zh-CN"/>
              </w:rPr>
              <w:t>②</w:t>
            </w: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r>
              <w:rPr>
                <w:rFonts w:hint="eastAsia" w:ascii="Times New Roman" w:hAnsi="Times New Roman" w:cs="Times New Roman"/>
                <w:color w:val="auto"/>
                <w:kern w:val="0"/>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自动印刷机里的钢网每4-6小时进行一次擦拭</w:t>
            </w:r>
            <w:r>
              <w:rPr>
                <w:rFonts w:hint="eastAsia" w:cs="Times New Roman"/>
                <w:color w:val="auto"/>
                <w:sz w:val="24"/>
                <w:szCs w:val="24"/>
                <w:highlight w:val="none"/>
                <w:lang w:val="en-US" w:eastAsia="zh-CN"/>
              </w:rPr>
              <w:t>，由印刷机内配套的擦拭装置完成，擦拭装置抓取无尘纸浸取少量酒精后将钢网表面沾染的锡膏擦拭去除，无尘纸及酒精定期补充。在</w:t>
            </w:r>
            <w:r>
              <w:rPr>
                <w:rFonts w:hint="eastAsia" w:cs="Times New Roman"/>
                <w:color w:val="auto"/>
                <w:kern w:val="0"/>
                <w:sz w:val="24"/>
                <w:szCs w:val="24"/>
                <w:highlight w:val="none"/>
                <w:lang w:val="en-US" w:eastAsia="zh-CN"/>
              </w:rPr>
              <w:t>擦拭</w:t>
            </w:r>
            <w:r>
              <w:rPr>
                <w:rFonts w:hint="eastAsia" w:cs="Times New Roman"/>
                <w:color w:val="auto"/>
                <w:sz w:val="24"/>
                <w:szCs w:val="24"/>
                <w:highlight w:val="none"/>
                <w:lang w:val="en-US" w:eastAsia="zh-CN"/>
              </w:rPr>
              <w:t>过程中会酒精会全部挥发，</w:t>
            </w:r>
            <w:r>
              <w:rPr>
                <w:rFonts w:hint="eastAsia" w:ascii="Times New Roman" w:hAnsi="Times New Roman" w:cs="Times New Roman"/>
                <w:b w:val="0"/>
                <w:bCs w:val="0"/>
                <w:color w:val="auto"/>
                <w:kern w:val="0"/>
                <w:sz w:val="24"/>
                <w:szCs w:val="24"/>
                <w:highlight w:val="none"/>
                <w:lang w:eastAsia="zh-CN"/>
              </w:rPr>
              <w:t>本项目</w:t>
            </w:r>
            <w:r>
              <w:rPr>
                <w:rFonts w:hint="eastAsia" w:cs="Times New Roman"/>
                <w:color w:val="auto"/>
                <w:kern w:val="0"/>
                <w:sz w:val="24"/>
                <w:szCs w:val="24"/>
                <w:highlight w:val="none"/>
                <w:lang w:val="en-US" w:eastAsia="zh-CN"/>
              </w:rPr>
              <w:t>钢网擦拭工艺</w:t>
            </w:r>
            <w:r>
              <w:rPr>
                <w:rFonts w:hint="eastAsia" w:cs="Times New Roman"/>
                <w:b w:val="0"/>
                <w:bCs w:val="0"/>
                <w:color w:val="auto"/>
                <w:kern w:val="0"/>
                <w:sz w:val="24"/>
                <w:szCs w:val="24"/>
                <w:highlight w:val="none"/>
                <w:lang w:eastAsia="zh-CN"/>
              </w:rPr>
              <w:t>酒精</w:t>
            </w:r>
            <w:r>
              <w:rPr>
                <w:rFonts w:hint="eastAsia" w:ascii="Times New Roman" w:hAnsi="Times New Roman" w:cs="Times New Roman"/>
                <w:b w:val="0"/>
                <w:bCs w:val="0"/>
                <w:color w:val="auto"/>
                <w:kern w:val="0"/>
                <w:sz w:val="24"/>
                <w:szCs w:val="24"/>
                <w:highlight w:val="none"/>
                <w:lang w:eastAsia="zh-CN"/>
              </w:rPr>
              <w:t>使用量为</w:t>
            </w:r>
            <w:r>
              <w:rPr>
                <w:rFonts w:hint="eastAsia" w:cs="Times New Roman"/>
                <w:b w:val="0"/>
                <w:bCs w:val="0"/>
                <w:color w:val="auto"/>
                <w:kern w:val="0"/>
                <w:sz w:val="24"/>
                <w:szCs w:val="24"/>
                <w:highlight w:val="none"/>
                <w:lang w:val="en-US" w:eastAsia="zh-CN"/>
              </w:rPr>
              <w:t>0.34t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，酒精浓度</w:t>
            </w:r>
            <w:r>
              <w:rPr>
                <w:rFonts w:hint="eastAsia" w:cs="Times New Roman"/>
                <w:b w:val="0"/>
                <w:bCs w:val="0"/>
                <w:color w:val="auto"/>
                <w:kern w:val="0"/>
                <w:sz w:val="24"/>
                <w:szCs w:val="24"/>
                <w:highlight w:val="none"/>
                <w:lang w:val="en-US" w:eastAsia="zh-CN"/>
              </w:rPr>
              <w:t>98%，</w:t>
            </w:r>
            <w:r>
              <w:rPr>
                <w:rFonts w:hint="eastAsia" w:cs="Times New Roman"/>
                <w:b w:val="0"/>
                <w:bCs w:val="0"/>
                <w:color w:val="auto"/>
                <w:kern w:val="0"/>
                <w:sz w:val="24"/>
                <w:szCs w:val="24"/>
                <w:highlight w:val="none"/>
                <w:lang w:eastAsia="zh-CN"/>
              </w:rPr>
              <w:t>则</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val="en-US" w:eastAsia="zh-CN"/>
              </w:rPr>
              <w:t>工序</w:t>
            </w:r>
            <w:r>
              <w:rPr>
                <w:rFonts w:hint="eastAsia" w:cs="Times New Roman"/>
                <w:b w:val="0"/>
                <w:bCs w:val="0"/>
                <w:color w:val="auto"/>
                <w:kern w:val="0"/>
                <w:sz w:val="24"/>
                <w:szCs w:val="24"/>
                <w:highlight w:val="none"/>
                <w:lang w:eastAsia="zh-CN"/>
              </w:rPr>
              <w:t>非甲烷总烃产生量为</w:t>
            </w:r>
            <w:r>
              <w:rPr>
                <w:rFonts w:hint="eastAsia" w:cs="Times New Roman"/>
                <w:b w:val="0"/>
                <w:bCs w:val="0"/>
                <w:color w:val="auto"/>
                <w:kern w:val="0"/>
                <w:sz w:val="24"/>
                <w:szCs w:val="24"/>
                <w:highlight w:val="none"/>
                <w:lang w:val="en-US" w:eastAsia="zh-CN"/>
              </w:rPr>
              <w:t>0.3332t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w:t>
            </w:r>
            <w:r>
              <w:rPr>
                <w:rFonts w:hint="eastAsia" w:cs="Times New Roman"/>
                <w:b w:val="0"/>
                <w:bCs w:val="0"/>
                <w:color w:val="auto"/>
                <w:kern w:val="0"/>
                <w:sz w:val="24"/>
                <w:szCs w:val="24"/>
                <w:highlight w:val="none"/>
                <w:lang w:eastAsia="zh-CN"/>
              </w:rPr>
              <w:t>清洗时间以</w:t>
            </w:r>
            <w:r>
              <w:rPr>
                <w:rFonts w:hint="eastAsia" w:cs="Times New Roman"/>
                <w:b w:val="0"/>
                <w:bCs w:val="0"/>
                <w:color w:val="auto"/>
                <w:kern w:val="0"/>
                <w:sz w:val="24"/>
                <w:szCs w:val="24"/>
                <w:highlight w:val="none"/>
                <w:lang w:val="en-US" w:eastAsia="zh-CN"/>
              </w:rPr>
              <w:t>300h/a计，则产生速率为1.111</w:t>
            </w:r>
            <w:r>
              <w:rPr>
                <w:rFonts w:hint="eastAsia" w:cs="Times New Roman"/>
                <w:color w:val="auto"/>
                <w:sz w:val="24"/>
                <w:szCs w:val="24"/>
                <w:highlight w:val="none"/>
                <w:lang w:val="en-US" w:eastAsia="zh-CN"/>
              </w:rPr>
              <w:t>kg/h。</w:t>
            </w:r>
          </w:p>
          <w:p w14:paraId="36F97577">
            <w:pPr>
              <w:spacing w:line="360" w:lineRule="auto"/>
              <w:ind w:firstLine="480" w:firstLineChars="20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ascii="Times New Roman" w:hAnsi="Times New Roman" w:cs="Times New Roman"/>
                <w:color w:val="auto"/>
                <w:kern w:val="0"/>
                <w:sz w:val="24"/>
                <w:szCs w:val="24"/>
                <w:highlight w:val="none"/>
                <w:lang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w:t>
            </w:r>
            <w:r>
              <w:rPr>
                <w:rFonts w:hint="eastAsia" w:cs="Times New Roman"/>
                <w:color w:val="auto"/>
                <w:kern w:val="0"/>
                <w:sz w:val="24"/>
                <w:szCs w:val="24"/>
                <w:highlight w:val="none"/>
                <w:lang w:eastAsia="zh-CN"/>
              </w:rPr>
              <w:t>回流焊</w:t>
            </w:r>
            <w:r>
              <w:rPr>
                <w:rFonts w:hint="eastAsia" w:ascii="Times New Roman" w:hAnsi="Times New Roman" w:cs="Times New Roman"/>
                <w:color w:val="auto"/>
                <w:kern w:val="0"/>
                <w:sz w:val="24"/>
                <w:szCs w:val="24"/>
                <w:highlight w:val="none"/>
                <w:lang w:eastAsia="zh-CN"/>
              </w:rPr>
              <w:t>焊接加工过程中，有焊接</w:t>
            </w:r>
            <w:r>
              <w:rPr>
                <w:rFonts w:hint="eastAsia" w:cs="Times New Roman"/>
                <w:color w:val="auto"/>
                <w:kern w:val="0"/>
                <w:sz w:val="24"/>
                <w:szCs w:val="24"/>
                <w:highlight w:val="none"/>
                <w:lang w:eastAsia="zh-CN"/>
              </w:rPr>
              <w:t>废气</w:t>
            </w:r>
            <w:r>
              <w:rPr>
                <w:rFonts w:hint="eastAsia" w:ascii="Times New Roman" w:hAnsi="Times New Roman" w:cs="Times New Roman"/>
                <w:color w:val="auto"/>
                <w:kern w:val="0"/>
                <w:sz w:val="24"/>
                <w:szCs w:val="24"/>
                <w:highlight w:val="none"/>
                <w:lang w:eastAsia="zh-CN"/>
              </w:rPr>
              <w:t>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，当焊料为无铅焊料时，回流焊颗粒物的产污系数为0.3638g/kg-焊料，项目无铅锡膏的使用量为</w:t>
            </w:r>
            <w:r>
              <w:rPr>
                <w:rFonts w:hint="eastAsia" w:cs="Times New Roman"/>
                <w:color w:val="auto"/>
                <w:kern w:val="0"/>
                <w:sz w:val="24"/>
                <w:szCs w:val="24"/>
                <w:highlight w:val="none"/>
                <w:lang w:val="en-US" w:eastAsia="zh-CN"/>
              </w:rPr>
              <w:t>9.6</w:t>
            </w:r>
            <w:r>
              <w:rPr>
                <w:rFonts w:hint="eastAsia" w:cs="Times New Roman"/>
                <w:color w:val="auto"/>
                <w:kern w:val="0"/>
                <w:sz w:val="24"/>
                <w:szCs w:val="24"/>
                <w:highlight w:val="none"/>
                <w:lang w:eastAsia="zh-CN"/>
              </w:rPr>
              <w:t>t/a，则回流焊工序颗粒物的产生量约为</w:t>
            </w:r>
            <w:r>
              <w:rPr>
                <w:rFonts w:hint="eastAsia" w:cs="Times New Roman"/>
                <w:color w:val="auto"/>
                <w:kern w:val="0"/>
                <w:sz w:val="24"/>
                <w:szCs w:val="24"/>
                <w:highlight w:val="none"/>
                <w:lang w:val="en-US" w:eastAsia="zh-CN"/>
              </w:rPr>
              <w:t>0.0035t</w:t>
            </w:r>
            <w:r>
              <w:rPr>
                <w:rFonts w:hint="eastAsia" w:cs="Times New Roman"/>
                <w:color w:val="auto"/>
                <w:kern w:val="0"/>
                <w:sz w:val="24"/>
                <w:szCs w:val="24"/>
                <w:highlight w:val="none"/>
                <w:lang w:eastAsia="zh-CN"/>
              </w:rPr>
              <w:t>/a，</w:t>
            </w:r>
            <w:r>
              <w:rPr>
                <w:rFonts w:hint="eastAsia" w:cs="Times New Roman"/>
                <w:b w:val="0"/>
                <w:bCs w:val="0"/>
                <w:color w:val="auto"/>
                <w:kern w:val="0"/>
                <w:sz w:val="24"/>
                <w:szCs w:val="24"/>
                <w:highlight w:val="none"/>
                <w:lang w:eastAsia="zh-CN"/>
              </w:rPr>
              <w:t>年生产</w:t>
            </w:r>
            <w:r>
              <w:rPr>
                <w:rFonts w:hint="eastAsia" w:cs="Times New Roman"/>
                <w:b w:val="0"/>
                <w:bCs w:val="0"/>
                <w:color w:val="auto"/>
                <w:kern w:val="0"/>
                <w:sz w:val="24"/>
                <w:szCs w:val="24"/>
                <w:highlight w:val="none"/>
                <w:lang w:val="en-US" w:eastAsia="zh-CN"/>
              </w:rPr>
              <w:t>4800h，则产生速率为0.0007kg/h；</w:t>
            </w:r>
            <w:r>
              <w:rPr>
                <w:rFonts w:hint="eastAsia" w:cs="Times New Roman"/>
                <w:color w:val="auto"/>
                <w:kern w:val="0"/>
                <w:sz w:val="24"/>
                <w:szCs w:val="24"/>
                <w:highlight w:val="none"/>
                <w:lang w:eastAsia="zh-CN"/>
              </w:rPr>
              <w:t>产生的颗粒物中主要成分为锡及其化合物，无铅锡膏</w:t>
            </w:r>
            <w:r>
              <w:rPr>
                <w:rFonts w:hint="eastAsia" w:cs="Times New Roman"/>
                <w:color w:val="auto"/>
                <w:kern w:val="0"/>
                <w:sz w:val="24"/>
                <w:szCs w:val="24"/>
                <w:highlight w:val="none"/>
                <w:lang w:val="en-US" w:eastAsia="zh-CN"/>
              </w:rPr>
              <w:t>金属中</w:t>
            </w:r>
            <w:r>
              <w:rPr>
                <w:rFonts w:hint="eastAsia" w:cs="Times New Roman"/>
                <w:color w:val="auto"/>
                <w:kern w:val="0"/>
                <w:sz w:val="24"/>
                <w:szCs w:val="24"/>
                <w:highlight w:val="none"/>
                <w:lang w:eastAsia="zh-CN"/>
              </w:rPr>
              <w:t>锡</w:t>
            </w:r>
            <w:r>
              <w:rPr>
                <w:rFonts w:hint="eastAsia" w:cs="Times New Roman"/>
                <w:color w:val="auto"/>
                <w:kern w:val="0"/>
                <w:sz w:val="24"/>
                <w:szCs w:val="24"/>
                <w:highlight w:val="none"/>
                <w:lang w:val="en-US" w:eastAsia="zh-CN"/>
              </w:rPr>
              <w:t>含量占比约为</w:t>
            </w:r>
            <w:r>
              <w:rPr>
                <w:rFonts w:hint="eastAsia" w:cs="Times New Roman"/>
                <w:color w:val="auto"/>
                <w:kern w:val="0"/>
                <w:sz w:val="24"/>
                <w:szCs w:val="24"/>
                <w:highlight w:val="none"/>
                <w:lang w:eastAsia="zh-CN"/>
              </w:rPr>
              <w:t>9</w:t>
            </w:r>
            <w:r>
              <w:rPr>
                <w:rFonts w:hint="eastAsia" w:cs="Times New Roman"/>
                <w:color w:val="auto"/>
                <w:kern w:val="0"/>
                <w:sz w:val="24"/>
                <w:szCs w:val="24"/>
                <w:highlight w:val="none"/>
                <w:lang w:val="en-US" w:eastAsia="zh-CN"/>
              </w:rPr>
              <w:t>2</w:t>
            </w:r>
            <w:r>
              <w:rPr>
                <w:rFonts w:hint="eastAsia" w:cs="Times New Roman"/>
                <w:color w:val="auto"/>
                <w:kern w:val="0"/>
                <w:sz w:val="24"/>
                <w:szCs w:val="24"/>
                <w:highlight w:val="none"/>
                <w:lang w:eastAsia="zh-CN"/>
              </w:rPr>
              <w:t>%-99%（</w:t>
            </w:r>
            <w:r>
              <w:rPr>
                <w:rFonts w:hint="eastAsia" w:cs="Times New Roman"/>
                <w:color w:val="auto"/>
                <w:kern w:val="0"/>
                <w:sz w:val="24"/>
                <w:szCs w:val="24"/>
                <w:highlight w:val="none"/>
                <w:lang w:val="en-US" w:eastAsia="zh-CN"/>
              </w:rPr>
              <w:t>本次评价取最大值，锡含量以99%计</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回流焊工序</w:t>
            </w:r>
            <w:r>
              <w:rPr>
                <w:rFonts w:hint="eastAsia" w:cs="Times New Roman"/>
                <w:color w:val="auto"/>
                <w:kern w:val="0"/>
                <w:sz w:val="24"/>
                <w:szCs w:val="24"/>
                <w:highlight w:val="none"/>
                <w:lang w:val="en-US" w:eastAsia="zh-CN"/>
              </w:rPr>
              <w:t>锡及其化合物产生量约为0.0035/a</w:t>
            </w:r>
            <w:r>
              <w:rPr>
                <w:rFonts w:hint="eastAsia"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产生速率</w:t>
            </w:r>
            <w:r>
              <w:rPr>
                <w:rFonts w:hint="eastAsia" w:cs="Times New Roman"/>
                <w:color w:val="auto"/>
                <w:kern w:val="0"/>
                <w:sz w:val="24"/>
                <w:szCs w:val="24"/>
                <w:highlight w:val="none"/>
                <w:lang w:val="en-US" w:eastAsia="zh-CN"/>
              </w:rPr>
              <w:t>约为</w:t>
            </w:r>
            <w:r>
              <w:rPr>
                <w:rFonts w:hint="eastAsia" w:cs="Times New Roman"/>
                <w:b w:val="0"/>
                <w:bCs w:val="0"/>
                <w:color w:val="auto"/>
                <w:kern w:val="0"/>
                <w:sz w:val="24"/>
                <w:szCs w:val="24"/>
                <w:highlight w:val="none"/>
                <w:lang w:val="en-US" w:eastAsia="zh-CN"/>
              </w:rPr>
              <w:t>0.0007kg/h；回流焊工序</w:t>
            </w:r>
            <w:r>
              <w:rPr>
                <w:rFonts w:hint="default" w:ascii="Times New Roman" w:hAnsi="Times New Roman" w:eastAsia="宋体" w:cs="Times New Roman"/>
                <w:color w:val="auto"/>
                <w:sz w:val="24"/>
                <w:szCs w:val="24"/>
                <w:highlight w:val="none"/>
              </w:rPr>
              <w:t>焊接温度为200~300</w:t>
            </w:r>
            <w:r>
              <w:rPr>
                <w:rFonts w:hint="default" w:ascii="Times New Roman" w:hAnsi="Times New Roman" w:eastAsia="宋体" w:cs="Times New Roman"/>
                <w:color w:val="auto"/>
                <w:sz w:val="24"/>
                <w:szCs w:val="24"/>
                <w:highlight w:val="none"/>
                <w:lang w:eastAsia="zh-CN"/>
              </w:rPr>
              <w:t>℃</w:t>
            </w:r>
            <w:r>
              <w:rPr>
                <w:rFonts w:hint="eastAsia" w:eastAsia="宋体" w:cs="Times New Roman"/>
                <w:color w:val="auto"/>
                <w:sz w:val="24"/>
                <w:szCs w:val="24"/>
                <w:highlight w:val="none"/>
                <w:lang w:eastAsia="zh-CN"/>
              </w:rPr>
              <w:t>，</w:t>
            </w:r>
            <w:r>
              <w:rPr>
                <w:rFonts w:hint="eastAsia" w:cs="Times New Roman"/>
                <w:b w:val="0"/>
                <w:bCs w:val="0"/>
                <w:color w:val="auto"/>
                <w:kern w:val="0"/>
                <w:sz w:val="24"/>
                <w:szCs w:val="24"/>
                <w:highlight w:val="none"/>
                <w:lang w:val="en-US" w:eastAsia="zh-CN"/>
              </w:rPr>
              <w:t>锡膏印刷过程中无铅锡膏中未挥发的非甲烷总烃预计全部挥发，则回流焊过程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1.3306</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，年生产</w:t>
            </w:r>
            <w:r>
              <w:rPr>
                <w:rFonts w:hint="eastAsia" w:cs="Times New Roman"/>
                <w:b w:val="0"/>
                <w:bCs w:val="0"/>
                <w:color w:val="auto"/>
                <w:kern w:val="0"/>
                <w:sz w:val="24"/>
                <w:szCs w:val="24"/>
                <w:highlight w:val="none"/>
                <w:lang w:val="en-US" w:eastAsia="zh-CN"/>
              </w:rPr>
              <w:t>4800h，产生速率约为0.2772kg/h</w:t>
            </w:r>
            <w:r>
              <w:rPr>
                <w:rFonts w:hint="eastAsia" w:cs="Times New Roman"/>
                <w:color w:val="auto"/>
                <w:sz w:val="24"/>
                <w:szCs w:val="24"/>
                <w:highlight w:val="none"/>
                <w:lang w:val="en-US" w:eastAsia="zh-CN"/>
              </w:rPr>
              <w:t>。</w:t>
            </w:r>
          </w:p>
          <w:p w14:paraId="1CF1FF07">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w:t>
            </w:r>
            <w:r>
              <w:rPr>
                <w:rFonts w:hint="eastAsia" w:cs="Times New Roman"/>
                <w:color w:val="auto"/>
                <w:kern w:val="0"/>
                <w:sz w:val="24"/>
                <w:szCs w:val="24"/>
                <w:highlight w:val="none"/>
                <w:lang w:eastAsia="zh-CN"/>
              </w:rPr>
              <w:t>手工焊焊接废气</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在使用</w:t>
            </w:r>
            <w:r>
              <w:rPr>
                <w:rFonts w:hint="eastAsia"/>
                <w:sz w:val="24"/>
                <w:szCs w:val="24"/>
                <w:highlight w:val="none"/>
                <w:lang w:val="en-US" w:eastAsia="zh-CN"/>
              </w:rPr>
              <w:t>无铅锡丝</w:t>
            </w:r>
            <w:r>
              <w:rPr>
                <w:rFonts w:hint="eastAsia" w:ascii="Times New Roman" w:hAnsi="Times New Roman" w:cs="Times New Roman"/>
                <w:color w:val="auto"/>
                <w:kern w:val="0"/>
                <w:sz w:val="24"/>
                <w:szCs w:val="24"/>
                <w:highlight w:val="none"/>
                <w:lang w:eastAsia="zh-CN"/>
              </w:rPr>
              <w:t>焊接加工过程中，有焊接烟尘产生，根据《排放源统计调查产排污核算方法和系数手册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，当焊料为无铅焊料时，手工焊颗粒物的产污系数为0.</w:t>
            </w:r>
            <w:r>
              <w:rPr>
                <w:rFonts w:hint="eastAsia" w:cs="Times New Roman"/>
                <w:color w:val="auto"/>
                <w:kern w:val="0"/>
                <w:sz w:val="24"/>
                <w:szCs w:val="24"/>
                <w:highlight w:val="none"/>
                <w:lang w:val="en-US" w:eastAsia="zh-CN"/>
              </w:rPr>
              <w:t>4023</w:t>
            </w:r>
            <w:r>
              <w:rPr>
                <w:rFonts w:hint="eastAsia" w:cs="Times New Roman"/>
                <w:color w:val="auto"/>
                <w:kern w:val="0"/>
                <w:sz w:val="24"/>
                <w:szCs w:val="24"/>
                <w:highlight w:val="none"/>
                <w:lang w:eastAsia="zh-CN"/>
              </w:rPr>
              <w:t>g/kg-焊料，项目无铅锡丝</w:t>
            </w:r>
            <w:r>
              <w:rPr>
                <w:rFonts w:hint="eastAsia"/>
                <w:sz w:val="24"/>
                <w:szCs w:val="24"/>
                <w:highlight w:val="none"/>
                <w:lang w:val="en-US" w:eastAsia="zh-CN"/>
              </w:rPr>
              <w:t>的使用量为0.12</w:t>
            </w:r>
            <w:r>
              <w:rPr>
                <w:rFonts w:hint="eastAsia" w:cs="Times New Roman"/>
                <w:color w:val="auto"/>
                <w:kern w:val="0"/>
                <w:sz w:val="24"/>
                <w:szCs w:val="24"/>
                <w:highlight w:val="none"/>
                <w:lang w:eastAsia="zh-CN"/>
              </w:rPr>
              <w:t>t/a，则手工焊工序颗粒物的产生量为0.</w:t>
            </w:r>
            <w:r>
              <w:rPr>
                <w:rFonts w:hint="eastAsia" w:cs="Times New Roman"/>
                <w:color w:val="auto"/>
                <w:kern w:val="0"/>
                <w:sz w:val="24"/>
                <w:szCs w:val="24"/>
                <w:highlight w:val="none"/>
                <w:lang w:val="en-US" w:eastAsia="zh-CN"/>
              </w:rPr>
              <w:t>00005t</w:t>
            </w:r>
            <w:r>
              <w:rPr>
                <w:rFonts w:hint="eastAsia" w:cs="Times New Roman"/>
                <w:color w:val="auto"/>
                <w:kern w:val="0"/>
                <w:sz w:val="24"/>
                <w:szCs w:val="24"/>
                <w:highlight w:val="none"/>
                <w:lang w:eastAsia="zh-CN"/>
              </w:rPr>
              <w:t>/a，手工焊时间以</w:t>
            </w:r>
            <w:r>
              <w:rPr>
                <w:rFonts w:hint="eastAsia" w:cs="Times New Roman"/>
                <w:color w:val="auto"/>
                <w:kern w:val="0"/>
                <w:sz w:val="24"/>
                <w:szCs w:val="24"/>
                <w:highlight w:val="none"/>
                <w:lang w:val="en-US" w:eastAsia="zh-CN"/>
              </w:rPr>
              <w:t>600h/a计，产生速率约为</w:t>
            </w:r>
            <w:r>
              <w:rPr>
                <w:rFonts w:hint="eastAsia" w:cs="Times New Roman"/>
                <w:color w:val="auto"/>
                <w:sz w:val="24"/>
                <w:szCs w:val="24"/>
                <w:highlight w:val="none"/>
                <w:lang w:val="en-US" w:eastAsia="zh-CN"/>
              </w:rPr>
              <w:t>0.0001kg/h；</w:t>
            </w:r>
            <w:r>
              <w:rPr>
                <w:rFonts w:hint="eastAsia" w:cs="Times New Roman"/>
                <w:color w:val="auto"/>
                <w:kern w:val="0"/>
                <w:sz w:val="24"/>
                <w:szCs w:val="24"/>
                <w:highlight w:val="none"/>
                <w:lang w:eastAsia="zh-CN"/>
              </w:rPr>
              <w:t>产生的颗粒物中主要成分为锡及其化合物，</w:t>
            </w:r>
            <w:r>
              <w:rPr>
                <w:rFonts w:hint="eastAsia" w:cs="Times New Roman"/>
                <w:color w:val="auto"/>
                <w:kern w:val="0"/>
                <w:sz w:val="24"/>
                <w:szCs w:val="24"/>
                <w:highlight w:val="none"/>
                <w:lang w:val="en-US" w:eastAsia="zh-CN"/>
              </w:rPr>
              <w:t>根据项目所用无铅锡丝MSDS，无铅锡丝金属</w:t>
            </w:r>
            <w:r>
              <w:rPr>
                <w:rFonts w:hint="eastAsia" w:cs="Times New Roman"/>
                <w:color w:val="auto"/>
                <w:kern w:val="0"/>
                <w:sz w:val="24"/>
                <w:szCs w:val="24"/>
                <w:highlight w:val="none"/>
                <w:lang w:eastAsia="zh-CN"/>
              </w:rPr>
              <w:t>成分中的锡含量为9</w:t>
            </w:r>
            <w:r>
              <w:rPr>
                <w:rFonts w:hint="eastAsia" w:cs="Times New Roman"/>
                <w:color w:val="auto"/>
                <w:kern w:val="0"/>
                <w:sz w:val="24"/>
                <w:szCs w:val="24"/>
                <w:highlight w:val="none"/>
                <w:lang w:val="en-US" w:eastAsia="zh-CN"/>
              </w:rPr>
              <w:t>9.3</w:t>
            </w:r>
            <w:r>
              <w:rPr>
                <w:rFonts w:hint="eastAsia" w:cs="Times New Roman"/>
                <w:color w:val="auto"/>
                <w:kern w:val="0"/>
                <w:sz w:val="24"/>
                <w:szCs w:val="24"/>
                <w:highlight w:val="none"/>
                <w:lang w:eastAsia="zh-CN"/>
              </w:rPr>
              <w:t>%，铜含量在0.7%</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手工焊工序</w:t>
            </w:r>
            <w:r>
              <w:rPr>
                <w:rFonts w:hint="eastAsia" w:cs="Times New Roman"/>
                <w:color w:val="auto"/>
                <w:kern w:val="0"/>
                <w:sz w:val="24"/>
                <w:szCs w:val="24"/>
                <w:highlight w:val="none"/>
                <w:lang w:val="en-US" w:eastAsia="zh-CN"/>
              </w:rPr>
              <w:t>锡及其化合物产生量约为0.00005t</w:t>
            </w:r>
            <w:r>
              <w:rPr>
                <w:rFonts w:hint="eastAsia" w:cs="Times New Roman"/>
                <w:color w:val="auto"/>
                <w:kern w:val="0"/>
                <w:sz w:val="24"/>
                <w:szCs w:val="24"/>
                <w:highlight w:val="none"/>
                <w:lang w:eastAsia="zh-CN"/>
              </w:rPr>
              <w:t>/a，</w:t>
            </w:r>
            <w:r>
              <w:rPr>
                <w:rFonts w:hint="eastAsia" w:cs="Times New Roman"/>
                <w:color w:val="auto"/>
                <w:kern w:val="0"/>
                <w:sz w:val="24"/>
                <w:szCs w:val="24"/>
                <w:highlight w:val="none"/>
                <w:lang w:val="en-US" w:eastAsia="zh-CN"/>
              </w:rPr>
              <w:t>产生速率约为</w:t>
            </w:r>
            <w:r>
              <w:rPr>
                <w:rFonts w:hint="eastAsia" w:cs="Times New Roman"/>
                <w:color w:val="auto"/>
                <w:sz w:val="24"/>
                <w:szCs w:val="24"/>
                <w:highlight w:val="none"/>
                <w:lang w:val="en-US" w:eastAsia="zh-CN"/>
              </w:rPr>
              <w:t>0.0001kg/h；焊接过程锡丝中树脂全部挥发，树脂含量占锡丝成分1.1</w:t>
            </w:r>
            <w:r>
              <w:rPr>
                <w:rFonts w:hint="eastAsia" w:ascii="微软雅黑" w:hAnsi="微软雅黑" w:eastAsia="微软雅黑" w:cs="微软雅黑"/>
                <w:color w:val="auto"/>
                <w:sz w:val="24"/>
                <w:szCs w:val="24"/>
                <w:highlight w:val="none"/>
                <w:lang w:val="en-US" w:eastAsia="zh-CN"/>
              </w:rPr>
              <w:t>~</w:t>
            </w:r>
            <w:r>
              <w:rPr>
                <w:rFonts w:hint="eastAsia" w:cs="Times New Roman"/>
                <w:color w:val="auto"/>
                <w:sz w:val="24"/>
                <w:szCs w:val="24"/>
                <w:highlight w:val="none"/>
                <w:lang w:val="en-US" w:eastAsia="zh-CN"/>
              </w:rPr>
              <w:t>3.3%（本次评价取最大值3.3%），则非甲烷总烃产生量约为0.000004t/a，</w:t>
            </w:r>
            <w:r>
              <w:rPr>
                <w:rFonts w:hint="eastAsia" w:cs="Times New Roman"/>
                <w:color w:val="auto"/>
                <w:kern w:val="0"/>
                <w:sz w:val="24"/>
                <w:szCs w:val="24"/>
                <w:highlight w:val="none"/>
                <w:lang w:val="en-US" w:eastAsia="zh-CN"/>
              </w:rPr>
              <w:t>产生速率约为</w:t>
            </w:r>
            <w:r>
              <w:rPr>
                <w:rFonts w:hint="eastAsia" w:cs="Times New Roman"/>
                <w:color w:val="auto"/>
                <w:sz w:val="24"/>
                <w:szCs w:val="24"/>
                <w:highlight w:val="none"/>
                <w:lang w:val="en-US" w:eastAsia="zh-CN"/>
              </w:rPr>
              <w:t>0.000007kg/h。</w:t>
            </w:r>
          </w:p>
          <w:p w14:paraId="49F4ED1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（2）废气产排情况分析</w:t>
            </w:r>
          </w:p>
          <w:p w14:paraId="414FDE77">
            <w:pPr>
              <w:spacing w:line="360" w:lineRule="auto"/>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根据实际工程操作需要</w:t>
            </w:r>
            <w:r>
              <w:rPr>
                <w:rFonts w:hint="eastAsia" w:cs="Times New Roman"/>
                <w:color w:val="auto"/>
                <w:sz w:val="24"/>
                <w:szCs w:val="24"/>
                <w:highlight w:val="none"/>
                <w:lang w:val="en-US" w:eastAsia="zh-CN"/>
              </w:rPr>
              <w:t>，本项目</w:t>
            </w:r>
            <w:r>
              <w:rPr>
                <w:rFonts w:hint="eastAsia" w:eastAsia="宋体" w:cs="Times New Roman"/>
                <w:color w:val="auto"/>
                <w:sz w:val="24"/>
                <w:szCs w:val="24"/>
                <w:highlight w:val="none"/>
                <w:lang w:val="en-US" w:eastAsia="zh-CN"/>
              </w:rPr>
              <w:t>全自动视觉印刷机</w:t>
            </w:r>
            <w:r>
              <w:rPr>
                <w:rFonts w:hint="eastAsia" w:cs="Times New Roman"/>
                <w:color w:val="auto"/>
                <w:sz w:val="24"/>
                <w:szCs w:val="24"/>
                <w:highlight w:val="none"/>
                <w:lang w:val="en-US" w:eastAsia="zh-CN"/>
              </w:rPr>
              <w:t>、手工焊工位上方设置集气罩收集废气，集气罩风量计算参照公式：</w:t>
            </w:r>
            <w:r>
              <w:rPr>
                <w:rFonts w:hint="eastAsia" w:ascii="Times New Roman" w:hAnsi="Times New Roman" w:eastAsia="宋体" w:cs="Times New Roman"/>
                <w:sz w:val="24"/>
                <w:szCs w:val="24"/>
                <w:highlight w:val="none"/>
                <w:lang w:val="en-US" w:eastAsia="zh-CN"/>
              </w:rPr>
              <w:t>风量(m</w:t>
            </w:r>
            <w:r>
              <w:rPr>
                <w:rFonts w:hint="eastAsia" w:ascii="Times New Roman" w:hAnsi="Times New Roman" w:eastAsia="宋体" w:cs="Times New Roman"/>
                <w:sz w:val="24"/>
                <w:szCs w:val="24"/>
                <w:highlight w:val="none"/>
                <w:vertAlign w:val="superscript"/>
                <w:lang w:val="en-US" w:eastAsia="zh-CN"/>
              </w:rPr>
              <w:t>3</w:t>
            </w:r>
            <w:r>
              <w:rPr>
                <w:rFonts w:hint="eastAsia" w:ascii="Times New Roman" w:hAnsi="Times New Roman" w:eastAsia="宋体" w:cs="Times New Roman"/>
                <w:sz w:val="24"/>
                <w:szCs w:val="24"/>
                <w:highlight w:val="none"/>
                <w:lang w:val="en-US" w:eastAsia="zh-CN"/>
              </w:rPr>
              <w:t>/h)=K(a+b)×h×V</w:t>
            </w:r>
            <w:r>
              <w:rPr>
                <w:rFonts w:hint="eastAsia" w:ascii="Times New Roman" w:hAnsi="Times New Roman" w:eastAsia="宋体" w:cs="Times New Roman"/>
                <w:sz w:val="24"/>
                <w:szCs w:val="24"/>
                <w:highlight w:val="none"/>
                <w:vertAlign w:val="subscript"/>
                <w:lang w:val="en-US" w:eastAsia="zh-CN"/>
              </w:rPr>
              <w:t>0</w:t>
            </w:r>
            <w:r>
              <w:rPr>
                <w:rFonts w:hint="eastAsia" w:ascii="Times New Roman" w:hAnsi="Times New Roman" w:eastAsia="宋体" w:cs="Times New Roman"/>
                <w:sz w:val="24"/>
                <w:szCs w:val="24"/>
                <w:highlight w:val="none"/>
                <w:lang w:val="en-US" w:eastAsia="zh-CN"/>
              </w:rPr>
              <w:t>×3600</w:t>
            </w:r>
          </w:p>
          <w:p w14:paraId="7D0D5EDE">
            <w:pPr>
              <w:numPr>
                <w:ilvl w:val="0"/>
                <w:numId w:val="6"/>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-‌安全系数1.4；</w:t>
            </w:r>
          </w:p>
          <w:p w14:paraId="6F829928">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a+b--集气罩周长，</w:t>
            </w:r>
            <w:r>
              <w:rPr>
                <w:rFonts w:hint="eastAsia"/>
                <w:sz w:val="24"/>
                <w:szCs w:val="24"/>
                <w:highlight w:val="none"/>
                <w:lang w:val="en-US" w:eastAsia="zh-CN"/>
              </w:rPr>
              <w:t>单位：m；</w:t>
            </w:r>
          </w:p>
          <w:p w14:paraId="376D3750">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h--罩口至‌污染源的距离，</w:t>
            </w:r>
            <w:r>
              <w:rPr>
                <w:rFonts w:hint="eastAsia"/>
                <w:sz w:val="24"/>
                <w:szCs w:val="24"/>
                <w:highlight w:val="none"/>
                <w:lang w:val="en-US" w:eastAsia="zh-CN"/>
              </w:rPr>
              <w:t>单位：m；</w:t>
            </w:r>
          </w:p>
          <w:p w14:paraId="5B9D1AA9">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V</w:t>
            </w:r>
            <w:r>
              <w:rPr>
                <w:rFonts w:hint="eastAsia" w:cs="Times New Roman"/>
                <w:color w:val="auto"/>
                <w:sz w:val="24"/>
                <w:szCs w:val="24"/>
                <w:highlight w:val="none"/>
                <w:vertAlign w:val="subscript"/>
                <w:lang w:val="en-US" w:eastAsia="zh-CN"/>
              </w:rPr>
              <w:t>0</w:t>
            </w:r>
            <w:r>
              <w:rPr>
                <w:rFonts w:hint="eastAsia" w:cs="Times New Roman"/>
                <w:color w:val="auto"/>
                <w:sz w:val="24"/>
                <w:szCs w:val="24"/>
                <w:highlight w:val="none"/>
                <w:lang w:val="en-US" w:eastAsia="zh-CN"/>
              </w:rPr>
              <w:t>--污染源气体流速，取0.7m/s；</w:t>
            </w:r>
          </w:p>
          <w:p w14:paraId="1F6195B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表4-1  全自动视觉印刷机及手工焊设计风量核算一览表</w:t>
            </w:r>
          </w:p>
          <w:tbl>
            <w:tblPr>
              <w:tblStyle w:val="23"/>
              <w:tblW w:w="7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125"/>
              <w:gridCol w:w="1373"/>
              <w:gridCol w:w="1567"/>
              <w:gridCol w:w="1258"/>
              <w:gridCol w:w="885"/>
              <w:gridCol w:w="1066"/>
            </w:tblGrid>
            <w:tr w14:paraId="197A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0" w:type="dxa"/>
                  <w:vAlign w:val="center"/>
                </w:tcPr>
                <w:p w14:paraId="2199D96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125" w:type="dxa"/>
                  <w:vAlign w:val="center"/>
                </w:tcPr>
                <w:p w14:paraId="17155249">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373" w:type="dxa"/>
                  <w:vAlign w:val="center"/>
                </w:tcPr>
                <w:p w14:paraId="276E24D6">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周长</w:t>
                  </w:r>
                  <w:r>
                    <w:rPr>
                      <w:rFonts w:hint="eastAsia" w:cs="Times New Roman"/>
                      <w:b/>
                      <w:bCs/>
                      <w:color w:val="auto"/>
                      <w:sz w:val="21"/>
                      <w:szCs w:val="21"/>
                      <w:highlight w:val="none"/>
                      <w:vertAlign w:val="baseline"/>
                      <w:lang w:val="en-US" w:eastAsia="zh-CN"/>
                    </w:rPr>
                    <w:t>（m）</w:t>
                  </w:r>
                </w:p>
              </w:tc>
              <w:tc>
                <w:tcPr>
                  <w:tcW w:w="1567" w:type="dxa"/>
                  <w:vAlign w:val="center"/>
                </w:tcPr>
                <w:p w14:paraId="7BC2E649">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罩口至‌污染源的距离</w:t>
                  </w:r>
                  <w:r>
                    <w:rPr>
                      <w:rFonts w:hint="eastAsia" w:cs="Times New Roman"/>
                      <w:b/>
                      <w:bCs/>
                      <w:color w:val="auto"/>
                      <w:sz w:val="21"/>
                      <w:szCs w:val="21"/>
                      <w:highlight w:val="none"/>
                      <w:vertAlign w:val="baseline"/>
                      <w:lang w:val="en-US" w:eastAsia="zh-CN"/>
                    </w:rPr>
                    <w:t>（m）</w:t>
                  </w:r>
                </w:p>
              </w:tc>
              <w:tc>
                <w:tcPr>
                  <w:tcW w:w="1258" w:type="dxa"/>
                  <w:vAlign w:val="center"/>
                </w:tcPr>
                <w:p w14:paraId="2A7C775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污染源气体</w:t>
                  </w:r>
                  <w:r>
                    <w:rPr>
                      <w:rFonts w:hint="eastAsia" w:cs="Times New Roman"/>
                      <w:b/>
                      <w:bCs/>
                      <w:color w:val="auto"/>
                      <w:sz w:val="21"/>
                      <w:szCs w:val="21"/>
                      <w:highlight w:val="none"/>
                      <w:vertAlign w:val="baseline"/>
                      <w:lang w:val="en-US" w:eastAsia="zh-CN"/>
                    </w:rPr>
                    <w:t>流速（m/s）</w:t>
                  </w:r>
                </w:p>
              </w:tc>
              <w:tc>
                <w:tcPr>
                  <w:tcW w:w="885" w:type="dxa"/>
                  <w:vAlign w:val="center"/>
                </w:tcPr>
                <w:p w14:paraId="37E1F1AE">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数量</w:t>
                  </w:r>
                </w:p>
              </w:tc>
              <w:tc>
                <w:tcPr>
                  <w:tcW w:w="1066" w:type="dxa"/>
                  <w:shd w:val="clear" w:color="auto" w:fill="auto"/>
                  <w:vAlign w:val="center"/>
                </w:tcPr>
                <w:p w14:paraId="47A5E67D">
                  <w:pPr>
                    <w:spacing w:line="240" w:lineRule="auto"/>
                    <w:jc w:val="center"/>
                    <w:rPr>
                      <w:rFonts w:hint="eastAsia" w:ascii="Times New Roman" w:hAnsi="Times New Roman" w:eastAsia="宋体" w:cs="Times New Roman"/>
                      <w:b/>
                      <w:bCs/>
                      <w:color w:val="auto"/>
                      <w:kern w:val="2"/>
                      <w:sz w:val="21"/>
                      <w:szCs w:val="21"/>
                      <w:highlight w:val="none"/>
                      <w:vertAlign w:val="baseline"/>
                      <w:lang w:val="en-US" w:eastAsia="zh-CN" w:bidi="ar-SA"/>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23BD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0" w:type="dxa"/>
                  <w:vAlign w:val="center"/>
                </w:tcPr>
                <w:p w14:paraId="5666A8A6">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125" w:type="dxa"/>
                  <w:vAlign w:val="center"/>
                </w:tcPr>
                <w:p w14:paraId="4E0AC298">
                  <w:pPr>
                    <w:spacing w:line="240" w:lineRule="auto"/>
                    <w:jc w:val="center"/>
                    <w:rPr>
                      <w:rFonts w:hint="eastAsia" w:cs="Times New Roman"/>
                      <w:color w:val="auto"/>
                      <w:sz w:val="21"/>
                      <w:szCs w:val="21"/>
                      <w:highlight w:val="none"/>
                      <w:vertAlign w:val="baseline"/>
                      <w:lang w:val="en-US" w:eastAsia="zh-CN"/>
                    </w:rPr>
                  </w:pPr>
                  <w:r>
                    <w:rPr>
                      <w:rFonts w:hint="eastAsia" w:eastAsia="宋体" w:cs="Times New Roman"/>
                      <w:color w:val="auto"/>
                      <w:sz w:val="21"/>
                      <w:szCs w:val="21"/>
                      <w:highlight w:val="none"/>
                      <w:lang w:val="en-US" w:eastAsia="zh-CN"/>
                    </w:rPr>
                    <w:t>全自动视觉印刷机</w:t>
                  </w:r>
                </w:p>
              </w:tc>
              <w:tc>
                <w:tcPr>
                  <w:tcW w:w="1373" w:type="dxa"/>
                  <w:vAlign w:val="center"/>
                </w:tcPr>
                <w:p w14:paraId="2BE8F522">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（0.4+0.3）*2</w:t>
                  </w:r>
                </w:p>
              </w:tc>
              <w:tc>
                <w:tcPr>
                  <w:tcW w:w="1567" w:type="dxa"/>
                  <w:vAlign w:val="center"/>
                </w:tcPr>
                <w:p w14:paraId="644917A4">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w:t>
                  </w:r>
                </w:p>
              </w:tc>
              <w:tc>
                <w:tcPr>
                  <w:tcW w:w="1258" w:type="dxa"/>
                  <w:vAlign w:val="center"/>
                </w:tcPr>
                <w:p w14:paraId="462EEB26">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0.7</w:t>
                  </w:r>
                </w:p>
              </w:tc>
              <w:tc>
                <w:tcPr>
                  <w:tcW w:w="885" w:type="dxa"/>
                  <w:vAlign w:val="center"/>
                </w:tcPr>
                <w:p w14:paraId="1D1BB6A9">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8</w:t>
                  </w:r>
                </w:p>
              </w:tc>
              <w:tc>
                <w:tcPr>
                  <w:tcW w:w="1066" w:type="dxa"/>
                  <w:shd w:val="clear" w:color="auto" w:fill="auto"/>
                  <w:vAlign w:val="center"/>
                </w:tcPr>
                <w:p w14:paraId="1C8FC8F1">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7903</w:t>
                  </w:r>
                </w:p>
              </w:tc>
            </w:tr>
            <w:tr w14:paraId="72DD6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60" w:type="dxa"/>
                  <w:vAlign w:val="center"/>
                </w:tcPr>
                <w:p w14:paraId="1F04970D">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w:t>
                  </w:r>
                </w:p>
              </w:tc>
              <w:tc>
                <w:tcPr>
                  <w:tcW w:w="1125" w:type="dxa"/>
                  <w:vAlign w:val="center"/>
                </w:tcPr>
                <w:p w14:paraId="3DB6F250">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手工焊、</w:t>
                  </w:r>
                  <w:r>
                    <w:rPr>
                      <w:rFonts w:hint="default" w:cs="Times New Roman"/>
                      <w:color w:val="auto"/>
                      <w:sz w:val="21"/>
                      <w:szCs w:val="21"/>
                      <w:highlight w:val="none"/>
                      <w:lang w:val="en-US" w:eastAsia="zh-CN"/>
                    </w:rPr>
                    <w:t>锡膏搅拌</w:t>
                  </w:r>
                  <w:r>
                    <w:rPr>
                      <w:rFonts w:hint="eastAsia" w:cs="Times New Roman"/>
                      <w:color w:val="auto"/>
                      <w:sz w:val="21"/>
                      <w:szCs w:val="21"/>
                      <w:highlight w:val="none"/>
                      <w:lang w:val="en-US" w:eastAsia="zh-CN"/>
                    </w:rPr>
                    <w:t>机</w:t>
                  </w:r>
                </w:p>
              </w:tc>
              <w:tc>
                <w:tcPr>
                  <w:tcW w:w="1373" w:type="dxa"/>
                  <w:vAlign w:val="center"/>
                </w:tcPr>
                <w:p w14:paraId="1DEE2453">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w:t>
                  </w:r>
                  <w:r>
                    <w:rPr>
                      <w:rFonts w:hint="default" w:ascii="Times New Roman" w:hAnsi="Times New Roman" w:cs="Times New Roman"/>
                      <w:sz w:val="21"/>
                      <w:szCs w:val="21"/>
                      <w:highlight w:val="none"/>
                      <w:lang w:val="en-US" w:eastAsia="zh-CN"/>
                    </w:rPr>
                    <w:t>π</w:t>
                  </w:r>
                  <w:r>
                    <w:rPr>
                      <w:rFonts w:hint="eastAsia" w:ascii="Times New Roman" w:hAnsi="Times New Roman" w:cs="Times New Roman"/>
                      <w:sz w:val="21"/>
                      <w:szCs w:val="21"/>
                      <w:highlight w:val="none"/>
                      <w:lang w:val="en-US" w:eastAsia="zh-CN"/>
                    </w:rPr>
                    <w:t>*0.075</w:t>
                  </w:r>
                </w:p>
              </w:tc>
              <w:tc>
                <w:tcPr>
                  <w:tcW w:w="1567" w:type="dxa"/>
                  <w:vAlign w:val="center"/>
                </w:tcPr>
                <w:p w14:paraId="51D5A678">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w:t>
                  </w:r>
                </w:p>
              </w:tc>
              <w:tc>
                <w:tcPr>
                  <w:tcW w:w="1258" w:type="dxa"/>
                  <w:vAlign w:val="center"/>
                </w:tcPr>
                <w:p w14:paraId="2D688A80">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0.7</w:t>
                  </w:r>
                </w:p>
              </w:tc>
              <w:tc>
                <w:tcPr>
                  <w:tcW w:w="885" w:type="dxa"/>
                  <w:vAlign w:val="center"/>
                </w:tcPr>
                <w:p w14:paraId="0CD0E059">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066" w:type="dxa"/>
                  <w:shd w:val="clear" w:color="auto" w:fill="auto"/>
                  <w:vAlign w:val="center"/>
                </w:tcPr>
                <w:p w14:paraId="44801BD4">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997</w:t>
                  </w:r>
                </w:p>
              </w:tc>
            </w:tr>
          </w:tbl>
          <w:p w14:paraId="208CE0AA">
            <w:pPr>
              <w:spacing w:line="360" w:lineRule="auto"/>
              <w:ind w:firstLine="480" w:firstLineChars="200"/>
              <w:rPr>
                <w:rFonts w:hint="eastAsia"/>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w:t>
            </w:r>
            <w:r>
              <w:rPr>
                <w:rFonts w:hint="eastAsia" w:cs="Times New Roman"/>
                <w:color w:val="auto"/>
                <w:sz w:val="24"/>
                <w:szCs w:val="24"/>
                <w:highlight w:val="none"/>
                <w:lang w:val="en-US" w:eastAsia="zh-CN"/>
              </w:rPr>
              <w:t>回流焊</w:t>
            </w:r>
            <w:r>
              <w:rPr>
                <w:rFonts w:hint="eastAsia" w:ascii="Times New Roman" w:hAnsi="Times New Roman" w:eastAsia="宋体" w:cs="Times New Roman"/>
                <w:color w:val="auto"/>
                <w:sz w:val="24"/>
                <w:szCs w:val="24"/>
                <w:highlight w:val="none"/>
                <w:lang w:val="en-US" w:eastAsia="zh-CN"/>
              </w:rPr>
              <w:t>上方设置集气</w:t>
            </w:r>
            <w:r>
              <w:rPr>
                <w:rFonts w:hint="eastAsia" w:cs="Times New Roman"/>
                <w:color w:val="auto"/>
                <w:sz w:val="24"/>
                <w:szCs w:val="24"/>
                <w:highlight w:val="none"/>
                <w:lang w:val="en-US" w:eastAsia="zh-CN"/>
              </w:rPr>
              <w:t>管道直连设备</w:t>
            </w:r>
            <w:r>
              <w:rPr>
                <w:rFonts w:hint="eastAsia" w:ascii="Times New Roman" w:hAnsi="Times New Roman" w:eastAsia="宋体" w:cs="Times New Roman"/>
                <w:color w:val="auto"/>
                <w:sz w:val="24"/>
                <w:szCs w:val="24"/>
                <w:highlight w:val="none"/>
                <w:lang w:val="en-US" w:eastAsia="zh-CN"/>
              </w:rPr>
              <w:t>对废气进行</w:t>
            </w:r>
            <w:r>
              <w:rPr>
                <w:rFonts w:hint="eastAsia" w:cs="Times New Roman"/>
                <w:color w:val="auto"/>
                <w:sz w:val="24"/>
                <w:szCs w:val="24"/>
                <w:highlight w:val="none"/>
                <w:lang w:val="en-US" w:eastAsia="zh-CN"/>
              </w:rPr>
              <w:t>负压管道收集</w:t>
            </w:r>
            <w:r>
              <w:rPr>
                <w:rFonts w:hint="eastAsia"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负压管道收集风量计算参照公式：</w:t>
            </w:r>
            <w:r>
              <w:rPr>
                <w:rFonts w:hint="eastAsia"/>
                <w:sz w:val="24"/>
                <w:szCs w:val="24"/>
                <w:highlight w:val="none"/>
                <w:lang w:val="en-US" w:eastAsia="zh-CN"/>
              </w:rPr>
              <w:t>Q=</w:t>
            </w:r>
            <w:r>
              <w:rPr>
                <w:rFonts w:hint="default" w:ascii="Times New Roman" w:hAnsi="Times New Roman" w:cs="Times New Roman"/>
                <w:sz w:val="24"/>
                <w:szCs w:val="24"/>
                <w:highlight w:val="none"/>
                <w:lang w:val="en-US" w:eastAsia="zh-CN"/>
              </w:rPr>
              <w:t>π</w:t>
            </w:r>
            <w:r>
              <w:rPr>
                <w:rFonts w:hint="eastAsia"/>
                <w:sz w:val="24"/>
                <w:szCs w:val="24"/>
                <w:highlight w:val="none"/>
                <w:lang w:val="en-US" w:eastAsia="zh-CN"/>
              </w:rPr>
              <w:t>*R</w:t>
            </w:r>
            <w:r>
              <w:rPr>
                <w:rFonts w:hint="eastAsia"/>
                <w:sz w:val="24"/>
                <w:szCs w:val="24"/>
                <w:highlight w:val="none"/>
                <w:vertAlign w:val="superscript"/>
                <w:lang w:val="en-US" w:eastAsia="zh-CN"/>
              </w:rPr>
              <w:t>2</w:t>
            </w:r>
            <w:r>
              <w:rPr>
                <w:rFonts w:hint="eastAsia"/>
                <w:sz w:val="24"/>
                <w:szCs w:val="24"/>
                <w:highlight w:val="none"/>
                <w:lang w:val="en-US" w:eastAsia="zh-CN"/>
              </w:rPr>
              <w:t>*V*t</w:t>
            </w:r>
          </w:p>
          <w:p w14:paraId="7DF5D4CC">
            <w:pPr>
              <w:spacing w:line="360" w:lineRule="auto"/>
              <w:ind w:firstLine="480" w:firstLineChars="200"/>
              <w:rPr>
                <w:rFonts w:hint="default"/>
                <w:sz w:val="24"/>
                <w:szCs w:val="24"/>
                <w:highlight w:val="none"/>
                <w:lang w:val="en-US" w:eastAsia="zh-CN"/>
              </w:rPr>
            </w:pPr>
            <w:r>
              <w:rPr>
                <w:rFonts w:hint="eastAsia"/>
                <w:sz w:val="24"/>
                <w:szCs w:val="24"/>
                <w:highlight w:val="none"/>
                <w:lang w:val="en-US" w:eastAsia="zh-CN"/>
              </w:rPr>
              <w:t>式中：R--表示抽风管道半径，单位：m；</w:t>
            </w:r>
          </w:p>
          <w:p w14:paraId="150880D8">
            <w:pPr>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V--表示抽风流速，</w:t>
            </w:r>
            <w:r>
              <w:rPr>
                <w:rFonts w:hint="eastAsia" w:cs="Times New Roman"/>
                <w:color w:val="auto"/>
                <w:sz w:val="24"/>
                <w:szCs w:val="24"/>
                <w:highlight w:val="none"/>
                <w:lang w:val="en-US" w:eastAsia="zh-CN"/>
              </w:rPr>
              <w:t>取6m/s</w:t>
            </w:r>
            <w:r>
              <w:rPr>
                <w:rFonts w:hint="eastAsia"/>
                <w:sz w:val="24"/>
                <w:szCs w:val="24"/>
                <w:highlight w:val="none"/>
                <w:lang w:val="en-US" w:eastAsia="zh-CN"/>
              </w:rPr>
              <w:t>；</w:t>
            </w:r>
          </w:p>
          <w:p w14:paraId="5C5CC11E">
            <w:pPr>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t--表示时间，取3600s；</w:t>
            </w:r>
          </w:p>
          <w:p w14:paraId="05D31AC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表4-2  回流焊设计风量核算一览表</w:t>
            </w:r>
          </w:p>
          <w:tbl>
            <w:tblPr>
              <w:tblStyle w:val="23"/>
              <w:tblW w:w="7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043"/>
              <w:gridCol w:w="1051"/>
              <w:gridCol w:w="2160"/>
              <w:gridCol w:w="1605"/>
              <w:gridCol w:w="1328"/>
            </w:tblGrid>
            <w:tr w14:paraId="72E4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9" w:type="dxa"/>
                  <w:vAlign w:val="center"/>
                </w:tcPr>
                <w:p w14:paraId="68398491">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043" w:type="dxa"/>
                  <w:vAlign w:val="center"/>
                </w:tcPr>
                <w:p w14:paraId="2CE4AC5D">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051" w:type="dxa"/>
                  <w:vAlign w:val="center"/>
                </w:tcPr>
                <w:p w14:paraId="1AB68E58">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管道内径（m）</w:t>
                  </w:r>
                </w:p>
              </w:tc>
              <w:tc>
                <w:tcPr>
                  <w:tcW w:w="2160" w:type="dxa"/>
                  <w:vAlign w:val="center"/>
                </w:tcPr>
                <w:p w14:paraId="07BF024B">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排口数量（每台回流焊2个排气孔）</w:t>
                  </w:r>
                </w:p>
              </w:tc>
              <w:tc>
                <w:tcPr>
                  <w:tcW w:w="1605" w:type="dxa"/>
                  <w:vAlign w:val="center"/>
                </w:tcPr>
                <w:p w14:paraId="20BAB10B">
                  <w:pPr>
                    <w:spacing w:line="240" w:lineRule="auto"/>
                    <w:jc w:val="center"/>
                    <w:rPr>
                      <w:rFonts w:hint="eastAsia" w:cs="Times New Roman"/>
                      <w:b/>
                      <w:bCs/>
                      <w:color w:val="auto"/>
                      <w:sz w:val="21"/>
                      <w:szCs w:val="21"/>
                      <w:highlight w:val="none"/>
                      <w:vertAlign w:val="baseline"/>
                      <w:lang w:val="en-US" w:eastAsia="zh-CN"/>
                    </w:rPr>
                  </w:pPr>
                  <w:r>
                    <w:rPr>
                      <w:rFonts w:hint="eastAsia"/>
                      <w:b/>
                      <w:bCs/>
                      <w:sz w:val="21"/>
                      <w:szCs w:val="21"/>
                      <w:highlight w:val="none"/>
                      <w:lang w:val="en-US" w:eastAsia="zh-CN"/>
                    </w:rPr>
                    <w:t>抽风流速</w:t>
                  </w:r>
                  <w:r>
                    <w:rPr>
                      <w:rFonts w:hint="eastAsia" w:cs="Times New Roman"/>
                      <w:b/>
                      <w:bCs/>
                      <w:color w:val="auto"/>
                      <w:sz w:val="21"/>
                      <w:szCs w:val="21"/>
                      <w:highlight w:val="none"/>
                      <w:vertAlign w:val="baseline"/>
                      <w:lang w:val="en-US" w:eastAsia="zh-CN"/>
                    </w:rPr>
                    <w:t>（m/s）</w:t>
                  </w:r>
                </w:p>
              </w:tc>
              <w:tc>
                <w:tcPr>
                  <w:tcW w:w="1328" w:type="dxa"/>
                  <w:vAlign w:val="center"/>
                </w:tcPr>
                <w:p w14:paraId="7DBCB9E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11F5F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9" w:type="dxa"/>
                  <w:vAlign w:val="center"/>
                </w:tcPr>
                <w:p w14:paraId="75564555">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043" w:type="dxa"/>
                  <w:vAlign w:val="center"/>
                </w:tcPr>
                <w:p w14:paraId="5ED55075">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回流焊</w:t>
                  </w:r>
                </w:p>
              </w:tc>
              <w:tc>
                <w:tcPr>
                  <w:tcW w:w="1051" w:type="dxa"/>
                  <w:vAlign w:val="center"/>
                </w:tcPr>
                <w:p w14:paraId="4BE073C2">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w:t>
                  </w:r>
                </w:p>
              </w:tc>
              <w:tc>
                <w:tcPr>
                  <w:tcW w:w="2160" w:type="dxa"/>
                  <w:vAlign w:val="center"/>
                </w:tcPr>
                <w:p w14:paraId="10BE0FC1">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8</w:t>
                  </w:r>
                </w:p>
              </w:tc>
              <w:tc>
                <w:tcPr>
                  <w:tcW w:w="1605" w:type="dxa"/>
                  <w:vAlign w:val="center"/>
                </w:tcPr>
                <w:p w14:paraId="7F986A83">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w:t>
                  </w:r>
                </w:p>
              </w:tc>
              <w:tc>
                <w:tcPr>
                  <w:tcW w:w="1328" w:type="dxa"/>
                  <w:vAlign w:val="center"/>
                </w:tcPr>
                <w:p w14:paraId="3D7D89C2">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5429</w:t>
                  </w:r>
                </w:p>
              </w:tc>
            </w:tr>
          </w:tbl>
          <w:p w14:paraId="4586CE26">
            <w:pPr>
              <w:spacing w:line="360" w:lineRule="auto"/>
              <w:ind w:firstLine="480" w:firstLineChars="200"/>
              <w:rPr>
                <w:rFonts w:hint="eastAsia"/>
                <w:sz w:val="24"/>
                <w:szCs w:val="24"/>
                <w:highlight w:val="none"/>
                <w:lang w:val="en-US" w:eastAsia="zh-CN"/>
              </w:rPr>
            </w:pPr>
            <w:r>
              <w:rPr>
                <w:rFonts w:hint="eastAsia" w:cs="Times New Roman"/>
                <w:color w:val="auto"/>
                <w:sz w:val="24"/>
                <w:szCs w:val="24"/>
                <w:highlight w:val="none"/>
                <w:lang w:val="en-US" w:eastAsia="zh-CN"/>
              </w:rPr>
              <w:t>根据计算，项目设计总风量需14329</w:t>
            </w:r>
            <w:r>
              <w:rPr>
                <w:rFonts w:hint="eastAsia" w:cs="Times New Roman"/>
                <w:b w:val="0"/>
                <w:bCs w:val="0"/>
                <w:color w:val="auto"/>
                <w:sz w:val="24"/>
                <w:szCs w:val="24"/>
                <w:highlight w:val="none"/>
                <w:vertAlign w:val="baseline"/>
                <w:lang w:val="en-US" w:eastAsia="zh-CN"/>
              </w:rPr>
              <w:t>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vertAlign w:val="baseline"/>
                <w:lang w:val="en-US" w:eastAsia="zh-CN"/>
              </w:rPr>
              <w:t>/h，</w:t>
            </w:r>
            <w:r>
              <w:rPr>
                <w:rFonts w:hint="eastAsia" w:cs="Times New Roman"/>
                <w:color w:val="auto"/>
                <w:sz w:val="24"/>
                <w:szCs w:val="24"/>
                <w:highlight w:val="none"/>
                <w:lang w:val="en-US" w:eastAsia="zh-CN"/>
              </w:rPr>
              <w:t>考虑到管道内部摩擦</w:t>
            </w:r>
            <w:r>
              <w:rPr>
                <w:rFonts w:hint="eastAsia"/>
                <w:sz w:val="24"/>
                <w:szCs w:val="24"/>
                <w:highlight w:val="none"/>
                <w:lang w:val="en-US" w:eastAsia="zh-CN"/>
              </w:rPr>
              <w:t>损耗及留有部分余量，因此设计整套废气处理系统风量为：16000m</w:t>
            </w:r>
            <w:r>
              <w:rPr>
                <w:rFonts w:hint="eastAsia"/>
                <w:sz w:val="24"/>
                <w:szCs w:val="24"/>
                <w:highlight w:val="none"/>
                <w:vertAlign w:val="superscript"/>
                <w:lang w:val="en-US" w:eastAsia="zh-CN"/>
              </w:rPr>
              <w:t>3</w:t>
            </w:r>
            <w:r>
              <w:rPr>
                <w:rFonts w:hint="eastAsia"/>
                <w:sz w:val="24"/>
                <w:szCs w:val="24"/>
                <w:highlight w:val="none"/>
                <w:lang w:val="en-US" w:eastAsia="zh-CN"/>
              </w:rPr>
              <w:t>/h。</w:t>
            </w:r>
          </w:p>
          <w:p w14:paraId="61D46E4D">
            <w:pPr>
              <w:spacing w:line="360" w:lineRule="auto"/>
              <w:ind w:firstLine="480" w:firstLineChars="200"/>
              <w:rPr>
                <w:rFonts w:hint="default"/>
                <w:sz w:val="24"/>
                <w:szCs w:val="24"/>
                <w:highlight w:val="none"/>
              </w:rPr>
            </w:pPr>
            <w:r>
              <w:rPr>
                <w:rFonts w:hint="eastAsia" w:cs="Times New Roman"/>
                <w:color w:val="auto"/>
                <w:sz w:val="24"/>
                <w:szCs w:val="24"/>
                <w:highlight w:val="none"/>
                <w:lang w:val="en-US" w:eastAsia="zh-CN"/>
              </w:rPr>
              <w:t>项目锡膏印刷、手工焊废气通过前端集气罩收集，回流焊通过负压管道收集</w:t>
            </w:r>
            <w:r>
              <w:rPr>
                <w:rFonts w:hint="eastAsia" w:ascii="Times New Roman" w:hAnsi="Times New Roman" w:eastAsia="宋体" w:cs="Times New Roman"/>
                <w:color w:val="auto"/>
                <w:sz w:val="24"/>
                <w:szCs w:val="24"/>
                <w:highlight w:val="none"/>
                <w:lang w:val="en-US" w:eastAsia="zh-CN"/>
              </w:rPr>
              <w:t>后</w:t>
            </w:r>
            <w:r>
              <w:rPr>
                <w:rFonts w:hint="eastAsia" w:cs="Times New Roman"/>
                <w:color w:val="auto"/>
                <w:sz w:val="24"/>
                <w:szCs w:val="24"/>
                <w:highlight w:val="none"/>
                <w:lang w:val="en-US" w:eastAsia="zh-CN"/>
              </w:rPr>
              <w:t>，引入</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经20m高排气筒排放，项目锡膏印刷机、手工焊废气废气收集效率以90%计，回流焊收集效率以100%计，二级活性炭对非甲烷总烃处理效率以90%计，干式过滤器对颗粒物和锡及其化合物处理效率以80%计，则项目废气产排情况详见下表：</w:t>
            </w:r>
          </w:p>
        </w:tc>
      </w:tr>
    </w:tbl>
    <w:p w14:paraId="30A18A44">
      <w:pPr>
        <w:adjustRightInd w:val="0"/>
        <w:snapToGrid w:val="0"/>
        <w:jc w:val="center"/>
        <w:rPr>
          <w:rFonts w:hint="default" w:ascii="Times New Roman" w:hAnsi="Times New Roman" w:cs="Times New Roman"/>
          <w:bCs/>
          <w:color w:val="auto"/>
          <w:szCs w:val="21"/>
          <w:highlight w:val="none"/>
        </w:rPr>
        <w:sectPr>
          <w:pgSz w:w="11906" w:h="16838"/>
          <w:pgMar w:top="1701" w:right="1531" w:bottom="1701" w:left="1531" w:header="851" w:footer="851" w:gutter="0"/>
          <w:cols w:space="720" w:num="1"/>
          <w:docGrid w:linePitch="312" w:charSpace="0"/>
        </w:sectPr>
      </w:pPr>
    </w:p>
    <w:tbl>
      <w:tblPr>
        <w:tblStyle w:val="22"/>
        <w:tblW w:w="1558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97"/>
        <w:gridCol w:w="15188"/>
      </w:tblGrid>
      <w:tr w14:paraId="5722C1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07" w:hRule="atLeast"/>
          <w:jc w:val="center"/>
        </w:trPr>
        <w:tc>
          <w:tcPr>
            <w:tcW w:w="397" w:type="dxa"/>
            <w:shd w:val="clear" w:color="auto" w:fill="auto"/>
            <w:noWrap w:val="0"/>
            <w:tcMar>
              <w:left w:w="28" w:type="dxa"/>
              <w:right w:w="28" w:type="dxa"/>
            </w:tcMar>
            <w:vAlign w:val="center"/>
          </w:tcPr>
          <w:p w14:paraId="795E462A">
            <w:pPr>
              <w:adjustRightInd w:val="0"/>
              <w:snapToGrid w:val="0"/>
              <w:jc w:val="center"/>
              <w:rPr>
                <w:rFonts w:hint="default" w:ascii="Times New Roman" w:hAnsi="Times New Roman" w:eastAsia="宋体" w:cs="Times New Roman"/>
                <w:bCs/>
                <w:color w:val="auto"/>
                <w:kern w:val="2"/>
                <w:sz w:val="21"/>
                <w:szCs w:val="21"/>
                <w:highlight w:val="none"/>
                <w:lang w:val="en-US" w:eastAsia="zh-CN" w:bidi="ar-SA"/>
              </w:rPr>
            </w:pPr>
          </w:p>
        </w:tc>
        <w:tc>
          <w:tcPr>
            <w:tcW w:w="15188" w:type="dxa"/>
            <w:shd w:val="clear" w:color="auto" w:fill="auto"/>
            <w:noWrap w:val="0"/>
            <w:vAlign w:val="center"/>
          </w:tcPr>
          <w:p w14:paraId="07B17615">
            <w:pPr>
              <w:spacing w:line="240" w:lineRule="auto"/>
              <w:ind w:firstLine="482" w:firstLineChars="200"/>
              <w:jc w:val="center"/>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表4-3  项目废气产排情况一览表</w:t>
            </w:r>
          </w:p>
          <w:tbl>
            <w:tblPr>
              <w:tblStyle w:val="23"/>
              <w:tblW w:w="14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885"/>
              <w:gridCol w:w="870"/>
              <w:gridCol w:w="834"/>
              <w:gridCol w:w="966"/>
              <w:gridCol w:w="1424"/>
              <w:gridCol w:w="870"/>
              <w:gridCol w:w="810"/>
              <w:gridCol w:w="675"/>
              <w:gridCol w:w="705"/>
              <w:gridCol w:w="885"/>
              <w:gridCol w:w="752"/>
              <w:gridCol w:w="1590"/>
              <w:gridCol w:w="1020"/>
              <w:gridCol w:w="1005"/>
              <w:gridCol w:w="994"/>
            </w:tblGrid>
            <w:tr w14:paraId="45CB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Merge w:val="restart"/>
                  <w:vAlign w:val="center"/>
                </w:tcPr>
                <w:p w14:paraId="0E2ABA78">
                  <w:pPr>
                    <w:spacing w:line="240" w:lineRule="auto"/>
                    <w:jc w:val="center"/>
                    <w:rPr>
                      <w:rFonts w:hint="default" w:ascii="Times New Roman" w:hAnsi="Times New Roman" w:eastAsia="宋体" w:cs="Times New Roman"/>
                      <w:b/>
                      <w:bCs/>
                      <w:color w:val="auto"/>
                      <w:szCs w:val="21"/>
                      <w:highlight w:val="none"/>
                      <w:vertAlign w:val="baseline"/>
                      <w:lang w:val="en-US" w:eastAsia="zh-CN"/>
                    </w:rPr>
                  </w:pPr>
                  <w:r>
                    <w:rPr>
                      <w:rFonts w:hint="eastAsia" w:ascii="Times New Roman" w:hAnsi="Times New Roman" w:eastAsia="宋体" w:cs="Times New Roman"/>
                      <w:b/>
                      <w:bCs/>
                      <w:color w:val="auto"/>
                      <w:szCs w:val="21"/>
                      <w:highlight w:val="none"/>
                      <w:vertAlign w:val="baseline"/>
                      <w:lang w:val="en-US" w:eastAsia="zh-CN"/>
                    </w:rPr>
                    <w:t>产污工序</w:t>
                  </w:r>
                </w:p>
              </w:tc>
              <w:tc>
                <w:tcPr>
                  <w:tcW w:w="885" w:type="dxa"/>
                  <w:vMerge w:val="restart"/>
                  <w:vAlign w:val="center"/>
                </w:tcPr>
                <w:p w14:paraId="6063EA72">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污染物种类</w:t>
                  </w:r>
                </w:p>
              </w:tc>
              <w:tc>
                <w:tcPr>
                  <w:tcW w:w="2670" w:type="dxa"/>
                  <w:gridSpan w:val="3"/>
                  <w:vAlign w:val="center"/>
                </w:tcPr>
                <w:p w14:paraId="47C6A2B5">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产生情况</w:t>
                  </w:r>
                </w:p>
              </w:tc>
              <w:tc>
                <w:tcPr>
                  <w:tcW w:w="1424" w:type="dxa"/>
                  <w:vMerge w:val="restart"/>
                  <w:vAlign w:val="center"/>
                </w:tcPr>
                <w:p w14:paraId="10711C6B">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治理措施</w:t>
                  </w:r>
                </w:p>
              </w:tc>
              <w:tc>
                <w:tcPr>
                  <w:tcW w:w="870" w:type="dxa"/>
                  <w:vMerge w:val="restart"/>
                  <w:vAlign w:val="center"/>
                </w:tcPr>
                <w:p w14:paraId="642261B8">
                  <w:pPr>
                    <w:spacing w:line="240" w:lineRule="auto"/>
                    <w:jc w:val="center"/>
                    <w:rPr>
                      <w:rFonts w:hint="default"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风机风量</w:t>
                  </w:r>
                </w:p>
              </w:tc>
              <w:tc>
                <w:tcPr>
                  <w:tcW w:w="810" w:type="dxa"/>
                  <w:vMerge w:val="restart"/>
                  <w:vAlign w:val="center"/>
                </w:tcPr>
                <w:p w14:paraId="5150A78D">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收集效率</w:t>
                  </w:r>
                </w:p>
              </w:tc>
              <w:tc>
                <w:tcPr>
                  <w:tcW w:w="675" w:type="dxa"/>
                  <w:vMerge w:val="restart"/>
                  <w:vAlign w:val="center"/>
                </w:tcPr>
                <w:p w14:paraId="279FAAB9">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处理效率</w:t>
                  </w:r>
                </w:p>
              </w:tc>
              <w:tc>
                <w:tcPr>
                  <w:tcW w:w="705" w:type="dxa"/>
                  <w:vMerge w:val="restart"/>
                  <w:vAlign w:val="center"/>
                </w:tcPr>
                <w:p w14:paraId="0A072905">
                  <w:pPr>
                    <w:spacing w:line="240" w:lineRule="auto"/>
                    <w:jc w:val="center"/>
                    <w:rPr>
                      <w:rFonts w:hint="default"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排放类型</w:t>
                  </w:r>
                </w:p>
              </w:tc>
              <w:tc>
                <w:tcPr>
                  <w:tcW w:w="885" w:type="dxa"/>
                  <w:vMerge w:val="restart"/>
                  <w:vAlign w:val="center"/>
                </w:tcPr>
                <w:p w14:paraId="08678F8F">
                  <w:pPr>
                    <w:spacing w:line="240" w:lineRule="auto"/>
                    <w:jc w:val="center"/>
                    <w:rPr>
                      <w:rFonts w:hint="default"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排气筒编号</w:t>
                  </w:r>
                </w:p>
              </w:tc>
              <w:tc>
                <w:tcPr>
                  <w:tcW w:w="752" w:type="dxa"/>
                  <w:vMerge w:val="restart"/>
                  <w:vAlign w:val="center"/>
                </w:tcPr>
                <w:p w14:paraId="27727885">
                  <w:pPr>
                    <w:spacing w:line="240" w:lineRule="auto"/>
                    <w:jc w:val="center"/>
                    <w:rPr>
                      <w:rFonts w:hint="default"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排气筒内径</w:t>
                  </w:r>
                </w:p>
              </w:tc>
              <w:tc>
                <w:tcPr>
                  <w:tcW w:w="1590" w:type="dxa"/>
                  <w:vMerge w:val="restart"/>
                  <w:vAlign w:val="center"/>
                </w:tcPr>
                <w:p w14:paraId="18CB7D0F">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坐标</w:t>
                  </w:r>
                </w:p>
              </w:tc>
              <w:tc>
                <w:tcPr>
                  <w:tcW w:w="3019" w:type="dxa"/>
                  <w:gridSpan w:val="3"/>
                  <w:shd w:val="clear" w:color="auto" w:fill="auto"/>
                  <w:vAlign w:val="center"/>
                </w:tcPr>
                <w:p w14:paraId="78461761">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排放情况</w:t>
                  </w:r>
                </w:p>
              </w:tc>
            </w:tr>
            <w:tr w14:paraId="1E0D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Merge w:val="continue"/>
                  <w:vAlign w:val="center"/>
                </w:tcPr>
                <w:p w14:paraId="07356234">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885" w:type="dxa"/>
                  <w:vMerge w:val="continue"/>
                  <w:vAlign w:val="center"/>
                </w:tcPr>
                <w:p w14:paraId="609F2E82">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870" w:type="dxa"/>
                  <w:vAlign w:val="center"/>
                </w:tcPr>
                <w:p w14:paraId="595CF1FB">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r>
                    <w:rPr>
                      <w:rFonts w:hint="eastAsia" w:ascii="Times New Roman" w:hAnsi="Times New Roman" w:eastAsia="宋体" w:cs="Times New Roman"/>
                      <w:b/>
                      <w:bCs/>
                      <w:color w:val="auto"/>
                      <w:szCs w:val="21"/>
                      <w:highlight w:val="none"/>
                      <w:vertAlign w:val="baseline"/>
                      <w:lang w:val="en-US" w:eastAsia="zh-CN"/>
                    </w:rPr>
                    <w:t>产生量(t/a)</w:t>
                  </w:r>
                </w:p>
              </w:tc>
              <w:tc>
                <w:tcPr>
                  <w:tcW w:w="834" w:type="dxa"/>
                  <w:vAlign w:val="center"/>
                </w:tcPr>
                <w:p w14:paraId="35DDEA7A">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r>
                    <w:rPr>
                      <w:rFonts w:hint="eastAsia" w:ascii="Times New Roman" w:hAnsi="Times New Roman" w:eastAsia="宋体" w:cs="Times New Roman"/>
                      <w:b/>
                      <w:bCs/>
                      <w:color w:val="auto"/>
                      <w:szCs w:val="21"/>
                      <w:highlight w:val="none"/>
                      <w:vertAlign w:val="baseline"/>
                      <w:lang w:val="en-US" w:eastAsia="zh-CN"/>
                    </w:rPr>
                    <w:t>速率(kg/h)</w:t>
                  </w:r>
                </w:p>
              </w:tc>
              <w:tc>
                <w:tcPr>
                  <w:tcW w:w="966" w:type="dxa"/>
                  <w:vAlign w:val="center"/>
                </w:tcPr>
                <w:p w14:paraId="78996407">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r>
                    <w:rPr>
                      <w:rFonts w:hint="eastAsia" w:ascii="Times New Roman" w:hAnsi="Times New Roman" w:eastAsia="宋体" w:cs="Times New Roman"/>
                      <w:b/>
                      <w:bCs/>
                      <w:color w:val="auto"/>
                      <w:szCs w:val="21"/>
                      <w:highlight w:val="none"/>
                      <w:vertAlign w:val="baseline"/>
                      <w:lang w:val="en-US" w:eastAsia="zh-CN"/>
                    </w:rPr>
                    <w:t>浓度(mg/m</w:t>
                  </w:r>
                  <w:r>
                    <w:rPr>
                      <w:rFonts w:hint="eastAsia" w:ascii="Times New Roman" w:hAnsi="Times New Roman" w:eastAsia="宋体" w:cs="Times New Roman"/>
                      <w:b/>
                      <w:bCs/>
                      <w:color w:val="auto"/>
                      <w:szCs w:val="21"/>
                      <w:highlight w:val="none"/>
                      <w:vertAlign w:val="superscript"/>
                      <w:lang w:val="en-US" w:eastAsia="zh-CN"/>
                    </w:rPr>
                    <w:t>3</w:t>
                  </w:r>
                  <w:r>
                    <w:rPr>
                      <w:rFonts w:hint="eastAsia" w:ascii="Times New Roman" w:hAnsi="Times New Roman" w:eastAsia="宋体" w:cs="Times New Roman"/>
                      <w:b/>
                      <w:bCs/>
                      <w:color w:val="auto"/>
                      <w:szCs w:val="21"/>
                      <w:highlight w:val="none"/>
                      <w:vertAlign w:val="baseline"/>
                      <w:lang w:val="en-US" w:eastAsia="zh-CN"/>
                    </w:rPr>
                    <w:t>)</w:t>
                  </w:r>
                </w:p>
              </w:tc>
              <w:tc>
                <w:tcPr>
                  <w:tcW w:w="1424" w:type="dxa"/>
                  <w:vMerge w:val="continue"/>
                  <w:vAlign w:val="center"/>
                </w:tcPr>
                <w:p w14:paraId="4A3813AD">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870" w:type="dxa"/>
                  <w:vMerge w:val="continue"/>
                  <w:vAlign w:val="center"/>
                </w:tcPr>
                <w:p w14:paraId="4D8A06E6">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810" w:type="dxa"/>
                  <w:vMerge w:val="continue"/>
                  <w:vAlign w:val="center"/>
                </w:tcPr>
                <w:p w14:paraId="64FA06F0">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675" w:type="dxa"/>
                  <w:vMerge w:val="continue"/>
                  <w:vAlign w:val="center"/>
                </w:tcPr>
                <w:p w14:paraId="6021F0B8">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705" w:type="dxa"/>
                  <w:vMerge w:val="continue"/>
                  <w:vAlign w:val="center"/>
                </w:tcPr>
                <w:p w14:paraId="46C2627F">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885" w:type="dxa"/>
                  <w:vMerge w:val="continue"/>
                  <w:vAlign w:val="center"/>
                </w:tcPr>
                <w:p w14:paraId="36D877D4">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752" w:type="dxa"/>
                  <w:vMerge w:val="continue"/>
                  <w:vAlign w:val="center"/>
                </w:tcPr>
                <w:p w14:paraId="46B0DCEB">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1590" w:type="dxa"/>
                  <w:vMerge w:val="continue"/>
                  <w:vAlign w:val="center"/>
                </w:tcPr>
                <w:p w14:paraId="1DE152CD">
                  <w:pPr>
                    <w:spacing w:line="240" w:lineRule="auto"/>
                    <w:jc w:val="center"/>
                    <w:rPr>
                      <w:rFonts w:hint="eastAsia" w:ascii="Times New Roman" w:hAnsi="Times New Roman" w:eastAsia="宋体" w:cs="Times New Roman"/>
                      <w:b/>
                      <w:bCs/>
                      <w:color w:val="auto"/>
                      <w:szCs w:val="21"/>
                      <w:highlight w:val="none"/>
                      <w:vertAlign w:val="baseline"/>
                      <w:lang w:val="en-US" w:eastAsia="zh-CN"/>
                    </w:rPr>
                  </w:pPr>
                </w:p>
              </w:tc>
              <w:tc>
                <w:tcPr>
                  <w:tcW w:w="1020" w:type="dxa"/>
                  <w:shd w:val="clear" w:color="auto" w:fill="auto"/>
                  <w:vAlign w:val="center"/>
                </w:tcPr>
                <w:p w14:paraId="576AABB3">
                  <w:pPr>
                    <w:spacing w:line="240" w:lineRule="auto"/>
                    <w:jc w:val="center"/>
                    <w:rPr>
                      <w:rFonts w:hint="eastAsia" w:ascii="Times New Roman" w:hAnsi="Times New Roman" w:eastAsia="宋体" w:cs="Times New Roman"/>
                      <w:b/>
                      <w:bCs/>
                      <w:color w:val="auto"/>
                      <w:kern w:val="2"/>
                      <w:sz w:val="21"/>
                      <w:szCs w:val="21"/>
                      <w:highlight w:val="none"/>
                      <w:vertAlign w:val="baseline"/>
                      <w:lang w:val="en-US" w:eastAsia="zh-CN" w:bidi="ar-SA"/>
                    </w:rPr>
                  </w:pPr>
                  <w:r>
                    <w:rPr>
                      <w:rFonts w:hint="eastAsia" w:cs="Times New Roman"/>
                      <w:b/>
                      <w:bCs/>
                      <w:color w:val="auto"/>
                      <w:szCs w:val="21"/>
                      <w:highlight w:val="none"/>
                      <w:vertAlign w:val="baseline"/>
                      <w:lang w:val="en-US" w:eastAsia="zh-CN"/>
                    </w:rPr>
                    <w:t>排放量（</w:t>
                  </w:r>
                  <w:r>
                    <w:rPr>
                      <w:rFonts w:hint="eastAsia" w:ascii="Times New Roman" w:hAnsi="Times New Roman" w:eastAsia="宋体" w:cs="Times New Roman"/>
                      <w:b/>
                      <w:bCs/>
                      <w:color w:val="auto"/>
                      <w:szCs w:val="21"/>
                      <w:highlight w:val="none"/>
                      <w:vertAlign w:val="baseline"/>
                      <w:lang w:val="en-US" w:eastAsia="zh-CN"/>
                    </w:rPr>
                    <w:t>t/a</w:t>
                  </w:r>
                  <w:r>
                    <w:rPr>
                      <w:rFonts w:hint="eastAsia" w:cs="Times New Roman"/>
                      <w:b/>
                      <w:bCs/>
                      <w:color w:val="auto"/>
                      <w:szCs w:val="21"/>
                      <w:highlight w:val="none"/>
                      <w:vertAlign w:val="baseline"/>
                      <w:lang w:val="en-US" w:eastAsia="zh-CN"/>
                    </w:rPr>
                    <w:t>）</w:t>
                  </w:r>
                </w:p>
              </w:tc>
              <w:tc>
                <w:tcPr>
                  <w:tcW w:w="1005" w:type="dxa"/>
                  <w:shd w:val="clear" w:color="auto" w:fill="auto"/>
                  <w:vAlign w:val="center"/>
                </w:tcPr>
                <w:p w14:paraId="7EC5BFF5">
                  <w:pPr>
                    <w:spacing w:line="240" w:lineRule="auto"/>
                    <w:jc w:val="center"/>
                    <w:rPr>
                      <w:rFonts w:hint="eastAsia" w:ascii="Times New Roman" w:hAnsi="Times New Roman" w:eastAsia="宋体" w:cs="Times New Roman"/>
                      <w:b/>
                      <w:bCs/>
                      <w:color w:val="auto"/>
                      <w:kern w:val="2"/>
                      <w:sz w:val="21"/>
                      <w:szCs w:val="21"/>
                      <w:highlight w:val="none"/>
                      <w:vertAlign w:val="baseline"/>
                      <w:lang w:val="en-US" w:eastAsia="zh-CN" w:bidi="ar-SA"/>
                    </w:rPr>
                  </w:pPr>
                  <w:r>
                    <w:rPr>
                      <w:rFonts w:hint="eastAsia" w:ascii="Times New Roman" w:hAnsi="Times New Roman" w:eastAsia="宋体" w:cs="Times New Roman"/>
                      <w:b/>
                      <w:bCs/>
                      <w:color w:val="auto"/>
                      <w:szCs w:val="21"/>
                      <w:highlight w:val="none"/>
                      <w:vertAlign w:val="baseline"/>
                      <w:lang w:val="en-US" w:eastAsia="zh-CN"/>
                    </w:rPr>
                    <w:t>速率(kg/h)</w:t>
                  </w:r>
                </w:p>
              </w:tc>
              <w:tc>
                <w:tcPr>
                  <w:tcW w:w="994" w:type="dxa"/>
                  <w:shd w:val="clear" w:color="auto" w:fill="auto"/>
                  <w:vAlign w:val="center"/>
                </w:tcPr>
                <w:p w14:paraId="64F615B7">
                  <w:pPr>
                    <w:spacing w:line="240" w:lineRule="auto"/>
                    <w:jc w:val="center"/>
                    <w:rPr>
                      <w:rFonts w:hint="eastAsia" w:ascii="Times New Roman" w:hAnsi="Times New Roman" w:eastAsia="宋体" w:cs="Times New Roman"/>
                      <w:b/>
                      <w:bCs/>
                      <w:color w:val="auto"/>
                      <w:kern w:val="2"/>
                      <w:sz w:val="21"/>
                      <w:szCs w:val="21"/>
                      <w:highlight w:val="none"/>
                      <w:vertAlign w:val="baseline"/>
                      <w:lang w:val="en-US" w:eastAsia="zh-CN" w:bidi="ar-SA"/>
                    </w:rPr>
                  </w:pPr>
                  <w:r>
                    <w:rPr>
                      <w:rFonts w:hint="eastAsia" w:ascii="Times New Roman" w:hAnsi="Times New Roman" w:eastAsia="宋体" w:cs="Times New Roman"/>
                      <w:b/>
                      <w:bCs/>
                      <w:color w:val="auto"/>
                      <w:szCs w:val="21"/>
                      <w:highlight w:val="none"/>
                      <w:vertAlign w:val="baseline"/>
                      <w:lang w:val="en-US" w:eastAsia="zh-CN"/>
                    </w:rPr>
                    <w:t>浓度(mg/m</w:t>
                  </w:r>
                  <w:r>
                    <w:rPr>
                      <w:rFonts w:hint="eastAsia" w:ascii="Times New Roman" w:hAnsi="Times New Roman" w:eastAsia="宋体" w:cs="Times New Roman"/>
                      <w:b/>
                      <w:bCs/>
                      <w:color w:val="auto"/>
                      <w:szCs w:val="21"/>
                      <w:highlight w:val="none"/>
                      <w:vertAlign w:val="superscript"/>
                      <w:lang w:val="en-US" w:eastAsia="zh-CN"/>
                    </w:rPr>
                    <w:t>3</w:t>
                  </w:r>
                  <w:r>
                    <w:rPr>
                      <w:rFonts w:hint="eastAsia" w:ascii="Times New Roman" w:hAnsi="Times New Roman" w:eastAsia="宋体" w:cs="Times New Roman"/>
                      <w:b/>
                      <w:bCs/>
                      <w:color w:val="auto"/>
                      <w:szCs w:val="21"/>
                      <w:highlight w:val="none"/>
                      <w:vertAlign w:val="baseline"/>
                      <w:lang w:val="en-US" w:eastAsia="zh-CN"/>
                    </w:rPr>
                    <w:t>)</w:t>
                  </w:r>
                </w:p>
              </w:tc>
            </w:tr>
            <w:tr w14:paraId="7F854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Align w:val="center"/>
                </w:tcPr>
                <w:p w14:paraId="1D354819">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锡膏印刷</w:t>
                  </w:r>
                </w:p>
              </w:tc>
              <w:tc>
                <w:tcPr>
                  <w:tcW w:w="885" w:type="dxa"/>
                  <w:vAlign w:val="center"/>
                </w:tcPr>
                <w:p w14:paraId="461D1190">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非甲烷总烃</w:t>
                  </w:r>
                </w:p>
              </w:tc>
              <w:tc>
                <w:tcPr>
                  <w:tcW w:w="870" w:type="dxa"/>
                  <w:vAlign w:val="center"/>
                </w:tcPr>
                <w:p w14:paraId="6EBB2786">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0.0134</w:t>
                  </w:r>
                </w:p>
              </w:tc>
              <w:tc>
                <w:tcPr>
                  <w:tcW w:w="834" w:type="dxa"/>
                  <w:vAlign w:val="center"/>
                </w:tcPr>
                <w:p w14:paraId="20F6AE46">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0.0028</w:t>
                  </w:r>
                </w:p>
              </w:tc>
              <w:tc>
                <w:tcPr>
                  <w:tcW w:w="966" w:type="dxa"/>
                  <w:vAlign w:val="center"/>
                </w:tcPr>
                <w:p w14:paraId="4968C4DD">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0.1745</w:t>
                  </w:r>
                </w:p>
              </w:tc>
              <w:tc>
                <w:tcPr>
                  <w:tcW w:w="1424" w:type="dxa"/>
                  <w:vMerge w:val="restart"/>
                  <w:vAlign w:val="center"/>
                </w:tcPr>
                <w:p w14:paraId="2709DAC9">
                  <w:pPr>
                    <w:spacing w:line="240" w:lineRule="auto"/>
                    <w:jc w:val="center"/>
                    <w:rPr>
                      <w:rFonts w:hint="eastAsia" w:cs="Times New Roman"/>
                      <w:color w:val="auto"/>
                      <w:szCs w:val="21"/>
                      <w:highlight w:val="none"/>
                      <w:vertAlign w:val="baseline"/>
                      <w:lang w:val="en-US" w:eastAsia="zh-CN"/>
                    </w:rPr>
                  </w:pPr>
                  <w:r>
                    <w:rPr>
                      <w:rFonts w:hint="eastAsia" w:cs="Times New Roman"/>
                      <w:color w:val="auto"/>
                      <w:sz w:val="21"/>
                      <w:szCs w:val="21"/>
                      <w:highlight w:val="none"/>
                      <w:lang w:val="en-US" w:eastAsia="zh-CN"/>
                    </w:rPr>
                    <w:t>集气罩</w:t>
                  </w:r>
                  <w:r>
                    <w:rPr>
                      <w:rFonts w:hint="eastAsia" w:cs="Times New Roman"/>
                      <w:color w:val="auto"/>
                      <w:szCs w:val="21"/>
                      <w:highlight w:val="none"/>
                      <w:vertAlign w:val="baseli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vertAlign w:val="baseline"/>
                      <w:lang w:val="en-US" w:eastAsia="zh-CN"/>
                    </w:rPr>
                    <w:t>二级活性炭吸附装置+20m高排气筒</w:t>
                  </w:r>
                </w:p>
              </w:tc>
              <w:tc>
                <w:tcPr>
                  <w:tcW w:w="870" w:type="dxa"/>
                  <w:vMerge w:val="restart"/>
                  <w:vAlign w:val="center"/>
                </w:tcPr>
                <w:p w14:paraId="64246CD0">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16000</w:t>
                  </w:r>
                </w:p>
                <w:p w14:paraId="6BE841E3">
                  <w:pPr>
                    <w:spacing w:line="240" w:lineRule="auto"/>
                    <w:jc w:val="center"/>
                    <w:rPr>
                      <w:rFonts w:hint="default" w:cs="Times New Roman"/>
                      <w:color w:val="auto"/>
                      <w:szCs w:val="21"/>
                      <w:highlight w:val="none"/>
                      <w:vertAlign w:val="baseline"/>
                      <w:lang w:val="en-US" w:eastAsia="zh-CN"/>
                    </w:rPr>
                  </w:pPr>
                  <w:r>
                    <w:rPr>
                      <w:rFonts w:hint="eastAsia" w:cs="Times New Roman"/>
                      <w:b w:val="0"/>
                      <w:bCs w:val="0"/>
                      <w:color w:val="auto"/>
                      <w:szCs w:val="21"/>
                      <w:highlight w:val="none"/>
                      <w:vertAlign w:val="baseline"/>
                      <w:lang w:val="en-US" w:eastAsia="zh-CN"/>
                    </w:rPr>
                    <w:t>m</w:t>
                  </w:r>
                  <w:r>
                    <w:rPr>
                      <w:rFonts w:hint="eastAsia" w:cs="Times New Roman"/>
                      <w:b w:val="0"/>
                      <w:bCs w:val="0"/>
                      <w:color w:val="auto"/>
                      <w:szCs w:val="21"/>
                      <w:highlight w:val="none"/>
                      <w:vertAlign w:val="superscript"/>
                      <w:lang w:val="en-US" w:eastAsia="zh-CN"/>
                    </w:rPr>
                    <w:t>3</w:t>
                  </w:r>
                  <w:r>
                    <w:rPr>
                      <w:rFonts w:hint="eastAsia" w:cs="Times New Roman"/>
                      <w:b w:val="0"/>
                      <w:bCs w:val="0"/>
                      <w:color w:val="auto"/>
                      <w:szCs w:val="21"/>
                      <w:highlight w:val="none"/>
                      <w:vertAlign w:val="baseline"/>
                      <w:lang w:val="en-US" w:eastAsia="zh-CN"/>
                    </w:rPr>
                    <w:t>/h</w:t>
                  </w:r>
                </w:p>
              </w:tc>
              <w:tc>
                <w:tcPr>
                  <w:tcW w:w="810" w:type="dxa"/>
                  <w:vAlign w:val="center"/>
                </w:tcPr>
                <w:p w14:paraId="1F42C7AF">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80%</w:t>
                  </w:r>
                </w:p>
              </w:tc>
              <w:tc>
                <w:tcPr>
                  <w:tcW w:w="675" w:type="dxa"/>
                  <w:vAlign w:val="center"/>
                </w:tcPr>
                <w:p w14:paraId="0916EE99">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90%</w:t>
                  </w:r>
                </w:p>
              </w:tc>
              <w:tc>
                <w:tcPr>
                  <w:tcW w:w="705" w:type="dxa"/>
                  <w:vMerge w:val="restart"/>
                  <w:vAlign w:val="center"/>
                </w:tcPr>
                <w:p w14:paraId="5B0EB1B8">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有组织</w:t>
                  </w:r>
                </w:p>
              </w:tc>
              <w:tc>
                <w:tcPr>
                  <w:tcW w:w="885" w:type="dxa"/>
                  <w:vMerge w:val="restart"/>
                  <w:vAlign w:val="center"/>
                </w:tcPr>
                <w:p w14:paraId="1BB2C2BA">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废气总排口DA001</w:t>
                  </w:r>
                </w:p>
              </w:tc>
              <w:tc>
                <w:tcPr>
                  <w:tcW w:w="752" w:type="dxa"/>
                  <w:vMerge w:val="restart"/>
                  <w:vAlign w:val="center"/>
                </w:tcPr>
                <w:p w14:paraId="2E5C32B4">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0.65m</w:t>
                  </w:r>
                </w:p>
              </w:tc>
              <w:tc>
                <w:tcPr>
                  <w:tcW w:w="1590" w:type="dxa"/>
                  <w:vMerge w:val="restart"/>
                  <w:vAlign w:val="center"/>
                </w:tcPr>
                <w:p w14:paraId="6F0887B3">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117°38′30.756″，30°45′36.132″</w:t>
                  </w:r>
                </w:p>
              </w:tc>
              <w:tc>
                <w:tcPr>
                  <w:tcW w:w="1020" w:type="dxa"/>
                  <w:shd w:val="clear" w:color="auto" w:fill="auto"/>
                  <w:vAlign w:val="center"/>
                </w:tcPr>
                <w:p w14:paraId="0A1D8D2C">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0.0011</w:t>
                  </w:r>
                </w:p>
              </w:tc>
              <w:tc>
                <w:tcPr>
                  <w:tcW w:w="1005" w:type="dxa"/>
                  <w:shd w:val="clear" w:color="auto" w:fill="auto"/>
                  <w:vAlign w:val="center"/>
                </w:tcPr>
                <w:p w14:paraId="22AF8F42">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0.0002</w:t>
                  </w:r>
                </w:p>
              </w:tc>
              <w:tc>
                <w:tcPr>
                  <w:tcW w:w="994" w:type="dxa"/>
                  <w:shd w:val="clear" w:color="auto" w:fill="auto"/>
                  <w:vAlign w:val="center"/>
                </w:tcPr>
                <w:p w14:paraId="311097A8">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0.0140</w:t>
                  </w:r>
                </w:p>
              </w:tc>
            </w:tr>
            <w:tr w14:paraId="12E71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Align w:val="center"/>
                </w:tcPr>
                <w:p w14:paraId="5E613606">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color w:val="auto"/>
                      <w:kern w:val="0"/>
                      <w:szCs w:val="21"/>
                      <w:highlight w:val="none"/>
                      <w:lang w:val="en-US" w:eastAsia="zh-CN"/>
                    </w:rPr>
                    <w:t>钢网擦拭</w:t>
                  </w:r>
                </w:p>
              </w:tc>
              <w:tc>
                <w:tcPr>
                  <w:tcW w:w="885" w:type="dxa"/>
                  <w:vAlign w:val="center"/>
                </w:tcPr>
                <w:p w14:paraId="75238744">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非甲烷总烃</w:t>
                  </w:r>
                </w:p>
              </w:tc>
              <w:tc>
                <w:tcPr>
                  <w:tcW w:w="870" w:type="dxa"/>
                  <w:vAlign w:val="center"/>
                </w:tcPr>
                <w:p w14:paraId="240AB182">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0.3332</w:t>
                  </w:r>
                </w:p>
              </w:tc>
              <w:tc>
                <w:tcPr>
                  <w:tcW w:w="834" w:type="dxa"/>
                  <w:vAlign w:val="center"/>
                </w:tcPr>
                <w:p w14:paraId="704E1A3D">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1.111</w:t>
                  </w:r>
                </w:p>
              </w:tc>
              <w:tc>
                <w:tcPr>
                  <w:tcW w:w="966" w:type="dxa"/>
                  <w:vAlign w:val="center"/>
                </w:tcPr>
                <w:p w14:paraId="0E987C76">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69.4167</w:t>
                  </w:r>
                </w:p>
              </w:tc>
              <w:tc>
                <w:tcPr>
                  <w:tcW w:w="1424" w:type="dxa"/>
                  <w:vMerge w:val="continue"/>
                  <w:vAlign w:val="center"/>
                </w:tcPr>
                <w:p w14:paraId="39273603">
                  <w:pPr>
                    <w:spacing w:line="240" w:lineRule="auto"/>
                    <w:jc w:val="center"/>
                    <w:rPr>
                      <w:rFonts w:hint="eastAsia" w:cs="Times New Roman"/>
                      <w:color w:val="auto"/>
                      <w:szCs w:val="21"/>
                      <w:highlight w:val="none"/>
                      <w:vertAlign w:val="baseline"/>
                      <w:lang w:val="en-US" w:eastAsia="zh-CN"/>
                    </w:rPr>
                  </w:pPr>
                </w:p>
              </w:tc>
              <w:tc>
                <w:tcPr>
                  <w:tcW w:w="870" w:type="dxa"/>
                  <w:vMerge w:val="continue"/>
                  <w:vAlign w:val="center"/>
                </w:tcPr>
                <w:p w14:paraId="72ADC0E4">
                  <w:pPr>
                    <w:spacing w:line="240" w:lineRule="auto"/>
                    <w:jc w:val="center"/>
                    <w:rPr>
                      <w:rFonts w:hint="eastAsia" w:cs="Times New Roman"/>
                      <w:color w:val="auto"/>
                      <w:szCs w:val="21"/>
                      <w:highlight w:val="none"/>
                      <w:vertAlign w:val="baseline"/>
                      <w:lang w:val="en-US" w:eastAsia="zh-CN"/>
                    </w:rPr>
                  </w:pPr>
                </w:p>
              </w:tc>
              <w:tc>
                <w:tcPr>
                  <w:tcW w:w="810" w:type="dxa"/>
                  <w:vAlign w:val="center"/>
                </w:tcPr>
                <w:p w14:paraId="6F9BA846">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80%</w:t>
                  </w:r>
                </w:p>
              </w:tc>
              <w:tc>
                <w:tcPr>
                  <w:tcW w:w="675" w:type="dxa"/>
                  <w:vAlign w:val="center"/>
                </w:tcPr>
                <w:p w14:paraId="274C2A54">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90%</w:t>
                  </w:r>
                </w:p>
              </w:tc>
              <w:tc>
                <w:tcPr>
                  <w:tcW w:w="705" w:type="dxa"/>
                  <w:vMerge w:val="continue"/>
                  <w:vAlign w:val="center"/>
                </w:tcPr>
                <w:p w14:paraId="32FA4565">
                  <w:pPr>
                    <w:spacing w:line="240" w:lineRule="auto"/>
                    <w:jc w:val="center"/>
                    <w:rPr>
                      <w:rFonts w:hint="eastAsia" w:cs="Times New Roman"/>
                      <w:color w:val="auto"/>
                      <w:szCs w:val="21"/>
                      <w:highlight w:val="none"/>
                      <w:vertAlign w:val="baseline"/>
                      <w:lang w:val="en-US" w:eastAsia="zh-CN"/>
                    </w:rPr>
                  </w:pPr>
                </w:p>
              </w:tc>
              <w:tc>
                <w:tcPr>
                  <w:tcW w:w="885" w:type="dxa"/>
                  <w:vMerge w:val="continue"/>
                  <w:vAlign w:val="center"/>
                </w:tcPr>
                <w:p w14:paraId="74E250F7">
                  <w:pPr>
                    <w:spacing w:line="240" w:lineRule="auto"/>
                    <w:jc w:val="center"/>
                    <w:rPr>
                      <w:rFonts w:hint="eastAsia" w:cs="Times New Roman"/>
                      <w:color w:val="auto"/>
                      <w:szCs w:val="21"/>
                      <w:highlight w:val="none"/>
                      <w:vertAlign w:val="baseline"/>
                      <w:lang w:val="en-US" w:eastAsia="zh-CN"/>
                    </w:rPr>
                  </w:pPr>
                </w:p>
              </w:tc>
              <w:tc>
                <w:tcPr>
                  <w:tcW w:w="752" w:type="dxa"/>
                  <w:vMerge w:val="continue"/>
                  <w:vAlign w:val="center"/>
                </w:tcPr>
                <w:p w14:paraId="037E0507">
                  <w:pPr>
                    <w:spacing w:line="240" w:lineRule="auto"/>
                    <w:jc w:val="center"/>
                    <w:rPr>
                      <w:rFonts w:hint="eastAsia" w:cs="Times New Roman"/>
                      <w:color w:val="auto"/>
                      <w:szCs w:val="21"/>
                      <w:highlight w:val="none"/>
                      <w:vertAlign w:val="baseline"/>
                      <w:lang w:val="en-US" w:eastAsia="zh-CN"/>
                    </w:rPr>
                  </w:pPr>
                </w:p>
              </w:tc>
              <w:tc>
                <w:tcPr>
                  <w:tcW w:w="1590" w:type="dxa"/>
                  <w:vMerge w:val="continue"/>
                  <w:vAlign w:val="center"/>
                </w:tcPr>
                <w:p w14:paraId="40695E56">
                  <w:pPr>
                    <w:spacing w:line="240" w:lineRule="auto"/>
                    <w:jc w:val="center"/>
                    <w:rPr>
                      <w:rFonts w:hint="eastAsia" w:cs="Times New Roman"/>
                      <w:color w:val="auto"/>
                      <w:szCs w:val="21"/>
                      <w:highlight w:val="none"/>
                      <w:vertAlign w:val="baseline"/>
                      <w:lang w:val="en-US" w:eastAsia="zh-CN"/>
                    </w:rPr>
                  </w:pPr>
                </w:p>
              </w:tc>
              <w:tc>
                <w:tcPr>
                  <w:tcW w:w="1020" w:type="dxa"/>
                  <w:shd w:val="clear" w:color="auto" w:fill="auto"/>
                  <w:vAlign w:val="center"/>
                </w:tcPr>
                <w:p w14:paraId="48200DBA">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0.0267</w:t>
                  </w:r>
                </w:p>
              </w:tc>
              <w:tc>
                <w:tcPr>
                  <w:tcW w:w="1005" w:type="dxa"/>
                  <w:shd w:val="clear" w:color="auto" w:fill="auto"/>
                  <w:vAlign w:val="center"/>
                </w:tcPr>
                <w:p w14:paraId="0041E6FB">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0.0889</w:t>
                  </w:r>
                </w:p>
              </w:tc>
              <w:tc>
                <w:tcPr>
                  <w:tcW w:w="994" w:type="dxa"/>
                  <w:shd w:val="clear" w:color="auto" w:fill="auto"/>
                  <w:vAlign w:val="center"/>
                </w:tcPr>
                <w:p w14:paraId="67949CF6">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5.5533</w:t>
                  </w:r>
                </w:p>
              </w:tc>
            </w:tr>
            <w:tr w14:paraId="1DD8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645" w:type="dxa"/>
                  <w:vMerge w:val="restart"/>
                  <w:vAlign w:val="center"/>
                </w:tcPr>
                <w:p w14:paraId="60420E4F">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回流焊</w:t>
                  </w:r>
                </w:p>
              </w:tc>
              <w:tc>
                <w:tcPr>
                  <w:tcW w:w="885" w:type="dxa"/>
                  <w:vAlign w:val="center"/>
                </w:tcPr>
                <w:p w14:paraId="2533E5A8">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颗粒物</w:t>
                  </w:r>
                </w:p>
              </w:tc>
              <w:tc>
                <w:tcPr>
                  <w:tcW w:w="870" w:type="dxa"/>
                  <w:vAlign w:val="center"/>
                </w:tcPr>
                <w:p w14:paraId="21004DCF">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0.0035</w:t>
                  </w:r>
                </w:p>
              </w:tc>
              <w:tc>
                <w:tcPr>
                  <w:tcW w:w="834" w:type="dxa"/>
                  <w:vAlign w:val="center"/>
                </w:tcPr>
                <w:p w14:paraId="26EAF649">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0.0007</w:t>
                  </w:r>
                </w:p>
              </w:tc>
              <w:tc>
                <w:tcPr>
                  <w:tcW w:w="966" w:type="dxa"/>
                  <w:vAlign w:val="center"/>
                </w:tcPr>
                <w:p w14:paraId="27715B45">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0.0456</w:t>
                  </w:r>
                </w:p>
              </w:tc>
              <w:tc>
                <w:tcPr>
                  <w:tcW w:w="1424" w:type="dxa"/>
                  <w:vMerge w:val="restart"/>
                  <w:vAlign w:val="center"/>
                </w:tcPr>
                <w:p w14:paraId="6DCB6991">
                  <w:pPr>
                    <w:spacing w:line="240" w:lineRule="auto"/>
                    <w:jc w:val="center"/>
                    <w:rPr>
                      <w:rFonts w:hint="eastAsia" w:cs="Times New Roman"/>
                      <w:color w:val="auto"/>
                      <w:szCs w:val="21"/>
                      <w:highlight w:val="none"/>
                      <w:vertAlign w:val="baseline"/>
                      <w:lang w:val="en-US" w:eastAsia="zh-CN"/>
                    </w:rPr>
                  </w:pPr>
                  <w:r>
                    <w:rPr>
                      <w:rFonts w:hint="eastAsia" w:cs="Times New Roman"/>
                      <w:color w:val="auto"/>
                      <w:sz w:val="21"/>
                      <w:szCs w:val="21"/>
                      <w:highlight w:val="none"/>
                      <w:lang w:val="en-US" w:eastAsia="zh-CN"/>
                    </w:rPr>
                    <w:t>负压管道收集</w:t>
                  </w:r>
                  <w:r>
                    <w:rPr>
                      <w:rFonts w:hint="eastAsia" w:cs="Times New Roman"/>
                      <w:color w:val="auto"/>
                      <w:szCs w:val="21"/>
                      <w:highlight w:val="none"/>
                      <w:vertAlign w:val="baseli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vertAlign w:val="baseline"/>
                      <w:lang w:val="en-US" w:eastAsia="zh-CN"/>
                    </w:rPr>
                    <w:t>二级活性炭吸附装置+20m高排气筒</w:t>
                  </w:r>
                </w:p>
              </w:tc>
              <w:tc>
                <w:tcPr>
                  <w:tcW w:w="870" w:type="dxa"/>
                  <w:vMerge w:val="continue"/>
                  <w:vAlign w:val="center"/>
                </w:tcPr>
                <w:p w14:paraId="586E8D56">
                  <w:pPr>
                    <w:spacing w:line="240" w:lineRule="auto"/>
                    <w:jc w:val="center"/>
                    <w:rPr>
                      <w:rFonts w:hint="eastAsia" w:cs="Times New Roman"/>
                      <w:color w:val="auto"/>
                      <w:szCs w:val="21"/>
                      <w:highlight w:val="none"/>
                      <w:vertAlign w:val="baseline"/>
                      <w:lang w:val="en-US" w:eastAsia="zh-CN"/>
                    </w:rPr>
                  </w:pPr>
                </w:p>
              </w:tc>
              <w:tc>
                <w:tcPr>
                  <w:tcW w:w="810" w:type="dxa"/>
                  <w:vAlign w:val="center"/>
                </w:tcPr>
                <w:p w14:paraId="6096A74C">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100%</w:t>
                  </w:r>
                </w:p>
              </w:tc>
              <w:tc>
                <w:tcPr>
                  <w:tcW w:w="675" w:type="dxa"/>
                  <w:vAlign w:val="center"/>
                </w:tcPr>
                <w:p w14:paraId="5CF47033">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90%</w:t>
                  </w:r>
                </w:p>
              </w:tc>
              <w:tc>
                <w:tcPr>
                  <w:tcW w:w="705" w:type="dxa"/>
                  <w:vMerge w:val="continue"/>
                  <w:vAlign w:val="center"/>
                </w:tcPr>
                <w:p w14:paraId="73C2491A">
                  <w:pPr>
                    <w:spacing w:line="240" w:lineRule="auto"/>
                    <w:jc w:val="center"/>
                    <w:rPr>
                      <w:rFonts w:hint="eastAsia" w:cs="Times New Roman"/>
                      <w:color w:val="auto"/>
                      <w:szCs w:val="21"/>
                      <w:highlight w:val="none"/>
                      <w:vertAlign w:val="baseline"/>
                      <w:lang w:val="en-US" w:eastAsia="zh-CN"/>
                    </w:rPr>
                  </w:pPr>
                </w:p>
              </w:tc>
              <w:tc>
                <w:tcPr>
                  <w:tcW w:w="885" w:type="dxa"/>
                  <w:vMerge w:val="continue"/>
                  <w:vAlign w:val="center"/>
                </w:tcPr>
                <w:p w14:paraId="252DE9ED">
                  <w:pPr>
                    <w:spacing w:line="240" w:lineRule="auto"/>
                    <w:jc w:val="center"/>
                    <w:rPr>
                      <w:rFonts w:hint="eastAsia" w:cs="Times New Roman"/>
                      <w:color w:val="auto"/>
                      <w:szCs w:val="21"/>
                      <w:highlight w:val="none"/>
                      <w:vertAlign w:val="baseline"/>
                      <w:lang w:val="en-US" w:eastAsia="zh-CN"/>
                    </w:rPr>
                  </w:pPr>
                </w:p>
              </w:tc>
              <w:tc>
                <w:tcPr>
                  <w:tcW w:w="752" w:type="dxa"/>
                  <w:vMerge w:val="continue"/>
                  <w:vAlign w:val="center"/>
                </w:tcPr>
                <w:p w14:paraId="099F8D13">
                  <w:pPr>
                    <w:spacing w:line="240" w:lineRule="auto"/>
                    <w:jc w:val="center"/>
                    <w:rPr>
                      <w:rFonts w:hint="eastAsia" w:cs="Times New Roman"/>
                      <w:color w:val="auto"/>
                      <w:szCs w:val="21"/>
                      <w:highlight w:val="none"/>
                      <w:vertAlign w:val="baseline"/>
                      <w:lang w:val="en-US" w:eastAsia="zh-CN"/>
                    </w:rPr>
                  </w:pPr>
                </w:p>
              </w:tc>
              <w:tc>
                <w:tcPr>
                  <w:tcW w:w="1590" w:type="dxa"/>
                  <w:vMerge w:val="continue"/>
                  <w:vAlign w:val="center"/>
                </w:tcPr>
                <w:p w14:paraId="2BE91CEC">
                  <w:pPr>
                    <w:spacing w:line="240" w:lineRule="auto"/>
                    <w:jc w:val="center"/>
                    <w:rPr>
                      <w:rFonts w:hint="eastAsia" w:cs="Times New Roman"/>
                      <w:color w:val="auto"/>
                      <w:szCs w:val="21"/>
                      <w:highlight w:val="none"/>
                      <w:vertAlign w:val="baseline"/>
                      <w:lang w:val="en-US" w:eastAsia="zh-CN"/>
                    </w:rPr>
                  </w:pPr>
                </w:p>
              </w:tc>
              <w:tc>
                <w:tcPr>
                  <w:tcW w:w="1020" w:type="dxa"/>
                  <w:shd w:val="clear" w:color="auto" w:fill="auto"/>
                  <w:vAlign w:val="center"/>
                </w:tcPr>
                <w:p w14:paraId="06DBAB0C">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0.0004</w:t>
                  </w:r>
                </w:p>
              </w:tc>
              <w:tc>
                <w:tcPr>
                  <w:tcW w:w="1005" w:type="dxa"/>
                  <w:shd w:val="clear" w:color="auto" w:fill="auto"/>
                  <w:vAlign w:val="center"/>
                </w:tcPr>
                <w:p w14:paraId="400080D8">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0.00001</w:t>
                  </w:r>
                </w:p>
              </w:tc>
              <w:tc>
                <w:tcPr>
                  <w:tcW w:w="994" w:type="dxa"/>
                  <w:shd w:val="clear" w:color="auto" w:fill="auto"/>
                  <w:vAlign w:val="center"/>
                </w:tcPr>
                <w:p w14:paraId="394B3C60">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0.0046</w:t>
                  </w:r>
                </w:p>
              </w:tc>
            </w:tr>
            <w:tr w14:paraId="4DE4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Merge w:val="continue"/>
                  <w:vAlign w:val="center"/>
                </w:tcPr>
                <w:p w14:paraId="0C31030F">
                  <w:pPr>
                    <w:spacing w:line="240" w:lineRule="auto"/>
                    <w:jc w:val="center"/>
                    <w:rPr>
                      <w:rFonts w:hint="eastAsia" w:cs="Times New Roman"/>
                      <w:color w:val="auto"/>
                      <w:szCs w:val="21"/>
                      <w:highlight w:val="none"/>
                      <w:vertAlign w:val="baseline"/>
                      <w:lang w:val="en-US" w:eastAsia="zh-CN"/>
                    </w:rPr>
                  </w:pPr>
                </w:p>
              </w:tc>
              <w:tc>
                <w:tcPr>
                  <w:tcW w:w="885" w:type="dxa"/>
                  <w:shd w:val="clear" w:color="auto" w:fill="auto"/>
                  <w:vAlign w:val="center"/>
                </w:tcPr>
                <w:p w14:paraId="1E84A692">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锡及其化合物</w:t>
                  </w:r>
                </w:p>
              </w:tc>
              <w:tc>
                <w:tcPr>
                  <w:tcW w:w="870" w:type="dxa"/>
                  <w:shd w:val="clear" w:color="auto" w:fill="auto"/>
                  <w:vAlign w:val="center"/>
                </w:tcPr>
                <w:p w14:paraId="15FED2D3">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0.0035</w:t>
                  </w:r>
                </w:p>
              </w:tc>
              <w:tc>
                <w:tcPr>
                  <w:tcW w:w="834" w:type="dxa"/>
                  <w:shd w:val="clear" w:color="auto" w:fill="auto"/>
                  <w:vAlign w:val="center"/>
                </w:tcPr>
                <w:p w14:paraId="6C15055F">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0.0007</w:t>
                  </w:r>
                </w:p>
              </w:tc>
              <w:tc>
                <w:tcPr>
                  <w:tcW w:w="966" w:type="dxa"/>
                  <w:shd w:val="clear" w:color="auto" w:fill="auto"/>
                  <w:vAlign w:val="center"/>
                </w:tcPr>
                <w:p w14:paraId="2979B321">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0.0456</w:t>
                  </w:r>
                </w:p>
              </w:tc>
              <w:tc>
                <w:tcPr>
                  <w:tcW w:w="1424" w:type="dxa"/>
                  <w:vMerge w:val="continue"/>
                  <w:vAlign w:val="center"/>
                </w:tcPr>
                <w:p w14:paraId="6EC5F15F">
                  <w:pPr>
                    <w:spacing w:line="240" w:lineRule="auto"/>
                    <w:jc w:val="center"/>
                    <w:rPr>
                      <w:rFonts w:hint="eastAsia" w:cs="Times New Roman"/>
                      <w:color w:val="auto"/>
                      <w:szCs w:val="21"/>
                      <w:highlight w:val="none"/>
                      <w:vertAlign w:val="baseline"/>
                      <w:lang w:val="en-US" w:eastAsia="zh-CN"/>
                    </w:rPr>
                  </w:pPr>
                </w:p>
              </w:tc>
              <w:tc>
                <w:tcPr>
                  <w:tcW w:w="870" w:type="dxa"/>
                  <w:vMerge w:val="continue"/>
                  <w:vAlign w:val="center"/>
                </w:tcPr>
                <w:p w14:paraId="333A7DC8">
                  <w:pPr>
                    <w:spacing w:line="240" w:lineRule="auto"/>
                    <w:jc w:val="center"/>
                    <w:rPr>
                      <w:rFonts w:hint="eastAsia" w:cs="Times New Roman"/>
                      <w:color w:val="auto"/>
                      <w:szCs w:val="21"/>
                      <w:highlight w:val="none"/>
                      <w:vertAlign w:val="baseline"/>
                      <w:lang w:val="en-US" w:eastAsia="zh-CN"/>
                    </w:rPr>
                  </w:pPr>
                </w:p>
              </w:tc>
              <w:tc>
                <w:tcPr>
                  <w:tcW w:w="810" w:type="dxa"/>
                  <w:vAlign w:val="center"/>
                </w:tcPr>
                <w:p w14:paraId="43608622">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100%</w:t>
                  </w:r>
                </w:p>
              </w:tc>
              <w:tc>
                <w:tcPr>
                  <w:tcW w:w="675" w:type="dxa"/>
                  <w:vAlign w:val="center"/>
                </w:tcPr>
                <w:p w14:paraId="49980F36">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90%</w:t>
                  </w:r>
                </w:p>
              </w:tc>
              <w:tc>
                <w:tcPr>
                  <w:tcW w:w="705" w:type="dxa"/>
                  <w:vMerge w:val="continue"/>
                  <w:vAlign w:val="center"/>
                </w:tcPr>
                <w:p w14:paraId="6FE59FEE">
                  <w:pPr>
                    <w:spacing w:line="240" w:lineRule="auto"/>
                    <w:jc w:val="center"/>
                    <w:rPr>
                      <w:rFonts w:hint="eastAsia" w:cs="Times New Roman"/>
                      <w:color w:val="auto"/>
                      <w:szCs w:val="21"/>
                      <w:highlight w:val="none"/>
                      <w:vertAlign w:val="baseline"/>
                      <w:lang w:val="en-US" w:eastAsia="zh-CN"/>
                    </w:rPr>
                  </w:pPr>
                </w:p>
              </w:tc>
              <w:tc>
                <w:tcPr>
                  <w:tcW w:w="885" w:type="dxa"/>
                  <w:vMerge w:val="continue"/>
                  <w:vAlign w:val="center"/>
                </w:tcPr>
                <w:p w14:paraId="6676DBC2">
                  <w:pPr>
                    <w:spacing w:line="240" w:lineRule="auto"/>
                    <w:jc w:val="center"/>
                    <w:rPr>
                      <w:rFonts w:hint="eastAsia" w:cs="Times New Roman"/>
                      <w:color w:val="auto"/>
                      <w:szCs w:val="21"/>
                      <w:highlight w:val="none"/>
                      <w:vertAlign w:val="baseline"/>
                      <w:lang w:val="en-US" w:eastAsia="zh-CN"/>
                    </w:rPr>
                  </w:pPr>
                </w:p>
              </w:tc>
              <w:tc>
                <w:tcPr>
                  <w:tcW w:w="752" w:type="dxa"/>
                  <w:vMerge w:val="continue"/>
                  <w:vAlign w:val="center"/>
                </w:tcPr>
                <w:p w14:paraId="01636206">
                  <w:pPr>
                    <w:spacing w:line="240" w:lineRule="auto"/>
                    <w:jc w:val="center"/>
                    <w:rPr>
                      <w:rFonts w:hint="eastAsia" w:cs="Times New Roman"/>
                      <w:color w:val="auto"/>
                      <w:szCs w:val="21"/>
                      <w:highlight w:val="none"/>
                      <w:vertAlign w:val="baseline"/>
                      <w:lang w:val="en-US" w:eastAsia="zh-CN"/>
                    </w:rPr>
                  </w:pPr>
                </w:p>
              </w:tc>
              <w:tc>
                <w:tcPr>
                  <w:tcW w:w="1590" w:type="dxa"/>
                  <w:vMerge w:val="continue"/>
                  <w:vAlign w:val="center"/>
                </w:tcPr>
                <w:p w14:paraId="0F9A0185">
                  <w:pPr>
                    <w:spacing w:line="240" w:lineRule="auto"/>
                    <w:jc w:val="center"/>
                    <w:rPr>
                      <w:rFonts w:hint="eastAsia" w:cs="Times New Roman"/>
                      <w:color w:val="auto"/>
                      <w:szCs w:val="21"/>
                      <w:highlight w:val="none"/>
                      <w:vertAlign w:val="baseline"/>
                      <w:lang w:val="en-US" w:eastAsia="zh-CN"/>
                    </w:rPr>
                  </w:pPr>
                </w:p>
              </w:tc>
              <w:tc>
                <w:tcPr>
                  <w:tcW w:w="1020" w:type="dxa"/>
                  <w:shd w:val="clear" w:color="auto" w:fill="auto"/>
                  <w:vAlign w:val="center"/>
                </w:tcPr>
                <w:p w14:paraId="33874B89">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0.0004</w:t>
                  </w:r>
                </w:p>
              </w:tc>
              <w:tc>
                <w:tcPr>
                  <w:tcW w:w="1005" w:type="dxa"/>
                  <w:shd w:val="clear" w:color="auto" w:fill="auto"/>
                  <w:vAlign w:val="center"/>
                </w:tcPr>
                <w:p w14:paraId="056FEE1C">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0.00001</w:t>
                  </w:r>
                </w:p>
              </w:tc>
              <w:tc>
                <w:tcPr>
                  <w:tcW w:w="994" w:type="dxa"/>
                  <w:shd w:val="clear" w:color="auto" w:fill="auto"/>
                  <w:vAlign w:val="center"/>
                </w:tcPr>
                <w:p w14:paraId="713F3A74">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0.0046</w:t>
                  </w:r>
                </w:p>
              </w:tc>
            </w:tr>
            <w:tr w14:paraId="2956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Merge w:val="continue"/>
                  <w:vAlign w:val="center"/>
                </w:tcPr>
                <w:p w14:paraId="69C2EC2B">
                  <w:pPr>
                    <w:spacing w:line="240" w:lineRule="auto"/>
                    <w:jc w:val="center"/>
                    <w:rPr>
                      <w:color w:val="auto"/>
                    </w:rPr>
                  </w:pPr>
                </w:p>
              </w:tc>
              <w:tc>
                <w:tcPr>
                  <w:tcW w:w="885" w:type="dxa"/>
                  <w:shd w:val="clear" w:color="auto" w:fill="auto"/>
                  <w:vAlign w:val="center"/>
                </w:tcPr>
                <w:p w14:paraId="361388AB">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非甲烷总烃</w:t>
                  </w:r>
                </w:p>
              </w:tc>
              <w:tc>
                <w:tcPr>
                  <w:tcW w:w="870" w:type="dxa"/>
                  <w:shd w:val="clear" w:color="auto" w:fill="auto"/>
                  <w:vAlign w:val="center"/>
                </w:tcPr>
                <w:p w14:paraId="0F3E920A">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1.3306</w:t>
                  </w:r>
                </w:p>
              </w:tc>
              <w:tc>
                <w:tcPr>
                  <w:tcW w:w="834" w:type="dxa"/>
                  <w:shd w:val="clear" w:color="auto" w:fill="auto"/>
                  <w:vAlign w:val="center"/>
                </w:tcPr>
                <w:p w14:paraId="55FA7995">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0.2772</w:t>
                  </w:r>
                </w:p>
              </w:tc>
              <w:tc>
                <w:tcPr>
                  <w:tcW w:w="966" w:type="dxa"/>
                  <w:shd w:val="clear" w:color="auto" w:fill="auto"/>
                  <w:vAlign w:val="center"/>
                </w:tcPr>
                <w:p w14:paraId="4B663D44">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17.3255</w:t>
                  </w:r>
                </w:p>
              </w:tc>
              <w:tc>
                <w:tcPr>
                  <w:tcW w:w="1424" w:type="dxa"/>
                  <w:vMerge w:val="continue"/>
                  <w:vAlign w:val="center"/>
                </w:tcPr>
                <w:p w14:paraId="4BFC4C0A">
                  <w:pPr>
                    <w:spacing w:line="240" w:lineRule="auto"/>
                    <w:jc w:val="center"/>
                    <w:rPr>
                      <w:rFonts w:hint="eastAsia" w:cs="Times New Roman"/>
                      <w:color w:val="auto"/>
                      <w:szCs w:val="21"/>
                      <w:highlight w:val="none"/>
                      <w:vertAlign w:val="baseline"/>
                      <w:lang w:val="en-US" w:eastAsia="zh-CN"/>
                    </w:rPr>
                  </w:pPr>
                </w:p>
              </w:tc>
              <w:tc>
                <w:tcPr>
                  <w:tcW w:w="870" w:type="dxa"/>
                  <w:vMerge w:val="continue"/>
                  <w:vAlign w:val="center"/>
                </w:tcPr>
                <w:p w14:paraId="0F11C3A0">
                  <w:pPr>
                    <w:spacing w:line="240" w:lineRule="auto"/>
                    <w:jc w:val="center"/>
                    <w:rPr>
                      <w:rFonts w:hint="eastAsia" w:cs="Times New Roman"/>
                      <w:color w:val="auto"/>
                      <w:szCs w:val="21"/>
                      <w:highlight w:val="none"/>
                      <w:vertAlign w:val="baseline"/>
                      <w:lang w:val="en-US" w:eastAsia="zh-CN"/>
                    </w:rPr>
                  </w:pPr>
                </w:p>
              </w:tc>
              <w:tc>
                <w:tcPr>
                  <w:tcW w:w="810" w:type="dxa"/>
                  <w:shd w:val="clear" w:color="auto" w:fill="auto"/>
                  <w:vAlign w:val="center"/>
                </w:tcPr>
                <w:p w14:paraId="24C3CD60">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100%</w:t>
                  </w:r>
                </w:p>
              </w:tc>
              <w:tc>
                <w:tcPr>
                  <w:tcW w:w="675" w:type="dxa"/>
                  <w:shd w:val="clear" w:color="auto" w:fill="auto"/>
                  <w:vAlign w:val="center"/>
                </w:tcPr>
                <w:p w14:paraId="11DA9523">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90%</w:t>
                  </w:r>
                </w:p>
              </w:tc>
              <w:tc>
                <w:tcPr>
                  <w:tcW w:w="705" w:type="dxa"/>
                  <w:vMerge w:val="continue"/>
                  <w:vAlign w:val="center"/>
                </w:tcPr>
                <w:p w14:paraId="30EADA27">
                  <w:pPr>
                    <w:spacing w:line="240" w:lineRule="auto"/>
                    <w:jc w:val="center"/>
                    <w:rPr>
                      <w:rFonts w:hint="eastAsia" w:cs="Times New Roman"/>
                      <w:color w:val="auto"/>
                      <w:szCs w:val="21"/>
                      <w:highlight w:val="none"/>
                      <w:vertAlign w:val="baseline"/>
                      <w:lang w:val="en-US" w:eastAsia="zh-CN"/>
                    </w:rPr>
                  </w:pPr>
                </w:p>
              </w:tc>
              <w:tc>
                <w:tcPr>
                  <w:tcW w:w="885" w:type="dxa"/>
                  <w:vMerge w:val="continue"/>
                  <w:vAlign w:val="center"/>
                </w:tcPr>
                <w:p w14:paraId="4B67AA77">
                  <w:pPr>
                    <w:spacing w:line="240" w:lineRule="auto"/>
                    <w:jc w:val="center"/>
                    <w:rPr>
                      <w:rFonts w:hint="eastAsia" w:cs="Times New Roman"/>
                      <w:color w:val="auto"/>
                      <w:szCs w:val="21"/>
                      <w:highlight w:val="none"/>
                      <w:vertAlign w:val="baseline"/>
                      <w:lang w:val="en-US" w:eastAsia="zh-CN"/>
                    </w:rPr>
                  </w:pPr>
                </w:p>
              </w:tc>
              <w:tc>
                <w:tcPr>
                  <w:tcW w:w="752" w:type="dxa"/>
                  <w:vMerge w:val="continue"/>
                  <w:vAlign w:val="center"/>
                </w:tcPr>
                <w:p w14:paraId="79623A03">
                  <w:pPr>
                    <w:spacing w:line="240" w:lineRule="auto"/>
                    <w:jc w:val="center"/>
                    <w:rPr>
                      <w:rFonts w:hint="eastAsia" w:cs="Times New Roman"/>
                      <w:color w:val="auto"/>
                      <w:szCs w:val="21"/>
                      <w:highlight w:val="none"/>
                      <w:vertAlign w:val="baseline"/>
                      <w:lang w:val="en-US" w:eastAsia="zh-CN"/>
                    </w:rPr>
                  </w:pPr>
                </w:p>
              </w:tc>
              <w:tc>
                <w:tcPr>
                  <w:tcW w:w="1590" w:type="dxa"/>
                  <w:vMerge w:val="continue"/>
                  <w:vAlign w:val="center"/>
                </w:tcPr>
                <w:p w14:paraId="69EB634A">
                  <w:pPr>
                    <w:spacing w:line="240" w:lineRule="auto"/>
                    <w:jc w:val="center"/>
                    <w:rPr>
                      <w:rFonts w:hint="eastAsia" w:cs="Times New Roman"/>
                      <w:color w:val="auto"/>
                      <w:szCs w:val="21"/>
                      <w:highlight w:val="none"/>
                      <w:vertAlign w:val="baseline"/>
                      <w:lang w:val="en-US" w:eastAsia="zh-CN"/>
                    </w:rPr>
                  </w:pPr>
                </w:p>
              </w:tc>
              <w:tc>
                <w:tcPr>
                  <w:tcW w:w="1020" w:type="dxa"/>
                  <w:shd w:val="clear" w:color="auto" w:fill="auto"/>
                  <w:vAlign w:val="center"/>
                </w:tcPr>
                <w:p w14:paraId="5A3B3E6B">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0.1331</w:t>
                  </w:r>
                </w:p>
              </w:tc>
              <w:tc>
                <w:tcPr>
                  <w:tcW w:w="1005" w:type="dxa"/>
                  <w:shd w:val="clear" w:color="auto" w:fill="auto"/>
                  <w:vAlign w:val="center"/>
                </w:tcPr>
                <w:p w14:paraId="265066DC">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0.0277</w:t>
                  </w:r>
                </w:p>
              </w:tc>
              <w:tc>
                <w:tcPr>
                  <w:tcW w:w="994" w:type="dxa"/>
                  <w:shd w:val="clear" w:color="auto" w:fill="auto"/>
                  <w:vAlign w:val="center"/>
                </w:tcPr>
                <w:p w14:paraId="03898148">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1.7326</w:t>
                  </w:r>
                </w:p>
              </w:tc>
            </w:tr>
            <w:tr w14:paraId="778D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Merge w:val="restart"/>
                  <w:vAlign w:val="center"/>
                </w:tcPr>
                <w:p w14:paraId="16FA286A">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手工焊</w:t>
                  </w:r>
                </w:p>
              </w:tc>
              <w:tc>
                <w:tcPr>
                  <w:tcW w:w="885" w:type="dxa"/>
                  <w:vAlign w:val="center"/>
                </w:tcPr>
                <w:p w14:paraId="67D06DEB">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颗粒物</w:t>
                  </w:r>
                </w:p>
              </w:tc>
              <w:tc>
                <w:tcPr>
                  <w:tcW w:w="870" w:type="dxa"/>
                  <w:vAlign w:val="center"/>
                </w:tcPr>
                <w:p w14:paraId="71937049">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0.00005</w:t>
                  </w:r>
                </w:p>
              </w:tc>
              <w:tc>
                <w:tcPr>
                  <w:tcW w:w="834" w:type="dxa"/>
                  <w:vAlign w:val="center"/>
                </w:tcPr>
                <w:p w14:paraId="266F57EA">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0.00001</w:t>
                  </w:r>
                </w:p>
              </w:tc>
              <w:tc>
                <w:tcPr>
                  <w:tcW w:w="966" w:type="dxa"/>
                  <w:vAlign w:val="center"/>
                </w:tcPr>
                <w:p w14:paraId="7401F543">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0.0052</w:t>
                  </w:r>
                </w:p>
              </w:tc>
              <w:tc>
                <w:tcPr>
                  <w:tcW w:w="1424" w:type="dxa"/>
                  <w:vMerge w:val="restart"/>
                  <w:vAlign w:val="center"/>
                </w:tcPr>
                <w:p w14:paraId="1B45AA73">
                  <w:pPr>
                    <w:spacing w:line="240" w:lineRule="auto"/>
                    <w:jc w:val="center"/>
                    <w:rPr>
                      <w:rFonts w:hint="eastAsia" w:cs="Times New Roman"/>
                      <w:color w:val="auto"/>
                      <w:szCs w:val="21"/>
                      <w:highlight w:val="none"/>
                      <w:vertAlign w:val="baseline"/>
                      <w:lang w:val="en-US" w:eastAsia="zh-CN"/>
                    </w:rPr>
                  </w:pPr>
                  <w:r>
                    <w:rPr>
                      <w:rFonts w:hint="eastAsia" w:cs="Times New Roman"/>
                      <w:color w:val="auto"/>
                      <w:sz w:val="21"/>
                      <w:szCs w:val="21"/>
                      <w:highlight w:val="none"/>
                      <w:lang w:val="en-US" w:eastAsia="zh-CN"/>
                    </w:rPr>
                    <w:t>集气罩</w:t>
                  </w:r>
                  <w:r>
                    <w:rPr>
                      <w:rFonts w:hint="eastAsia" w:cs="Times New Roman"/>
                      <w:color w:val="auto"/>
                      <w:szCs w:val="21"/>
                      <w:highlight w:val="none"/>
                      <w:vertAlign w:val="baseli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vertAlign w:val="baseline"/>
                      <w:lang w:val="en-US" w:eastAsia="zh-CN"/>
                    </w:rPr>
                    <w:t>二级活性炭吸附装置+20m高排气筒</w:t>
                  </w:r>
                </w:p>
              </w:tc>
              <w:tc>
                <w:tcPr>
                  <w:tcW w:w="870" w:type="dxa"/>
                  <w:vMerge w:val="continue"/>
                  <w:vAlign w:val="center"/>
                </w:tcPr>
                <w:p w14:paraId="6096EC66">
                  <w:pPr>
                    <w:spacing w:line="240" w:lineRule="auto"/>
                    <w:jc w:val="center"/>
                    <w:rPr>
                      <w:rFonts w:hint="eastAsia" w:cs="Times New Roman"/>
                      <w:color w:val="auto"/>
                      <w:szCs w:val="21"/>
                      <w:highlight w:val="none"/>
                      <w:vertAlign w:val="baseline"/>
                      <w:lang w:val="en-US" w:eastAsia="zh-CN"/>
                    </w:rPr>
                  </w:pPr>
                </w:p>
              </w:tc>
              <w:tc>
                <w:tcPr>
                  <w:tcW w:w="810" w:type="dxa"/>
                  <w:vAlign w:val="center"/>
                </w:tcPr>
                <w:p w14:paraId="0D786ADB">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80%</w:t>
                  </w:r>
                </w:p>
              </w:tc>
              <w:tc>
                <w:tcPr>
                  <w:tcW w:w="675" w:type="dxa"/>
                  <w:vAlign w:val="center"/>
                </w:tcPr>
                <w:p w14:paraId="0FA59A49">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90%</w:t>
                  </w:r>
                </w:p>
              </w:tc>
              <w:tc>
                <w:tcPr>
                  <w:tcW w:w="705" w:type="dxa"/>
                  <w:vMerge w:val="continue"/>
                  <w:vAlign w:val="center"/>
                </w:tcPr>
                <w:p w14:paraId="246A1DAE">
                  <w:pPr>
                    <w:spacing w:line="240" w:lineRule="auto"/>
                    <w:jc w:val="center"/>
                    <w:rPr>
                      <w:rFonts w:hint="eastAsia" w:cs="Times New Roman"/>
                      <w:color w:val="auto"/>
                      <w:szCs w:val="21"/>
                      <w:highlight w:val="none"/>
                      <w:vertAlign w:val="baseline"/>
                      <w:lang w:val="en-US" w:eastAsia="zh-CN"/>
                    </w:rPr>
                  </w:pPr>
                </w:p>
              </w:tc>
              <w:tc>
                <w:tcPr>
                  <w:tcW w:w="885" w:type="dxa"/>
                  <w:vMerge w:val="continue"/>
                  <w:vAlign w:val="center"/>
                </w:tcPr>
                <w:p w14:paraId="2C0DEAF9">
                  <w:pPr>
                    <w:spacing w:line="240" w:lineRule="auto"/>
                    <w:jc w:val="center"/>
                    <w:rPr>
                      <w:rFonts w:hint="eastAsia" w:cs="Times New Roman"/>
                      <w:color w:val="auto"/>
                      <w:szCs w:val="21"/>
                      <w:highlight w:val="none"/>
                      <w:vertAlign w:val="baseline"/>
                      <w:lang w:val="en-US" w:eastAsia="zh-CN"/>
                    </w:rPr>
                  </w:pPr>
                </w:p>
              </w:tc>
              <w:tc>
                <w:tcPr>
                  <w:tcW w:w="752" w:type="dxa"/>
                  <w:vMerge w:val="continue"/>
                  <w:vAlign w:val="center"/>
                </w:tcPr>
                <w:p w14:paraId="6C551D67">
                  <w:pPr>
                    <w:spacing w:line="240" w:lineRule="auto"/>
                    <w:jc w:val="center"/>
                    <w:rPr>
                      <w:rFonts w:hint="eastAsia" w:cs="Times New Roman"/>
                      <w:color w:val="auto"/>
                      <w:szCs w:val="21"/>
                      <w:highlight w:val="none"/>
                      <w:vertAlign w:val="baseline"/>
                      <w:lang w:val="en-US" w:eastAsia="zh-CN"/>
                    </w:rPr>
                  </w:pPr>
                </w:p>
              </w:tc>
              <w:tc>
                <w:tcPr>
                  <w:tcW w:w="1590" w:type="dxa"/>
                  <w:vMerge w:val="continue"/>
                  <w:vAlign w:val="center"/>
                </w:tcPr>
                <w:p w14:paraId="05E4D664">
                  <w:pPr>
                    <w:spacing w:line="240" w:lineRule="auto"/>
                    <w:jc w:val="center"/>
                    <w:rPr>
                      <w:rFonts w:hint="eastAsia" w:cs="Times New Roman"/>
                      <w:color w:val="auto"/>
                      <w:szCs w:val="21"/>
                      <w:highlight w:val="none"/>
                      <w:vertAlign w:val="baseline"/>
                      <w:lang w:val="en-US" w:eastAsia="zh-CN"/>
                    </w:rPr>
                  </w:pPr>
                </w:p>
              </w:tc>
              <w:tc>
                <w:tcPr>
                  <w:tcW w:w="1020" w:type="dxa"/>
                  <w:shd w:val="clear" w:color="auto" w:fill="auto"/>
                  <w:vAlign w:val="center"/>
                </w:tcPr>
                <w:p w14:paraId="6244D4D5">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0.000004</w:t>
                  </w:r>
                </w:p>
              </w:tc>
              <w:tc>
                <w:tcPr>
                  <w:tcW w:w="1005" w:type="dxa"/>
                  <w:shd w:val="clear" w:color="auto" w:fill="auto"/>
                  <w:vAlign w:val="center"/>
                </w:tcPr>
                <w:p w14:paraId="6F6E7018">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0.000001</w:t>
                  </w:r>
                </w:p>
              </w:tc>
              <w:tc>
                <w:tcPr>
                  <w:tcW w:w="994" w:type="dxa"/>
                  <w:shd w:val="clear" w:color="auto" w:fill="auto"/>
                  <w:vAlign w:val="center"/>
                </w:tcPr>
                <w:p w14:paraId="1E42B721">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0.0004</w:t>
                  </w:r>
                </w:p>
              </w:tc>
            </w:tr>
            <w:tr w14:paraId="14B6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Merge w:val="continue"/>
                  <w:vAlign w:val="center"/>
                </w:tcPr>
                <w:p w14:paraId="04652EEC">
                  <w:pPr>
                    <w:spacing w:line="240" w:lineRule="auto"/>
                    <w:jc w:val="center"/>
                    <w:rPr>
                      <w:color w:val="auto"/>
                    </w:rPr>
                  </w:pPr>
                </w:p>
              </w:tc>
              <w:tc>
                <w:tcPr>
                  <w:tcW w:w="885" w:type="dxa"/>
                  <w:shd w:val="clear" w:color="auto" w:fill="auto"/>
                  <w:vAlign w:val="center"/>
                </w:tcPr>
                <w:p w14:paraId="3D36EB7C">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锡及其化合物</w:t>
                  </w:r>
                </w:p>
              </w:tc>
              <w:tc>
                <w:tcPr>
                  <w:tcW w:w="870" w:type="dxa"/>
                  <w:shd w:val="clear" w:color="auto" w:fill="auto"/>
                  <w:vAlign w:val="center"/>
                </w:tcPr>
                <w:p w14:paraId="64BDBAB4">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0.00005</w:t>
                  </w:r>
                </w:p>
              </w:tc>
              <w:tc>
                <w:tcPr>
                  <w:tcW w:w="834" w:type="dxa"/>
                  <w:shd w:val="clear" w:color="auto" w:fill="auto"/>
                  <w:vAlign w:val="center"/>
                </w:tcPr>
                <w:p w14:paraId="7E96664B">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0.00001</w:t>
                  </w:r>
                </w:p>
              </w:tc>
              <w:tc>
                <w:tcPr>
                  <w:tcW w:w="966" w:type="dxa"/>
                  <w:shd w:val="clear" w:color="auto" w:fill="auto"/>
                  <w:vAlign w:val="center"/>
                </w:tcPr>
                <w:p w14:paraId="7FB201BB">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0.0052</w:t>
                  </w:r>
                </w:p>
              </w:tc>
              <w:tc>
                <w:tcPr>
                  <w:tcW w:w="1424" w:type="dxa"/>
                  <w:vMerge w:val="continue"/>
                  <w:vAlign w:val="center"/>
                </w:tcPr>
                <w:p w14:paraId="0F494E1B">
                  <w:pPr>
                    <w:spacing w:line="240" w:lineRule="auto"/>
                    <w:jc w:val="center"/>
                    <w:rPr>
                      <w:rFonts w:hint="eastAsia" w:cs="Times New Roman"/>
                      <w:color w:val="auto"/>
                      <w:szCs w:val="21"/>
                      <w:highlight w:val="none"/>
                      <w:vertAlign w:val="baseline"/>
                      <w:lang w:val="en-US" w:eastAsia="zh-CN"/>
                    </w:rPr>
                  </w:pPr>
                </w:p>
              </w:tc>
              <w:tc>
                <w:tcPr>
                  <w:tcW w:w="870" w:type="dxa"/>
                  <w:vMerge w:val="continue"/>
                  <w:vAlign w:val="center"/>
                </w:tcPr>
                <w:p w14:paraId="1E9B84B5">
                  <w:pPr>
                    <w:spacing w:line="240" w:lineRule="auto"/>
                    <w:jc w:val="center"/>
                    <w:rPr>
                      <w:rFonts w:hint="eastAsia" w:cs="Times New Roman"/>
                      <w:color w:val="auto"/>
                      <w:szCs w:val="21"/>
                      <w:highlight w:val="none"/>
                      <w:vertAlign w:val="baseline"/>
                      <w:lang w:val="en-US" w:eastAsia="zh-CN"/>
                    </w:rPr>
                  </w:pPr>
                </w:p>
              </w:tc>
              <w:tc>
                <w:tcPr>
                  <w:tcW w:w="810" w:type="dxa"/>
                  <w:shd w:val="clear" w:color="auto" w:fill="auto"/>
                  <w:vAlign w:val="center"/>
                </w:tcPr>
                <w:p w14:paraId="2B241F6F">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80%</w:t>
                  </w:r>
                </w:p>
              </w:tc>
              <w:tc>
                <w:tcPr>
                  <w:tcW w:w="675" w:type="dxa"/>
                  <w:shd w:val="clear" w:color="auto" w:fill="auto"/>
                  <w:vAlign w:val="center"/>
                </w:tcPr>
                <w:p w14:paraId="31532F10">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90%</w:t>
                  </w:r>
                </w:p>
              </w:tc>
              <w:tc>
                <w:tcPr>
                  <w:tcW w:w="705" w:type="dxa"/>
                  <w:vMerge w:val="continue"/>
                  <w:vAlign w:val="center"/>
                </w:tcPr>
                <w:p w14:paraId="557C94EE">
                  <w:pPr>
                    <w:spacing w:line="240" w:lineRule="auto"/>
                    <w:jc w:val="center"/>
                    <w:rPr>
                      <w:rFonts w:hint="eastAsia" w:cs="Times New Roman"/>
                      <w:color w:val="auto"/>
                      <w:szCs w:val="21"/>
                      <w:highlight w:val="none"/>
                      <w:vertAlign w:val="baseline"/>
                      <w:lang w:val="en-US" w:eastAsia="zh-CN"/>
                    </w:rPr>
                  </w:pPr>
                </w:p>
              </w:tc>
              <w:tc>
                <w:tcPr>
                  <w:tcW w:w="885" w:type="dxa"/>
                  <w:vMerge w:val="continue"/>
                  <w:vAlign w:val="center"/>
                </w:tcPr>
                <w:p w14:paraId="165B1CE6">
                  <w:pPr>
                    <w:spacing w:line="240" w:lineRule="auto"/>
                    <w:jc w:val="center"/>
                    <w:rPr>
                      <w:rFonts w:hint="eastAsia" w:cs="Times New Roman"/>
                      <w:color w:val="auto"/>
                      <w:szCs w:val="21"/>
                      <w:highlight w:val="none"/>
                      <w:vertAlign w:val="baseline"/>
                      <w:lang w:val="en-US" w:eastAsia="zh-CN"/>
                    </w:rPr>
                  </w:pPr>
                </w:p>
              </w:tc>
              <w:tc>
                <w:tcPr>
                  <w:tcW w:w="752" w:type="dxa"/>
                  <w:vMerge w:val="continue"/>
                  <w:vAlign w:val="center"/>
                </w:tcPr>
                <w:p w14:paraId="37405C42">
                  <w:pPr>
                    <w:spacing w:line="240" w:lineRule="auto"/>
                    <w:jc w:val="center"/>
                    <w:rPr>
                      <w:rFonts w:hint="eastAsia" w:cs="Times New Roman"/>
                      <w:color w:val="auto"/>
                      <w:szCs w:val="21"/>
                      <w:highlight w:val="none"/>
                      <w:vertAlign w:val="baseline"/>
                      <w:lang w:val="en-US" w:eastAsia="zh-CN"/>
                    </w:rPr>
                  </w:pPr>
                </w:p>
              </w:tc>
              <w:tc>
                <w:tcPr>
                  <w:tcW w:w="1590" w:type="dxa"/>
                  <w:vMerge w:val="continue"/>
                  <w:vAlign w:val="center"/>
                </w:tcPr>
                <w:p w14:paraId="54D5E457">
                  <w:pPr>
                    <w:spacing w:line="240" w:lineRule="auto"/>
                    <w:jc w:val="center"/>
                    <w:rPr>
                      <w:rFonts w:hint="eastAsia" w:cs="Times New Roman"/>
                      <w:color w:val="auto"/>
                      <w:szCs w:val="21"/>
                      <w:highlight w:val="none"/>
                      <w:vertAlign w:val="baseline"/>
                      <w:lang w:val="en-US" w:eastAsia="zh-CN"/>
                    </w:rPr>
                  </w:pPr>
                </w:p>
              </w:tc>
              <w:tc>
                <w:tcPr>
                  <w:tcW w:w="1020" w:type="dxa"/>
                  <w:shd w:val="clear" w:color="auto" w:fill="auto"/>
                  <w:vAlign w:val="center"/>
                </w:tcPr>
                <w:p w14:paraId="3523C796">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0.000004</w:t>
                  </w:r>
                </w:p>
              </w:tc>
              <w:tc>
                <w:tcPr>
                  <w:tcW w:w="1005" w:type="dxa"/>
                  <w:shd w:val="clear" w:color="auto" w:fill="auto"/>
                  <w:vAlign w:val="center"/>
                </w:tcPr>
                <w:p w14:paraId="6DE40641">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0.000001</w:t>
                  </w:r>
                </w:p>
              </w:tc>
              <w:tc>
                <w:tcPr>
                  <w:tcW w:w="994" w:type="dxa"/>
                  <w:shd w:val="clear" w:color="auto" w:fill="auto"/>
                  <w:vAlign w:val="center"/>
                </w:tcPr>
                <w:p w14:paraId="19496C68">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0.0004</w:t>
                  </w:r>
                </w:p>
              </w:tc>
            </w:tr>
            <w:tr w14:paraId="4BF36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Merge w:val="continue"/>
                  <w:vAlign w:val="center"/>
                </w:tcPr>
                <w:p w14:paraId="7652D608">
                  <w:pPr>
                    <w:spacing w:line="240" w:lineRule="auto"/>
                    <w:jc w:val="center"/>
                    <w:rPr>
                      <w:color w:val="auto"/>
                    </w:rPr>
                  </w:pPr>
                </w:p>
              </w:tc>
              <w:tc>
                <w:tcPr>
                  <w:tcW w:w="885" w:type="dxa"/>
                  <w:shd w:val="clear" w:color="auto" w:fill="auto"/>
                  <w:vAlign w:val="center"/>
                </w:tcPr>
                <w:p w14:paraId="30E190BA">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非甲烷总烃</w:t>
                  </w:r>
                </w:p>
              </w:tc>
              <w:tc>
                <w:tcPr>
                  <w:tcW w:w="870" w:type="dxa"/>
                  <w:shd w:val="clear" w:color="auto" w:fill="auto"/>
                  <w:vAlign w:val="center"/>
                </w:tcPr>
                <w:p w14:paraId="35CB638A">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0.000004</w:t>
                  </w:r>
                </w:p>
              </w:tc>
              <w:tc>
                <w:tcPr>
                  <w:tcW w:w="834" w:type="dxa"/>
                  <w:shd w:val="clear" w:color="auto" w:fill="auto"/>
                  <w:vAlign w:val="center"/>
                </w:tcPr>
                <w:p w14:paraId="396A7D10">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0.000007</w:t>
                  </w:r>
                </w:p>
              </w:tc>
              <w:tc>
                <w:tcPr>
                  <w:tcW w:w="966" w:type="dxa"/>
                  <w:shd w:val="clear" w:color="auto" w:fill="auto"/>
                  <w:vAlign w:val="center"/>
                </w:tcPr>
                <w:p w14:paraId="6FC27760">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0.0004</w:t>
                  </w:r>
                </w:p>
              </w:tc>
              <w:tc>
                <w:tcPr>
                  <w:tcW w:w="1424" w:type="dxa"/>
                  <w:vMerge w:val="continue"/>
                  <w:vAlign w:val="center"/>
                </w:tcPr>
                <w:p w14:paraId="7E2E99B9">
                  <w:pPr>
                    <w:spacing w:line="240" w:lineRule="auto"/>
                    <w:jc w:val="center"/>
                    <w:rPr>
                      <w:rFonts w:hint="eastAsia" w:cs="Times New Roman"/>
                      <w:color w:val="auto"/>
                      <w:szCs w:val="21"/>
                      <w:highlight w:val="none"/>
                      <w:vertAlign w:val="baseline"/>
                      <w:lang w:val="en-US" w:eastAsia="zh-CN"/>
                    </w:rPr>
                  </w:pPr>
                </w:p>
              </w:tc>
              <w:tc>
                <w:tcPr>
                  <w:tcW w:w="870" w:type="dxa"/>
                  <w:vMerge w:val="continue"/>
                  <w:vAlign w:val="center"/>
                </w:tcPr>
                <w:p w14:paraId="3BB120B4">
                  <w:pPr>
                    <w:spacing w:line="240" w:lineRule="auto"/>
                    <w:jc w:val="center"/>
                    <w:rPr>
                      <w:rFonts w:hint="eastAsia" w:cs="Times New Roman"/>
                      <w:color w:val="auto"/>
                      <w:szCs w:val="21"/>
                      <w:highlight w:val="none"/>
                      <w:vertAlign w:val="baseline"/>
                      <w:lang w:val="en-US" w:eastAsia="zh-CN"/>
                    </w:rPr>
                  </w:pPr>
                </w:p>
              </w:tc>
              <w:tc>
                <w:tcPr>
                  <w:tcW w:w="810" w:type="dxa"/>
                  <w:shd w:val="clear" w:color="auto" w:fill="auto"/>
                  <w:vAlign w:val="center"/>
                </w:tcPr>
                <w:p w14:paraId="648EBF4D">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80%</w:t>
                  </w:r>
                </w:p>
              </w:tc>
              <w:tc>
                <w:tcPr>
                  <w:tcW w:w="675" w:type="dxa"/>
                  <w:shd w:val="clear" w:color="auto" w:fill="auto"/>
                  <w:vAlign w:val="center"/>
                </w:tcPr>
                <w:p w14:paraId="39028DE9">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90%</w:t>
                  </w:r>
                </w:p>
              </w:tc>
              <w:tc>
                <w:tcPr>
                  <w:tcW w:w="705" w:type="dxa"/>
                  <w:vMerge w:val="continue"/>
                  <w:vAlign w:val="center"/>
                </w:tcPr>
                <w:p w14:paraId="0E24218E">
                  <w:pPr>
                    <w:spacing w:line="240" w:lineRule="auto"/>
                    <w:jc w:val="center"/>
                    <w:rPr>
                      <w:rFonts w:hint="eastAsia" w:cs="Times New Roman"/>
                      <w:color w:val="auto"/>
                      <w:szCs w:val="21"/>
                      <w:highlight w:val="none"/>
                      <w:vertAlign w:val="baseline"/>
                      <w:lang w:val="en-US" w:eastAsia="zh-CN"/>
                    </w:rPr>
                  </w:pPr>
                </w:p>
              </w:tc>
              <w:tc>
                <w:tcPr>
                  <w:tcW w:w="885" w:type="dxa"/>
                  <w:vMerge w:val="continue"/>
                  <w:vAlign w:val="center"/>
                </w:tcPr>
                <w:p w14:paraId="350596F3">
                  <w:pPr>
                    <w:spacing w:line="240" w:lineRule="auto"/>
                    <w:jc w:val="center"/>
                    <w:rPr>
                      <w:rFonts w:hint="eastAsia" w:cs="Times New Roman"/>
                      <w:color w:val="auto"/>
                      <w:szCs w:val="21"/>
                      <w:highlight w:val="none"/>
                      <w:vertAlign w:val="baseline"/>
                      <w:lang w:val="en-US" w:eastAsia="zh-CN"/>
                    </w:rPr>
                  </w:pPr>
                </w:p>
              </w:tc>
              <w:tc>
                <w:tcPr>
                  <w:tcW w:w="752" w:type="dxa"/>
                  <w:vMerge w:val="continue"/>
                  <w:vAlign w:val="center"/>
                </w:tcPr>
                <w:p w14:paraId="0DBCDA7E">
                  <w:pPr>
                    <w:spacing w:line="240" w:lineRule="auto"/>
                    <w:jc w:val="center"/>
                    <w:rPr>
                      <w:rFonts w:hint="eastAsia" w:cs="Times New Roman"/>
                      <w:color w:val="auto"/>
                      <w:szCs w:val="21"/>
                      <w:highlight w:val="none"/>
                      <w:vertAlign w:val="baseline"/>
                      <w:lang w:val="en-US" w:eastAsia="zh-CN"/>
                    </w:rPr>
                  </w:pPr>
                </w:p>
              </w:tc>
              <w:tc>
                <w:tcPr>
                  <w:tcW w:w="1590" w:type="dxa"/>
                  <w:vMerge w:val="continue"/>
                  <w:vAlign w:val="center"/>
                </w:tcPr>
                <w:p w14:paraId="54E9DEEB">
                  <w:pPr>
                    <w:spacing w:line="240" w:lineRule="auto"/>
                    <w:jc w:val="center"/>
                    <w:rPr>
                      <w:rFonts w:hint="eastAsia" w:cs="Times New Roman"/>
                      <w:color w:val="auto"/>
                      <w:szCs w:val="21"/>
                      <w:highlight w:val="none"/>
                      <w:vertAlign w:val="baseline"/>
                      <w:lang w:val="en-US" w:eastAsia="zh-CN"/>
                    </w:rPr>
                  </w:pPr>
                </w:p>
              </w:tc>
              <w:tc>
                <w:tcPr>
                  <w:tcW w:w="1020" w:type="dxa"/>
                  <w:shd w:val="clear" w:color="auto" w:fill="auto"/>
                  <w:vAlign w:val="center"/>
                </w:tcPr>
                <w:p w14:paraId="2593D286">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0.0000003</w:t>
                  </w:r>
                </w:p>
              </w:tc>
              <w:tc>
                <w:tcPr>
                  <w:tcW w:w="1005" w:type="dxa"/>
                  <w:shd w:val="clear" w:color="auto" w:fill="auto"/>
                  <w:vAlign w:val="center"/>
                </w:tcPr>
                <w:p w14:paraId="0289638B">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0.0000001</w:t>
                  </w:r>
                </w:p>
              </w:tc>
              <w:tc>
                <w:tcPr>
                  <w:tcW w:w="994" w:type="dxa"/>
                  <w:shd w:val="clear" w:color="auto" w:fill="auto"/>
                  <w:vAlign w:val="center"/>
                </w:tcPr>
                <w:p w14:paraId="4F37967D">
                  <w:pPr>
                    <w:spacing w:line="240" w:lineRule="auto"/>
                    <w:jc w:val="center"/>
                    <w:rPr>
                      <w:rFonts w:hint="default"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0.00003</w:t>
                  </w:r>
                </w:p>
              </w:tc>
            </w:tr>
            <w:tr w14:paraId="7B0D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645" w:type="dxa"/>
                  <w:vMerge w:val="restart"/>
                  <w:vAlign w:val="center"/>
                </w:tcPr>
                <w:p w14:paraId="657382F7">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合计</w:t>
                  </w:r>
                </w:p>
              </w:tc>
              <w:tc>
                <w:tcPr>
                  <w:tcW w:w="11266" w:type="dxa"/>
                  <w:gridSpan w:val="12"/>
                  <w:shd w:val="clear" w:color="auto" w:fill="auto"/>
                  <w:vAlign w:val="center"/>
                </w:tcPr>
                <w:p w14:paraId="4F3EB022">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非甲烷总烃</w:t>
                  </w:r>
                </w:p>
              </w:tc>
              <w:tc>
                <w:tcPr>
                  <w:tcW w:w="1020" w:type="dxa"/>
                  <w:shd w:val="clear" w:color="auto" w:fill="auto"/>
                  <w:vAlign w:val="center"/>
                </w:tcPr>
                <w:p w14:paraId="1EA6E122">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0.1609</w:t>
                  </w:r>
                </w:p>
              </w:tc>
              <w:tc>
                <w:tcPr>
                  <w:tcW w:w="1005" w:type="dxa"/>
                  <w:shd w:val="clear" w:color="auto" w:fill="auto"/>
                  <w:vAlign w:val="center"/>
                </w:tcPr>
                <w:p w14:paraId="66C9E2AE">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0.1325</w:t>
                  </w:r>
                </w:p>
              </w:tc>
              <w:tc>
                <w:tcPr>
                  <w:tcW w:w="994" w:type="dxa"/>
                  <w:shd w:val="clear" w:color="auto" w:fill="auto"/>
                  <w:vAlign w:val="center"/>
                </w:tcPr>
                <w:p w14:paraId="67AE1161">
                  <w:pPr>
                    <w:spacing w:line="240" w:lineRule="auto"/>
                    <w:jc w:val="center"/>
                    <w:rPr>
                      <w:rFonts w:hint="default"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7.2999</w:t>
                  </w:r>
                </w:p>
              </w:tc>
            </w:tr>
            <w:tr w14:paraId="1A16B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Merge w:val="continue"/>
                  <w:vAlign w:val="center"/>
                </w:tcPr>
                <w:p w14:paraId="42A5EFCD">
                  <w:pPr>
                    <w:spacing w:line="240" w:lineRule="auto"/>
                    <w:jc w:val="center"/>
                    <w:rPr>
                      <w:rFonts w:hint="eastAsia" w:cs="Times New Roman"/>
                      <w:color w:val="auto"/>
                      <w:szCs w:val="21"/>
                      <w:highlight w:val="none"/>
                      <w:vertAlign w:val="baseline"/>
                      <w:lang w:val="en-US" w:eastAsia="zh-CN"/>
                    </w:rPr>
                  </w:pPr>
                </w:p>
              </w:tc>
              <w:tc>
                <w:tcPr>
                  <w:tcW w:w="11266" w:type="dxa"/>
                  <w:gridSpan w:val="12"/>
                  <w:shd w:val="clear" w:color="auto" w:fill="auto"/>
                  <w:vAlign w:val="center"/>
                </w:tcPr>
                <w:p w14:paraId="015E954C">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颗粒物</w:t>
                  </w:r>
                </w:p>
              </w:tc>
              <w:tc>
                <w:tcPr>
                  <w:tcW w:w="1020" w:type="dxa"/>
                  <w:shd w:val="clear" w:color="auto" w:fill="auto"/>
                  <w:vAlign w:val="center"/>
                </w:tcPr>
                <w:p w14:paraId="1B248798">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0.0004</w:t>
                  </w:r>
                </w:p>
              </w:tc>
              <w:tc>
                <w:tcPr>
                  <w:tcW w:w="1005" w:type="dxa"/>
                  <w:shd w:val="clear" w:color="auto" w:fill="auto"/>
                  <w:vAlign w:val="center"/>
                </w:tcPr>
                <w:p w14:paraId="77FDAA3E">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0.00001</w:t>
                  </w:r>
                </w:p>
              </w:tc>
              <w:tc>
                <w:tcPr>
                  <w:tcW w:w="994" w:type="dxa"/>
                  <w:shd w:val="clear" w:color="auto" w:fill="auto"/>
                  <w:vAlign w:val="center"/>
                </w:tcPr>
                <w:p w14:paraId="0A7F4A73">
                  <w:pPr>
                    <w:spacing w:line="240" w:lineRule="auto"/>
                    <w:jc w:val="center"/>
                    <w:rPr>
                      <w:rFonts w:hint="default"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0.0050</w:t>
                  </w:r>
                </w:p>
              </w:tc>
            </w:tr>
            <w:tr w14:paraId="530B8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5" w:type="dxa"/>
                  <w:vMerge w:val="continue"/>
                  <w:vAlign w:val="center"/>
                </w:tcPr>
                <w:p w14:paraId="3EECE845">
                  <w:pPr>
                    <w:spacing w:line="240" w:lineRule="auto"/>
                    <w:jc w:val="center"/>
                    <w:rPr>
                      <w:rFonts w:hint="eastAsia" w:cs="Times New Roman"/>
                      <w:color w:val="auto"/>
                      <w:szCs w:val="21"/>
                      <w:highlight w:val="none"/>
                      <w:vertAlign w:val="baseline"/>
                      <w:lang w:val="en-US" w:eastAsia="zh-CN"/>
                    </w:rPr>
                  </w:pPr>
                </w:p>
              </w:tc>
              <w:tc>
                <w:tcPr>
                  <w:tcW w:w="11266" w:type="dxa"/>
                  <w:gridSpan w:val="12"/>
                  <w:shd w:val="clear" w:color="auto" w:fill="auto"/>
                  <w:vAlign w:val="center"/>
                </w:tcPr>
                <w:p w14:paraId="6FE3D5BA">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锡及其化合物</w:t>
                  </w:r>
                </w:p>
              </w:tc>
              <w:tc>
                <w:tcPr>
                  <w:tcW w:w="1020" w:type="dxa"/>
                  <w:shd w:val="clear" w:color="auto" w:fill="auto"/>
                  <w:vAlign w:val="center"/>
                </w:tcPr>
                <w:p w14:paraId="3CB1E620">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Cs w:val="21"/>
                      <w:highlight w:val="none"/>
                      <w:vertAlign w:val="baseline"/>
                      <w:lang w:val="en-US" w:eastAsia="zh-CN"/>
                    </w:rPr>
                    <w:t>0.0004</w:t>
                  </w:r>
                </w:p>
              </w:tc>
              <w:tc>
                <w:tcPr>
                  <w:tcW w:w="1005" w:type="dxa"/>
                  <w:shd w:val="clear" w:color="auto" w:fill="auto"/>
                  <w:vAlign w:val="center"/>
                </w:tcPr>
                <w:p w14:paraId="4DFEB48E">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0.00001</w:t>
                  </w:r>
                </w:p>
              </w:tc>
              <w:tc>
                <w:tcPr>
                  <w:tcW w:w="994" w:type="dxa"/>
                  <w:shd w:val="clear" w:color="auto" w:fill="auto"/>
                  <w:vAlign w:val="center"/>
                </w:tcPr>
                <w:p w14:paraId="1EBCC168">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0.0050</w:t>
                  </w:r>
                </w:p>
              </w:tc>
            </w:tr>
          </w:tbl>
          <w:p w14:paraId="35701806">
            <w:pPr>
              <w:pStyle w:val="49"/>
              <w:ind w:left="0" w:leftChars="0" w:firstLine="602" w:firstLineChars="200"/>
              <w:jc w:val="left"/>
              <w:outlineLvl w:val="9"/>
              <w:rPr>
                <w:rFonts w:hint="default" w:ascii="Times New Roman" w:hAnsi="Times New Roman" w:eastAsia="黑体" w:cs="Times New Roman"/>
                <w:b/>
                <w:bCs/>
                <w:color w:val="auto"/>
                <w:kern w:val="44"/>
                <w:sz w:val="30"/>
                <w:szCs w:val="30"/>
                <w:highlight w:val="none"/>
                <w:lang w:val="en-US" w:eastAsia="zh-CN" w:bidi="ar-SA"/>
              </w:rPr>
            </w:pPr>
          </w:p>
        </w:tc>
      </w:tr>
    </w:tbl>
    <w:p w14:paraId="050FBED2">
      <w:pPr>
        <w:adjustRightInd w:val="0"/>
        <w:snapToGrid w:val="0"/>
        <w:jc w:val="center"/>
        <w:rPr>
          <w:rFonts w:hint="default" w:ascii="Times New Roman" w:hAnsi="Times New Roman" w:cs="Times New Roman"/>
          <w:bCs/>
          <w:color w:val="auto"/>
          <w:szCs w:val="21"/>
          <w:highlight w:val="none"/>
        </w:rPr>
        <w:sectPr>
          <w:pgSz w:w="16838" w:h="11906" w:orient="landscape"/>
          <w:pgMar w:top="1531" w:right="1701" w:bottom="1531" w:left="1701" w:header="851" w:footer="851" w:gutter="0"/>
          <w:cols w:space="720" w:num="1"/>
          <w:docGrid w:linePitch="312" w:charSpace="0"/>
        </w:sectPr>
      </w:pPr>
    </w:p>
    <w:tbl>
      <w:tblPr>
        <w:tblStyle w:val="22"/>
        <w:tblW w:w="89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41"/>
      </w:tblGrid>
      <w:tr w14:paraId="78D3DD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8" w:type="dxa"/>
            <w:noWrap w:val="0"/>
            <w:tcMar>
              <w:left w:w="28" w:type="dxa"/>
              <w:right w:w="28" w:type="dxa"/>
            </w:tcMar>
            <w:vAlign w:val="center"/>
          </w:tcPr>
          <w:p w14:paraId="0C3B7943">
            <w:pPr>
              <w:adjustRightInd w:val="0"/>
              <w:snapToGrid w:val="0"/>
              <w:jc w:val="center"/>
              <w:rPr>
                <w:rFonts w:hint="default" w:ascii="Times New Roman" w:hAnsi="Times New Roman" w:cs="Times New Roman"/>
                <w:bCs/>
                <w:color w:val="auto"/>
                <w:sz w:val="24"/>
                <w:szCs w:val="24"/>
                <w:highlight w:val="none"/>
              </w:rPr>
            </w:pPr>
          </w:p>
        </w:tc>
        <w:tc>
          <w:tcPr>
            <w:tcW w:w="8141" w:type="dxa"/>
            <w:noWrap w:val="0"/>
            <w:vAlign w:val="center"/>
          </w:tcPr>
          <w:p w14:paraId="321C0EA2">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4-4  项目无组织废气产排情况一览表</w:t>
            </w:r>
          </w:p>
          <w:tbl>
            <w:tblPr>
              <w:tblStyle w:val="23"/>
              <w:tblW w:w="7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1290"/>
              <w:gridCol w:w="1554"/>
              <w:gridCol w:w="1161"/>
              <w:gridCol w:w="1530"/>
              <w:gridCol w:w="1515"/>
            </w:tblGrid>
            <w:tr w14:paraId="0DB5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Merge w:val="restart"/>
                  <w:vAlign w:val="center"/>
                </w:tcPr>
                <w:p w14:paraId="6EEF3B2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序号</w:t>
                  </w:r>
                </w:p>
              </w:tc>
              <w:tc>
                <w:tcPr>
                  <w:tcW w:w="1290" w:type="dxa"/>
                  <w:vMerge w:val="restart"/>
                  <w:vAlign w:val="center"/>
                </w:tcPr>
                <w:p w14:paraId="47B3764B">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污染源</w:t>
                  </w:r>
                </w:p>
              </w:tc>
              <w:tc>
                <w:tcPr>
                  <w:tcW w:w="1554" w:type="dxa"/>
                  <w:vMerge w:val="restart"/>
                  <w:vAlign w:val="center"/>
                </w:tcPr>
                <w:p w14:paraId="64198FF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污染物名称</w:t>
                  </w:r>
                </w:p>
              </w:tc>
              <w:tc>
                <w:tcPr>
                  <w:tcW w:w="1161" w:type="dxa"/>
                  <w:vMerge w:val="restart"/>
                  <w:vAlign w:val="center"/>
                </w:tcPr>
                <w:p w14:paraId="72481403">
                  <w:pPr>
                    <w:spacing w:line="240" w:lineRule="auto"/>
                    <w:jc w:val="center"/>
                    <w:rPr>
                      <w:rFonts w:hint="default" w:ascii="Times New Roman" w:hAnsi="Times New Roman" w:eastAsia="宋体"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产生量</w:t>
                  </w:r>
                  <w:r>
                    <w:rPr>
                      <w:rFonts w:hint="eastAsia" w:ascii="Times New Roman" w:hAnsi="Times New Roman" w:eastAsia="宋体" w:cs="Times New Roman"/>
                      <w:b/>
                      <w:bCs/>
                      <w:color w:val="auto"/>
                      <w:sz w:val="21"/>
                      <w:szCs w:val="21"/>
                      <w:highlight w:val="none"/>
                      <w:vertAlign w:val="baseline"/>
                      <w:lang w:val="en-US" w:eastAsia="zh-CN"/>
                    </w:rPr>
                    <w:t>（t/a）</w:t>
                  </w:r>
                </w:p>
              </w:tc>
              <w:tc>
                <w:tcPr>
                  <w:tcW w:w="3045" w:type="dxa"/>
                  <w:gridSpan w:val="2"/>
                  <w:vAlign w:val="center"/>
                </w:tcPr>
                <w:p w14:paraId="66C373A2">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排放情况</w:t>
                  </w:r>
                </w:p>
              </w:tc>
            </w:tr>
            <w:tr w14:paraId="2C40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Merge w:val="continue"/>
                  <w:vAlign w:val="center"/>
                </w:tcPr>
                <w:p w14:paraId="53F28ABC">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290" w:type="dxa"/>
                  <w:vMerge w:val="continue"/>
                  <w:vAlign w:val="center"/>
                </w:tcPr>
                <w:p w14:paraId="140207D0">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554" w:type="dxa"/>
                  <w:vMerge w:val="continue"/>
                  <w:vAlign w:val="center"/>
                </w:tcPr>
                <w:p w14:paraId="5B9D36B8">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161" w:type="dxa"/>
                  <w:vMerge w:val="continue"/>
                  <w:vAlign w:val="center"/>
                </w:tcPr>
                <w:p w14:paraId="6BDC6369">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530" w:type="dxa"/>
                  <w:vAlign w:val="center"/>
                </w:tcPr>
                <w:p w14:paraId="4A76B5B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排放量（t/a）</w:t>
                  </w:r>
                </w:p>
              </w:tc>
              <w:tc>
                <w:tcPr>
                  <w:tcW w:w="1515" w:type="dxa"/>
                  <w:vAlign w:val="center"/>
                </w:tcPr>
                <w:p w14:paraId="05695C8D">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速率(kg/h)</w:t>
                  </w:r>
                </w:p>
              </w:tc>
            </w:tr>
            <w:tr w14:paraId="6920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Align w:val="center"/>
                </w:tcPr>
                <w:p w14:paraId="7FB459D0">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1</w:t>
                  </w:r>
                </w:p>
              </w:tc>
              <w:tc>
                <w:tcPr>
                  <w:tcW w:w="1290" w:type="dxa"/>
                  <w:vAlign w:val="center"/>
                </w:tcPr>
                <w:p w14:paraId="19B2ED76">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锡膏印刷</w:t>
                  </w:r>
                </w:p>
              </w:tc>
              <w:tc>
                <w:tcPr>
                  <w:tcW w:w="1554" w:type="dxa"/>
                  <w:vAlign w:val="center"/>
                </w:tcPr>
                <w:p w14:paraId="7483CFAC">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61" w:type="dxa"/>
                  <w:vAlign w:val="center"/>
                </w:tcPr>
                <w:p w14:paraId="15647A54">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0.0027</w:t>
                  </w:r>
                </w:p>
              </w:tc>
              <w:tc>
                <w:tcPr>
                  <w:tcW w:w="1530" w:type="dxa"/>
                  <w:shd w:val="clear" w:color="auto" w:fill="auto"/>
                  <w:vAlign w:val="center"/>
                </w:tcPr>
                <w:p w14:paraId="6F6802FF">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0.0027</w:t>
                  </w:r>
                </w:p>
              </w:tc>
              <w:tc>
                <w:tcPr>
                  <w:tcW w:w="1515" w:type="dxa"/>
                  <w:shd w:val="clear" w:color="auto" w:fill="auto"/>
                  <w:vAlign w:val="center"/>
                </w:tcPr>
                <w:p w14:paraId="53718F71">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0.0006</w:t>
                  </w:r>
                </w:p>
              </w:tc>
            </w:tr>
            <w:tr w14:paraId="14FB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Align w:val="center"/>
                </w:tcPr>
                <w:p w14:paraId="6E013BC6">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p>
              </w:tc>
              <w:tc>
                <w:tcPr>
                  <w:tcW w:w="1290" w:type="dxa"/>
                  <w:vAlign w:val="center"/>
                </w:tcPr>
                <w:p w14:paraId="3CE9F85D">
                  <w:pPr>
                    <w:spacing w:line="240" w:lineRule="auto"/>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钢网擦拭</w:t>
                  </w:r>
                </w:p>
              </w:tc>
              <w:tc>
                <w:tcPr>
                  <w:tcW w:w="1554" w:type="dxa"/>
                  <w:vAlign w:val="center"/>
                </w:tcPr>
                <w:p w14:paraId="329408E7">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61" w:type="dxa"/>
                  <w:vAlign w:val="center"/>
                </w:tcPr>
                <w:p w14:paraId="2E9C7AAF">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0.0666</w:t>
                  </w:r>
                </w:p>
              </w:tc>
              <w:tc>
                <w:tcPr>
                  <w:tcW w:w="1530" w:type="dxa"/>
                  <w:shd w:val="clear" w:color="auto" w:fill="auto"/>
                  <w:vAlign w:val="center"/>
                </w:tcPr>
                <w:p w14:paraId="4F861926">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0.0666</w:t>
                  </w:r>
                </w:p>
              </w:tc>
              <w:tc>
                <w:tcPr>
                  <w:tcW w:w="1515" w:type="dxa"/>
                  <w:shd w:val="clear" w:color="auto" w:fill="auto"/>
                  <w:vAlign w:val="center"/>
                </w:tcPr>
                <w:p w14:paraId="49342752">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0.2220</w:t>
                  </w:r>
                </w:p>
              </w:tc>
            </w:tr>
            <w:tr w14:paraId="70EC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Merge w:val="restart"/>
                  <w:vAlign w:val="center"/>
                </w:tcPr>
                <w:p w14:paraId="32F3C605">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290" w:type="dxa"/>
                  <w:vMerge w:val="restart"/>
                  <w:vAlign w:val="center"/>
                </w:tcPr>
                <w:p w14:paraId="56042D45">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手工焊</w:t>
                  </w:r>
                </w:p>
              </w:tc>
              <w:tc>
                <w:tcPr>
                  <w:tcW w:w="1554" w:type="dxa"/>
                  <w:vAlign w:val="center"/>
                </w:tcPr>
                <w:p w14:paraId="3895B9E0">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1161" w:type="dxa"/>
                  <w:vAlign w:val="center"/>
                </w:tcPr>
                <w:p w14:paraId="72ED9801">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0.00001</w:t>
                  </w:r>
                </w:p>
              </w:tc>
              <w:tc>
                <w:tcPr>
                  <w:tcW w:w="1530" w:type="dxa"/>
                  <w:shd w:val="clear" w:color="auto" w:fill="auto"/>
                  <w:vAlign w:val="center"/>
                </w:tcPr>
                <w:p w14:paraId="3FA5A690">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0.00001</w:t>
                  </w:r>
                </w:p>
              </w:tc>
              <w:tc>
                <w:tcPr>
                  <w:tcW w:w="1515" w:type="dxa"/>
                  <w:shd w:val="clear" w:color="auto" w:fill="auto"/>
                  <w:vAlign w:val="center"/>
                </w:tcPr>
                <w:p w14:paraId="3C3C1333">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0.00002</w:t>
                  </w:r>
                </w:p>
              </w:tc>
            </w:tr>
            <w:tr w14:paraId="4A42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673" w:type="dxa"/>
                  <w:vMerge w:val="continue"/>
                  <w:vAlign w:val="center"/>
                </w:tcPr>
                <w:p w14:paraId="59A70497">
                  <w:pPr>
                    <w:spacing w:line="240" w:lineRule="auto"/>
                    <w:jc w:val="center"/>
                    <w:rPr>
                      <w:rFonts w:hint="default" w:cs="Times New Roman"/>
                      <w:color w:val="auto"/>
                      <w:sz w:val="21"/>
                      <w:szCs w:val="21"/>
                      <w:highlight w:val="none"/>
                      <w:vertAlign w:val="baseline"/>
                      <w:lang w:val="en-US" w:eastAsia="zh-CN"/>
                    </w:rPr>
                  </w:pPr>
                </w:p>
              </w:tc>
              <w:tc>
                <w:tcPr>
                  <w:tcW w:w="1290" w:type="dxa"/>
                  <w:vMerge w:val="continue"/>
                  <w:vAlign w:val="center"/>
                </w:tcPr>
                <w:p w14:paraId="653FFF31">
                  <w:pPr>
                    <w:spacing w:line="240" w:lineRule="auto"/>
                    <w:jc w:val="center"/>
                    <w:rPr>
                      <w:rFonts w:hint="eastAsia" w:cs="Times New Roman"/>
                      <w:color w:val="auto"/>
                      <w:sz w:val="21"/>
                      <w:szCs w:val="21"/>
                      <w:highlight w:val="none"/>
                      <w:vertAlign w:val="baseline"/>
                      <w:lang w:val="en-US" w:eastAsia="zh-CN"/>
                    </w:rPr>
                  </w:pPr>
                </w:p>
              </w:tc>
              <w:tc>
                <w:tcPr>
                  <w:tcW w:w="1554" w:type="dxa"/>
                  <w:shd w:val="clear" w:color="auto" w:fill="auto"/>
                  <w:vAlign w:val="center"/>
                </w:tcPr>
                <w:p w14:paraId="11EDF417">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锡及其化合物</w:t>
                  </w:r>
                </w:p>
              </w:tc>
              <w:tc>
                <w:tcPr>
                  <w:tcW w:w="1161" w:type="dxa"/>
                  <w:shd w:val="clear" w:color="auto" w:fill="auto"/>
                  <w:vAlign w:val="center"/>
                </w:tcPr>
                <w:p w14:paraId="2323E2ED">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0.00001</w:t>
                  </w:r>
                </w:p>
              </w:tc>
              <w:tc>
                <w:tcPr>
                  <w:tcW w:w="1530" w:type="dxa"/>
                  <w:shd w:val="clear" w:color="auto" w:fill="auto"/>
                  <w:vAlign w:val="center"/>
                </w:tcPr>
                <w:p w14:paraId="05E7B579">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0.00001</w:t>
                  </w:r>
                </w:p>
              </w:tc>
              <w:tc>
                <w:tcPr>
                  <w:tcW w:w="1515" w:type="dxa"/>
                  <w:shd w:val="clear" w:color="auto" w:fill="auto"/>
                  <w:vAlign w:val="center"/>
                </w:tcPr>
                <w:p w14:paraId="33EF57F3">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0.00002</w:t>
                  </w:r>
                </w:p>
              </w:tc>
            </w:tr>
            <w:tr w14:paraId="3159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73" w:type="dxa"/>
                  <w:vMerge w:val="continue"/>
                  <w:vAlign w:val="center"/>
                </w:tcPr>
                <w:p w14:paraId="5DE644E7">
                  <w:pPr>
                    <w:spacing w:line="240" w:lineRule="auto"/>
                    <w:jc w:val="center"/>
                    <w:rPr>
                      <w:rFonts w:hint="eastAsia" w:cs="Times New Roman"/>
                      <w:color w:val="auto"/>
                      <w:sz w:val="21"/>
                      <w:szCs w:val="21"/>
                      <w:highlight w:val="none"/>
                      <w:vertAlign w:val="baseline"/>
                      <w:lang w:val="en-US" w:eastAsia="zh-CN"/>
                    </w:rPr>
                  </w:pPr>
                </w:p>
              </w:tc>
              <w:tc>
                <w:tcPr>
                  <w:tcW w:w="1290" w:type="dxa"/>
                  <w:vMerge w:val="continue"/>
                  <w:vAlign w:val="center"/>
                </w:tcPr>
                <w:p w14:paraId="70A07578">
                  <w:pPr>
                    <w:spacing w:line="240" w:lineRule="auto"/>
                    <w:jc w:val="center"/>
                    <w:rPr>
                      <w:rFonts w:hint="eastAsia" w:cs="Times New Roman"/>
                      <w:color w:val="auto"/>
                      <w:sz w:val="21"/>
                      <w:szCs w:val="21"/>
                      <w:highlight w:val="none"/>
                      <w:vertAlign w:val="baseline"/>
                      <w:lang w:val="en-US" w:eastAsia="zh-CN"/>
                    </w:rPr>
                  </w:pPr>
                </w:p>
              </w:tc>
              <w:tc>
                <w:tcPr>
                  <w:tcW w:w="1554" w:type="dxa"/>
                  <w:shd w:val="clear" w:color="auto" w:fill="auto"/>
                  <w:vAlign w:val="center"/>
                </w:tcPr>
                <w:p w14:paraId="7AEFE2BA">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1161" w:type="dxa"/>
                  <w:shd w:val="clear" w:color="auto" w:fill="auto"/>
                  <w:vAlign w:val="center"/>
                </w:tcPr>
                <w:p w14:paraId="46FFC651">
                  <w:pPr>
                    <w:spacing w:line="240" w:lineRule="auto"/>
                    <w:jc w:val="center"/>
                    <w:rPr>
                      <w:rFonts w:hint="default"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0.000001</w:t>
                  </w:r>
                </w:p>
              </w:tc>
              <w:tc>
                <w:tcPr>
                  <w:tcW w:w="1530" w:type="dxa"/>
                  <w:shd w:val="clear" w:color="auto" w:fill="auto"/>
                  <w:vAlign w:val="center"/>
                </w:tcPr>
                <w:p w14:paraId="7FE20659">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0.000001</w:t>
                  </w:r>
                </w:p>
              </w:tc>
              <w:tc>
                <w:tcPr>
                  <w:tcW w:w="1515" w:type="dxa"/>
                  <w:shd w:val="clear" w:color="auto" w:fill="auto"/>
                  <w:vAlign w:val="center"/>
                </w:tcPr>
                <w:p w14:paraId="04C627F6">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0.000002</w:t>
                  </w:r>
                </w:p>
              </w:tc>
            </w:tr>
            <w:tr w14:paraId="0C26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963" w:type="dxa"/>
                  <w:gridSpan w:val="2"/>
                  <w:vMerge w:val="restart"/>
                  <w:vAlign w:val="center"/>
                </w:tcPr>
                <w:p w14:paraId="5A8F60FA">
                  <w:pPr>
                    <w:spacing w:line="240" w:lineRule="auto"/>
                    <w:jc w:val="center"/>
                    <w:rPr>
                      <w:rFonts w:hint="default"/>
                      <w:color w:val="auto"/>
                      <w:sz w:val="21"/>
                      <w:szCs w:val="21"/>
                      <w:lang w:val="en-US" w:eastAsia="zh-CN"/>
                    </w:rPr>
                  </w:pPr>
                  <w:r>
                    <w:rPr>
                      <w:rFonts w:hint="eastAsia"/>
                      <w:color w:val="auto"/>
                      <w:sz w:val="21"/>
                      <w:szCs w:val="21"/>
                      <w:lang w:val="en-US" w:eastAsia="zh-CN"/>
                    </w:rPr>
                    <w:t>合计</w:t>
                  </w:r>
                </w:p>
              </w:tc>
              <w:tc>
                <w:tcPr>
                  <w:tcW w:w="2715" w:type="dxa"/>
                  <w:gridSpan w:val="2"/>
                  <w:shd w:val="clear" w:color="auto" w:fill="auto"/>
                  <w:vAlign w:val="center"/>
                </w:tcPr>
                <w:p w14:paraId="0AE1AA2C">
                  <w:pPr>
                    <w:spacing w:line="240" w:lineRule="auto"/>
                    <w:jc w:val="center"/>
                    <w:rPr>
                      <w:rFonts w:hint="eastAsia"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530" w:type="dxa"/>
                  <w:shd w:val="clear" w:color="auto" w:fill="auto"/>
                  <w:vAlign w:val="center"/>
                </w:tcPr>
                <w:p w14:paraId="5BADE771">
                  <w:pPr>
                    <w:spacing w:line="240" w:lineRule="auto"/>
                    <w:jc w:val="center"/>
                    <w:rPr>
                      <w:rFonts w:hint="default"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0.0693</w:t>
                  </w:r>
                </w:p>
              </w:tc>
              <w:tc>
                <w:tcPr>
                  <w:tcW w:w="1515" w:type="dxa"/>
                  <w:shd w:val="clear" w:color="auto" w:fill="auto"/>
                  <w:vAlign w:val="center"/>
                </w:tcPr>
                <w:p w14:paraId="3896BA7E">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0.2226</w:t>
                  </w:r>
                </w:p>
              </w:tc>
            </w:tr>
            <w:tr w14:paraId="04527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963" w:type="dxa"/>
                  <w:gridSpan w:val="2"/>
                  <w:vMerge w:val="continue"/>
                  <w:vAlign w:val="center"/>
                </w:tcPr>
                <w:p w14:paraId="43CC9B5B">
                  <w:pPr>
                    <w:spacing w:line="240" w:lineRule="auto"/>
                    <w:jc w:val="center"/>
                    <w:rPr>
                      <w:rFonts w:hint="eastAsia"/>
                      <w:color w:val="auto"/>
                      <w:sz w:val="21"/>
                      <w:szCs w:val="21"/>
                      <w:lang w:val="en-US" w:eastAsia="zh-CN"/>
                    </w:rPr>
                  </w:pPr>
                </w:p>
              </w:tc>
              <w:tc>
                <w:tcPr>
                  <w:tcW w:w="2715" w:type="dxa"/>
                  <w:gridSpan w:val="2"/>
                  <w:shd w:val="clear" w:color="auto" w:fill="auto"/>
                  <w:vAlign w:val="center"/>
                </w:tcPr>
                <w:p w14:paraId="4311F45F">
                  <w:pPr>
                    <w:spacing w:line="240" w:lineRule="auto"/>
                    <w:jc w:val="center"/>
                    <w:rPr>
                      <w:rFonts w:hint="eastAsia"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颗粒物</w:t>
                  </w:r>
                </w:p>
              </w:tc>
              <w:tc>
                <w:tcPr>
                  <w:tcW w:w="1530" w:type="dxa"/>
                  <w:shd w:val="clear" w:color="auto" w:fill="auto"/>
                  <w:vAlign w:val="center"/>
                </w:tcPr>
                <w:p w14:paraId="43A61772">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0.00001</w:t>
                  </w:r>
                </w:p>
              </w:tc>
              <w:tc>
                <w:tcPr>
                  <w:tcW w:w="1515" w:type="dxa"/>
                  <w:shd w:val="clear" w:color="auto" w:fill="auto"/>
                  <w:vAlign w:val="center"/>
                </w:tcPr>
                <w:p w14:paraId="76AB47ED">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0.00002</w:t>
                  </w:r>
                </w:p>
              </w:tc>
            </w:tr>
            <w:tr w14:paraId="1B70F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963" w:type="dxa"/>
                  <w:gridSpan w:val="2"/>
                  <w:vMerge w:val="continue"/>
                  <w:vAlign w:val="center"/>
                </w:tcPr>
                <w:p w14:paraId="4C2ABF4F">
                  <w:pPr>
                    <w:spacing w:line="240" w:lineRule="auto"/>
                    <w:jc w:val="center"/>
                    <w:rPr>
                      <w:rFonts w:hint="eastAsia"/>
                      <w:color w:val="auto"/>
                      <w:sz w:val="21"/>
                      <w:szCs w:val="21"/>
                      <w:lang w:val="en-US" w:eastAsia="zh-CN"/>
                    </w:rPr>
                  </w:pPr>
                </w:p>
              </w:tc>
              <w:tc>
                <w:tcPr>
                  <w:tcW w:w="2715" w:type="dxa"/>
                  <w:gridSpan w:val="2"/>
                  <w:shd w:val="clear" w:color="auto" w:fill="auto"/>
                  <w:vAlign w:val="center"/>
                </w:tcPr>
                <w:p w14:paraId="4E6D88D9">
                  <w:pPr>
                    <w:spacing w:line="240" w:lineRule="auto"/>
                    <w:jc w:val="center"/>
                    <w:rPr>
                      <w:rFonts w:hint="eastAsia"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锡及其化合物</w:t>
                  </w:r>
                </w:p>
              </w:tc>
              <w:tc>
                <w:tcPr>
                  <w:tcW w:w="1530" w:type="dxa"/>
                  <w:shd w:val="clear" w:color="auto" w:fill="auto"/>
                  <w:vAlign w:val="center"/>
                </w:tcPr>
                <w:p w14:paraId="7D7521E0">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0.00001</w:t>
                  </w:r>
                </w:p>
              </w:tc>
              <w:tc>
                <w:tcPr>
                  <w:tcW w:w="1515" w:type="dxa"/>
                  <w:shd w:val="clear" w:color="auto" w:fill="auto"/>
                  <w:vAlign w:val="center"/>
                </w:tcPr>
                <w:p w14:paraId="36DEC1B3">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0.00002</w:t>
                  </w:r>
                </w:p>
              </w:tc>
            </w:tr>
          </w:tbl>
          <w:p w14:paraId="21AD1981">
            <w:pPr>
              <w:spacing w:line="360" w:lineRule="auto"/>
              <w:rPr>
                <w:rFonts w:hint="default" w:eastAsia="宋体"/>
                <w:b/>
                <w:bCs/>
                <w:sz w:val="24"/>
                <w:szCs w:val="24"/>
                <w:highlight w:val="none"/>
                <w:lang w:val="en-US" w:eastAsia="zh-CN"/>
              </w:rPr>
            </w:pPr>
          </w:p>
          <w:p w14:paraId="7D2C6A05">
            <w:pPr>
              <w:spacing w:line="360" w:lineRule="auto"/>
              <w:jc w:val="both"/>
              <w:rPr>
                <w:rFonts w:hint="eastAsia"/>
                <w:b/>
                <w:bCs/>
                <w:sz w:val="24"/>
                <w:szCs w:val="24"/>
                <w:highlight w:val="none"/>
                <w:lang w:val="en-US" w:eastAsia="zh-CN"/>
              </w:rPr>
            </w:pPr>
            <w:r>
              <w:rPr>
                <w:sz w:val="24"/>
                <w:szCs w:val="24"/>
              </w:rPr>
              <w:drawing>
                <wp:inline distT="0" distB="0" distL="114300" distR="114300">
                  <wp:extent cx="5024755" cy="1501140"/>
                  <wp:effectExtent l="0" t="0" r="4445" b="381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16"/>
                          <a:stretch>
                            <a:fillRect/>
                          </a:stretch>
                        </pic:blipFill>
                        <pic:spPr>
                          <a:xfrm>
                            <a:off x="0" y="0"/>
                            <a:ext cx="5024755" cy="1501140"/>
                          </a:xfrm>
                          <a:prstGeom prst="rect">
                            <a:avLst/>
                          </a:prstGeom>
                          <a:noFill/>
                          <a:ln>
                            <a:noFill/>
                          </a:ln>
                        </pic:spPr>
                      </pic:pic>
                    </a:graphicData>
                  </a:graphic>
                </wp:inline>
              </w:drawing>
            </w:r>
          </w:p>
          <w:p w14:paraId="0BBBDE63">
            <w:pPr>
              <w:spacing w:line="360" w:lineRule="auto"/>
              <w:ind w:firstLine="482" w:firstLineChars="200"/>
              <w:jc w:val="center"/>
              <w:rPr>
                <w:rFonts w:hint="default"/>
                <w:b/>
                <w:bCs/>
                <w:sz w:val="24"/>
                <w:szCs w:val="24"/>
                <w:highlight w:val="none"/>
                <w:lang w:val="en-US" w:eastAsia="zh-CN"/>
              </w:rPr>
            </w:pPr>
            <w:r>
              <w:rPr>
                <w:rFonts w:hint="eastAsia"/>
                <w:b/>
                <w:bCs/>
                <w:sz w:val="24"/>
                <w:szCs w:val="24"/>
                <w:highlight w:val="none"/>
                <w:lang w:val="en-US" w:eastAsia="zh-CN"/>
              </w:rPr>
              <w:t>图4-1  项目废气收集处理图</w:t>
            </w:r>
          </w:p>
          <w:p w14:paraId="0C092296">
            <w:pPr>
              <w:spacing w:line="360" w:lineRule="auto"/>
              <w:ind w:firstLine="482" w:firstLineChars="200"/>
              <w:rPr>
                <w:rFonts w:hint="eastAsia" w:ascii="Times New Roman" w:hAnsi="Times New Roman" w:eastAsia="宋体" w:cs="Times New Roman"/>
                <w:color w:val="auto"/>
                <w:kern w:val="0"/>
                <w:sz w:val="24"/>
                <w:szCs w:val="24"/>
                <w:highlight w:val="none"/>
                <w:lang w:eastAsia="zh-CN"/>
              </w:rPr>
            </w:pPr>
            <w:r>
              <w:rPr>
                <w:rFonts w:hint="eastAsia"/>
                <w:b/>
                <w:bCs/>
                <w:sz w:val="24"/>
                <w:szCs w:val="24"/>
                <w:highlight w:val="none"/>
                <w:lang w:val="en-US" w:eastAsia="zh-CN"/>
              </w:rPr>
              <w:t>（3）</w:t>
            </w:r>
            <w:r>
              <w:rPr>
                <w:rFonts w:hint="eastAsia" w:ascii="Times New Roman" w:hAnsi="Times New Roman" w:eastAsia="宋体" w:cs="Times New Roman"/>
                <w:b/>
                <w:bCs/>
                <w:color w:val="auto"/>
                <w:kern w:val="0"/>
                <w:sz w:val="24"/>
                <w:szCs w:val="24"/>
                <w:highlight w:val="none"/>
                <w:lang w:eastAsia="zh-CN"/>
              </w:rPr>
              <w:t>非正常排放情况</w:t>
            </w:r>
          </w:p>
          <w:p w14:paraId="7F0B39D6">
            <w:pPr>
              <w:spacing w:line="360" w:lineRule="auto"/>
              <w:ind w:firstLine="480" w:firstLineChars="200"/>
              <w:rPr>
                <w:rFonts w:hint="eastAsia"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生产过程中开停车（工、炉）、设备检修、工艺设备运转异常等情况下的污染排放，以及污染物排放控制措施达不到应有效率等情况下的排放。当废气治理措施发生故障时，会导致废气非正常排放。本项目</w:t>
            </w:r>
            <w:r>
              <w:rPr>
                <w:rFonts w:hint="eastAsia" w:cs="Times New Roman"/>
                <w:color w:val="auto"/>
                <w:kern w:val="0"/>
                <w:sz w:val="24"/>
                <w:szCs w:val="24"/>
                <w:highlight w:val="none"/>
                <w:lang w:eastAsia="zh-CN"/>
              </w:rPr>
              <w:t>印刷</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lang w:eastAsia="zh-CN"/>
              </w:rPr>
              <w:t>清洗废气</w:t>
            </w:r>
            <w:r>
              <w:rPr>
                <w:rFonts w:hint="eastAsia" w:cs="Times New Roman"/>
                <w:color w:val="auto"/>
                <w:kern w:val="0"/>
                <w:sz w:val="24"/>
                <w:szCs w:val="24"/>
                <w:highlight w:val="none"/>
                <w:lang w:eastAsia="zh-CN"/>
              </w:rPr>
              <w:t>、焊接废气前端通过</w:t>
            </w:r>
            <w:r>
              <w:rPr>
                <w:rFonts w:hint="eastAsia" w:cs="Times New Roman"/>
                <w:sz w:val="24"/>
                <w:szCs w:val="24"/>
                <w:highlight w:val="none"/>
                <w:lang w:val="en-US" w:eastAsia="zh-CN"/>
              </w:rPr>
              <w:t>集气罩/负压管道收集</w:t>
            </w:r>
            <w:r>
              <w:rPr>
                <w:rFonts w:hint="eastAsia" w:cs="Times New Roman"/>
                <w:color w:val="auto"/>
                <w:kern w:val="0"/>
                <w:sz w:val="24"/>
                <w:szCs w:val="24"/>
                <w:highlight w:val="none"/>
                <w:lang w:eastAsia="zh-CN"/>
              </w:rPr>
              <w:t>，引入</w:t>
            </w:r>
            <w:r>
              <w:rPr>
                <w:rFonts w:hint="eastAsia" w:cs="Times New Roman"/>
                <w:color w:val="auto"/>
                <w:kern w:val="2"/>
                <w:sz w:val="24"/>
                <w:szCs w:val="24"/>
                <w:highlight w:val="none"/>
                <w:lang w:val="en-US" w:eastAsia="zh-CN"/>
              </w:rPr>
              <w:t>干式过滤器+</w:t>
            </w:r>
            <w:r>
              <w:rPr>
                <w:rFonts w:hint="eastAsia" w:cs="Times New Roman"/>
                <w:color w:val="auto"/>
                <w:kern w:val="0"/>
                <w:sz w:val="24"/>
                <w:szCs w:val="24"/>
                <w:highlight w:val="none"/>
                <w:lang w:eastAsia="zh-CN"/>
              </w:rPr>
              <w:t>二级活性炭吸附装置处理，最后通过</w:t>
            </w:r>
            <w:r>
              <w:rPr>
                <w:rFonts w:hint="eastAsia" w:cs="Times New Roman"/>
                <w:color w:val="auto"/>
                <w:kern w:val="0"/>
                <w:sz w:val="24"/>
                <w:szCs w:val="24"/>
                <w:highlight w:val="none"/>
                <w:lang w:val="en-US" w:eastAsia="zh-CN"/>
              </w:rPr>
              <w:t>20</w:t>
            </w:r>
            <w:r>
              <w:rPr>
                <w:rFonts w:hint="eastAsia" w:cs="Times New Roman"/>
                <w:color w:val="auto"/>
                <w:kern w:val="0"/>
                <w:sz w:val="24"/>
                <w:szCs w:val="24"/>
                <w:highlight w:val="none"/>
                <w:lang w:eastAsia="zh-CN"/>
              </w:rPr>
              <w:t>m高排气筒排放。本项目非正常工况分析主要考虑</w:t>
            </w:r>
            <w:r>
              <w:rPr>
                <w:rFonts w:hint="eastAsia" w:cs="Times New Roman"/>
                <w:color w:val="auto"/>
                <w:kern w:val="0"/>
                <w:sz w:val="24"/>
                <w:szCs w:val="24"/>
                <w:highlight w:val="none"/>
                <w:lang w:val="en-US" w:eastAsia="zh-CN"/>
              </w:rPr>
              <w:t>废气处理</w:t>
            </w:r>
            <w:r>
              <w:rPr>
                <w:rFonts w:hint="eastAsia" w:cs="Times New Roman"/>
                <w:color w:val="000000" w:themeColor="text1"/>
                <w:sz w:val="24"/>
                <w:szCs w:val="24"/>
                <w:highlight w:val="none"/>
                <w:lang w:val="en-US" w:eastAsia="zh-CN"/>
                <w14:textFill>
                  <w14:solidFill>
                    <w14:schemeClr w14:val="tx1"/>
                  </w14:solidFill>
                </w14:textFill>
              </w:rPr>
              <w:t>设备</w:t>
            </w:r>
            <w:r>
              <w:rPr>
                <w:rFonts w:hint="eastAsia" w:cs="Times New Roman"/>
                <w:color w:val="auto"/>
                <w:kern w:val="0"/>
                <w:sz w:val="24"/>
                <w:szCs w:val="24"/>
                <w:highlight w:val="none"/>
                <w:lang w:val="en-US" w:eastAsia="zh-CN"/>
              </w:rPr>
              <w:t>发生故障</w:t>
            </w:r>
            <w:r>
              <w:rPr>
                <w:rFonts w:hint="eastAsia" w:cs="Times New Roman"/>
                <w:color w:val="auto"/>
                <w:kern w:val="0"/>
                <w:sz w:val="24"/>
                <w:szCs w:val="24"/>
                <w:highlight w:val="none"/>
                <w:lang w:eastAsia="zh-CN"/>
              </w:rPr>
              <w:t>时，废气治理效率下降，处理效率基本为零的状态，但废气收集系统正常运转的情况进行估算。经计算，在非正常工况下，各污染物有组织排放情况见下表。</w:t>
            </w:r>
          </w:p>
          <w:p w14:paraId="23EA1975">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表4-6  非正常工况下废气污染源强</w:t>
            </w:r>
          </w:p>
          <w:tbl>
            <w:tblPr>
              <w:tblStyle w:val="23"/>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1288"/>
              <w:gridCol w:w="1140"/>
              <w:gridCol w:w="1140"/>
              <w:gridCol w:w="1137"/>
              <w:gridCol w:w="1135"/>
              <w:gridCol w:w="1136"/>
            </w:tblGrid>
            <w:tr w14:paraId="4CA3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4" w:type="dxa"/>
                  <w:vAlign w:val="center"/>
                </w:tcPr>
                <w:p w14:paraId="623E25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污染源</w:t>
                  </w:r>
                </w:p>
              </w:tc>
              <w:tc>
                <w:tcPr>
                  <w:tcW w:w="1288" w:type="dxa"/>
                  <w:vAlign w:val="center"/>
                </w:tcPr>
                <w:p w14:paraId="46EC01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非正常原因</w:t>
                  </w:r>
                </w:p>
              </w:tc>
              <w:tc>
                <w:tcPr>
                  <w:tcW w:w="1140" w:type="dxa"/>
                  <w:vAlign w:val="center"/>
                </w:tcPr>
                <w:p w14:paraId="7B281C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污染源名称</w:t>
                  </w:r>
                </w:p>
              </w:tc>
              <w:tc>
                <w:tcPr>
                  <w:tcW w:w="1140" w:type="dxa"/>
                  <w:vAlign w:val="center"/>
                </w:tcPr>
                <w:p w14:paraId="25CBDB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排放浓度（mg/m</w:t>
                  </w:r>
                  <w:r>
                    <w:rPr>
                      <w:rFonts w:hint="eastAsia" w:cs="Times New Roman"/>
                      <w:b/>
                      <w:bCs/>
                      <w:color w:val="000000" w:themeColor="text1"/>
                      <w:sz w:val="21"/>
                      <w:szCs w:val="21"/>
                      <w:highlight w:val="none"/>
                      <w:vertAlign w:val="superscript"/>
                      <w:lang w:val="en-US" w:eastAsia="zh-CN"/>
                      <w14:textFill>
                        <w14:solidFill>
                          <w14:schemeClr w14:val="tx1"/>
                        </w14:solidFill>
                      </w14:textFill>
                    </w:rPr>
                    <w:t>3</w:t>
                  </w:r>
                  <w:r>
                    <w:rPr>
                      <w:rFonts w:hint="eastAsia" w:cs="Times New Roman"/>
                      <w:b/>
                      <w:bCs/>
                      <w:color w:val="000000" w:themeColor="text1"/>
                      <w:sz w:val="21"/>
                      <w:szCs w:val="21"/>
                      <w:highlight w:val="none"/>
                      <w:lang w:val="en-US" w:eastAsia="zh-CN"/>
                      <w14:textFill>
                        <w14:solidFill>
                          <w14:schemeClr w14:val="tx1"/>
                        </w14:solidFill>
                      </w14:textFill>
                    </w:rPr>
                    <w:t>）</w:t>
                  </w:r>
                </w:p>
              </w:tc>
              <w:tc>
                <w:tcPr>
                  <w:tcW w:w="1137" w:type="dxa"/>
                  <w:vAlign w:val="center"/>
                </w:tcPr>
                <w:p w14:paraId="4267C8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排放速率（kg/h）</w:t>
                  </w:r>
                </w:p>
              </w:tc>
              <w:tc>
                <w:tcPr>
                  <w:tcW w:w="1135" w:type="dxa"/>
                  <w:vAlign w:val="center"/>
                </w:tcPr>
                <w:p w14:paraId="58A6A3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非正常频次</w:t>
                  </w:r>
                </w:p>
              </w:tc>
              <w:tc>
                <w:tcPr>
                  <w:tcW w:w="1136" w:type="dxa"/>
                  <w:vAlign w:val="center"/>
                </w:tcPr>
                <w:p w14:paraId="06970D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持续时间（h）</w:t>
                  </w:r>
                </w:p>
              </w:tc>
            </w:tr>
            <w:tr w14:paraId="2DAC4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4" w:type="dxa"/>
                  <w:vMerge w:val="restart"/>
                  <w:vAlign w:val="center"/>
                </w:tcPr>
                <w:p w14:paraId="4105E0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DA001</w:t>
                  </w:r>
                </w:p>
              </w:tc>
              <w:tc>
                <w:tcPr>
                  <w:tcW w:w="1288" w:type="dxa"/>
                  <w:vMerge w:val="restart"/>
                  <w:vAlign w:val="center"/>
                </w:tcPr>
                <w:p w14:paraId="63EAD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废气处理设备</w:t>
                  </w:r>
                  <w:r>
                    <w:rPr>
                      <w:rFonts w:hint="eastAsia" w:cs="Times New Roman"/>
                      <w:color w:val="auto"/>
                      <w:kern w:val="0"/>
                      <w:sz w:val="21"/>
                      <w:szCs w:val="21"/>
                      <w:highlight w:val="none"/>
                      <w:lang w:val="en-US" w:eastAsia="zh-CN"/>
                    </w:rPr>
                    <w:t>发生故障</w:t>
                  </w:r>
                </w:p>
              </w:tc>
              <w:tc>
                <w:tcPr>
                  <w:tcW w:w="1140" w:type="dxa"/>
                  <w:vAlign w:val="center"/>
                </w:tcPr>
                <w:p w14:paraId="36E74C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非甲烷总烃</w:t>
                  </w:r>
                </w:p>
              </w:tc>
              <w:tc>
                <w:tcPr>
                  <w:tcW w:w="1140" w:type="dxa"/>
                  <w:shd w:val="clear" w:color="auto" w:fill="auto"/>
                  <w:vAlign w:val="center"/>
                </w:tcPr>
                <w:p w14:paraId="689F3FE2">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99.1875</w:t>
                  </w:r>
                </w:p>
              </w:tc>
              <w:tc>
                <w:tcPr>
                  <w:tcW w:w="1137" w:type="dxa"/>
                  <w:shd w:val="clear" w:color="auto" w:fill="auto"/>
                  <w:vAlign w:val="center"/>
                </w:tcPr>
                <w:p w14:paraId="408ABE62">
                  <w:pPr>
                    <w:spacing w:line="240" w:lineRule="auto"/>
                    <w:jc w:val="center"/>
                    <w:rPr>
                      <w:rFonts w:hint="default" w:ascii="Times New Roman" w:hAnsi="Times New Roman" w:eastAsia="宋体" w:cs="Times New Roman"/>
                      <w:kern w:val="2"/>
                      <w:sz w:val="21"/>
                      <w:szCs w:val="21"/>
                      <w:highlight w:val="none"/>
                      <w:lang w:val="en-US" w:eastAsia="zh-CN" w:bidi="ar-SA"/>
                    </w:rPr>
                  </w:pPr>
                  <w:r>
                    <w:rPr>
                      <w:rFonts w:hint="eastAsia" w:cs="Times New Roman"/>
                      <w:kern w:val="2"/>
                      <w:sz w:val="21"/>
                      <w:szCs w:val="21"/>
                      <w:highlight w:val="none"/>
                      <w:lang w:val="en-US" w:eastAsia="zh-CN" w:bidi="ar-SA"/>
                    </w:rPr>
                    <w:t>1.587</w:t>
                  </w:r>
                </w:p>
              </w:tc>
              <w:tc>
                <w:tcPr>
                  <w:tcW w:w="1135" w:type="dxa"/>
                  <w:vMerge w:val="restart"/>
                  <w:vAlign w:val="center"/>
                </w:tcPr>
                <w:p w14:paraId="7FEFD0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w:t>
                  </w:r>
                </w:p>
              </w:tc>
              <w:tc>
                <w:tcPr>
                  <w:tcW w:w="1136" w:type="dxa"/>
                  <w:vMerge w:val="restart"/>
                  <w:vAlign w:val="center"/>
                </w:tcPr>
                <w:p w14:paraId="38ED17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w:t>
                  </w:r>
                </w:p>
              </w:tc>
            </w:tr>
            <w:tr w14:paraId="7BB5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4" w:type="dxa"/>
                  <w:vMerge w:val="continue"/>
                  <w:vAlign w:val="center"/>
                </w:tcPr>
                <w:p w14:paraId="4D47EB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288" w:type="dxa"/>
                  <w:vMerge w:val="continue"/>
                  <w:vAlign w:val="center"/>
                </w:tcPr>
                <w:p w14:paraId="2B7A2D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140" w:type="dxa"/>
                  <w:vAlign w:val="center"/>
                </w:tcPr>
                <w:p w14:paraId="3D3EF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颗粒物</w:t>
                  </w:r>
                </w:p>
              </w:tc>
              <w:tc>
                <w:tcPr>
                  <w:tcW w:w="1140" w:type="dxa"/>
                  <w:shd w:val="clear" w:color="auto" w:fill="auto"/>
                  <w:vAlign w:val="center"/>
                </w:tcPr>
                <w:p w14:paraId="3F715F64">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0.0375</w:t>
                  </w:r>
                </w:p>
              </w:tc>
              <w:tc>
                <w:tcPr>
                  <w:tcW w:w="1137" w:type="dxa"/>
                  <w:shd w:val="clear" w:color="auto" w:fill="auto"/>
                  <w:vAlign w:val="center"/>
                </w:tcPr>
                <w:p w14:paraId="2D2E3D77">
                  <w:pPr>
                    <w:spacing w:line="240" w:lineRule="auto"/>
                    <w:jc w:val="center"/>
                    <w:rPr>
                      <w:rFonts w:hint="default" w:ascii="Times New Roman" w:hAnsi="Times New Roman" w:eastAsia="宋体" w:cs="Times New Roman"/>
                      <w:kern w:val="2"/>
                      <w:sz w:val="21"/>
                      <w:szCs w:val="21"/>
                      <w:highlight w:val="none"/>
                      <w:lang w:val="en-US" w:eastAsia="zh-CN" w:bidi="ar-SA"/>
                    </w:rPr>
                  </w:pPr>
                  <w:r>
                    <w:rPr>
                      <w:rFonts w:hint="eastAsia" w:cs="Times New Roman"/>
                      <w:kern w:val="2"/>
                      <w:sz w:val="21"/>
                      <w:szCs w:val="21"/>
                      <w:highlight w:val="none"/>
                      <w:lang w:val="en-US" w:eastAsia="zh-CN" w:bidi="ar-SA"/>
                    </w:rPr>
                    <w:t>0.0006</w:t>
                  </w:r>
                </w:p>
              </w:tc>
              <w:tc>
                <w:tcPr>
                  <w:tcW w:w="1135" w:type="dxa"/>
                  <w:vMerge w:val="continue"/>
                  <w:vAlign w:val="center"/>
                </w:tcPr>
                <w:p w14:paraId="069B35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136" w:type="dxa"/>
                  <w:vMerge w:val="continue"/>
                  <w:vAlign w:val="center"/>
                </w:tcPr>
                <w:p w14:paraId="462F41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r>
            <w:tr w14:paraId="6CA0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4" w:type="dxa"/>
                  <w:vMerge w:val="continue"/>
                  <w:vAlign w:val="center"/>
                </w:tcPr>
                <w:p w14:paraId="2A58E7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288" w:type="dxa"/>
                  <w:vMerge w:val="continue"/>
                  <w:vAlign w:val="center"/>
                </w:tcPr>
                <w:p w14:paraId="022242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140" w:type="dxa"/>
                  <w:vAlign w:val="center"/>
                </w:tcPr>
                <w:p w14:paraId="3D149D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锡及其化合物</w:t>
                  </w:r>
                </w:p>
              </w:tc>
              <w:tc>
                <w:tcPr>
                  <w:tcW w:w="1140" w:type="dxa"/>
                  <w:shd w:val="clear" w:color="auto" w:fill="auto"/>
                  <w:vAlign w:val="center"/>
                </w:tcPr>
                <w:p w14:paraId="1EA59899">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0.0375</w:t>
                  </w:r>
                </w:p>
              </w:tc>
              <w:tc>
                <w:tcPr>
                  <w:tcW w:w="1137" w:type="dxa"/>
                  <w:shd w:val="clear" w:color="auto" w:fill="auto"/>
                  <w:vAlign w:val="center"/>
                </w:tcPr>
                <w:p w14:paraId="0D0819CA">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0.0006</w:t>
                  </w:r>
                </w:p>
              </w:tc>
              <w:tc>
                <w:tcPr>
                  <w:tcW w:w="1135" w:type="dxa"/>
                  <w:vMerge w:val="continue"/>
                  <w:vAlign w:val="center"/>
                </w:tcPr>
                <w:p w14:paraId="60A6AF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136" w:type="dxa"/>
                  <w:vMerge w:val="continue"/>
                  <w:vAlign w:val="center"/>
                </w:tcPr>
                <w:p w14:paraId="4AF3C9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r>
          </w:tbl>
          <w:p w14:paraId="63FA240C">
            <w:pPr>
              <w:spacing w:line="360" w:lineRule="auto"/>
              <w:ind w:firstLine="480" w:firstLineChars="200"/>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非正常情况下，污染物排放量、排放浓度明显增加，对环境空气影响程度增加。因此，为防止生产废气非正常工况排放，企业必须要加强废气处理设施的管理，定期检修，确保废气处理设施正常运行。为杜绝废气非正常排放，应采取以下措施确保废气达标排放：</w:t>
            </w:r>
          </w:p>
          <w:p w14:paraId="31D51FC3">
            <w:pPr>
              <w:spacing w:line="360" w:lineRule="auto"/>
              <w:ind w:firstLine="480" w:firstLineChars="200"/>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①安排专人负责环保设备的日常维护和管理，每隔固定时间检查、汇报情况，及时发现废气处理设备的隐患，确保废气处理系统正常运行；</w:t>
            </w:r>
          </w:p>
          <w:p w14:paraId="48C8B4AC">
            <w:pPr>
              <w:spacing w:line="360" w:lineRule="auto"/>
              <w:ind w:firstLine="480" w:firstLineChars="200"/>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②建立健全的环保管理机构，对环保管理人员和技术人员进行岗位培训，委托具有专业资质的环境检测单位对项目排放的各类污染物进行定期检测；</w:t>
            </w:r>
          </w:p>
          <w:p w14:paraId="31B7C12E">
            <w:pPr>
              <w:spacing w:line="360" w:lineRule="auto"/>
              <w:ind w:firstLine="480" w:firstLineChars="200"/>
              <w:jc w:val="left"/>
              <w:rPr>
                <w:rFonts w:ascii="宋体" w:hAnsi="宋体" w:eastAsia="宋体" w:cs="宋体"/>
                <w:sz w:val="24"/>
                <w:szCs w:val="24"/>
                <w:highlight w:val="none"/>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③应定期维护、检修废气净化装置，</w:t>
            </w:r>
            <w:r>
              <w:rPr>
                <w:rFonts w:hint="eastAsia" w:cs="Times New Roman"/>
                <w:color w:val="000000" w:themeColor="text1"/>
                <w:sz w:val="24"/>
                <w:szCs w:val="24"/>
                <w:highlight w:val="none"/>
                <w:lang w:val="en-US" w:eastAsia="zh-CN"/>
                <w14:textFill>
                  <w14:solidFill>
                    <w14:schemeClr w14:val="tx1"/>
                  </w14:solidFill>
                </w14:textFill>
              </w:rPr>
              <w:t>定期更换活性炭，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以保持废气处理装置的净化能力和净化容量</w:t>
            </w:r>
            <w:r>
              <w:rPr>
                <w:rFonts w:ascii="宋体" w:hAnsi="宋体" w:eastAsia="宋体" w:cs="宋体"/>
                <w:sz w:val="24"/>
                <w:szCs w:val="24"/>
                <w:highlight w:val="none"/>
              </w:rPr>
              <w:t>。</w:t>
            </w:r>
          </w:p>
          <w:p w14:paraId="228BB584">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表4-7  项目二级活性炭吸附装置相关参数</w:t>
            </w:r>
          </w:p>
          <w:tbl>
            <w:tblPr>
              <w:tblStyle w:val="23"/>
              <w:tblW w:w="7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982"/>
              <w:gridCol w:w="1132"/>
              <w:gridCol w:w="1132"/>
              <w:gridCol w:w="1132"/>
              <w:gridCol w:w="1132"/>
              <w:gridCol w:w="1133"/>
            </w:tblGrid>
            <w:tr w14:paraId="030E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2" w:type="dxa"/>
                  <w:vAlign w:val="center"/>
                </w:tcPr>
                <w:p w14:paraId="2D97F459">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名称</w:t>
                  </w:r>
                </w:p>
              </w:tc>
              <w:tc>
                <w:tcPr>
                  <w:tcW w:w="982" w:type="dxa"/>
                  <w:vAlign w:val="center"/>
                </w:tcPr>
                <w:p w14:paraId="6D495119">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活性炭类型</w:t>
                  </w:r>
                </w:p>
              </w:tc>
              <w:tc>
                <w:tcPr>
                  <w:tcW w:w="1132" w:type="dxa"/>
                  <w:vAlign w:val="center"/>
                </w:tcPr>
                <w:p w14:paraId="29CE799F">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碘值</w:t>
                  </w:r>
                </w:p>
              </w:tc>
              <w:tc>
                <w:tcPr>
                  <w:tcW w:w="1132" w:type="dxa"/>
                  <w:vAlign w:val="center"/>
                </w:tcPr>
                <w:p w14:paraId="4BF2A627">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处理效率</w:t>
                  </w:r>
                </w:p>
              </w:tc>
              <w:tc>
                <w:tcPr>
                  <w:tcW w:w="1132" w:type="dxa"/>
                  <w:vAlign w:val="center"/>
                </w:tcPr>
                <w:p w14:paraId="5387522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填充量</w:t>
                  </w:r>
                </w:p>
              </w:tc>
              <w:tc>
                <w:tcPr>
                  <w:tcW w:w="1132" w:type="dxa"/>
                  <w:vAlign w:val="center"/>
                </w:tcPr>
                <w:p w14:paraId="66AC9ED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更换周期</w:t>
                  </w:r>
                </w:p>
              </w:tc>
              <w:tc>
                <w:tcPr>
                  <w:tcW w:w="1133" w:type="dxa"/>
                  <w:vAlign w:val="center"/>
                </w:tcPr>
                <w:p w14:paraId="4A8E0F1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气体流速</w:t>
                  </w:r>
                </w:p>
              </w:tc>
            </w:tr>
            <w:tr w14:paraId="69B4A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2" w:type="dxa"/>
                  <w:vAlign w:val="center"/>
                </w:tcPr>
                <w:p w14:paraId="5252BAE3">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b w:val="0"/>
                      <w:bCs w:val="0"/>
                      <w:color w:val="auto"/>
                      <w:sz w:val="21"/>
                      <w:szCs w:val="21"/>
                      <w:highlight w:val="none"/>
                      <w:lang w:val="en-US" w:eastAsia="zh-CN"/>
                    </w:rPr>
                    <w:t>二级活性炭吸附装置</w:t>
                  </w:r>
                </w:p>
              </w:tc>
              <w:tc>
                <w:tcPr>
                  <w:tcW w:w="982" w:type="dxa"/>
                  <w:vAlign w:val="center"/>
                </w:tcPr>
                <w:p w14:paraId="74B942EE">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蜂窝状活性炭</w:t>
                  </w:r>
                </w:p>
              </w:tc>
              <w:tc>
                <w:tcPr>
                  <w:tcW w:w="1132" w:type="dxa"/>
                  <w:vAlign w:val="center"/>
                </w:tcPr>
                <w:p w14:paraId="16316AB4">
                  <w:pPr>
                    <w:keepNext w:val="0"/>
                    <w:keepLines w:val="0"/>
                    <w:widowControl/>
                    <w:suppressLineNumbers w:val="0"/>
                    <w:jc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eastAsia="宋体" w:cs="Times New Roman"/>
                      <w:color w:val="000000"/>
                      <w:kern w:val="0"/>
                      <w:sz w:val="21"/>
                      <w:szCs w:val="21"/>
                      <w:highlight w:val="none"/>
                      <w:lang w:val="en-US" w:eastAsia="zh-CN" w:bidi="ar"/>
                    </w:rPr>
                    <w:t>800mg/g</w:t>
                  </w:r>
                </w:p>
              </w:tc>
              <w:tc>
                <w:tcPr>
                  <w:tcW w:w="1132" w:type="dxa"/>
                  <w:vAlign w:val="center"/>
                </w:tcPr>
                <w:p w14:paraId="590D59EA">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90%</w:t>
                  </w:r>
                </w:p>
              </w:tc>
              <w:tc>
                <w:tcPr>
                  <w:tcW w:w="1132" w:type="dxa"/>
                  <w:vAlign w:val="center"/>
                </w:tcPr>
                <w:p w14:paraId="10C324B0">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1.21-1.22t</w:t>
                  </w:r>
                </w:p>
              </w:tc>
              <w:tc>
                <w:tcPr>
                  <w:tcW w:w="1132" w:type="dxa"/>
                  <w:vAlign w:val="center"/>
                </w:tcPr>
                <w:p w14:paraId="15FD9726">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3个月</w:t>
                  </w:r>
                </w:p>
              </w:tc>
              <w:tc>
                <w:tcPr>
                  <w:tcW w:w="1133" w:type="dxa"/>
                  <w:vAlign w:val="center"/>
                </w:tcPr>
                <w:p w14:paraId="0C27E914">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&lt;1.2m/s</w:t>
                  </w:r>
                </w:p>
              </w:tc>
            </w:tr>
          </w:tbl>
          <w:p w14:paraId="3D80E2E5">
            <w:pPr>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w:t>
            </w:r>
            <w:r>
              <w:rPr>
                <w:rFonts w:hint="eastAsia" w:cs="Times New Roman"/>
                <w:b/>
                <w:bCs/>
                <w:color w:val="auto"/>
                <w:kern w:val="0"/>
                <w:sz w:val="24"/>
                <w:szCs w:val="24"/>
                <w:highlight w:val="none"/>
                <w:lang w:val="en-US" w:eastAsia="zh-CN"/>
              </w:rPr>
              <w:t>4</w:t>
            </w:r>
            <w:r>
              <w:rPr>
                <w:rFonts w:hint="eastAsia" w:ascii="Times New Roman" w:hAnsi="Times New Roman" w:eastAsia="宋体" w:cs="Times New Roman"/>
                <w:b/>
                <w:bCs/>
                <w:color w:val="auto"/>
                <w:kern w:val="0"/>
                <w:sz w:val="24"/>
                <w:szCs w:val="24"/>
                <w:highlight w:val="none"/>
                <w:lang w:val="en-US" w:eastAsia="zh-CN"/>
              </w:rPr>
              <w:t>）达标可行性分析</w:t>
            </w:r>
          </w:p>
          <w:p w14:paraId="1DCC3F04">
            <w:pPr>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根据前述分析，经采取相应废气防治措施后，预计本项目废气排放源污染物排放达标情况见下表。</w:t>
            </w:r>
          </w:p>
          <w:p w14:paraId="3C63E935">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表4-8  各污染物排放情况</w:t>
            </w:r>
          </w:p>
          <w:tbl>
            <w:tblPr>
              <w:tblStyle w:val="23"/>
              <w:tblW w:w="7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076"/>
              <w:gridCol w:w="1365"/>
              <w:gridCol w:w="1365"/>
              <w:gridCol w:w="1365"/>
              <w:gridCol w:w="1365"/>
              <w:gridCol w:w="750"/>
            </w:tblGrid>
            <w:tr w14:paraId="049F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3CAA3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序号</w:t>
                  </w:r>
                </w:p>
              </w:tc>
              <w:tc>
                <w:tcPr>
                  <w:tcW w:w="1076" w:type="dxa"/>
                  <w:vAlign w:val="center"/>
                </w:tcPr>
                <w:p w14:paraId="59A439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污染物名称</w:t>
                  </w:r>
                </w:p>
              </w:tc>
              <w:tc>
                <w:tcPr>
                  <w:tcW w:w="1365" w:type="dxa"/>
                  <w:vAlign w:val="center"/>
                </w:tcPr>
                <w:p w14:paraId="57397A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最高排放浓度（mg/m</w:t>
                  </w:r>
                  <w:r>
                    <w:rPr>
                      <w:rFonts w:hint="eastAsia" w:cs="Times New Roman"/>
                      <w:b/>
                      <w:bCs/>
                      <w:color w:val="000000" w:themeColor="text1"/>
                      <w:sz w:val="21"/>
                      <w:szCs w:val="21"/>
                      <w:highlight w:val="none"/>
                      <w:vertAlign w:val="superscript"/>
                      <w:lang w:val="en-US" w:eastAsia="zh-CN"/>
                      <w14:textFill>
                        <w14:solidFill>
                          <w14:schemeClr w14:val="tx1"/>
                        </w14:solidFill>
                      </w14:textFill>
                    </w:rPr>
                    <w:t>3</w:t>
                  </w:r>
                  <w:r>
                    <w:rPr>
                      <w:rFonts w:hint="eastAsia" w:cs="Times New Roman"/>
                      <w:b/>
                      <w:bCs/>
                      <w:color w:val="000000" w:themeColor="text1"/>
                      <w:sz w:val="21"/>
                      <w:szCs w:val="21"/>
                      <w:highlight w:val="none"/>
                      <w:lang w:val="en-US" w:eastAsia="zh-CN"/>
                      <w14:textFill>
                        <w14:solidFill>
                          <w14:schemeClr w14:val="tx1"/>
                        </w14:solidFill>
                      </w14:textFill>
                    </w:rPr>
                    <w:t>）</w:t>
                  </w:r>
                </w:p>
              </w:tc>
              <w:tc>
                <w:tcPr>
                  <w:tcW w:w="1365" w:type="dxa"/>
                  <w:vAlign w:val="center"/>
                </w:tcPr>
                <w:p w14:paraId="781E1C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最大排放速率（</w:t>
                  </w:r>
                  <w:r>
                    <w:rPr>
                      <w:rFonts w:hint="default" w:ascii="Times New Roman" w:hAnsi="Times New Roman" w:eastAsia="宋体" w:cs="Times New Roman"/>
                      <w:b/>
                      <w:bCs/>
                      <w:color w:val="auto"/>
                      <w:sz w:val="21"/>
                      <w:szCs w:val="21"/>
                      <w:highlight w:val="none"/>
                      <w:vertAlign w:val="baseline"/>
                      <w:lang w:val="en-US" w:eastAsia="zh-CN"/>
                    </w:rPr>
                    <w:t>kg/h</w:t>
                  </w:r>
                  <w:r>
                    <w:rPr>
                      <w:rFonts w:hint="eastAsia" w:cs="Times New Roman"/>
                      <w:b/>
                      <w:bCs/>
                      <w:color w:val="000000" w:themeColor="text1"/>
                      <w:sz w:val="21"/>
                      <w:szCs w:val="21"/>
                      <w:highlight w:val="none"/>
                      <w:lang w:val="en-US" w:eastAsia="zh-CN"/>
                      <w14:textFill>
                        <w14:solidFill>
                          <w14:schemeClr w14:val="tx1"/>
                        </w14:solidFill>
                      </w14:textFill>
                    </w:rPr>
                    <w:t>）</w:t>
                  </w:r>
                </w:p>
              </w:tc>
              <w:tc>
                <w:tcPr>
                  <w:tcW w:w="1365" w:type="dxa"/>
                  <w:vAlign w:val="center"/>
                </w:tcPr>
                <w:p w14:paraId="273430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365" w:type="dxa"/>
                  <w:vAlign w:val="center"/>
                </w:tcPr>
                <w:p w14:paraId="602A29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750" w:type="dxa"/>
                  <w:vAlign w:val="center"/>
                </w:tcPr>
                <w:p w14:paraId="25A57E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达标情况</w:t>
                  </w:r>
                </w:p>
              </w:tc>
            </w:tr>
            <w:tr w14:paraId="7419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92C26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w:t>
                  </w:r>
                </w:p>
              </w:tc>
              <w:tc>
                <w:tcPr>
                  <w:tcW w:w="1076" w:type="dxa"/>
                  <w:vAlign w:val="center"/>
                </w:tcPr>
                <w:p w14:paraId="5BA14C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非甲烷总烃</w:t>
                  </w:r>
                </w:p>
              </w:tc>
              <w:tc>
                <w:tcPr>
                  <w:tcW w:w="1365" w:type="dxa"/>
                  <w:shd w:val="clear" w:color="auto" w:fill="auto"/>
                  <w:vAlign w:val="center"/>
                </w:tcPr>
                <w:p w14:paraId="4B006486">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7.2999</w:t>
                  </w:r>
                </w:p>
              </w:tc>
              <w:tc>
                <w:tcPr>
                  <w:tcW w:w="1365" w:type="dxa"/>
                  <w:shd w:val="clear" w:color="auto" w:fill="auto"/>
                  <w:vAlign w:val="center"/>
                </w:tcPr>
                <w:p w14:paraId="2C93F2D0">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0.1325</w:t>
                  </w:r>
                </w:p>
              </w:tc>
              <w:tc>
                <w:tcPr>
                  <w:tcW w:w="1365" w:type="dxa"/>
                  <w:vAlign w:val="center"/>
                </w:tcPr>
                <w:p w14:paraId="75D065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50</w:t>
                  </w:r>
                </w:p>
              </w:tc>
              <w:tc>
                <w:tcPr>
                  <w:tcW w:w="1365" w:type="dxa"/>
                  <w:vAlign w:val="center"/>
                </w:tcPr>
                <w:p w14:paraId="66CD47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5.0</w:t>
                  </w:r>
                </w:p>
              </w:tc>
              <w:tc>
                <w:tcPr>
                  <w:tcW w:w="750" w:type="dxa"/>
                  <w:vAlign w:val="center"/>
                </w:tcPr>
                <w:p w14:paraId="15B0C8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达标</w:t>
                  </w:r>
                </w:p>
              </w:tc>
            </w:tr>
            <w:tr w14:paraId="4592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684" w:type="dxa"/>
                  <w:vAlign w:val="center"/>
                </w:tcPr>
                <w:p w14:paraId="4E45C8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w:t>
                  </w:r>
                </w:p>
              </w:tc>
              <w:tc>
                <w:tcPr>
                  <w:tcW w:w="1076" w:type="dxa"/>
                  <w:shd w:val="clear" w:color="auto" w:fill="auto"/>
                  <w:vAlign w:val="center"/>
                </w:tcPr>
                <w:p w14:paraId="5CF504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颗粒物合物</w:t>
                  </w:r>
                </w:p>
              </w:tc>
              <w:tc>
                <w:tcPr>
                  <w:tcW w:w="1365" w:type="dxa"/>
                  <w:shd w:val="clear" w:color="auto" w:fill="auto"/>
                  <w:vAlign w:val="center"/>
                </w:tcPr>
                <w:p w14:paraId="3127C4CB">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0.0050</w:t>
                  </w:r>
                </w:p>
              </w:tc>
              <w:tc>
                <w:tcPr>
                  <w:tcW w:w="1365" w:type="dxa"/>
                  <w:shd w:val="clear" w:color="auto" w:fill="auto"/>
                  <w:vAlign w:val="center"/>
                </w:tcPr>
                <w:p w14:paraId="135A7A05">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0.00001</w:t>
                  </w:r>
                </w:p>
              </w:tc>
              <w:tc>
                <w:tcPr>
                  <w:tcW w:w="1365" w:type="dxa"/>
                  <w:vAlign w:val="center"/>
                </w:tcPr>
                <w:p w14:paraId="42B074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120</w:t>
                  </w:r>
                </w:p>
              </w:tc>
              <w:tc>
                <w:tcPr>
                  <w:tcW w:w="1365" w:type="dxa"/>
                  <w:vAlign w:val="center"/>
                </w:tcPr>
                <w:p w14:paraId="4847FB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2.95</w:t>
                  </w:r>
                </w:p>
              </w:tc>
              <w:tc>
                <w:tcPr>
                  <w:tcW w:w="750" w:type="dxa"/>
                  <w:vAlign w:val="center"/>
                </w:tcPr>
                <w:p w14:paraId="4C95C7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达标</w:t>
                  </w:r>
                </w:p>
              </w:tc>
            </w:tr>
            <w:tr w14:paraId="6621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684" w:type="dxa"/>
                  <w:vAlign w:val="center"/>
                </w:tcPr>
                <w:p w14:paraId="6D9C77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3</w:t>
                  </w:r>
                </w:p>
              </w:tc>
              <w:tc>
                <w:tcPr>
                  <w:tcW w:w="1076" w:type="dxa"/>
                  <w:shd w:val="clear" w:color="auto" w:fill="auto"/>
                  <w:vAlign w:val="center"/>
                </w:tcPr>
                <w:p w14:paraId="5DEADB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锡及其化合物</w:t>
                  </w:r>
                </w:p>
              </w:tc>
              <w:tc>
                <w:tcPr>
                  <w:tcW w:w="1365" w:type="dxa"/>
                  <w:shd w:val="clear" w:color="auto" w:fill="auto"/>
                  <w:vAlign w:val="center"/>
                </w:tcPr>
                <w:p w14:paraId="7730FFB9">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0.0050</w:t>
                  </w:r>
                </w:p>
              </w:tc>
              <w:tc>
                <w:tcPr>
                  <w:tcW w:w="1365" w:type="dxa"/>
                  <w:shd w:val="clear" w:color="auto" w:fill="auto"/>
                  <w:vAlign w:val="center"/>
                </w:tcPr>
                <w:p w14:paraId="2B8B0BC1">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0.00001</w:t>
                  </w:r>
                </w:p>
              </w:tc>
              <w:tc>
                <w:tcPr>
                  <w:tcW w:w="1365" w:type="dxa"/>
                  <w:shd w:val="clear" w:color="auto" w:fill="auto"/>
                  <w:vAlign w:val="center"/>
                </w:tcPr>
                <w:p w14:paraId="1359E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8.5</w:t>
                  </w:r>
                </w:p>
              </w:tc>
              <w:tc>
                <w:tcPr>
                  <w:tcW w:w="1365" w:type="dxa"/>
                  <w:shd w:val="clear" w:color="auto" w:fill="auto"/>
                  <w:vAlign w:val="center"/>
                </w:tcPr>
                <w:p w14:paraId="2AA897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0.26</w:t>
                  </w:r>
                </w:p>
              </w:tc>
              <w:tc>
                <w:tcPr>
                  <w:tcW w:w="750" w:type="dxa"/>
                  <w:shd w:val="clear" w:color="auto" w:fill="auto"/>
                  <w:vAlign w:val="center"/>
                </w:tcPr>
                <w:p w14:paraId="79297C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达标</w:t>
                  </w:r>
                </w:p>
              </w:tc>
            </w:tr>
          </w:tbl>
          <w:p w14:paraId="48350CD2">
            <w:pPr>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由表可知，本项目各污染物排放浓度均能达到相应标准的排放限值，废气排放强度低，可达标排放，对项目周边大气环境影响较小，大气环境质量可维持现有水平。</w:t>
            </w:r>
          </w:p>
          <w:p w14:paraId="5E222D1C">
            <w:pPr>
              <w:spacing w:line="360" w:lineRule="auto"/>
              <w:ind w:firstLine="482" w:firstLineChars="200"/>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（5）废气处理设施可行性分析</w:t>
            </w:r>
          </w:p>
          <w:p w14:paraId="6329AA49">
            <w:pPr>
              <w:spacing w:line="360" w:lineRule="auto"/>
              <w:ind w:firstLine="480" w:firstLineChars="200"/>
              <w:rPr>
                <w:rFonts w:hint="eastAsia" w:ascii="Times New Roman" w:hAnsi="Times New Roman" w:cs="Times New Roman"/>
                <w:b/>
                <w:bCs/>
                <w:color w:val="auto"/>
                <w:sz w:val="24"/>
                <w:szCs w:val="24"/>
                <w:highlight w:val="none"/>
                <w:lang w:val="en-US" w:eastAsia="zh-CN"/>
              </w:rPr>
            </w:pPr>
            <w:r>
              <w:rPr>
                <w:rFonts w:hint="default" w:ascii="Times New Roman" w:hAnsi="Times New Roman" w:cs="Times New Roman"/>
                <w:color w:val="auto"/>
                <w:kern w:val="0"/>
                <w:sz w:val="24"/>
                <w:szCs w:val="24"/>
                <w:highlight w:val="none"/>
              </w:rPr>
              <w:t>项目废气主要为</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、手工焊焊接废气，主要污染物为</w:t>
            </w:r>
            <w:r>
              <w:rPr>
                <w:rFonts w:hint="eastAsia" w:cs="Times New Roman"/>
                <w:color w:val="000000" w:themeColor="text1"/>
                <w:sz w:val="24"/>
                <w:szCs w:val="24"/>
                <w:highlight w:val="none"/>
                <w:lang w:val="en-US" w:eastAsia="zh-CN"/>
                <w14:textFill>
                  <w14:solidFill>
                    <w14:schemeClr w14:val="tx1"/>
                  </w14:solidFill>
                </w14:textFill>
              </w:rPr>
              <w:t>非甲烷总烃、颗粒物、锡及其化合物，</w:t>
            </w:r>
            <w:r>
              <w:rPr>
                <w:rFonts w:hint="eastAsia" w:cs="Times New Roman"/>
                <w:color w:val="auto"/>
                <w:sz w:val="24"/>
                <w:szCs w:val="24"/>
                <w:highlight w:val="none"/>
                <w:lang w:val="en-US" w:eastAsia="zh-CN"/>
              </w:rPr>
              <w:t>废气通过前端</w:t>
            </w:r>
            <w:r>
              <w:rPr>
                <w:rFonts w:hint="eastAsia" w:cs="Times New Roman"/>
                <w:sz w:val="24"/>
                <w:szCs w:val="24"/>
                <w:highlight w:val="none"/>
                <w:lang w:val="en-US" w:eastAsia="zh-CN"/>
              </w:rPr>
              <w:t>集气罩/负压管道收集</w:t>
            </w:r>
            <w:r>
              <w:rPr>
                <w:rFonts w:hint="eastAsia" w:cs="Times New Roman"/>
                <w:color w:val="auto"/>
                <w:sz w:val="24"/>
                <w:szCs w:val="24"/>
                <w:highlight w:val="none"/>
                <w:lang w:val="en-US" w:eastAsia="zh-CN"/>
              </w:rPr>
              <w:t>后，引入同一套</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二级活性炭吸附装置处理，最后经20m高排气筒排放，本项目非甲烷总烃、颗粒物、</w:t>
            </w:r>
            <w:r>
              <w:rPr>
                <w:rFonts w:hint="eastAsia" w:cs="Times New Roman"/>
                <w:color w:val="000000" w:themeColor="text1"/>
                <w:sz w:val="24"/>
                <w:szCs w:val="24"/>
                <w:highlight w:val="none"/>
                <w:lang w:val="en-US" w:eastAsia="zh-CN"/>
                <w14:textFill>
                  <w14:solidFill>
                    <w14:schemeClr w14:val="tx1"/>
                  </w14:solidFill>
                </w14:textFill>
              </w:rPr>
              <w:t>锡及其化合物</w:t>
            </w:r>
            <w:r>
              <w:rPr>
                <w:rFonts w:hint="eastAsia" w:cs="Times New Roman"/>
                <w:color w:val="auto"/>
                <w:sz w:val="24"/>
                <w:szCs w:val="24"/>
                <w:highlight w:val="none"/>
                <w:lang w:val="en-US" w:eastAsia="zh-CN"/>
              </w:rPr>
              <w:t>通过</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二级活性炭吸附装置处理后废气排放可以达到标准排放要求，对照《排污许可证申请与核发技术规范 电子工业》（HJ1031-2019）及《挥发性有机物治理实用手册》，本项目废气处理技术为可行性处理技术。</w:t>
            </w:r>
          </w:p>
          <w:p w14:paraId="16B48C3A">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default" w:ascii="Times New Roman" w:hAnsi="Times New Roman" w:cs="Times New Roman"/>
                <w:b/>
                <w:bCs/>
                <w:color w:val="auto"/>
                <w:sz w:val="24"/>
                <w:szCs w:val="24"/>
                <w:highlight w:val="none"/>
              </w:rPr>
              <w:t>环境监测计划</w:t>
            </w:r>
          </w:p>
          <w:p w14:paraId="10CB7AA1">
            <w:pPr>
              <w:adjustRightIn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结合《</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w:t>
            </w:r>
            <w:r>
              <w:rPr>
                <w:rFonts w:hint="eastAsia" w:cs="Times New Roman"/>
                <w:color w:val="auto"/>
                <w:sz w:val="24"/>
                <w:szCs w:val="24"/>
                <w:highlight w:val="none"/>
                <w:lang w:val="en-US" w:eastAsia="zh-CN"/>
              </w:rPr>
              <w:t>-</w:t>
            </w:r>
            <w:r>
              <w:rPr>
                <w:rFonts w:hint="default" w:eastAsia="宋体" w:cs="Times New Roman"/>
                <w:color w:val="auto"/>
                <w:sz w:val="24"/>
                <w:szCs w:val="24"/>
                <w:highlight w:val="none"/>
                <w:lang w:val="en-US" w:eastAsia="zh-CN"/>
              </w:rPr>
              <w:t>2019）</w:t>
            </w:r>
            <w:r>
              <w:rPr>
                <w:rFonts w:hint="default" w:ascii="Times New Roman" w:hAnsi="Times New Roman" w:cs="Times New Roman"/>
                <w:color w:val="auto"/>
                <w:sz w:val="24"/>
                <w:szCs w:val="24"/>
                <w:highlight w:val="none"/>
              </w:rPr>
              <w:t>、《排污单位自行监测技术指南</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电子工业》（HJ1253-2022）制定监测计划。</w:t>
            </w:r>
          </w:p>
          <w:p w14:paraId="284AE7A6">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表4-</w:t>
            </w:r>
            <w:r>
              <w:rPr>
                <w:rFonts w:hint="eastAsia" w:ascii="Times New Roman" w:hAnsi="Times New Roman" w:eastAsia="宋体" w:cs="Times New Roman"/>
                <w:b/>
                <w:color w:val="auto"/>
                <w:kern w:val="2"/>
                <w:sz w:val="24"/>
                <w:szCs w:val="24"/>
                <w:highlight w:val="none"/>
                <w:lang w:val="en-US" w:eastAsia="zh-CN"/>
              </w:rPr>
              <w:t xml:space="preserve">9  </w:t>
            </w:r>
            <w:r>
              <w:rPr>
                <w:rFonts w:hint="default" w:ascii="Times New Roman" w:hAnsi="Times New Roman" w:eastAsia="宋体" w:cs="Times New Roman"/>
                <w:b/>
                <w:color w:val="auto"/>
                <w:kern w:val="2"/>
                <w:sz w:val="24"/>
                <w:szCs w:val="24"/>
                <w:highlight w:val="none"/>
                <w:lang w:eastAsia="zh-CN"/>
              </w:rPr>
              <w:t>项目大气监测工作计划一览表</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5"/>
              <w:gridCol w:w="1012"/>
              <w:gridCol w:w="2374"/>
              <w:gridCol w:w="2213"/>
              <w:gridCol w:w="1328"/>
            </w:tblGrid>
            <w:tr w14:paraId="7AC2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622" w:type="pct"/>
                  <w:noWrap w:val="0"/>
                  <w:tcMar>
                    <w:left w:w="0" w:type="dxa"/>
                    <w:right w:w="0" w:type="dxa"/>
                  </w:tcMar>
                  <w:vAlign w:val="center"/>
                </w:tcPr>
                <w:p w14:paraId="5793A38A">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2140" w:type="pct"/>
                  <w:gridSpan w:val="2"/>
                  <w:noWrap w:val="0"/>
                  <w:tcMar>
                    <w:left w:w="0" w:type="dxa"/>
                    <w:right w:w="0" w:type="dxa"/>
                  </w:tcMar>
                  <w:vAlign w:val="center"/>
                </w:tcPr>
                <w:p w14:paraId="1D5970A0">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监测点位</w:t>
                  </w:r>
                </w:p>
              </w:tc>
              <w:tc>
                <w:tcPr>
                  <w:tcW w:w="1398" w:type="pct"/>
                  <w:noWrap w:val="0"/>
                  <w:tcMar>
                    <w:left w:w="0" w:type="dxa"/>
                    <w:right w:w="0" w:type="dxa"/>
                  </w:tcMar>
                  <w:vAlign w:val="center"/>
                </w:tcPr>
                <w:p w14:paraId="45F0BB01">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839" w:type="pct"/>
                  <w:noWrap w:val="0"/>
                  <w:vAlign w:val="center"/>
                </w:tcPr>
                <w:p w14:paraId="19880AEF">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1205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622" w:type="pct"/>
                  <w:vMerge w:val="restart"/>
                  <w:noWrap w:val="0"/>
                  <w:tcMar>
                    <w:left w:w="0" w:type="dxa"/>
                    <w:right w:w="0" w:type="dxa"/>
                  </w:tcMar>
                  <w:vAlign w:val="center"/>
                </w:tcPr>
                <w:p w14:paraId="26C7C762">
                  <w:pPr>
                    <w:adjustRightInd w:val="0"/>
                    <w:snapToGrid w:val="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废气</w:t>
                  </w:r>
                </w:p>
              </w:tc>
              <w:tc>
                <w:tcPr>
                  <w:tcW w:w="639" w:type="pct"/>
                  <w:noWrap w:val="0"/>
                  <w:tcMar>
                    <w:left w:w="0" w:type="dxa"/>
                    <w:right w:w="0" w:type="dxa"/>
                  </w:tcMar>
                  <w:vAlign w:val="center"/>
                </w:tcPr>
                <w:p w14:paraId="5164DB70">
                  <w:pPr>
                    <w:adjustRightInd w:val="0"/>
                    <w:snapToGrid w:val="0"/>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有组织</w:t>
                  </w:r>
                </w:p>
              </w:tc>
              <w:tc>
                <w:tcPr>
                  <w:tcW w:w="1500" w:type="pct"/>
                  <w:noWrap w:val="0"/>
                  <w:vAlign w:val="center"/>
                </w:tcPr>
                <w:p w14:paraId="6DF96EA1">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DA001</w:t>
                  </w:r>
                </w:p>
              </w:tc>
              <w:tc>
                <w:tcPr>
                  <w:tcW w:w="1398" w:type="pct"/>
                  <w:noWrap w:val="0"/>
                  <w:vAlign w:val="center"/>
                </w:tcPr>
                <w:p w14:paraId="4CC64406">
                  <w:pPr>
                    <w:adjustRightInd w:val="0"/>
                    <w:snapToGrid w:val="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非甲烷总烃、</w:t>
                  </w:r>
                  <w:r>
                    <w:rPr>
                      <w:rFonts w:hint="eastAsia" w:cs="Times New Roman"/>
                      <w:color w:val="auto"/>
                      <w:sz w:val="21"/>
                      <w:szCs w:val="21"/>
                      <w:highlight w:val="none"/>
                      <w:lang w:val="en-US" w:eastAsia="zh-CN"/>
                    </w:rPr>
                    <w:t>颗粒物、</w:t>
                  </w:r>
                  <w:r>
                    <w:rPr>
                      <w:rFonts w:hint="eastAsia" w:cs="Times New Roman"/>
                      <w:color w:val="auto"/>
                      <w:sz w:val="21"/>
                      <w:szCs w:val="21"/>
                      <w:highlight w:val="none"/>
                      <w:lang w:eastAsia="zh-CN"/>
                    </w:rPr>
                    <w:t>锡及其化合物</w:t>
                  </w:r>
                </w:p>
              </w:tc>
              <w:tc>
                <w:tcPr>
                  <w:tcW w:w="839" w:type="pct"/>
                  <w:noWrap w:val="0"/>
                  <w:vAlign w:val="center"/>
                </w:tcPr>
                <w:p w14:paraId="0B6EDDF2">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r w14:paraId="166F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622" w:type="pct"/>
                  <w:vMerge w:val="continue"/>
                  <w:noWrap w:val="0"/>
                  <w:tcMar>
                    <w:left w:w="0" w:type="dxa"/>
                    <w:right w:w="0" w:type="dxa"/>
                  </w:tcMar>
                  <w:vAlign w:val="center"/>
                </w:tcPr>
                <w:p w14:paraId="43C70617">
                  <w:pPr>
                    <w:adjustRightInd w:val="0"/>
                    <w:snapToGrid w:val="0"/>
                    <w:jc w:val="center"/>
                    <w:rPr>
                      <w:rFonts w:hint="eastAsia" w:ascii="Times New Roman" w:hAnsi="Times New Roman" w:cs="Times New Roman"/>
                      <w:color w:val="auto"/>
                      <w:sz w:val="21"/>
                      <w:szCs w:val="21"/>
                      <w:highlight w:val="none"/>
                      <w:lang w:eastAsia="zh-CN"/>
                    </w:rPr>
                  </w:pPr>
                </w:p>
              </w:tc>
              <w:tc>
                <w:tcPr>
                  <w:tcW w:w="639" w:type="pct"/>
                  <w:noWrap w:val="0"/>
                  <w:tcMar>
                    <w:left w:w="0" w:type="dxa"/>
                    <w:right w:w="0" w:type="dxa"/>
                  </w:tcMar>
                  <w:vAlign w:val="center"/>
                </w:tcPr>
                <w:p w14:paraId="57D3D9B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无组织</w:t>
                  </w:r>
                </w:p>
              </w:tc>
              <w:tc>
                <w:tcPr>
                  <w:tcW w:w="1500" w:type="pct"/>
                  <w:noWrap w:val="0"/>
                  <w:vAlign w:val="center"/>
                </w:tcPr>
                <w:p w14:paraId="61850B4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厂界（上风向设置1个点，下风向设置3个点）</w:t>
                  </w:r>
                </w:p>
              </w:tc>
              <w:tc>
                <w:tcPr>
                  <w:tcW w:w="1398" w:type="pct"/>
                  <w:noWrap w:val="0"/>
                  <w:vAlign w:val="center"/>
                </w:tcPr>
                <w:p w14:paraId="33EF0963">
                  <w:pPr>
                    <w:adjustRightInd w:val="0"/>
                    <w:snapToGrid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eastAsia="zh-CN"/>
                    </w:rPr>
                    <w:t>非甲烷总烃、</w:t>
                  </w:r>
                  <w:r>
                    <w:rPr>
                      <w:rFonts w:hint="eastAsia" w:cs="Times New Roman"/>
                      <w:color w:val="auto"/>
                      <w:sz w:val="21"/>
                      <w:szCs w:val="21"/>
                      <w:highlight w:val="none"/>
                      <w:lang w:val="en-US" w:eastAsia="zh-CN"/>
                    </w:rPr>
                    <w:t>颗粒物、</w:t>
                  </w:r>
                  <w:r>
                    <w:rPr>
                      <w:rFonts w:hint="eastAsia" w:cs="Times New Roman"/>
                      <w:color w:val="auto"/>
                      <w:sz w:val="21"/>
                      <w:szCs w:val="21"/>
                      <w:highlight w:val="none"/>
                      <w:lang w:eastAsia="zh-CN"/>
                    </w:rPr>
                    <w:t>锡及其化合物</w:t>
                  </w:r>
                </w:p>
              </w:tc>
              <w:tc>
                <w:tcPr>
                  <w:tcW w:w="839" w:type="pct"/>
                  <w:noWrap w:val="0"/>
                  <w:vAlign w:val="center"/>
                </w:tcPr>
                <w:p w14:paraId="5DF3BFE0">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bl>
          <w:p w14:paraId="3D97D572">
            <w:pPr>
              <w:spacing w:line="360" w:lineRule="auto"/>
              <w:ind w:firstLine="482" w:firstLineChars="200"/>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、废水</w:t>
            </w:r>
          </w:p>
          <w:p w14:paraId="62031A8D">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cs="Times New Roman"/>
                <w:color w:val="auto"/>
                <w:sz w:val="24"/>
                <w:szCs w:val="24"/>
                <w:highlight w:val="none"/>
                <w:vertAlign w:val="baseline"/>
                <w:lang w:val="en-US" w:eastAsia="zh-CN"/>
              </w:rPr>
              <w:t>项目</w:t>
            </w:r>
            <w:r>
              <w:rPr>
                <w:rFonts w:hint="eastAsia" w:ascii="Times New Roman" w:hAnsi="Times New Roman" w:eastAsia="宋体" w:cs="Times New Roman"/>
                <w:sz w:val="24"/>
                <w:szCs w:val="24"/>
                <w:highlight w:val="none"/>
                <w:lang w:eastAsia="zh-CN"/>
              </w:rPr>
              <w:t>采用</w:t>
            </w:r>
            <w:r>
              <w:rPr>
                <w:rFonts w:hint="default" w:ascii="Times New Roman" w:hAnsi="Times New Roman" w:cs="Times New Roman"/>
                <w:color w:val="auto"/>
                <w:sz w:val="24"/>
                <w:szCs w:val="24"/>
                <w:highlight w:val="none"/>
              </w:rPr>
              <w:t>雨污分流制</w:t>
            </w:r>
            <w:r>
              <w:rPr>
                <w:rFonts w:hint="eastAsia" w:ascii="Times New Roman" w:hAnsi="Times New Roman" w:cs="Times New Roman"/>
                <w:color w:val="auto"/>
                <w:sz w:val="24"/>
                <w:szCs w:val="24"/>
                <w:highlight w:val="none"/>
                <w:lang w:eastAsia="zh-CN"/>
              </w:rPr>
              <w:t>，生活污水经</w:t>
            </w:r>
            <w:r>
              <w:rPr>
                <w:rFonts w:hint="eastAsia" w:cs="Times New Roman"/>
                <w:color w:val="auto"/>
                <w:sz w:val="24"/>
                <w:szCs w:val="24"/>
                <w:highlight w:val="none"/>
                <w:lang w:val="en-US" w:eastAsia="zh-CN"/>
              </w:rPr>
              <w:t>科技孵化园</w:t>
            </w:r>
            <w:r>
              <w:rPr>
                <w:rFonts w:hint="eastAsia" w:ascii="Times New Roman" w:hAnsi="Times New Roman" w:cs="Times New Roman"/>
                <w:color w:val="auto"/>
                <w:sz w:val="24"/>
                <w:szCs w:val="24"/>
                <w:highlight w:val="none"/>
                <w:lang w:eastAsia="zh-CN"/>
              </w:rPr>
              <w:t>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p>
          <w:p w14:paraId="734FA0C3">
            <w:pPr>
              <w:spacing w:line="360" w:lineRule="auto"/>
              <w:ind w:firstLine="482" w:firstLineChars="200"/>
              <w:rPr>
                <w:rFonts w:hint="default" w:ascii="Times New Roman" w:hAnsi="Times New Roman" w:cs="Times New Roman"/>
                <w:b/>
                <w:color w:val="auto"/>
                <w:kern w:val="21"/>
                <w:sz w:val="24"/>
                <w:szCs w:val="24"/>
                <w:highlight w:val="none"/>
              </w:rPr>
            </w:pPr>
            <w:r>
              <w:rPr>
                <w:rFonts w:hint="eastAsia" w:ascii="Times New Roman" w:hAnsi="Times New Roman" w:cs="Times New Roman"/>
                <w:b/>
                <w:color w:val="auto"/>
                <w:kern w:val="21"/>
                <w:sz w:val="24"/>
                <w:szCs w:val="24"/>
                <w:highlight w:val="none"/>
                <w:lang w:eastAsia="zh-CN"/>
              </w:rPr>
              <w:t>（</w:t>
            </w:r>
            <w:r>
              <w:rPr>
                <w:rFonts w:hint="eastAsia" w:ascii="Times New Roman" w:hAnsi="Times New Roman" w:cs="Times New Roman"/>
                <w:b/>
                <w:color w:val="auto"/>
                <w:kern w:val="21"/>
                <w:sz w:val="24"/>
                <w:szCs w:val="24"/>
                <w:highlight w:val="none"/>
                <w:lang w:val="en-US" w:eastAsia="zh-CN"/>
              </w:rPr>
              <w:t>1</w:t>
            </w:r>
            <w:r>
              <w:rPr>
                <w:rFonts w:hint="eastAsia" w:ascii="Times New Roman" w:hAnsi="Times New Roman" w:cs="Times New Roman"/>
                <w:b/>
                <w:color w:val="auto"/>
                <w:kern w:val="21"/>
                <w:sz w:val="24"/>
                <w:szCs w:val="24"/>
                <w:highlight w:val="none"/>
                <w:lang w:eastAsia="zh-CN"/>
              </w:rPr>
              <w:t>）</w:t>
            </w:r>
            <w:r>
              <w:rPr>
                <w:rFonts w:hint="default" w:ascii="Times New Roman" w:hAnsi="Times New Roman" w:cs="Times New Roman"/>
                <w:b/>
                <w:color w:val="auto"/>
                <w:kern w:val="21"/>
                <w:sz w:val="24"/>
                <w:szCs w:val="24"/>
                <w:highlight w:val="none"/>
              </w:rPr>
              <w:t>废水污染源强</w:t>
            </w:r>
          </w:p>
          <w:p w14:paraId="124D7D3B">
            <w:pPr>
              <w:spacing w:line="360" w:lineRule="auto"/>
              <w:ind w:firstLine="480" w:firstLineChars="200"/>
              <w:rPr>
                <w:rFonts w:hint="eastAsia" w:ascii="Times New Roman" w:hAnsi="Times New Roman" w:cs="Times New Roman"/>
                <w:bCs/>
                <w:color w:val="auto"/>
                <w:sz w:val="24"/>
                <w:szCs w:val="24"/>
                <w:highlight w:val="none"/>
                <w:lang w:eastAsia="zh-CN"/>
              </w:rPr>
            </w:pPr>
            <w:r>
              <w:rPr>
                <w:rFonts w:hint="eastAsia" w:ascii="Times New Roman" w:hAnsi="Times New Roman" w:cs="Times New Roman"/>
                <w:bCs/>
                <w:color w:val="auto"/>
                <w:sz w:val="24"/>
                <w:szCs w:val="24"/>
                <w:highlight w:val="none"/>
                <w:lang w:eastAsia="zh-CN"/>
              </w:rPr>
              <w:t>项目无生产废水产生。项目用水主要为职工生活用水，项目劳动定员</w:t>
            </w:r>
            <w:r>
              <w:rPr>
                <w:rFonts w:hint="eastAsia" w:cs="Times New Roman"/>
                <w:bCs/>
                <w:color w:val="auto"/>
                <w:sz w:val="24"/>
                <w:szCs w:val="24"/>
                <w:highlight w:val="none"/>
                <w:lang w:val="en-US" w:eastAsia="zh-CN"/>
              </w:rPr>
              <w:t>8</w:t>
            </w:r>
            <w:r>
              <w:rPr>
                <w:rFonts w:hint="eastAsia" w:ascii="Times New Roman" w:hAnsi="Times New Roman" w:cs="Times New Roman"/>
                <w:bCs/>
                <w:color w:val="auto"/>
                <w:sz w:val="24"/>
                <w:szCs w:val="24"/>
                <w:highlight w:val="none"/>
                <w:lang w:eastAsia="zh-CN"/>
              </w:rPr>
              <w:t>0人，不提供食堂和住宿，根据《安徽省行业用水定额》（DB34/T679-2019），职工生活用水按60L/人·d计，年工作</w:t>
            </w:r>
            <w:r>
              <w:rPr>
                <w:rFonts w:hint="eastAsia" w:cs="Times New Roman"/>
                <w:bCs/>
                <w:color w:val="auto"/>
                <w:sz w:val="24"/>
                <w:szCs w:val="24"/>
                <w:highlight w:val="none"/>
                <w:lang w:val="en-US" w:eastAsia="zh-CN"/>
              </w:rPr>
              <w:t>300</w:t>
            </w:r>
            <w:r>
              <w:rPr>
                <w:rFonts w:hint="eastAsia" w:ascii="Times New Roman" w:hAnsi="Times New Roman" w:cs="Times New Roman"/>
                <w:bCs/>
                <w:color w:val="auto"/>
                <w:sz w:val="24"/>
                <w:szCs w:val="24"/>
                <w:highlight w:val="none"/>
                <w:lang w:eastAsia="zh-CN"/>
              </w:rPr>
              <w:t>天，则预计用水量</w:t>
            </w:r>
            <w:r>
              <w:rPr>
                <w:rFonts w:hint="eastAsia" w:cs="Times New Roman"/>
                <w:bCs/>
                <w:color w:val="auto"/>
                <w:sz w:val="24"/>
                <w:szCs w:val="24"/>
                <w:highlight w:val="none"/>
                <w:lang w:val="en-US" w:eastAsia="zh-CN"/>
              </w:rPr>
              <w:t>4.8</w:t>
            </w:r>
            <w:r>
              <w:rPr>
                <w:rFonts w:hint="eastAsia" w:ascii="Times New Roman" w:hAnsi="Times New Roman" w:cs="Times New Roman"/>
                <w:bCs/>
                <w:color w:val="auto"/>
                <w:sz w:val="24"/>
                <w:szCs w:val="24"/>
                <w:highlight w:val="none"/>
                <w:lang w:eastAsia="zh-CN"/>
              </w:rPr>
              <w:t>t/d（</w:t>
            </w:r>
            <w:r>
              <w:rPr>
                <w:rFonts w:hint="eastAsia" w:cs="Times New Roman"/>
                <w:bCs/>
                <w:color w:val="auto"/>
                <w:sz w:val="24"/>
                <w:szCs w:val="24"/>
                <w:highlight w:val="none"/>
                <w:lang w:val="en-US" w:eastAsia="zh-CN"/>
              </w:rPr>
              <w:t>1440</w:t>
            </w:r>
            <w:r>
              <w:rPr>
                <w:rFonts w:hint="eastAsia" w:ascii="Times New Roman" w:hAnsi="Times New Roman" w:cs="Times New Roman"/>
                <w:bCs/>
                <w:color w:val="auto"/>
                <w:sz w:val="24"/>
                <w:szCs w:val="24"/>
                <w:highlight w:val="none"/>
                <w:lang w:eastAsia="zh-CN"/>
              </w:rPr>
              <w:t>t/a）。生活污水产污系数按0.85计，则生活污水产生量为</w:t>
            </w:r>
            <w:r>
              <w:rPr>
                <w:rFonts w:hint="eastAsia" w:cs="Times New Roman"/>
                <w:bCs/>
                <w:color w:val="auto"/>
                <w:sz w:val="24"/>
                <w:szCs w:val="24"/>
                <w:highlight w:val="none"/>
                <w:lang w:val="en-US" w:eastAsia="zh-CN"/>
              </w:rPr>
              <w:t>4.08</w:t>
            </w:r>
            <w:r>
              <w:rPr>
                <w:rFonts w:hint="eastAsia" w:ascii="Times New Roman" w:hAnsi="Times New Roman" w:cs="Times New Roman"/>
                <w:bCs/>
                <w:color w:val="auto"/>
                <w:sz w:val="24"/>
                <w:szCs w:val="24"/>
                <w:highlight w:val="none"/>
                <w:lang w:eastAsia="zh-CN"/>
              </w:rPr>
              <w:t>t/d（</w:t>
            </w:r>
            <w:r>
              <w:rPr>
                <w:rFonts w:hint="eastAsia" w:cs="Times New Roman"/>
                <w:bCs/>
                <w:color w:val="auto"/>
                <w:sz w:val="24"/>
                <w:szCs w:val="24"/>
                <w:highlight w:val="none"/>
                <w:lang w:val="en-US" w:eastAsia="zh-CN"/>
              </w:rPr>
              <w:t>1224</w:t>
            </w:r>
            <w:r>
              <w:rPr>
                <w:rFonts w:hint="eastAsia" w:ascii="Times New Roman" w:hAnsi="Times New Roman" w:cs="Times New Roman"/>
                <w:bCs/>
                <w:color w:val="auto"/>
                <w:sz w:val="24"/>
                <w:szCs w:val="24"/>
                <w:highlight w:val="none"/>
                <w:lang w:eastAsia="zh-CN"/>
              </w:rPr>
              <w:t>t/a）。</w:t>
            </w:r>
          </w:p>
          <w:p w14:paraId="1CF7AE73">
            <w:pPr>
              <w:spacing w:line="360" w:lineRule="auto"/>
              <w:ind w:firstLine="482" w:firstLineChars="200"/>
              <w:rPr>
                <w:rFonts w:hint="default" w:ascii="Times New Roman" w:hAnsi="Times New Roman" w:eastAsia="宋体" w:cs="Times New Roman"/>
                <w:b/>
                <w:color w:val="auto"/>
                <w:kern w:val="21"/>
                <w:sz w:val="24"/>
                <w:szCs w:val="24"/>
                <w:highlight w:val="none"/>
                <w:lang w:val="en-US" w:eastAsia="zh-CN"/>
              </w:rPr>
            </w:pPr>
            <w:r>
              <w:rPr>
                <w:rFonts w:hint="eastAsia" w:ascii="Times New Roman" w:hAnsi="Times New Roman" w:cs="Times New Roman"/>
                <w:b/>
                <w:color w:val="auto"/>
                <w:kern w:val="21"/>
                <w:sz w:val="24"/>
                <w:szCs w:val="24"/>
                <w:highlight w:val="none"/>
                <w:lang w:eastAsia="zh-CN"/>
              </w:rPr>
              <w:t>（</w:t>
            </w:r>
            <w:r>
              <w:rPr>
                <w:rFonts w:hint="eastAsia" w:ascii="Times New Roman" w:hAnsi="Times New Roman" w:cs="Times New Roman"/>
                <w:b/>
                <w:color w:val="auto"/>
                <w:kern w:val="21"/>
                <w:sz w:val="24"/>
                <w:szCs w:val="24"/>
                <w:highlight w:val="none"/>
                <w:lang w:val="en-US" w:eastAsia="zh-CN"/>
              </w:rPr>
              <w:t>2</w:t>
            </w:r>
            <w:r>
              <w:rPr>
                <w:rFonts w:hint="eastAsia" w:ascii="Times New Roman" w:hAnsi="Times New Roman" w:cs="Times New Roman"/>
                <w:b/>
                <w:color w:val="auto"/>
                <w:kern w:val="21"/>
                <w:sz w:val="24"/>
                <w:szCs w:val="24"/>
                <w:highlight w:val="none"/>
                <w:lang w:eastAsia="zh-CN"/>
              </w:rPr>
              <w:t>）</w:t>
            </w:r>
            <w:r>
              <w:rPr>
                <w:rFonts w:hint="default" w:ascii="Times New Roman" w:hAnsi="Times New Roman" w:cs="Times New Roman"/>
                <w:b/>
                <w:color w:val="auto"/>
                <w:kern w:val="21"/>
                <w:sz w:val="24"/>
                <w:szCs w:val="24"/>
                <w:highlight w:val="none"/>
              </w:rPr>
              <w:t>废水</w:t>
            </w:r>
            <w:r>
              <w:rPr>
                <w:rFonts w:hint="eastAsia" w:ascii="Times New Roman" w:hAnsi="Times New Roman" w:cs="Times New Roman"/>
                <w:b/>
                <w:color w:val="auto"/>
                <w:kern w:val="21"/>
                <w:sz w:val="24"/>
                <w:szCs w:val="24"/>
                <w:highlight w:val="none"/>
                <w:lang w:val="en-US" w:eastAsia="zh-CN"/>
              </w:rPr>
              <w:t>产排情况</w:t>
            </w:r>
          </w:p>
          <w:p w14:paraId="760B5178">
            <w:pPr>
              <w:spacing w:line="360" w:lineRule="auto"/>
              <w:ind w:firstLine="480" w:firstLineChars="200"/>
              <w:rPr>
                <w:rFonts w:hint="eastAsia"/>
                <w:sz w:val="24"/>
                <w:szCs w:val="24"/>
                <w:highlight w:val="none"/>
                <w:lang w:eastAsia="zh-CN"/>
              </w:rPr>
            </w:pPr>
            <w:r>
              <w:rPr>
                <w:rFonts w:hint="eastAsia" w:ascii="Times New Roman" w:hAnsi="Times New Roman" w:cs="Times New Roman"/>
                <w:bCs/>
                <w:color w:val="auto"/>
                <w:sz w:val="24"/>
                <w:szCs w:val="24"/>
                <w:highlight w:val="none"/>
                <w:lang w:eastAsia="zh-CN"/>
              </w:rPr>
              <w:t>项目用水主要为职工生活用水，</w:t>
            </w:r>
            <w:r>
              <w:rPr>
                <w:rFonts w:hint="eastAsia" w:ascii="Times New Roman" w:hAnsi="Times New Roman" w:cs="Times New Roman"/>
                <w:bCs/>
                <w:color w:val="auto"/>
                <w:sz w:val="24"/>
                <w:szCs w:val="24"/>
                <w:highlight w:val="none"/>
                <w:lang w:val="en-US" w:eastAsia="zh-CN"/>
              </w:rPr>
              <w:t>废水产排情况详见下表：</w:t>
            </w:r>
          </w:p>
          <w:p w14:paraId="01B94CCD">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4"/>
                <w:szCs w:val="24"/>
                <w:highlight w:val="none"/>
                <w:lang w:eastAsia="zh-CN"/>
              </w:rPr>
              <w:t>表</w:t>
            </w:r>
            <w:r>
              <w:rPr>
                <w:rFonts w:hint="default" w:ascii="Times New Roman" w:hAnsi="Times New Roman" w:eastAsia="宋体" w:cs="Times New Roman"/>
                <w:b/>
                <w:color w:val="auto"/>
                <w:kern w:val="2"/>
                <w:sz w:val="24"/>
                <w:szCs w:val="24"/>
                <w:highlight w:val="none"/>
                <w:lang w:val="en-US" w:eastAsia="zh-CN"/>
              </w:rPr>
              <w:t>4-10  项目废水产排情况一览表</w:t>
            </w:r>
          </w:p>
          <w:tbl>
            <w:tblPr>
              <w:tblStyle w:val="23"/>
              <w:tblW w:w="8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
              <w:gridCol w:w="1704"/>
              <w:gridCol w:w="831"/>
              <w:gridCol w:w="990"/>
              <w:gridCol w:w="855"/>
              <w:gridCol w:w="998"/>
              <w:gridCol w:w="1213"/>
              <w:gridCol w:w="984"/>
            </w:tblGrid>
            <w:tr w14:paraId="5FDAB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48" w:type="dxa"/>
                  <w:gridSpan w:val="2"/>
                  <w:noWrap w:val="0"/>
                  <w:vAlign w:val="center"/>
                </w:tcPr>
                <w:p w14:paraId="6E14AD7D">
                  <w:pPr>
                    <w:spacing w:line="240" w:lineRule="auto"/>
                    <w:jc w:val="center"/>
                    <w:rPr>
                      <w:rFonts w:hint="eastAsia" w:ascii="Times New Roman" w:hAnsi="Times New Roman" w:eastAsia="宋体" w:cs="Times New Roman"/>
                      <w:b/>
                      <w:bCs/>
                      <w:spacing w:val="6"/>
                      <w:sz w:val="21"/>
                      <w:szCs w:val="21"/>
                      <w:highlight w:val="none"/>
                      <w:vertAlign w:val="baseline"/>
                      <w:lang w:eastAsia="zh-CN"/>
                    </w:rPr>
                  </w:pPr>
                  <w:r>
                    <w:rPr>
                      <w:rFonts w:hint="eastAsia" w:ascii="Times New Roman" w:hAnsi="Times New Roman" w:eastAsia="宋体" w:cs="Times New Roman"/>
                      <w:b/>
                      <w:bCs/>
                      <w:spacing w:val="6"/>
                      <w:sz w:val="21"/>
                      <w:szCs w:val="21"/>
                      <w:highlight w:val="none"/>
                      <w:vertAlign w:val="baseline"/>
                      <w:lang w:eastAsia="zh-CN"/>
                    </w:rPr>
                    <w:t>名称</w:t>
                  </w:r>
                </w:p>
              </w:tc>
              <w:tc>
                <w:tcPr>
                  <w:tcW w:w="831" w:type="dxa"/>
                  <w:noWrap w:val="0"/>
                  <w:vAlign w:val="center"/>
                </w:tcPr>
                <w:p w14:paraId="36D9ADB0">
                  <w:pPr>
                    <w:pStyle w:val="43"/>
                    <w:spacing w:before="24" w:after="24" w:line="240" w:lineRule="auto"/>
                    <w:rPr>
                      <w:rFonts w:hint="eastAsia" w:ascii="Times New Roman" w:hAnsi="Times New Roman"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rPr>
                    <w:t>废水量t/a</w:t>
                  </w:r>
                </w:p>
              </w:tc>
              <w:tc>
                <w:tcPr>
                  <w:tcW w:w="990" w:type="dxa"/>
                  <w:noWrap w:val="0"/>
                  <w:vAlign w:val="center"/>
                </w:tcPr>
                <w:p w14:paraId="1E14C97D">
                  <w:pPr>
                    <w:pStyle w:val="43"/>
                    <w:spacing w:before="24" w:after="24" w:line="240" w:lineRule="auto"/>
                    <w:rPr>
                      <w:rFonts w:hint="eastAsia" w:ascii="Times New Roman" w:hAnsi="Times New Roman" w:cs="Times New Roman"/>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rPr>
                    <w:t>COD</w:t>
                  </w:r>
                </w:p>
              </w:tc>
              <w:tc>
                <w:tcPr>
                  <w:tcW w:w="855" w:type="dxa"/>
                  <w:noWrap w:val="0"/>
                  <w:vAlign w:val="center"/>
                </w:tcPr>
                <w:p w14:paraId="2C53E24E">
                  <w:pPr>
                    <w:pStyle w:val="43"/>
                    <w:spacing w:before="24" w:after="24" w:line="240" w:lineRule="auto"/>
                    <w:rPr>
                      <w:rFonts w:hint="eastAsia" w:ascii="Times New Roman" w:hAnsi="Times New Roman"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rPr>
                    <w:t>BOD</w:t>
                  </w:r>
                  <w:r>
                    <w:rPr>
                      <w:rFonts w:hint="default" w:ascii="Times New Roman" w:hAnsi="Times New Roman" w:cs="Times New Roman"/>
                      <w:b/>
                      <w:bCs/>
                      <w:color w:val="auto"/>
                      <w:sz w:val="21"/>
                      <w:szCs w:val="21"/>
                      <w:highlight w:val="none"/>
                      <w:vertAlign w:val="subscript"/>
                    </w:rPr>
                    <w:t>5</w:t>
                  </w:r>
                </w:p>
              </w:tc>
              <w:tc>
                <w:tcPr>
                  <w:tcW w:w="998" w:type="dxa"/>
                  <w:noWrap w:val="0"/>
                  <w:vAlign w:val="center"/>
                </w:tcPr>
                <w:p w14:paraId="47CCD16B">
                  <w:pPr>
                    <w:pStyle w:val="43"/>
                    <w:spacing w:before="24" w:after="24" w:line="240" w:lineRule="auto"/>
                    <w:rPr>
                      <w:rFonts w:hint="eastAsia" w:ascii="Times New Roman" w:hAnsi="Times New Roman"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rPr>
                    <w:t>SS</w:t>
                  </w:r>
                </w:p>
              </w:tc>
              <w:tc>
                <w:tcPr>
                  <w:tcW w:w="1213" w:type="dxa"/>
                  <w:noWrap w:val="0"/>
                  <w:vAlign w:val="center"/>
                </w:tcPr>
                <w:p w14:paraId="4C0EA9A1">
                  <w:pPr>
                    <w:pStyle w:val="43"/>
                    <w:spacing w:before="24" w:after="24" w:line="240" w:lineRule="auto"/>
                    <w:rPr>
                      <w:rFonts w:hint="eastAsia" w:ascii="Times New Roman" w:hAnsi="Times New Roman"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rPr>
                    <w:t>NH</w:t>
                  </w:r>
                  <w:r>
                    <w:rPr>
                      <w:rFonts w:hint="default" w:ascii="Times New Roman" w:hAnsi="Times New Roman" w:cs="Times New Roman"/>
                      <w:b/>
                      <w:bCs/>
                      <w:color w:val="auto"/>
                      <w:sz w:val="21"/>
                      <w:szCs w:val="21"/>
                      <w:highlight w:val="none"/>
                      <w:vertAlign w:val="subscript"/>
                    </w:rPr>
                    <w:t>3-</w:t>
                  </w:r>
                  <w:r>
                    <w:rPr>
                      <w:rFonts w:hint="default" w:ascii="Times New Roman" w:hAnsi="Times New Roman" w:cs="Times New Roman"/>
                      <w:b/>
                      <w:bCs/>
                      <w:color w:val="auto"/>
                      <w:sz w:val="21"/>
                      <w:szCs w:val="21"/>
                      <w:highlight w:val="none"/>
                    </w:rPr>
                    <w:t>N</w:t>
                  </w:r>
                </w:p>
              </w:tc>
              <w:tc>
                <w:tcPr>
                  <w:tcW w:w="984" w:type="dxa"/>
                  <w:noWrap w:val="0"/>
                  <w:vAlign w:val="center"/>
                </w:tcPr>
                <w:p w14:paraId="05948D8B">
                  <w:pPr>
                    <w:pStyle w:val="43"/>
                    <w:spacing w:before="24" w:after="24" w:line="240" w:lineRule="auto"/>
                    <w:rPr>
                      <w:rFonts w:hint="eastAsia" w:ascii="Times New Roman" w:hAnsi="Times New Roman" w:eastAsia="宋体" w:cs="Times New Roman"/>
                      <w:b/>
                      <w:bCs/>
                      <w:color w:val="auto"/>
                      <w:kern w:val="0"/>
                      <w:sz w:val="21"/>
                      <w:szCs w:val="21"/>
                      <w:highlight w:val="none"/>
                      <w:lang w:val="en-US" w:eastAsia="zh-CN" w:bidi="ar-SA"/>
                    </w:rPr>
                  </w:pPr>
                  <w:r>
                    <w:rPr>
                      <w:rFonts w:hint="eastAsia" w:ascii="Times New Roman" w:hAnsi="Times New Roman" w:cs="Times New Roman"/>
                      <w:b/>
                      <w:bCs/>
                      <w:color w:val="auto"/>
                      <w:sz w:val="21"/>
                      <w:szCs w:val="21"/>
                      <w:highlight w:val="none"/>
                      <w:lang w:val="en-US" w:eastAsia="zh-CN"/>
                    </w:rPr>
                    <w:t>TP</w:t>
                  </w:r>
                </w:p>
              </w:tc>
            </w:tr>
            <w:tr w14:paraId="2F9B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dxa"/>
                  <w:vMerge w:val="restart"/>
                  <w:noWrap w:val="0"/>
                  <w:vAlign w:val="center"/>
                </w:tcPr>
                <w:p w14:paraId="35D8A2C7">
                  <w:pPr>
                    <w:adjustRightInd w:val="0"/>
                    <w:snapToGrid w:val="0"/>
                    <w:spacing w:line="240" w:lineRule="auto"/>
                    <w:jc w:val="center"/>
                    <w:rPr>
                      <w:rFonts w:hint="eastAsia" w:ascii="Times New Roman" w:hAnsi="Times New Roman" w:eastAsia="宋体" w:cs="Times New Roman"/>
                      <w:spacing w:val="6"/>
                      <w:sz w:val="21"/>
                      <w:szCs w:val="21"/>
                      <w:highlight w:val="none"/>
                      <w:vertAlign w:val="baseline"/>
                      <w:lang w:eastAsia="zh-CN"/>
                    </w:rPr>
                  </w:pPr>
                  <w:r>
                    <w:rPr>
                      <w:rFonts w:hint="default" w:ascii="Times New Roman" w:hAnsi="Times New Roman" w:cs="Times New Roman"/>
                      <w:bCs/>
                      <w:color w:val="auto"/>
                      <w:sz w:val="21"/>
                      <w:szCs w:val="21"/>
                      <w:highlight w:val="none"/>
                    </w:rPr>
                    <w:t>生活污水</w:t>
                  </w:r>
                </w:p>
              </w:tc>
              <w:tc>
                <w:tcPr>
                  <w:tcW w:w="1704" w:type="dxa"/>
                  <w:noWrap w:val="0"/>
                  <w:vAlign w:val="center"/>
                </w:tcPr>
                <w:p w14:paraId="41B08DC4">
                  <w:pPr>
                    <w:adjustRightInd w:val="0"/>
                    <w:snapToGrid w:val="0"/>
                    <w:spacing w:line="240" w:lineRule="auto"/>
                    <w:jc w:val="center"/>
                    <w:rPr>
                      <w:rFonts w:hint="eastAsia" w:ascii="Times New Roman" w:hAnsi="Times New Roman" w:cs="Times New Roman"/>
                      <w:color w:val="auto"/>
                      <w:kern w:val="2"/>
                      <w:sz w:val="21"/>
                      <w:szCs w:val="21"/>
                      <w:highlight w:val="none"/>
                      <w:lang w:val="en-US" w:eastAsia="zh-CN" w:bidi="ar-SA"/>
                    </w:rPr>
                  </w:pPr>
                  <w:r>
                    <w:rPr>
                      <w:rFonts w:hint="default" w:ascii="Times New Roman" w:hAnsi="Times New Roman" w:eastAsia="宋体" w:cs="Times New Roman"/>
                      <w:color w:val="auto"/>
                      <w:spacing w:val="-8"/>
                      <w:kern w:val="0"/>
                      <w:sz w:val="21"/>
                      <w:szCs w:val="21"/>
                      <w:highlight w:val="none"/>
                      <w:lang w:val="en-US" w:eastAsia="zh-CN" w:bidi="ar-SA"/>
                    </w:rPr>
                    <w:t>产生浓度（mg/L）</w:t>
                  </w:r>
                </w:p>
              </w:tc>
              <w:tc>
                <w:tcPr>
                  <w:tcW w:w="831" w:type="dxa"/>
                  <w:vMerge w:val="restart"/>
                  <w:shd w:val="clear" w:color="auto" w:fill="auto"/>
                  <w:noWrap w:val="0"/>
                  <w:vAlign w:val="center"/>
                </w:tcPr>
                <w:p w14:paraId="5D84488D">
                  <w:pPr>
                    <w:spacing w:line="240" w:lineRule="auto"/>
                    <w:jc w:val="center"/>
                    <w:rPr>
                      <w:rFonts w:hint="default" w:ascii="Times New Roman" w:hAnsi="Times New Roman" w:eastAsia="宋体" w:cs="Times New Roman"/>
                      <w:spacing w:val="6"/>
                      <w:sz w:val="21"/>
                      <w:szCs w:val="21"/>
                      <w:highlight w:val="none"/>
                      <w:vertAlign w:val="baseline"/>
                      <w:lang w:val="en-US" w:eastAsia="zh-CN"/>
                    </w:rPr>
                  </w:pPr>
                  <w:r>
                    <w:rPr>
                      <w:rFonts w:hint="eastAsia" w:cs="Times New Roman"/>
                      <w:spacing w:val="6"/>
                      <w:sz w:val="21"/>
                      <w:szCs w:val="21"/>
                      <w:highlight w:val="none"/>
                      <w:vertAlign w:val="baseline"/>
                      <w:lang w:val="en-US" w:eastAsia="zh-CN"/>
                    </w:rPr>
                    <w:t>1224</w:t>
                  </w:r>
                </w:p>
              </w:tc>
              <w:tc>
                <w:tcPr>
                  <w:tcW w:w="990" w:type="dxa"/>
                  <w:shd w:val="clear" w:color="auto" w:fill="auto"/>
                  <w:noWrap w:val="0"/>
                  <w:vAlign w:val="center"/>
                </w:tcPr>
                <w:p w14:paraId="312E3504">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sz w:val="21"/>
                      <w:szCs w:val="21"/>
                      <w:highlight w:val="none"/>
                      <w:vertAlign w:val="baseline"/>
                      <w:lang w:val="en-US" w:eastAsia="zh-CN"/>
                    </w:rPr>
                    <w:t>300</w:t>
                  </w:r>
                </w:p>
              </w:tc>
              <w:tc>
                <w:tcPr>
                  <w:tcW w:w="855" w:type="dxa"/>
                  <w:shd w:val="clear" w:color="auto" w:fill="auto"/>
                  <w:noWrap w:val="0"/>
                  <w:vAlign w:val="center"/>
                </w:tcPr>
                <w:p w14:paraId="1471BE30">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sz w:val="21"/>
                      <w:szCs w:val="21"/>
                      <w:highlight w:val="none"/>
                      <w:vertAlign w:val="baseline"/>
                      <w:lang w:val="en-US" w:eastAsia="zh-CN"/>
                    </w:rPr>
                    <w:t>200</w:t>
                  </w:r>
                </w:p>
              </w:tc>
              <w:tc>
                <w:tcPr>
                  <w:tcW w:w="998" w:type="dxa"/>
                  <w:shd w:val="clear" w:color="auto" w:fill="auto"/>
                  <w:noWrap w:val="0"/>
                  <w:vAlign w:val="center"/>
                </w:tcPr>
                <w:p w14:paraId="2E934D77">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sz w:val="21"/>
                      <w:szCs w:val="21"/>
                      <w:highlight w:val="none"/>
                      <w:vertAlign w:val="baseline"/>
                      <w:lang w:val="en-US" w:eastAsia="zh-CN"/>
                    </w:rPr>
                    <w:t>200</w:t>
                  </w:r>
                </w:p>
              </w:tc>
              <w:tc>
                <w:tcPr>
                  <w:tcW w:w="1213" w:type="dxa"/>
                  <w:shd w:val="clear" w:color="auto" w:fill="auto"/>
                  <w:noWrap w:val="0"/>
                  <w:vAlign w:val="center"/>
                </w:tcPr>
                <w:p w14:paraId="7DB61C16">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sz w:val="21"/>
                      <w:szCs w:val="21"/>
                      <w:highlight w:val="none"/>
                      <w:vertAlign w:val="baseline"/>
                      <w:lang w:val="en-US" w:eastAsia="zh-CN"/>
                    </w:rPr>
                    <w:t>30</w:t>
                  </w:r>
                </w:p>
              </w:tc>
              <w:tc>
                <w:tcPr>
                  <w:tcW w:w="984" w:type="dxa"/>
                  <w:shd w:val="clear" w:color="auto" w:fill="auto"/>
                  <w:noWrap w:val="0"/>
                  <w:vAlign w:val="center"/>
                </w:tcPr>
                <w:p w14:paraId="08996944">
                  <w:pPr>
                    <w:spacing w:line="240" w:lineRule="auto"/>
                    <w:jc w:val="center"/>
                    <w:rPr>
                      <w:rFonts w:hint="eastAsia"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sz w:val="21"/>
                      <w:szCs w:val="21"/>
                      <w:highlight w:val="none"/>
                      <w:vertAlign w:val="baseline"/>
                      <w:lang w:val="en-US" w:eastAsia="zh-CN"/>
                    </w:rPr>
                    <w:t>4</w:t>
                  </w:r>
                </w:p>
              </w:tc>
            </w:tr>
            <w:tr w14:paraId="1CD2D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dxa"/>
                  <w:vMerge w:val="continue"/>
                  <w:noWrap w:val="0"/>
                  <w:vAlign w:val="center"/>
                </w:tcPr>
                <w:p w14:paraId="35D12F47">
                  <w:pPr>
                    <w:spacing w:line="240" w:lineRule="auto"/>
                    <w:jc w:val="center"/>
                    <w:rPr>
                      <w:rFonts w:hint="eastAsia" w:ascii="Times New Roman" w:hAnsi="Times New Roman" w:eastAsia="宋体" w:cs="Times New Roman"/>
                      <w:spacing w:val="6"/>
                      <w:sz w:val="21"/>
                      <w:szCs w:val="21"/>
                      <w:highlight w:val="none"/>
                      <w:vertAlign w:val="baseline"/>
                      <w:lang w:eastAsia="zh-CN"/>
                    </w:rPr>
                  </w:pPr>
                </w:p>
              </w:tc>
              <w:tc>
                <w:tcPr>
                  <w:tcW w:w="1704" w:type="dxa"/>
                  <w:noWrap w:val="0"/>
                  <w:vAlign w:val="center"/>
                </w:tcPr>
                <w:p w14:paraId="1B3BBBE9">
                  <w:pPr>
                    <w:pStyle w:val="43"/>
                    <w:spacing w:before="24" w:after="24" w:line="240" w:lineRule="auto"/>
                    <w:rPr>
                      <w:rFonts w:hint="eastAsia" w:ascii="Times New Roman" w:hAnsi="Times New Roman" w:cs="Times New Roman"/>
                      <w:color w:val="auto"/>
                      <w:kern w:val="0"/>
                      <w:sz w:val="21"/>
                      <w:szCs w:val="21"/>
                      <w:highlight w:val="none"/>
                      <w:lang w:val="en-US" w:eastAsia="zh-CN" w:bidi="ar-SA"/>
                    </w:rPr>
                  </w:pPr>
                  <w:r>
                    <w:rPr>
                      <w:rFonts w:hint="default" w:ascii="Times New Roman" w:hAnsi="Times New Roman" w:cs="Times New Roman"/>
                      <w:color w:val="auto"/>
                      <w:spacing w:val="-8"/>
                      <w:sz w:val="21"/>
                      <w:szCs w:val="21"/>
                      <w:highlight w:val="none"/>
                    </w:rPr>
                    <w:t>排放浓度</w:t>
                  </w:r>
                  <w:r>
                    <w:rPr>
                      <w:rFonts w:hint="default" w:ascii="Times New Roman" w:hAnsi="Times New Roman" w:cs="Times New Roman"/>
                      <w:color w:val="auto"/>
                      <w:sz w:val="21"/>
                      <w:szCs w:val="21"/>
                      <w:highlight w:val="none"/>
                    </w:rPr>
                    <w:t>（mg/L）</w:t>
                  </w:r>
                </w:p>
              </w:tc>
              <w:tc>
                <w:tcPr>
                  <w:tcW w:w="831" w:type="dxa"/>
                  <w:vMerge w:val="continue"/>
                  <w:noWrap w:val="0"/>
                  <w:vAlign w:val="center"/>
                </w:tcPr>
                <w:p w14:paraId="6457102D">
                  <w:pPr>
                    <w:spacing w:line="240" w:lineRule="auto"/>
                    <w:jc w:val="center"/>
                    <w:rPr>
                      <w:rFonts w:hint="eastAsia" w:ascii="Times New Roman" w:hAnsi="Times New Roman" w:eastAsia="宋体" w:cs="Times New Roman"/>
                      <w:spacing w:val="6"/>
                      <w:sz w:val="21"/>
                      <w:szCs w:val="21"/>
                      <w:highlight w:val="none"/>
                      <w:vertAlign w:val="baseline"/>
                      <w:lang w:eastAsia="zh-CN"/>
                    </w:rPr>
                  </w:pPr>
                </w:p>
              </w:tc>
              <w:tc>
                <w:tcPr>
                  <w:tcW w:w="990" w:type="dxa"/>
                  <w:shd w:val="clear" w:color="auto" w:fill="auto"/>
                  <w:noWrap w:val="0"/>
                  <w:vAlign w:val="center"/>
                </w:tcPr>
                <w:p w14:paraId="0A25AA84">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sz w:val="21"/>
                      <w:szCs w:val="21"/>
                      <w:highlight w:val="none"/>
                      <w:vertAlign w:val="baseline"/>
                      <w:lang w:val="en-US" w:eastAsia="zh-CN"/>
                    </w:rPr>
                    <w:t>210</w:t>
                  </w:r>
                </w:p>
              </w:tc>
              <w:tc>
                <w:tcPr>
                  <w:tcW w:w="855" w:type="dxa"/>
                  <w:shd w:val="clear" w:color="auto" w:fill="auto"/>
                  <w:noWrap w:val="0"/>
                  <w:vAlign w:val="center"/>
                </w:tcPr>
                <w:p w14:paraId="77C5DDAB">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sz w:val="21"/>
                      <w:szCs w:val="21"/>
                      <w:highlight w:val="none"/>
                      <w:vertAlign w:val="baseline"/>
                      <w:lang w:val="en-US" w:eastAsia="zh-CN"/>
                    </w:rPr>
                    <w:t>1</w:t>
                  </w:r>
                  <w:r>
                    <w:rPr>
                      <w:rFonts w:hint="eastAsia" w:cs="Times New Roman"/>
                      <w:spacing w:val="6"/>
                      <w:sz w:val="21"/>
                      <w:szCs w:val="21"/>
                      <w:highlight w:val="none"/>
                      <w:vertAlign w:val="baseline"/>
                      <w:lang w:val="en-US" w:eastAsia="zh-CN"/>
                    </w:rPr>
                    <w:t>40</w:t>
                  </w:r>
                </w:p>
              </w:tc>
              <w:tc>
                <w:tcPr>
                  <w:tcW w:w="998" w:type="dxa"/>
                  <w:shd w:val="clear" w:color="auto" w:fill="auto"/>
                  <w:noWrap w:val="0"/>
                  <w:vAlign w:val="center"/>
                </w:tcPr>
                <w:p w14:paraId="11D53AC6">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sz w:val="21"/>
                      <w:szCs w:val="21"/>
                      <w:highlight w:val="none"/>
                      <w:vertAlign w:val="baseline"/>
                      <w:lang w:val="en-US" w:eastAsia="zh-CN"/>
                    </w:rPr>
                    <w:t>120</w:t>
                  </w:r>
                </w:p>
              </w:tc>
              <w:tc>
                <w:tcPr>
                  <w:tcW w:w="1213" w:type="dxa"/>
                  <w:shd w:val="clear" w:color="auto" w:fill="auto"/>
                  <w:noWrap w:val="0"/>
                  <w:vAlign w:val="center"/>
                </w:tcPr>
                <w:p w14:paraId="223B184D">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sz w:val="21"/>
                      <w:szCs w:val="21"/>
                      <w:highlight w:val="none"/>
                      <w:vertAlign w:val="baseline"/>
                      <w:lang w:val="en-US" w:eastAsia="zh-CN"/>
                    </w:rPr>
                    <w:t>27</w:t>
                  </w:r>
                </w:p>
              </w:tc>
              <w:tc>
                <w:tcPr>
                  <w:tcW w:w="984" w:type="dxa"/>
                  <w:shd w:val="clear" w:color="auto" w:fill="auto"/>
                  <w:noWrap w:val="0"/>
                  <w:vAlign w:val="center"/>
                </w:tcPr>
                <w:p w14:paraId="195D6A91">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sz w:val="21"/>
                      <w:szCs w:val="21"/>
                      <w:highlight w:val="none"/>
                      <w:vertAlign w:val="baseline"/>
                      <w:lang w:val="en-US" w:eastAsia="zh-CN"/>
                    </w:rPr>
                    <w:t>2.7</w:t>
                  </w:r>
                </w:p>
              </w:tc>
            </w:tr>
            <w:tr w14:paraId="5FF3D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dxa"/>
                  <w:vMerge w:val="continue"/>
                  <w:noWrap w:val="0"/>
                  <w:vAlign w:val="center"/>
                </w:tcPr>
                <w:p w14:paraId="0DEFF696">
                  <w:pPr>
                    <w:spacing w:line="240" w:lineRule="auto"/>
                    <w:jc w:val="center"/>
                    <w:rPr>
                      <w:rFonts w:hint="eastAsia" w:ascii="Times New Roman" w:hAnsi="Times New Roman" w:eastAsia="宋体" w:cs="Times New Roman"/>
                      <w:spacing w:val="6"/>
                      <w:sz w:val="21"/>
                      <w:szCs w:val="21"/>
                      <w:highlight w:val="none"/>
                      <w:vertAlign w:val="baseline"/>
                      <w:lang w:eastAsia="zh-CN"/>
                    </w:rPr>
                  </w:pPr>
                </w:p>
              </w:tc>
              <w:tc>
                <w:tcPr>
                  <w:tcW w:w="1704" w:type="dxa"/>
                  <w:noWrap w:val="0"/>
                  <w:vAlign w:val="center"/>
                </w:tcPr>
                <w:p w14:paraId="11697E19">
                  <w:pPr>
                    <w:pStyle w:val="43"/>
                    <w:spacing w:before="24" w:after="24" w:line="240" w:lineRule="auto"/>
                    <w:rPr>
                      <w:rFonts w:hint="eastAsia" w:ascii="Times New Roman" w:hAnsi="Times New Roman" w:eastAsia="宋体" w:cs="Times New Roman"/>
                      <w:color w:val="auto"/>
                      <w:spacing w:val="-8"/>
                      <w:kern w:val="0"/>
                      <w:sz w:val="21"/>
                      <w:szCs w:val="21"/>
                      <w:highlight w:val="none"/>
                      <w:lang w:val="en-US" w:eastAsia="zh-CN" w:bidi="ar-SA"/>
                    </w:rPr>
                  </w:pPr>
                  <w:r>
                    <w:rPr>
                      <w:rFonts w:hint="eastAsia" w:ascii="Times New Roman" w:hAnsi="Times New Roman" w:cs="Times New Roman"/>
                      <w:color w:val="auto"/>
                      <w:spacing w:val="-8"/>
                      <w:sz w:val="21"/>
                      <w:szCs w:val="21"/>
                      <w:highlight w:val="none"/>
                      <w:lang w:val="en-US" w:eastAsia="zh-CN"/>
                    </w:rPr>
                    <w:t>削减量（t/a）</w:t>
                  </w:r>
                </w:p>
              </w:tc>
              <w:tc>
                <w:tcPr>
                  <w:tcW w:w="831" w:type="dxa"/>
                  <w:vMerge w:val="continue"/>
                  <w:noWrap w:val="0"/>
                  <w:vAlign w:val="center"/>
                </w:tcPr>
                <w:p w14:paraId="3DB9A0D9">
                  <w:pPr>
                    <w:spacing w:line="240" w:lineRule="auto"/>
                    <w:jc w:val="center"/>
                    <w:rPr>
                      <w:rFonts w:hint="eastAsia" w:ascii="Times New Roman" w:hAnsi="Times New Roman" w:eastAsia="宋体" w:cs="Times New Roman"/>
                      <w:spacing w:val="6"/>
                      <w:sz w:val="21"/>
                      <w:szCs w:val="21"/>
                      <w:highlight w:val="none"/>
                      <w:vertAlign w:val="baseline"/>
                      <w:lang w:eastAsia="zh-CN"/>
                    </w:rPr>
                  </w:pPr>
                </w:p>
              </w:tc>
              <w:tc>
                <w:tcPr>
                  <w:tcW w:w="990" w:type="dxa"/>
                  <w:shd w:val="clear" w:color="auto" w:fill="auto"/>
                  <w:noWrap w:val="0"/>
                  <w:vAlign w:val="center"/>
                </w:tcPr>
                <w:p w14:paraId="75085ABF">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sz w:val="21"/>
                      <w:szCs w:val="21"/>
                      <w:highlight w:val="none"/>
                      <w:vertAlign w:val="baseline"/>
                      <w:lang w:val="en-US" w:eastAsia="zh-CN"/>
                    </w:rPr>
                    <w:t>0.110</w:t>
                  </w:r>
                </w:p>
              </w:tc>
              <w:tc>
                <w:tcPr>
                  <w:tcW w:w="855" w:type="dxa"/>
                  <w:shd w:val="clear" w:color="auto" w:fill="auto"/>
                  <w:noWrap w:val="0"/>
                  <w:vAlign w:val="center"/>
                </w:tcPr>
                <w:p w14:paraId="29F6C51A">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kern w:val="2"/>
                      <w:sz w:val="21"/>
                      <w:szCs w:val="21"/>
                      <w:highlight w:val="none"/>
                      <w:vertAlign w:val="baseline"/>
                      <w:lang w:val="en-US" w:eastAsia="zh-CN" w:bidi="ar-SA"/>
                    </w:rPr>
                    <w:t>0.073</w:t>
                  </w:r>
                </w:p>
              </w:tc>
              <w:tc>
                <w:tcPr>
                  <w:tcW w:w="998" w:type="dxa"/>
                  <w:shd w:val="clear" w:color="auto" w:fill="auto"/>
                  <w:noWrap w:val="0"/>
                  <w:vAlign w:val="center"/>
                </w:tcPr>
                <w:p w14:paraId="29BECB35">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kern w:val="2"/>
                      <w:sz w:val="21"/>
                      <w:szCs w:val="21"/>
                      <w:highlight w:val="none"/>
                      <w:vertAlign w:val="baseline"/>
                      <w:lang w:val="en-US" w:eastAsia="zh-CN" w:bidi="ar-SA"/>
                    </w:rPr>
                    <w:t>0.100</w:t>
                  </w:r>
                </w:p>
              </w:tc>
              <w:tc>
                <w:tcPr>
                  <w:tcW w:w="1213" w:type="dxa"/>
                  <w:shd w:val="clear" w:color="auto" w:fill="auto"/>
                  <w:noWrap w:val="0"/>
                  <w:vAlign w:val="center"/>
                </w:tcPr>
                <w:p w14:paraId="5DF43E85">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kern w:val="2"/>
                      <w:sz w:val="21"/>
                      <w:szCs w:val="21"/>
                      <w:highlight w:val="none"/>
                      <w:vertAlign w:val="baseline"/>
                      <w:lang w:val="en-US" w:eastAsia="zh-CN" w:bidi="ar-SA"/>
                    </w:rPr>
                    <w:t>0.004</w:t>
                  </w:r>
                </w:p>
              </w:tc>
              <w:tc>
                <w:tcPr>
                  <w:tcW w:w="984" w:type="dxa"/>
                  <w:shd w:val="clear" w:color="auto" w:fill="auto"/>
                  <w:noWrap w:val="0"/>
                  <w:vAlign w:val="center"/>
                </w:tcPr>
                <w:p w14:paraId="10186795">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kern w:val="2"/>
                      <w:sz w:val="21"/>
                      <w:szCs w:val="21"/>
                      <w:highlight w:val="none"/>
                      <w:vertAlign w:val="baseline"/>
                      <w:lang w:val="en-US" w:eastAsia="zh-CN" w:bidi="ar-SA"/>
                    </w:rPr>
                    <w:t>0.0016</w:t>
                  </w:r>
                </w:p>
              </w:tc>
            </w:tr>
            <w:tr w14:paraId="31D31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dxa"/>
                  <w:vMerge w:val="continue"/>
                  <w:noWrap w:val="0"/>
                  <w:vAlign w:val="center"/>
                </w:tcPr>
                <w:p w14:paraId="66929062">
                  <w:pPr>
                    <w:spacing w:line="240" w:lineRule="auto"/>
                    <w:jc w:val="center"/>
                    <w:rPr>
                      <w:rFonts w:hint="eastAsia" w:ascii="Times New Roman" w:hAnsi="Times New Roman" w:eastAsia="宋体" w:cs="Times New Roman"/>
                      <w:spacing w:val="6"/>
                      <w:sz w:val="21"/>
                      <w:szCs w:val="21"/>
                      <w:highlight w:val="none"/>
                      <w:vertAlign w:val="baseline"/>
                      <w:lang w:eastAsia="zh-CN"/>
                    </w:rPr>
                  </w:pPr>
                </w:p>
              </w:tc>
              <w:tc>
                <w:tcPr>
                  <w:tcW w:w="1704" w:type="dxa"/>
                  <w:noWrap w:val="0"/>
                  <w:vAlign w:val="center"/>
                </w:tcPr>
                <w:p w14:paraId="1F5E152C">
                  <w:pPr>
                    <w:pStyle w:val="43"/>
                    <w:spacing w:before="24" w:after="24" w:line="240" w:lineRule="auto"/>
                    <w:rPr>
                      <w:rFonts w:hint="eastAsia" w:ascii="Times New Roman" w:hAnsi="Times New Roman" w:eastAsia="宋体" w:cs="Times New Roman"/>
                      <w:color w:val="auto"/>
                      <w:spacing w:val="-8"/>
                      <w:kern w:val="0"/>
                      <w:sz w:val="21"/>
                      <w:szCs w:val="21"/>
                      <w:highlight w:val="none"/>
                      <w:lang w:val="en-US" w:eastAsia="zh-CN" w:bidi="ar-SA"/>
                    </w:rPr>
                  </w:pPr>
                  <w:r>
                    <w:rPr>
                      <w:rFonts w:hint="eastAsia" w:ascii="Times New Roman" w:hAnsi="Times New Roman" w:cs="Times New Roman"/>
                      <w:color w:val="auto"/>
                      <w:spacing w:val="-8"/>
                      <w:sz w:val="21"/>
                      <w:szCs w:val="21"/>
                      <w:highlight w:val="none"/>
                      <w:lang w:val="en-US" w:eastAsia="zh-CN"/>
                    </w:rPr>
                    <w:t>接管量（t/a）</w:t>
                  </w:r>
                </w:p>
              </w:tc>
              <w:tc>
                <w:tcPr>
                  <w:tcW w:w="831" w:type="dxa"/>
                  <w:vMerge w:val="continue"/>
                  <w:noWrap w:val="0"/>
                  <w:vAlign w:val="center"/>
                </w:tcPr>
                <w:p w14:paraId="15C37626">
                  <w:pPr>
                    <w:spacing w:line="240" w:lineRule="auto"/>
                    <w:jc w:val="center"/>
                    <w:rPr>
                      <w:rFonts w:hint="eastAsia" w:ascii="Times New Roman" w:hAnsi="Times New Roman" w:eastAsia="宋体" w:cs="Times New Roman"/>
                      <w:spacing w:val="6"/>
                      <w:kern w:val="2"/>
                      <w:sz w:val="21"/>
                      <w:szCs w:val="21"/>
                      <w:highlight w:val="none"/>
                      <w:vertAlign w:val="baseline"/>
                      <w:lang w:val="en-US" w:eastAsia="zh-CN" w:bidi="ar-SA"/>
                    </w:rPr>
                  </w:pPr>
                </w:p>
              </w:tc>
              <w:tc>
                <w:tcPr>
                  <w:tcW w:w="990" w:type="dxa"/>
                  <w:shd w:val="clear" w:color="auto" w:fill="auto"/>
                  <w:noWrap w:val="0"/>
                  <w:vAlign w:val="center"/>
                </w:tcPr>
                <w:p w14:paraId="3CFA4A80">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ascii="Times New Roman" w:hAnsi="Times New Roman" w:eastAsia="宋体" w:cs="Times New Roman"/>
                      <w:spacing w:val="6"/>
                      <w:kern w:val="2"/>
                      <w:sz w:val="21"/>
                      <w:szCs w:val="21"/>
                      <w:highlight w:val="none"/>
                      <w:vertAlign w:val="baseline"/>
                      <w:lang w:val="en-US" w:eastAsia="zh-CN" w:bidi="ar-SA"/>
                    </w:rPr>
                    <w:t>0.</w:t>
                  </w:r>
                  <w:r>
                    <w:rPr>
                      <w:rFonts w:hint="eastAsia" w:cs="Times New Roman"/>
                      <w:spacing w:val="6"/>
                      <w:kern w:val="2"/>
                      <w:sz w:val="21"/>
                      <w:szCs w:val="21"/>
                      <w:highlight w:val="none"/>
                      <w:vertAlign w:val="baseline"/>
                      <w:lang w:val="en-US" w:eastAsia="zh-CN" w:bidi="ar-SA"/>
                    </w:rPr>
                    <w:t>257</w:t>
                  </w:r>
                </w:p>
              </w:tc>
              <w:tc>
                <w:tcPr>
                  <w:tcW w:w="855" w:type="dxa"/>
                  <w:shd w:val="clear" w:color="auto" w:fill="auto"/>
                  <w:noWrap w:val="0"/>
                  <w:vAlign w:val="center"/>
                </w:tcPr>
                <w:p w14:paraId="16A12908">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kern w:val="2"/>
                      <w:sz w:val="21"/>
                      <w:szCs w:val="21"/>
                      <w:highlight w:val="none"/>
                      <w:vertAlign w:val="baseline"/>
                      <w:lang w:val="en-US" w:eastAsia="zh-CN" w:bidi="ar-SA"/>
                    </w:rPr>
                    <w:t>0.171</w:t>
                  </w:r>
                </w:p>
              </w:tc>
              <w:tc>
                <w:tcPr>
                  <w:tcW w:w="998" w:type="dxa"/>
                  <w:shd w:val="clear" w:color="auto" w:fill="auto"/>
                  <w:noWrap w:val="0"/>
                  <w:vAlign w:val="center"/>
                </w:tcPr>
                <w:p w14:paraId="7D73CC50">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kern w:val="2"/>
                      <w:sz w:val="21"/>
                      <w:szCs w:val="21"/>
                      <w:highlight w:val="none"/>
                      <w:vertAlign w:val="baseline"/>
                      <w:lang w:val="en-US" w:eastAsia="zh-CN" w:bidi="ar-SA"/>
                    </w:rPr>
                    <w:t>0.147</w:t>
                  </w:r>
                </w:p>
              </w:tc>
              <w:tc>
                <w:tcPr>
                  <w:tcW w:w="1213" w:type="dxa"/>
                  <w:shd w:val="clear" w:color="auto" w:fill="auto"/>
                  <w:noWrap w:val="0"/>
                  <w:vAlign w:val="center"/>
                </w:tcPr>
                <w:p w14:paraId="6532CA30">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kern w:val="2"/>
                      <w:sz w:val="21"/>
                      <w:szCs w:val="21"/>
                      <w:highlight w:val="none"/>
                      <w:vertAlign w:val="baseline"/>
                      <w:lang w:val="en-US" w:eastAsia="zh-CN" w:bidi="ar-SA"/>
                    </w:rPr>
                    <w:t>0.033</w:t>
                  </w:r>
                </w:p>
              </w:tc>
              <w:tc>
                <w:tcPr>
                  <w:tcW w:w="984" w:type="dxa"/>
                  <w:shd w:val="clear" w:color="auto" w:fill="auto"/>
                  <w:noWrap w:val="0"/>
                  <w:vAlign w:val="center"/>
                </w:tcPr>
                <w:p w14:paraId="42F089E5">
                  <w:pPr>
                    <w:spacing w:line="240" w:lineRule="auto"/>
                    <w:jc w:val="center"/>
                    <w:rPr>
                      <w:rFonts w:hint="default" w:ascii="Times New Roman" w:hAnsi="Times New Roman" w:eastAsia="宋体" w:cs="Times New Roman"/>
                      <w:spacing w:val="6"/>
                      <w:kern w:val="2"/>
                      <w:sz w:val="21"/>
                      <w:szCs w:val="21"/>
                      <w:highlight w:val="none"/>
                      <w:vertAlign w:val="baseline"/>
                      <w:lang w:val="en-US" w:eastAsia="zh-CN" w:bidi="ar-SA"/>
                    </w:rPr>
                  </w:pPr>
                  <w:r>
                    <w:rPr>
                      <w:rFonts w:hint="eastAsia" w:cs="Times New Roman"/>
                      <w:spacing w:val="6"/>
                      <w:kern w:val="2"/>
                      <w:sz w:val="21"/>
                      <w:szCs w:val="21"/>
                      <w:highlight w:val="none"/>
                      <w:vertAlign w:val="baseline"/>
                      <w:lang w:val="en-US" w:eastAsia="zh-CN" w:bidi="ar-SA"/>
                    </w:rPr>
                    <w:t>0.0033</w:t>
                  </w:r>
                </w:p>
              </w:tc>
            </w:tr>
          </w:tbl>
          <w:p w14:paraId="543BEB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b/>
                <w:bCs/>
                <w:spacing w:val="6"/>
                <w:sz w:val="24"/>
                <w:szCs w:val="24"/>
                <w:highlight w:val="none"/>
                <w:lang w:eastAsia="zh-CN"/>
              </w:rPr>
            </w:pPr>
            <w:r>
              <w:rPr>
                <w:rFonts w:hint="eastAsia" w:ascii="Times New Roman" w:hAnsi="Times New Roman" w:eastAsia="宋体" w:cs="Times New Roman"/>
                <w:sz w:val="24"/>
                <w:szCs w:val="24"/>
                <w:highlight w:val="none"/>
                <w:lang w:val="en-US" w:eastAsia="zh-CN"/>
              </w:rPr>
              <w:t>同时，</w:t>
            </w:r>
            <w:r>
              <w:rPr>
                <w:rFonts w:hint="default" w:ascii="Times New Roman" w:hAnsi="Times New Roman" w:eastAsia="宋体" w:cs="Times New Roman"/>
                <w:sz w:val="24"/>
                <w:szCs w:val="24"/>
                <w:highlight w:val="none"/>
              </w:rPr>
              <w:t>结合《</w:t>
            </w:r>
            <w:r>
              <w:rPr>
                <w:rFonts w:hint="eastAsia" w:ascii="Times New Roman" w:hAnsi="Times New Roman" w:eastAsia="宋体" w:cs="Times New Roman"/>
                <w:sz w:val="24"/>
                <w:szCs w:val="24"/>
                <w:highlight w:val="none"/>
                <w:lang w:val="en-US" w:eastAsia="zh-CN"/>
              </w:rPr>
              <w:t>排污许可证申请与核发技术规范 电子工业</w:t>
            </w:r>
            <w:r>
              <w:rPr>
                <w:rFonts w:hint="default" w:ascii="Times New Roman" w:hAnsi="Times New Roman" w:eastAsia="宋体" w:cs="Times New Roman"/>
                <w:sz w:val="24"/>
                <w:szCs w:val="24"/>
                <w:highlight w:val="none"/>
                <w:lang w:val="en-US" w:eastAsia="zh-CN"/>
              </w:rPr>
              <w:t>》（HJ1031—2019）</w:t>
            </w:r>
            <w:r>
              <w:rPr>
                <w:rFonts w:hint="eastAsia" w:ascii="Times New Roman" w:hAnsi="Times New Roman" w:eastAsia="宋体" w:cs="Times New Roman"/>
                <w:sz w:val="24"/>
                <w:szCs w:val="24"/>
                <w:highlight w:val="none"/>
                <w:lang w:val="en-US" w:eastAsia="zh-CN"/>
              </w:rPr>
              <w:t>表4电子工业排污单位基准排水量表格要求，行业类别为电子器件制造排污单位显示器件及光电子器件制造排污单位，产品规格为发光二极管（LED）的排污单位，基准排水量限值为0.5m</w:t>
            </w:r>
            <w:r>
              <w:rPr>
                <w:rFonts w:hint="eastAsia" w:ascii="Times New Roman" w:hAnsi="Times New Roman" w:eastAsia="宋体" w:cs="Times New Roman"/>
                <w:sz w:val="24"/>
                <w:szCs w:val="24"/>
                <w:highlight w:val="none"/>
                <w:vertAlign w:val="superscript"/>
                <w:lang w:val="en-US" w:eastAsia="zh-CN"/>
              </w:rPr>
              <w:t>3</w:t>
            </w:r>
            <w:r>
              <w:rPr>
                <w:rFonts w:hint="eastAsia" w:ascii="Times New Roman" w:hAnsi="Times New Roman" w:eastAsia="宋体" w:cs="Times New Roman"/>
                <w:sz w:val="24"/>
                <w:szCs w:val="24"/>
                <w:highlight w:val="none"/>
                <w:lang w:val="en-US" w:eastAsia="zh-CN"/>
              </w:rPr>
              <w:t>/</w:t>
            </w:r>
            <w:r>
              <w:rPr>
                <w:rFonts w:hint="eastAsia" w:cs="Times New Roman"/>
                <w:sz w:val="24"/>
                <w:szCs w:val="24"/>
                <w:highlight w:val="none"/>
                <w:lang w:val="en-US" w:eastAsia="zh-CN"/>
              </w:rPr>
              <w:t>万粒</w:t>
            </w:r>
            <w:r>
              <w:rPr>
                <w:rFonts w:hint="eastAsia" w:ascii="Times New Roman" w:hAnsi="Times New Roman" w:eastAsia="宋体" w:cs="Times New Roman"/>
                <w:sz w:val="24"/>
                <w:szCs w:val="24"/>
                <w:highlight w:val="none"/>
                <w:lang w:val="en-US" w:eastAsia="zh-CN"/>
              </w:rPr>
              <w:t>，本项目</w:t>
            </w:r>
            <w:r>
              <w:rPr>
                <w:rFonts w:hint="eastAsia"/>
                <w:sz w:val="24"/>
                <w:szCs w:val="24"/>
                <w:highlight w:val="none"/>
                <w:lang w:val="en-US" w:eastAsia="zh-CN"/>
              </w:rPr>
              <w:t>LED灯年用量</w:t>
            </w:r>
            <w:r>
              <w:rPr>
                <w:rFonts w:hint="eastAsia" w:cs="Times New Roman"/>
                <w:color w:val="auto"/>
                <w:sz w:val="24"/>
                <w:szCs w:val="24"/>
                <w:highlight w:val="none"/>
                <w:vertAlign w:val="baseline"/>
                <w:lang w:val="en-US" w:eastAsia="zh-CN"/>
              </w:rPr>
              <w:t>19660800万粒</w:t>
            </w:r>
            <w:r>
              <w:rPr>
                <w:rFonts w:hint="eastAsia"/>
                <w:sz w:val="24"/>
                <w:szCs w:val="24"/>
                <w:highlight w:val="none"/>
                <w:lang w:val="en-US" w:eastAsia="zh-CN"/>
              </w:rPr>
              <w:t>，项目排水量为1224t/a，则项目基准</w:t>
            </w:r>
            <w:r>
              <w:rPr>
                <w:rFonts w:hint="eastAsia" w:ascii="Times New Roman" w:hAnsi="Times New Roman" w:eastAsia="宋体" w:cs="Times New Roman"/>
                <w:sz w:val="24"/>
                <w:szCs w:val="24"/>
                <w:highlight w:val="none"/>
                <w:lang w:val="en-US" w:eastAsia="zh-CN"/>
              </w:rPr>
              <w:t>排水量为</w:t>
            </w:r>
            <w:r>
              <w:rPr>
                <w:rFonts w:hint="eastAsia" w:cs="Times New Roman"/>
                <w:spacing w:val="6"/>
                <w:sz w:val="24"/>
                <w:szCs w:val="24"/>
                <w:highlight w:val="none"/>
                <w:vertAlign w:val="baseline"/>
                <w:lang w:val="en-US" w:eastAsia="zh-CN"/>
              </w:rPr>
              <w:t>0.00006</w:t>
            </w:r>
            <w:r>
              <w:rPr>
                <w:rFonts w:hint="eastAsia" w:ascii="Times New Roman" w:hAnsi="Times New Roman" w:eastAsia="宋体" w:cs="Times New Roman"/>
                <w:sz w:val="24"/>
                <w:szCs w:val="24"/>
                <w:highlight w:val="none"/>
                <w:lang w:val="en-US" w:eastAsia="zh-CN"/>
              </w:rPr>
              <w:t>m</w:t>
            </w:r>
            <w:r>
              <w:rPr>
                <w:rFonts w:hint="eastAsia" w:ascii="Times New Roman" w:hAnsi="Times New Roman" w:eastAsia="宋体" w:cs="Times New Roman"/>
                <w:sz w:val="24"/>
                <w:szCs w:val="24"/>
                <w:highlight w:val="none"/>
                <w:vertAlign w:val="superscript"/>
                <w:lang w:val="en-US" w:eastAsia="zh-CN"/>
              </w:rPr>
              <w:t>3</w:t>
            </w:r>
            <w:r>
              <w:rPr>
                <w:rFonts w:hint="eastAsia" w:ascii="Times New Roman" w:hAnsi="Times New Roman" w:eastAsia="宋体" w:cs="Times New Roman"/>
                <w:sz w:val="24"/>
                <w:szCs w:val="24"/>
                <w:highlight w:val="none"/>
                <w:lang w:val="en-US" w:eastAsia="zh-CN"/>
              </w:rPr>
              <w:t>/</w:t>
            </w:r>
            <w:r>
              <w:rPr>
                <w:rFonts w:hint="eastAsia" w:cs="Times New Roman"/>
                <w:sz w:val="24"/>
                <w:szCs w:val="24"/>
                <w:highlight w:val="none"/>
                <w:lang w:val="en-US" w:eastAsia="zh-CN"/>
              </w:rPr>
              <w:t>万粒</w:t>
            </w:r>
            <w:r>
              <w:rPr>
                <w:rFonts w:hint="eastAsia" w:cs="Times New Roman"/>
                <w:spacing w:val="6"/>
                <w:sz w:val="24"/>
                <w:szCs w:val="24"/>
                <w:highlight w:val="none"/>
                <w:vertAlign w:val="baseline"/>
                <w:lang w:val="en-US" w:eastAsia="zh-CN"/>
              </w:rPr>
              <w:t>，满足标准要求。</w:t>
            </w:r>
          </w:p>
          <w:p w14:paraId="20ECA77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eastAsia="zh-CN"/>
              </w:rPr>
              <w:t>表</w:t>
            </w:r>
            <w:r>
              <w:rPr>
                <w:rFonts w:hint="eastAsia" w:ascii="Times New Roman" w:hAnsi="Times New Roman" w:eastAsia="宋体" w:cs="Times New Roman"/>
                <w:b/>
                <w:color w:val="auto"/>
                <w:kern w:val="2"/>
                <w:sz w:val="24"/>
                <w:szCs w:val="24"/>
                <w:highlight w:val="none"/>
                <w:lang w:val="en-US" w:eastAsia="zh-CN"/>
              </w:rPr>
              <w:t>4-11  排放口基本情况一览表</w:t>
            </w:r>
          </w:p>
          <w:tbl>
            <w:tblPr>
              <w:tblStyle w:val="23"/>
              <w:tblW w:w="8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
              <w:gridCol w:w="930"/>
              <w:gridCol w:w="900"/>
              <w:gridCol w:w="780"/>
              <w:gridCol w:w="940"/>
              <w:gridCol w:w="900"/>
              <w:gridCol w:w="1275"/>
              <w:gridCol w:w="915"/>
              <w:gridCol w:w="944"/>
            </w:tblGrid>
            <w:tr w14:paraId="4735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 w:type="dxa"/>
                  <w:vMerge w:val="restart"/>
                  <w:noWrap w:val="0"/>
                  <w:vAlign w:val="center"/>
                </w:tcPr>
                <w:p w14:paraId="4FB0BA68">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序号</w:t>
                  </w:r>
                </w:p>
              </w:tc>
              <w:tc>
                <w:tcPr>
                  <w:tcW w:w="930" w:type="dxa"/>
                  <w:vMerge w:val="restart"/>
                  <w:noWrap w:val="0"/>
                  <w:vAlign w:val="center"/>
                </w:tcPr>
                <w:p w14:paraId="49D29BDF">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排放口编号</w:t>
                  </w:r>
                </w:p>
              </w:tc>
              <w:tc>
                <w:tcPr>
                  <w:tcW w:w="900" w:type="dxa"/>
                  <w:vMerge w:val="restart"/>
                  <w:noWrap w:val="0"/>
                  <w:vAlign w:val="center"/>
                </w:tcPr>
                <w:p w14:paraId="2BBCAC38">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排放口名称</w:t>
                  </w:r>
                </w:p>
              </w:tc>
              <w:tc>
                <w:tcPr>
                  <w:tcW w:w="780" w:type="dxa"/>
                  <w:vMerge w:val="restart"/>
                  <w:noWrap w:val="0"/>
                  <w:vAlign w:val="center"/>
                </w:tcPr>
                <w:p w14:paraId="658931C1">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排放方式</w:t>
                  </w:r>
                </w:p>
              </w:tc>
              <w:tc>
                <w:tcPr>
                  <w:tcW w:w="1840" w:type="dxa"/>
                  <w:gridSpan w:val="2"/>
                  <w:noWrap w:val="0"/>
                  <w:vAlign w:val="center"/>
                </w:tcPr>
                <w:p w14:paraId="085306C0">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排放口地理位置</w:t>
                  </w:r>
                </w:p>
              </w:tc>
              <w:tc>
                <w:tcPr>
                  <w:tcW w:w="3134" w:type="dxa"/>
                  <w:gridSpan w:val="3"/>
                  <w:noWrap w:val="0"/>
                  <w:vAlign w:val="center"/>
                </w:tcPr>
                <w:p w14:paraId="03FD26FE">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排放标准</w:t>
                  </w:r>
                </w:p>
              </w:tc>
            </w:tr>
            <w:tr w14:paraId="499C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 w:type="dxa"/>
                  <w:vMerge w:val="continue"/>
                  <w:noWrap w:val="0"/>
                  <w:vAlign w:val="center"/>
                </w:tcPr>
                <w:p w14:paraId="13E77077">
                  <w:pPr>
                    <w:spacing w:line="240" w:lineRule="auto"/>
                    <w:jc w:val="center"/>
                    <w:rPr>
                      <w:rFonts w:hint="default"/>
                      <w:sz w:val="21"/>
                      <w:szCs w:val="21"/>
                      <w:highlight w:val="none"/>
                      <w:vertAlign w:val="baseline"/>
                      <w:lang w:val="en-US" w:eastAsia="zh-CN"/>
                    </w:rPr>
                  </w:pPr>
                </w:p>
              </w:tc>
              <w:tc>
                <w:tcPr>
                  <w:tcW w:w="930" w:type="dxa"/>
                  <w:vMerge w:val="continue"/>
                  <w:noWrap w:val="0"/>
                  <w:vAlign w:val="center"/>
                </w:tcPr>
                <w:p w14:paraId="0EF53939">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4D0867FA">
                  <w:pPr>
                    <w:spacing w:line="240" w:lineRule="auto"/>
                    <w:jc w:val="center"/>
                    <w:rPr>
                      <w:rFonts w:hint="default"/>
                      <w:sz w:val="21"/>
                      <w:szCs w:val="21"/>
                      <w:highlight w:val="none"/>
                      <w:vertAlign w:val="baseline"/>
                      <w:lang w:val="en-US" w:eastAsia="zh-CN"/>
                    </w:rPr>
                  </w:pPr>
                </w:p>
              </w:tc>
              <w:tc>
                <w:tcPr>
                  <w:tcW w:w="780" w:type="dxa"/>
                  <w:vMerge w:val="continue"/>
                  <w:noWrap w:val="0"/>
                  <w:vAlign w:val="center"/>
                </w:tcPr>
                <w:p w14:paraId="78E7C1DC">
                  <w:pPr>
                    <w:spacing w:line="240" w:lineRule="auto"/>
                    <w:jc w:val="center"/>
                    <w:rPr>
                      <w:rFonts w:hint="default"/>
                      <w:sz w:val="21"/>
                      <w:szCs w:val="21"/>
                      <w:highlight w:val="none"/>
                      <w:vertAlign w:val="baseline"/>
                      <w:lang w:val="en-US" w:eastAsia="zh-CN"/>
                    </w:rPr>
                  </w:pPr>
                </w:p>
              </w:tc>
              <w:tc>
                <w:tcPr>
                  <w:tcW w:w="940" w:type="dxa"/>
                  <w:noWrap w:val="0"/>
                  <w:vAlign w:val="center"/>
                </w:tcPr>
                <w:p w14:paraId="1D12BC6B">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经度</w:t>
                  </w:r>
                </w:p>
              </w:tc>
              <w:tc>
                <w:tcPr>
                  <w:tcW w:w="900" w:type="dxa"/>
                  <w:noWrap w:val="0"/>
                  <w:vAlign w:val="center"/>
                </w:tcPr>
                <w:p w14:paraId="1EE68B69">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纬度</w:t>
                  </w:r>
                </w:p>
              </w:tc>
              <w:tc>
                <w:tcPr>
                  <w:tcW w:w="1275" w:type="dxa"/>
                  <w:noWrap w:val="0"/>
                  <w:vAlign w:val="center"/>
                </w:tcPr>
                <w:p w14:paraId="4420DF7B">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名称</w:t>
                  </w:r>
                </w:p>
              </w:tc>
              <w:tc>
                <w:tcPr>
                  <w:tcW w:w="1859" w:type="dxa"/>
                  <w:gridSpan w:val="2"/>
                  <w:noWrap w:val="0"/>
                  <w:vAlign w:val="center"/>
                </w:tcPr>
                <w:p w14:paraId="3450E3AE">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b/>
                      <w:bCs/>
                      <w:spacing w:val="6"/>
                      <w:sz w:val="21"/>
                      <w:szCs w:val="21"/>
                      <w:highlight w:val="none"/>
                      <w:vertAlign w:val="baseline"/>
                      <w:lang w:eastAsia="zh-CN"/>
                    </w:rPr>
                    <w:t>限值（</w:t>
                  </w:r>
                  <w:r>
                    <w:rPr>
                      <w:rFonts w:hint="eastAsia" w:ascii="Times New Roman" w:hAnsi="Times New Roman" w:eastAsia="宋体" w:cs="Times New Roman"/>
                      <w:b/>
                      <w:bCs/>
                      <w:spacing w:val="6"/>
                      <w:sz w:val="21"/>
                      <w:szCs w:val="21"/>
                      <w:highlight w:val="none"/>
                      <w:vertAlign w:val="baseline"/>
                      <w:lang w:val="en-US" w:eastAsia="zh-CN"/>
                    </w:rPr>
                    <w:t>mg/L</w:t>
                  </w:r>
                  <w:r>
                    <w:rPr>
                      <w:rFonts w:hint="eastAsia" w:ascii="Times New Roman" w:hAnsi="Times New Roman" w:eastAsia="宋体" w:cs="Times New Roman"/>
                      <w:b/>
                      <w:bCs/>
                      <w:spacing w:val="6"/>
                      <w:sz w:val="21"/>
                      <w:szCs w:val="21"/>
                      <w:highlight w:val="none"/>
                      <w:vertAlign w:val="baseline"/>
                      <w:lang w:eastAsia="zh-CN"/>
                    </w:rPr>
                    <w:t>）</w:t>
                  </w:r>
                </w:p>
              </w:tc>
            </w:tr>
            <w:tr w14:paraId="6943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 w:type="dxa"/>
                  <w:vMerge w:val="restart"/>
                  <w:noWrap w:val="0"/>
                  <w:vAlign w:val="center"/>
                </w:tcPr>
                <w:p w14:paraId="15806EC4">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spacing w:val="6"/>
                      <w:sz w:val="21"/>
                      <w:szCs w:val="21"/>
                      <w:highlight w:val="none"/>
                      <w:vertAlign w:val="baseline"/>
                      <w:lang w:val="en-US" w:eastAsia="zh-CN"/>
                    </w:rPr>
                    <w:t>1</w:t>
                  </w:r>
                </w:p>
              </w:tc>
              <w:tc>
                <w:tcPr>
                  <w:tcW w:w="930" w:type="dxa"/>
                  <w:vMerge w:val="restart"/>
                  <w:noWrap w:val="0"/>
                  <w:vAlign w:val="center"/>
                </w:tcPr>
                <w:p w14:paraId="42AEB489">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spacing w:val="6"/>
                      <w:sz w:val="21"/>
                      <w:szCs w:val="21"/>
                      <w:highlight w:val="none"/>
                      <w:vertAlign w:val="baseline"/>
                      <w:lang w:val="en-US" w:eastAsia="zh-CN"/>
                    </w:rPr>
                    <w:t>DW001</w:t>
                  </w:r>
                </w:p>
              </w:tc>
              <w:tc>
                <w:tcPr>
                  <w:tcW w:w="900" w:type="dxa"/>
                  <w:vMerge w:val="restart"/>
                  <w:noWrap w:val="0"/>
                  <w:vAlign w:val="center"/>
                </w:tcPr>
                <w:p w14:paraId="180E4C51">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spacing w:val="6"/>
                      <w:sz w:val="21"/>
                      <w:szCs w:val="21"/>
                      <w:highlight w:val="none"/>
                      <w:vertAlign w:val="baseline"/>
                      <w:lang w:val="en-US" w:eastAsia="zh-CN"/>
                    </w:rPr>
                    <w:t>废水总排口</w:t>
                  </w:r>
                </w:p>
              </w:tc>
              <w:tc>
                <w:tcPr>
                  <w:tcW w:w="780" w:type="dxa"/>
                  <w:vMerge w:val="restart"/>
                  <w:noWrap w:val="0"/>
                  <w:vAlign w:val="center"/>
                </w:tcPr>
                <w:p w14:paraId="5A3FAEE7">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spacing w:val="6"/>
                      <w:sz w:val="21"/>
                      <w:szCs w:val="21"/>
                      <w:highlight w:val="none"/>
                      <w:vertAlign w:val="baseline"/>
                      <w:lang w:eastAsia="zh-CN"/>
                    </w:rPr>
                    <w:t>间接排放</w:t>
                  </w:r>
                </w:p>
              </w:tc>
              <w:tc>
                <w:tcPr>
                  <w:tcW w:w="940" w:type="dxa"/>
                  <w:vMerge w:val="restart"/>
                  <w:noWrap w:val="0"/>
                  <w:vAlign w:val="center"/>
                </w:tcPr>
                <w:p w14:paraId="5DF9C93B">
                  <w:pPr>
                    <w:spacing w:line="240" w:lineRule="auto"/>
                    <w:jc w:val="center"/>
                    <w:rPr>
                      <w:rFonts w:hint="default"/>
                      <w:sz w:val="21"/>
                      <w:szCs w:val="21"/>
                      <w:highlight w:val="none"/>
                      <w:vertAlign w:val="baseline"/>
                      <w:lang w:val="en-US" w:eastAsia="zh-CN"/>
                    </w:rPr>
                  </w:pPr>
                  <w:r>
                    <w:rPr>
                      <w:rFonts w:hint="default"/>
                      <w:sz w:val="21"/>
                      <w:szCs w:val="21"/>
                      <w:highlight w:val="none"/>
                      <w:vertAlign w:val="baseline"/>
                      <w:lang w:val="en-US" w:eastAsia="zh-CN"/>
                    </w:rPr>
                    <w:t>117°38′21.171″</w:t>
                  </w:r>
                </w:p>
              </w:tc>
              <w:tc>
                <w:tcPr>
                  <w:tcW w:w="900" w:type="dxa"/>
                  <w:vMerge w:val="restart"/>
                  <w:noWrap w:val="0"/>
                  <w:vAlign w:val="center"/>
                </w:tcPr>
                <w:p w14:paraId="30B09FCF">
                  <w:pPr>
                    <w:spacing w:line="240" w:lineRule="auto"/>
                    <w:jc w:val="center"/>
                    <w:rPr>
                      <w:rFonts w:hint="default"/>
                      <w:sz w:val="21"/>
                      <w:szCs w:val="21"/>
                      <w:highlight w:val="none"/>
                      <w:vertAlign w:val="baseline"/>
                      <w:lang w:val="en-US" w:eastAsia="zh-CN"/>
                    </w:rPr>
                  </w:pPr>
                  <w:r>
                    <w:rPr>
                      <w:rFonts w:hint="default"/>
                      <w:sz w:val="21"/>
                      <w:szCs w:val="21"/>
                      <w:highlight w:val="none"/>
                      <w:vertAlign w:val="baseline"/>
                      <w:lang w:val="en-US" w:eastAsia="zh-CN"/>
                    </w:rPr>
                    <w:t>30°45′40.612″</w:t>
                  </w:r>
                </w:p>
              </w:tc>
              <w:tc>
                <w:tcPr>
                  <w:tcW w:w="1275" w:type="dxa"/>
                  <w:vMerge w:val="restart"/>
                  <w:noWrap w:val="0"/>
                  <w:vAlign w:val="center"/>
                </w:tcPr>
                <w:p w14:paraId="544651B5">
                  <w:pPr>
                    <w:spacing w:line="240" w:lineRule="auto"/>
                    <w:jc w:val="center"/>
                    <w:rPr>
                      <w:rFonts w:hint="default"/>
                      <w:sz w:val="21"/>
                      <w:szCs w:val="21"/>
                      <w:highlight w:val="none"/>
                      <w:vertAlign w:val="baseline"/>
                      <w:lang w:val="en-US" w:eastAsia="zh-CN"/>
                    </w:rPr>
                  </w:pPr>
                  <w:r>
                    <w:rPr>
                      <w:rFonts w:hint="eastAsia"/>
                      <w:sz w:val="21"/>
                      <w:szCs w:val="21"/>
                      <w:highlight w:val="none"/>
                      <w:lang w:eastAsia="zh-CN"/>
                    </w:rPr>
                    <w:t>《</w:t>
                  </w:r>
                  <w:r>
                    <w:rPr>
                      <w:rFonts w:hint="eastAsia"/>
                      <w:sz w:val="21"/>
                      <w:szCs w:val="21"/>
                      <w:highlight w:val="none"/>
                      <w:lang w:val="en-US" w:eastAsia="zh-CN"/>
                    </w:rPr>
                    <w:t>电子工业水污染物</w:t>
                  </w:r>
                  <w:r>
                    <w:rPr>
                      <w:rFonts w:hint="eastAsia"/>
                      <w:sz w:val="21"/>
                      <w:szCs w:val="21"/>
                      <w:highlight w:val="none"/>
                      <w:lang w:eastAsia="zh-CN"/>
                    </w:rPr>
                    <w:t>排放</w:t>
                  </w:r>
                  <w:r>
                    <w:rPr>
                      <w:rFonts w:hint="eastAsia"/>
                      <w:sz w:val="21"/>
                      <w:szCs w:val="21"/>
                      <w:highlight w:val="none"/>
                      <w:lang w:val="en-US" w:eastAsia="zh-CN"/>
                    </w:rPr>
                    <w:t>标准</w:t>
                  </w:r>
                  <w:r>
                    <w:rPr>
                      <w:rFonts w:hint="eastAsia"/>
                      <w:sz w:val="21"/>
                      <w:szCs w:val="21"/>
                      <w:highlight w:val="none"/>
                      <w:lang w:eastAsia="zh-CN"/>
                    </w:rPr>
                    <w:t>》（GB</w:t>
                  </w:r>
                  <w:r>
                    <w:rPr>
                      <w:rFonts w:hint="eastAsia"/>
                      <w:sz w:val="21"/>
                      <w:szCs w:val="21"/>
                      <w:highlight w:val="none"/>
                      <w:lang w:val="en-US" w:eastAsia="zh-CN"/>
                    </w:rPr>
                    <w:t>39731</w:t>
                  </w:r>
                  <w:r>
                    <w:rPr>
                      <w:rFonts w:hint="eastAsia"/>
                      <w:sz w:val="21"/>
                      <w:szCs w:val="21"/>
                      <w:highlight w:val="none"/>
                      <w:lang w:eastAsia="zh-CN"/>
                    </w:rPr>
                    <w:t>-</w:t>
                  </w:r>
                  <w:r>
                    <w:rPr>
                      <w:rFonts w:hint="eastAsia"/>
                      <w:sz w:val="21"/>
                      <w:szCs w:val="21"/>
                      <w:highlight w:val="none"/>
                      <w:lang w:val="en-US" w:eastAsia="zh-CN"/>
                    </w:rPr>
                    <w:t>2020</w:t>
                  </w:r>
                  <w:r>
                    <w:rPr>
                      <w:rFonts w:hint="eastAsia"/>
                      <w:sz w:val="21"/>
                      <w:szCs w:val="21"/>
                      <w:highlight w:val="none"/>
                      <w:lang w:eastAsia="zh-CN"/>
                    </w:rPr>
                    <w:t xml:space="preserve">）表 </w:t>
                  </w:r>
                  <w:r>
                    <w:rPr>
                      <w:rFonts w:hint="eastAsia"/>
                      <w:sz w:val="21"/>
                      <w:szCs w:val="21"/>
                      <w:highlight w:val="none"/>
                      <w:lang w:val="en-US" w:eastAsia="zh-CN"/>
                    </w:rPr>
                    <w:t>1</w:t>
                  </w:r>
                  <w:r>
                    <w:rPr>
                      <w:rFonts w:hint="eastAsia"/>
                      <w:sz w:val="21"/>
                      <w:szCs w:val="21"/>
                      <w:highlight w:val="none"/>
                      <w:lang w:eastAsia="zh-CN"/>
                    </w:rPr>
                    <w:t xml:space="preserve"> </w:t>
                  </w:r>
                  <w:r>
                    <w:rPr>
                      <w:rFonts w:hint="eastAsia"/>
                      <w:sz w:val="21"/>
                      <w:szCs w:val="21"/>
                      <w:highlight w:val="none"/>
                      <w:lang w:val="en-US" w:eastAsia="zh-CN"/>
                    </w:rPr>
                    <w:t>间接排放限值及</w:t>
                  </w:r>
                  <w:r>
                    <w:rPr>
                      <w:rFonts w:hint="eastAsia" w:ascii="Times New Roman" w:hAnsi="Times New Roman" w:cs="Times New Roman"/>
                      <w:color w:val="auto"/>
                      <w:sz w:val="21"/>
                      <w:szCs w:val="21"/>
                      <w:highlight w:val="none"/>
                      <w:lang w:eastAsia="zh-CN"/>
                    </w:rPr>
                    <w:t>江南产业集中区第一污水处理厂</w:t>
                  </w:r>
                  <w:r>
                    <w:rPr>
                      <w:sz w:val="21"/>
                      <w:szCs w:val="21"/>
                      <w:highlight w:val="none"/>
                    </w:rPr>
                    <w:t>接管限值</w:t>
                  </w:r>
                  <w:r>
                    <w:rPr>
                      <w:rFonts w:hint="eastAsia"/>
                      <w:sz w:val="21"/>
                      <w:szCs w:val="21"/>
                      <w:highlight w:val="none"/>
                      <w:lang w:val="en-US" w:eastAsia="zh-CN"/>
                    </w:rPr>
                    <w:t>要求</w:t>
                  </w:r>
                </w:p>
              </w:tc>
              <w:tc>
                <w:tcPr>
                  <w:tcW w:w="915" w:type="dxa"/>
                  <w:noWrap w:val="0"/>
                  <w:vAlign w:val="center"/>
                </w:tcPr>
                <w:p w14:paraId="7EE7D3B9">
                  <w:pPr>
                    <w:spacing w:line="240" w:lineRule="auto"/>
                    <w:jc w:val="center"/>
                    <w:rPr>
                      <w:rFonts w:hint="default" w:ascii="Times New Roman" w:hAnsi="Times New Roman" w:eastAsia="宋体" w:cs="Times New Roman"/>
                      <w:spacing w:val="6"/>
                      <w:sz w:val="21"/>
                      <w:szCs w:val="21"/>
                      <w:highlight w:val="none"/>
                      <w:vertAlign w:val="baseline"/>
                      <w:lang w:val="en-US" w:eastAsia="zh-CN"/>
                    </w:rPr>
                  </w:pPr>
                  <w:r>
                    <w:rPr>
                      <w:rFonts w:hint="eastAsia" w:cs="Times New Roman"/>
                      <w:spacing w:val="6"/>
                      <w:sz w:val="21"/>
                      <w:szCs w:val="21"/>
                      <w:highlight w:val="none"/>
                      <w:vertAlign w:val="baseline"/>
                      <w:lang w:val="en-US" w:eastAsia="zh-CN"/>
                    </w:rPr>
                    <w:t>pH</w:t>
                  </w:r>
                </w:p>
              </w:tc>
              <w:tc>
                <w:tcPr>
                  <w:tcW w:w="944" w:type="dxa"/>
                  <w:noWrap w:val="0"/>
                  <w:vAlign w:val="center"/>
                </w:tcPr>
                <w:p w14:paraId="35F5B9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pacing w:val="6"/>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r>
            <w:tr w14:paraId="64A4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 w:type="dxa"/>
                  <w:vMerge w:val="continue"/>
                  <w:noWrap w:val="0"/>
                  <w:vAlign w:val="center"/>
                </w:tcPr>
                <w:p w14:paraId="30E25174">
                  <w:pPr>
                    <w:spacing w:line="240" w:lineRule="auto"/>
                    <w:jc w:val="center"/>
                    <w:rPr>
                      <w:rFonts w:hint="default"/>
                      <w:sz w:val="21"/>
                      <w:szCs w:val="21"/>
                      <w:highlight w:val="none"/>
                      <w:vertAlign w:val="baseline"/>
                      <w:lang w:val="en-US" w:eastAsia="zh-CN"/>
                    </w:rPr>
                  </w:pPr>
                </w:p>
              </w:tc>
              <w:tc>
                <w:tcPr>
                  <w:tcW w:w="930" w:type="dxa"/>
                  <w:vMerge w:val="continue"/>
                  <w:noWrap w:val="0"/>
                  <w:vAlign w:val="center"/>
                </w:tcPr>
                <w:p w14:paraId="0C0C5C72">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4848A09D">
                  <w:pPr>
                    <w:spacing w:line="240" w:lineRule="auto"/>
                    <w:jc w:val="center"/>
                    <w:rPr>
                      <w:rFonts w:hint="default"/>
                      <w:sz w:val="21"/>
                      <w:szCs w:val="21"/>
                      <w:highlight w:val="none"/>
                      <w:vertAlign w:val="baseline"/>
                      <w:lang w:val="en-US" w:eastAsia="zh-CN"/>
                    </w:rPr>
                  </w:pPr>
                </w:p>
              </w:tc>
              <w:tc>
                <w:tcPr>
                  <w:tcW w:w="780" w:type="dxa"/>
                  <w:vMerge w:val="continue"/>
                  <w:noWrap w:val="0"/>
                  <w:vAlign w:val="center"/>
                </w:tcPr>
                <w:p w14:paraId="65FA1D45">
                  <w:pPr>
                    <w:spacing w:line="240" w:lineRule="auto"/>
                    <w:jc w:val="center"/>
                    <w:rPr>
                      <w:rFonts w:hint="default"/>
                      <w:sz w:val="21"/>
                      <w:szCs w:val="21"/>
                      <w:highlight w:val="none"/>
                      <w:vertAlign w:val="baseline"/>
                      <w:lang w:val="en-US" w:eastAsia="zh-CN"/>
                    </w:rPr>
                  </w:pPr>
                </w:p>
              </w:tc>
              <w:tc>
                <w:tcPr>
                  <w:tcW w:w="940" w:type="dxa"/>
                  <w:vMerge w:val="continue"/>
                  <w:noWrap w:val="0"/>
                  <w:vAlign w:val="center"/>
                </w:tcPr>
                <w:p w14:paraId="074BF96B">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123030DF">
                  <w:pPr>
                    <w:spacing w:line="240" w:lineRule="auto"/>
                    <w:jc w:val="center"/>
                    <w:rPr>
                      <w:rFonts w:hint="default"/>
                      <w:sz w:val="21"/>
                      <w:szCs w:val="21"/>
                      <w:highlight w:val="none"/>
                      <w:vertAlign w:val="baseline"/>
                      <w:lang w:val="en-US" w:eastAsia="zh-CN"/>
                    </w:rPr>
                  </w:pPr>
                </w:p>
              </w:tc>
              <w:tc>
                <w:tcPr>
                  <w:tcW w:w="1275" w:type="dxa"/>
                  <w:vMerge w:val="continue"/>
                  <w:noWrap w:val="0"/>
                  <w:vAlign w:val="center"/>
                </w:tcPr>
                <w:p w14:paraId="3CC5541A">
                  <w:pPr>
                    <w:spacing w:line="240" w:lineRule="auto"/>
                    <w:jc w:val="center"/>
                    <w:rPr>
                      <w:rFonts w:hint="default"/>
                      <w:sz w:val="21"/>
                      <w:szCs w:val="21"/>
                      <w:highlight w:val="none"/>
                      <w:vertAlign w:val="baseline"/>
                      <w:lang w:val="en-US" w:eastAsia="zh-CN"/>
                    </w:rPr>
                  </w:pPr>
                </w:p>
              </w:tc>
              <w:tc>
                <w:tcPr>
                  <w:tcW w:w="915" w:type="dxa"/>
                  <w:noWrap w:val="0"/>
                  <w:vAlign w:val="center"/>
                </w:tcPr>
                <w:p w14:paraId="50B37152">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spacing w:val="6"/>
                      <w:sz w:val="21"/>
                      <w:szCs w:val="21"/>
                      <w:highlight w:val="none"/>
                      <w:vertAlign w:val="baseline"/>
                      <w:lang w:val="en-US" w:eastAsia="zh-CN"/>
                    </w:rPr>
                    <w:t>COD</w:t>
                  </w:r>
                </w:p>
              </w:tc>
              <w:tc>
                <w:tcPr>
                  <w:tcW w:w="944" w:type="dxa"/>
                  <w:noWrap w:val="0"/>
                  <w:vAlign w:val="center"/>
                </w:tcPr>
                <w:p w14:paraId="199891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sz w:val="21"/>
                      <w:szCs w:val="21"/>
                      <w:highlight w:val="none"/>
                      <w:vertAlign w:val="baseline"/>
                      <w:lang w:val="en-US" w:eastAsia="zh-CN"/>
                    </w:rPr>
                  </w:pPr>
                  <w:r>
                    <w:rPr>
                      <w:rFonts w:hint="eastAsia" w:cs="Times New Roman"/>
                      <w:color w:val="auto"/>
                      <w:sz w:val="21"/>
                      <w:szCs w:val="21"/>
                      <w:highlight w:val="none"/>
                      <w:vertAlign w:val="baseline"/>
                      <w:lang w:val="en-US" w:eastAsia="zh-CN"/>
                    </w:rPr>
                    <w:t>500</w:t>
                  </w:r>
                </w:p>
              </w:tc>
            </w:tr>
            <w:tr w14:paraId="60AF9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 w:type="dxa"/>
                  <w:vMerge w:val="continue"/>
                  <w:noWrap w:val="0"/>
                  <w:vAlign w:val="center"/>
                </w:tcPr>
                <w:p w14:paraId="15F6FAF7">
                  <w:pPr>
                    <w:spacing w:line="240" w:lineRule="auto"/>
                    <w:jc w:val="center"/>
                    <w:rPr>
                      <w:rFonts w:hint="default"/>
                      <w:sz w:val="21"/>
                      <w:szCs w:val="21"/>
                      <w:highlight w:val="none"/>
                      <w:vertAlign w:val="baseline"/>
                      <w:lang w:val="en-US" w:eastAsia="zh-CN"/>
                    </w:rPr>
                  </w:pPr>
                </w:p>
              </w:tc>
              <w:tc>
                <w:tcPr>
                  <w:tcW w:w="930" w:type="dxa"/>
                  <w:vMerge w:val="continue"/>
                  <w:noWrap w:val="0"/>
                  <w:vAlign w:val="center"/>
                </w:tcPr>
                <w:p w14:paraId="0D929114">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17122143">
                  <w:pPr>
                    <w:spacing w:line="240" w:lineRule="auto"/>
                    <w:jc w:val="center"/>
                    <w:rPr>
                      <w:rFonts w:hint="default"/>
                      <w:sz w:val="21"/>
                      <w:szCs w:val="21"/>
                      <w:highlight w:val="none"/>
                      <w:vertAlign w:val="baseline"/>
                      <w:lang w:val="en-US" w:eastAsia="zh-CN"/>
                    </w:rPr>
                  </w:pPr>
                </w:p>
              </w:tc>
              <w:tc>
                <w:tcPr>
                  <w:tcW w:w="780" w:type="dxa"/>
                  <w:vMerge w:val="continue"/>
                  <w:noWrap w:val="0"/>
                  <w:vAlign w:val="center"/>
                </w:tcPr>
                <w:p w14:paraId="2D1BFD7F">
                  <w:pPr>
                    <w:spacing w:line="240" w:lineRule="auto"/>
                    <w:jc w:val="center"/>
                    <w:rPr>
                      <w:rFonts w:hint="default"/>
                      <w:sz w:val="21"/>
                      <w:szCs w:val="21"/>
                      <w:highlight w:val="none"/>
                      <w:vertAlign w:val="baseline"/>
                      <w:lang w:val="en-US" w:eastAsia="zh-CN"/>
                    </w:rPr>
                  </w:pPr>
                </w:p>
              </w:tc>
              <w:tc>
                <w:tcPr>
                  <w:tcW w:w="940" w:type="dxa"/>
                  <w:vMerge w:val="continue"/>
                  <w:noWrap w:val="0"/>
                  <w:vAlign w:val="center"/>
                </w:tcPr>
                <w:p w14:paraId="43B7F07C">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212F6909">
                  <w:pPr>
                    <w:spacing w:line="240" w:lineRule="auto"/>
                    <w:jc w:val="center"/>
                    <w:rPr>
                      <w:rFonts w:hint="default"/>
                      <w:sz w:val="21"/>
                      <w:szCs w:val="21"/>
                      <w:highlight w:val="none"/>
                      <w:vertAlign w:val="baseline"/>
                      <w:lang w:val="en-US" w:eastAsia="zh-CN"/>
                    </w:rPr>
                  </w:pPr>
                </w:p>
              </w:tc>
              <w:tc>
                <w:tcPr>
                  <w:tcW w:w="1275" w:type="dxa"/>
                  <w:vMerge w:val="continue"/>
                  <w:noWrap w:val="0"/>
                  <w:vAlign w:val="center"/>
                </w:tcPr>
                <w:p w14:paraId="4CB6F9D9">
                  <w:pPr>
                    <w:spacing w:line="240" w:lineRule="auto"/>
                    <w:jc w:val="center"/>
                    <w:rPr>
                      <w:rFonts w:hint="default"/>
                      <w:sz w:val="21"/>
                      <w:szCs w:val="21"/>
                      <w:highlight w:val="none"/>
                      <w:vertAlign w:val="baseline"/>
                      <w:lang w:val="en-US" w:eastAsia="zh-CN"/>
                    </w:rPr>
                  </w:pPr>
                </w:p>
              </w:tc>
              <w:tc>
                <w:tcPr>
                  <w:tcW w:w="915" w:type="dxa"/>
                  <w:noWrap w:val="0"/>
                  <w:vAlign w:val="center"/>
                </w:tcPr>
                <w:p w14:paraId="7568393A">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spacing w:val="6"/>
                      <w:sz w:val="21"/>
                      <w:szCs w:val="21"/>
                      <w:highlight w:val="none"/>
                      <w:vertAlign w:val="baseline"/>
                      <w:lang w:val="en-US" w:eastAsia="zh-CN"/>
                    </w:rPr>
                    <w:t>BOD</w:t>
                  </w:r>
                  <w:r>
                    <w:rPr>
                      <w:rFonts w:hint="eastAsia" w:ascii="Times New Roman" w:hAnsi="Times New Roman" w:eastAsia="宋体" w:cs="Times New Roman"/>
                      <w:spacing w:val="6"/>
                      <w:sz w:val="21"/>
                      <w:szCs w:val="21"/>
                      <w:highlight w:val="none"/>
                      <w:vertAlign w:val="subscript"/>
                      <w:lang w:val="en-US" w:eastAsia="zh-CN"/>
                    </w:rPr>
                    <w:t>5</w:t>
                  </w:r>
                </w:p>
              </w:tc>
              <w:tc>
                <w:tcPr>
                  <w:tcW w:w="944" w:type="dxa"/>
                  <w:noWrap w:val="0"/>
                  <w:vAlign w:val="center"/>
                </w:tcPr>
                <w:p w14:paraId="399C08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rFonts w:hint="eastAsia" w:cs="Times New Roman"/>
                      <w:color w:val="auto"/>
                      <w:sz w:val="21"/>
                      <w:szCs w:val="21"/>
                      <w:highlight w:val="none"/>
                      <w:vertAlign w:val="baseline"/>
                      <w:lang w:val="en-US" w:eastAsia="zh-CN"/>
                    </w:rPr>
                    <w:t>5</w:t>
                  </w:r>
                  <w:r>
                    <w:rPr>
                      <w:rFonts w:hint="eastAsia" w:ascii="Times New Roman" w:hAnsi="Times New Roman" w:cs="Times New Roman"/>
                      <w:color w:val="auto"/>
                      <w:sz w:val="21"/>
                      <w:szCs w:val="21"/>
                      <w:highlight w:val="none"/>
                      <w:vertAlign w:val="baseline"/>
                      <w:lang w:val="en-US" w:eastAsia="zh-CN"/>
                    </w:rPr>
                    <w:t>0</w:t>
                  </w:r>
                </w:p>
              </w:tc>
            </w:tr>
            <w:tr w14:paraId="70128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 w:type="dxa"/>
                  <w:vMerge w:val="continue"/>
                  <w:noWrap w:val="0"/>
                  <w:vAlign w:val="center"/>
                </w:tcPr>
                <w:p w14:paraId="6DAC00E4">
                  <w:pPr>
                    <w:spacing w:line="240" w:lineRule="auto"/>
                    <w:jc w:val="center"/>
                    <w:rPr>
                      <w:rFonts w:hint="default"/>
                      <w:sz w:val="21"/>
                      <w:szCs w:val="21"/>
                      <w:highlight w:val="none"/>
                      <w:vertAlign w:val="baseline"/>
                      <w:lang w:val="en-US" w:eastAsia="zh-CN"/>
                    </w:rPr>
                  </w:pPr>
                </w:p>
              </w:tc>
              <w:tc>
                <w:tcPr>
                  <w:tcW w:w="930" w:type="dxa"/>
                  <w:vMerge w:val="continue"/>
                  <w:noWrap w:val="0"/>
                  <w:vAlign w:val="center"/>
                </w:tcPr>
                <w:p w14:paraId="4D064B42">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585F8747">
                  <w:pPr>
                    <w:spacing w:line="240" w:lineRule="auto"/>
                    <w:jc w:val="center"/>
                    <w:rPr>
                      <w:rFonts w:hint="default"/>
                      <w:sz w:val="21"/>
                      <w:szCs w:val="21"/>
                      <w:highlight w:val="none"/>
                      <w:vertAlign w:val="baseline"/>
                      <w:lang w:val="en-US" w:eastAsia="zh-CN"/>
                    </w:rPr>
                  </w:pPr>
                </w:p>
              </w:tc>
              <w:tc>
                <w:tcPr>
                  <w:tcW w:w="780" w:type="dxa"/>
                  <w:vMerge w:val="continue"/>
                  <w:noWrap w:val="0"/>
                  <w:vAlign w:val="center"/>
                </w:tcPr>
                <w:p w14:paraId="4B5C98D7">
                  <w:pPr>
                    <w:spacing w:line="240" w:lineRule="auto"/>
                    <w:jc w:val="center"/>
                    <w:rPr>
                      <w:rFonts w:hint="default"/>
                      <w:sz w:val="21"/>
                      <w:szCs w:val="21"/>
                      <w:highlight w:val="none"/>
                      <w:vertAlign w:val="baseline"/>
                      <w:lang w:val="en-US" w:eastAsia="zh-CN"/>
                    </w:rPr>
                  </w:pPr>
                </w:p>
              </w:tc>
              <w:tc>
                <w:tcPr>
                  <w:tcW w:w="940" w:type="dxa"/>
                  <w:vMerge w:val="continue"/>
                  <w:noWrap w:val="0"/>
                  <w:vAlign w:val="center"/>
                </w:tcPr>
                <w:p w14:paraId="4FBF4999">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620F1A96">
                  <w:pPr>
                    <w:spacing w:line="240" w:lineRule="auto"/>
                    <w:jc w:val="center"/>
                    <w:rPr>
                      <w:rFonts w:hint="default"/>
                      <w:sz w:val="21"/>
                      <w:szCs w:val="21"/>
                      <w:highlight w:val="none"/>
                      <w:vertAlign w:val="baseline"/>
                      <w:lang w:val="en-US" w:eastAsia="zh-CN"/>
                    </w:rPr>
                  </w:pPr>
                </w:p>
              </w:tc>
              <w:tc>
                <w:tcPr>
                  <w:tcW w:w="1275" w:type="dxa"/>
                  <w:vMerge w:val="continue"/>
                  <w:noWrap w:val="0"/>
                  <w:vAlign w:val="center"/>
                </w:tcPr>
                <w:p w14:paraId="2DFF3494">
                  <w:pPr>
                    <w:spacing w:line="240" w:lineRule="auto"/>
                    <w:jc w:val="center"/>
                    <w:rPr>
                      <w:rFonts w:hint="default"/>
                      <w:sz w:val="21"/>
                      <w:szCs w:val="21"/>
                      <w:highlight w:val="none"/>
                      <w:vertAlign w:val="baseline"/>
                      <w:lang w:val="en-US" w:eastAsia="zh-CN"/>
                    </w:rPr>
                  </w:pPr>
                </w:p>
              </w:tc>
              <w:tc>
                <w:tcPr>
                  <w:tcW w:w="915" w:type="dxa"/>
                  <w:noWrap w:val="0"/>
                  <w:vAlign w:val="center"/>
                </w:tcPr>
                <w:p w14:paraId="05B4B885">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spacing w:val="6"/>
                      <w:sz w:val="21"/>
                      <w:szCs w:val="21"/>
                      <w:highlight w:val="none"/>
                      <w:vertAlign w:val="baseline"/>
                      <w:lang w:val="en-US" w:eastAsia="zh-CN"/>
                    </w:rPr>
                    <w:t>SS</w:t>
                  </w:r>
                </w:p>
              </w:tc>
              <w:tc>
                <w:tcPr>
                  <w:tcW w:w="944" w:type="dxa"/>
                  <w:noWrap w:val="0"/>
                  <w:vAlign w:val="center"/>
                </w:tcPr>
                <w:p w14:paraId="277841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2</w:t>
                  </w:r>
                  <w:r>
                    <w:rPr>
                      <w:rFonts w:hint="eastAsia" w:cs="Times New Roman"/>
                      <w:color w:val="auto"/>
                      <w:sz w:val="21"/>
                      <w:szCs w:val="21"/>
                      <w:highlight w:val="none"/>
                      <w:vertAlign w:val="baseline"/>
                      <w:lang w:val="en-US" w:eastAsia="zh-CN"/>
                    </w:rPr>
                    <w:t>0</w:t>
                  </w:r>
                  <w:r>
                    <w:rPr>
                      <w:rFonts w:hint="eastAsia" w:ascii="Times New Roman" w:hAnsi="Times New Roman" w:cs="Times New Roman"/>
                      <w:color w:val="auto"/>
                      <w:sz w:val="21"/>
                      <w:szCs w:val="21"/>
                      <w:highlight w:val="none"/>
                      <w:vertAlign w:val="baseline"/>
                      <w:lang w:val="en-US" w:eastAsia="zh-CN"/>
                    </w:rPr>
                    <w:t>0</w:t>
                  </w:r>
                </w:p>
              </w:tc>
            </w:tr>
            <w:tr w14:paraId="1B47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 w:type="dxa"/>
                  <w:vMerge w:val="continue"/>
                  <w:noWrap w:val="0"/>
                  <w:vAlign w:val="center"/>
                </w:tcPr>
                <w:p w14:paraId="2266055A">
                  <w:pPr>
                    <w:spacing w:line="240" w:lineRule="auto"/>
                    <w:jc w:val="center"/>
                    <w:rPr>
                      <w:rFonts w:hint="default"/>
                      <w:sz w:val="21"/>
                      <w:szCs w:val="21"/>
                      <w:highlight w:val="none"/>
                      <w:vertAlign w:val="baseline"/>
                      <w:lang w:val="en-US" w:eastAsia="zh-CN"/>
                    </w:rPr>
                  </w:pPr>
                </w:p>
              </w:tc>
              <w:tc>
                <w:tcPr>
                  <w:tcW w:w="930" w:type="dxa"/>
                  <w:vMerge w:val="continue"/>
                  <w:noWrap w:val="0"/>
                  <w:vAlign w:val="center"/>
                </w:tcPr>
                <w:p w14:paraId="52F52AB6">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68CF48C0">
                  <w:pPr>
                    <w:spacing w:line="240" w:lineRule="auto"/>
                    <w:jc w:val="center"/>
                    <w:rPr>
                      <w:rFonts w:hint="default"/>
                      <w:sz w:val="21"/>
                      <w:szCs w:val="21"/>
                      <w:highlight w:val="none"/>
                      <w:vertAlign w:val="baseline"/>
                      <w:lang w:val="en-US" w:eastAsia="zh-CN"/>
                    </w:rPr>
                  </w:pPr>
                </w:p>
              </w:tc>
              <w:tc>
                <w:tcPr>
                  <w:tcW w:w="780" w:type="dxa"/>
                  <w:vMerge w:val="continue"/>
                  <w:noWrap w:val="0"/>
                  <w:vAlign w:val="center"/>
                </w:tcPr>
                <w:p w14:paraId="170AE3B8">
                  <w:pPr>
                    <w:spacing w:line="240" w:lineRule="auto"/>
                    <w:jc w:val="center"/>
                    <w:rPr>
                      <w:rFonts w:hint="default"/>
                      <w:sz w:val="21"/>
                      <w:szCs w:val="21"/>
                      <w:highlight w:val="none"/>
                      <w:vertAlign w:val="baseline"/>
                      <w:lang w:val="en-US" w:eastAsia="zh-CN"/>
                    </w:rPr>
                  </w:pPr>
                </w:p>
              </w:tc>
              <w:tc>
                <w:tcPr>
                  <w:tcW w:w="940" w:type="dxa"/>
                  <w:vMerge w:val="continue"/>
                  <w:noWrap w:val="0"/>
                  <w:vAlign w:val="center"/>
                </w:tcPr>
                <w:p w14:paraId="09BB0E1F">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17F0C389">
                  <w:pPr>
                    <w:spacing w:line="240" w:lineRule="auto"/>
                    <w:jc w:val="center"/>
                    <w:rPr>
                      <w:rFonts w:hint="default"/>
                      <w:sz w:val="21"/>
                      <w:szCs w:val="21"/>
                      <w:highlight w:val="none"/>
                      <w:vertAlign w:val="baseline"/>
                      <w:lang w:val="en-US" w:eastAsia="zh-CN"/>
                    </w:rPr>
                  </w:pPr>
                </w:p>
              </w:tc>
              <w:tc>
                <w:tcPr>
                  <w:tcW w:w="1275" w:type="dxa"/>
                  <w:vMerge w:val="continue"/>
                  <w:noWrap w:val="0"/>
                  <w:vAlign w:val="center"/>
                </w:tcPr>
                <w:p w14:paraId="51CD92A4">
                  <w:pPr>
                    <w:spacing w:line="240" w:lineRule="auto"/>
                    <w:jc w:val="center"/>
                    <w:rPr>
                      <w:rFonts w:hint="default"/>
                      <w:sz w:val="21"/>
                      <w:szCs w:val="21"/>
                      <w:highlight w:val="none"/>
                      <w:vertAlign w:val="baseline"/>
                      <w:lang w:val="en-US" w:eastAsia="zh-CN"/>
                    </w:rPr>
                  </w:pPr>
                </w:p>
              </w:tc>
              <w:tc>
                <w:tcPr>
                  <w:tcW w:w="915" w:type="dxa"/>
                  <w:noWrap w:val="0"/>
                  <w:vAlign w:val="center"/>
                </w:tcPr>
                <w:p w14:paraId="7F5D06B8">
                  <w:pPr>
                    <w:spacing w:line="240" w:lineRule="auto"/>
                    <w:jc w:val="center"/>
                    <w:rPr>
                      <w:rFonts w:hint="default"/>
                      <w:sz w:val="21"/>
                      <w:szCs w:val="21"/>
                      <w:highlight w:val="none"/>
                      <w:vertAlign w:val="baseline"/>
                      <w:lang w:val="en-US" w:eastAsia="zh-CN"/>
                    </w:rPr>
                  </w:pPr>
                  <w:r>
                    <w:rPr>
                      <w:rFonts w:hint="default" w:ascii="Times New Roman" w:hAnsi="Times New Roman" w:eastAsia="宋体" w:cs="Times New Roman"/>
                      <w:spacing w:val="6"/>
                      <w:sz w:val="21"/>
                      <w:szCs w:val="21"/>
                      <w:highlight w:val="none"/>
                      <w:vertAlign w:val="baseline"/>
                      <w:lang w:val="en-US" w:eastAsia="zh-CN"/>
                    </w:rPr>
                    <w:t>NH</w:t>
                  </w:r>
                  <w:r>
                    <w:rPr>
                      <w:rFonts w:hint="default" w:ascii="Times New Roman" w:hAnsi="Times New Roman" w:eastAsia="宋体" w:cs="Times New Roman"/>
                      <w:spacing w:val="6"/>
                      <w:sz w:val="21"/>
                      <w:szCs w:val="21"/>
                      <w:highlight w:val="none"/>
                      <w:vertAlign w:val="subscript"/>
                      <w:lang w:val="en-US" w:eastAsia="zh-CN"/>
                    </w:rPr>
                    <w:t>3</w:t>
                  </w:r>
                  <w:r>
                    <w:rPr>
                      <w:rFonts w:hint="default" w:ascii="Times New Roman" w:hAnsi="Times New Roman" w:eastAsia="宋体" w:cs="Times New Roman"/>
                      <w:spacing w:val="6"/>
                      <w:sz w:val="21"/>
                      <w:szCs w:val="21"/>
                      <w:highlight w:val="none"/>
                      <w:vertAlign w:val="baseline"/>
                      <w:lang w:val="en-US" w:eastAsia="zh-CN"/>
                    </w:rPr>
                    <w:t>-N</w:t>
                  </w:r>
                </w:p>
              </w:tc>
              <w:tc>
                <w:tcPr>
                  <w:tcW w:w="944" w:type="dxa"/>
                  <w:noWrap w:val="0"/>
                  <w:vAlign w:val="center"/>
                </w:tcPr>
                <w:p w14:paraId="1A13F0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3</w:t>
                  </w:r>
                  <w:r>
                    <w:rPr>
                      <w:rFonts w:hint="eastAsia" w:cs="Times New Roman"/>
                      <w:color w:val="auto"/>
                      <w:sz w:val="21"/>
                      <w:szCs w:val="21"/>
                      <w:highlight w:val="none"/>
                      <w:vertAlign w:val="baseline"/>
                      <w:lang w:val="en-US" w:eastAsia="zh-CN"/>
                    </w:rPr>
                    <w:t>5</w:t>
                  </w:r>
                </w:p>
              </w:tc>
            </w:tr>
            <w:tr w14:paraId="7025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441" w:type="dxa"/>
                  <w:vMerge w:val="continue"/>
                  <w:noWrap w:val="0"/>
                  <w:vAlign w:val="center"/>
                </w:tcPr>
                <w:p w14:paraId="619AC46D">
                  <w:pPr>
                    <w:spacing w:line="240" w:lineRule="auto"/>
                    <w:jc w:val="center"/>
                    <w:rPr>
                      <w:rFonts w:hint="default"/>
                      <w:sz w:val="21"/>
                      <w:szCs w:val="21"/>
                      <w:highlight w:val="none"/>
                      <w:vertAlign w:val="baseline"/>
                      <w:lang w:val="en-US" w:eastAsia="zh-CN"/>
                    </w:rPr>
                  </w:pPr>
                </w:p>
              </w:tc>
              <w:tc>
                <w:tcPr>
                  <w:tcW w:w="930" w:type="dxa"/>
                  <w:vMerge w:val="continue"/>
                  <w:noWrap w:val="0"/>
                  <w:vAlign w:val="center"/>
                </w:tcPr>
                <w:p w14:paraId="6DC336BB">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681C8221">
                  <w:pPr>
                    <w:spacing w:line="240" w:lineRule="auto"/>
                    <w:jc w:val="center"/>
                    <w:rPr>
                      <w:rFonts w:hint="default"/>
                      <w:sz w:val="21"/>
                      <w:szCs w:val="21"/>
                      <w:highlight w:val="none"/>
                      <w:vertAlign w:val="baseline"/>
                      <w:lang w:val="en-US" w:eastAsia="zh-CN"/>
                    </w:rPr>
                  </w:pPr>
                </w:p>
              </w:tc>
              <w:tc>
                <w:tcPr>
                  <w:tcW w:w="780" w:type="dxa"/>
                  <w:vMerge w:val="continue"/>
                  <w:noWrap w:val="0"/>
                  <w:vAlign w:val="center"/>
                </w:tcPr>
                <w:p w14:paraId="5096AE9A">
                  <w:pPr>
                    <w:spacing w:line="240" w:lineRule="auto"/>
                    <w:jc w:val="center"/>
                    <w:rPr>
                      <w:rFonts w:hint="default"/>
                      <w:sz w:val="21"/>
                      <w:szCs w:val="21"/>
                      <w:highlight w:val="none"/>
                      <w:vertAlign w:val="baseline"/>
                      <w:lang w:val="en-US" w:eastAsia="zh-CN"/>
                    </w:rPr>
                  </w:pPr>
                </w:p>
              </w:tc>
              <w:tc>
                <w:tcPr>
                  <w:tcW w:w="940" w:type="dxa"/>
                  <w:vMerge w:val="continue"/>
                  <w:noWrap w:val="0"/>
                  <w:vAlign w:val="center"/>
                </w:tcPr>
                <w:p w14:paraId="25942124">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24069DFD">
                  <w:pPr>
                    <w:spacing w:line="240" w:lineRule="auto"/>
                    <w:jc w:val="center"/>
                    <w:rPr>
                      <w:rFonts w:hint="default"/>
                      <w:sz w:val="21"/>
                      <w:szCs w:val="21"/>
                      <w:highlight w:val="none"/>
                      <w:vertAlign w:val="baseline"/>
                      <w:lang w:val="en-US" w:eastAsia="zh-CN"/>
                    </w:rPr>
                  </w:pPr>
                </w:p>
              </w:tc>
              <w:tc>
                <w:tcPr>
                  <w:tcW w:w="1275" w:type="dxa"/>
                  <w:vMerge w:val="continue"/>
                  <w:noWrap w:val="0"/>
                  <w:vAlign w:val="center"/>
                </w:tcPr>
                <w:p w14:paraId="13CE42D7">
                  <w:pPr>
                    <w:spacing w:line="240" w:lineRule="auto"/>
                    <w:jc w:val="center"/>
                    <w:rPr>
                      <w:rFonts w:hint="default"/>
                      <w:sz w:val="21"/>
                      <w:szCs w:val="21"/>
                      <w:highlight w:val="none"/>
                      <w:vertAlign w:val="baseline"/>
                      <w:lang w:val="en-US" w:eastAsia="zh-CN"/>
                    </w:rPr>
                  </w:pPr>
                </w:p>
              </w:tc>
              <w:tc>
                <w:tcPr>
                  <w:tcW w:w="915" w:type="dxa"/>
                  <w:noWrap w:val="0"/>
                  <w:vAlign w:val="center"/>
                </w:tcPr>
                <w:p w14:paraId="73A7CE65">
                  <w:pPr>
                    <w:spacing w:line="240" w:lineRule="auto"/>
                    <w:jc w:val="center"/>
                    <w:rPr>
                      <w:rFonts w:hint="default"/>
                      <w:sz w:val="21"/>
                      <w:szCs w:val="21"/>
                      <w:highlight w:val="none"/>
                      <w:vertAlign w:val="baseline"/>
                      <w:lang w:val="en-US" w:eastAsia="zh-CN"/>
                    </w:rPr>
                  </w:pPr>
                  <w:r>
                    <w:rPr>
                      <w:rFonts w:hint="eastAsia" w:ascii="Times New Roman" w:hAnsi="Times New Roman" w:eastAsia="宋体" w:cs="Times New Roman"/>
                      <w:spacing w:val="6"/>
                      <w:sz w:val="21"/>
                      <w:szCs w:val="21"/>
                      <w:highlight w:val="none"/>
                      <w:vertAlign w:val="baseline"/>
                      <w:lang w:val="en-US" w:eastAsia="zh-CN"/>
                    </w:rPr>
                    <w:t>TP</w:t>
                  </w:r>
                </w:p>
              </w:tc>
              <w:tc>
                <w:tcPr>
                  <w:tcW w:w="944" w:type="dxa"/>
                  <w:noWrap w:val="0"/>
                  <w:vAlign w:val="center"/>
                </w:tcPr>
                <w:p w14:paraId="4733C2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r>
            <w:tr w14:paraId="3B63A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441" w:type="dxa"/>
                  <w:vMerge w:val="continue"/>
                  <w:noWrap w:val="0"/>
                  <w:vAlign w:val="center"/>
                </w:tcPr>
                <w:p w14:paraId="29A30AA8">
                  <w:pPr>
                    <w:spacing w:line="240" w:lineRule="auto"/>
                    <w:jc w:val="center"/>
                    <w:rPr>
                      <w:rFonts w:hint="default"/>
                      <w:sz w:val="21"/>
                      <w:szCs w:val="21"/>
                      <w:highlight w:val="none"/>
                      <w:vertAlign w:val="baseline"/>
                      <w:lang w:val="en-US" w:eastAsia="zh-CN"/>
                    </w:rPr>
                  </w:pPr>
                </w:p>
              </w:tc>
              <w:tc>
                <w:tcPr>
                  <w:tcW w:w="930" w:type="dxa"/>
                  <w:vMerge w:val="continue"/>
                  <w:noWrap w:val="0"/>
                  <w:vAlign w:val="center"/>
                </w:tcPr>
                <w:p w14:paraId="751B14CA">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1D55953C">
                  <w:pPr>
                    <w:spacing w:line="240" w:lineRule="auto"/>
                    <w:jc w:val="center"/>
                    <w:rPr>
                      <w:rFonts w:hint="default"/>
                      <w:sz w:val="21"/>
                      <w:szCs w:val="21"/>
                      <w:highlight w:val="none"/>
                      <w:vertAlign w:val="baseline"/>
                      <w:lang w:val="en-US" w:eastAsia="zh-CN"/>
                    </w:rPr>
                  </w:pPr>
                </w:p>
              </w:tc>
              <w:tc>
                <w:tcPr>
                  <w:tcW w:w="780" w:type="dxa"/>
                  <w:vMerge w:val="continue"/>
                  <w:noWrap w:val="0"/>
                  <w:vAlign w:val="center"/>
                </w:tcPr>
                <w:p w14:paraId="54BBB1E0">
                  <w:pPr>
                    <w:spacing w:line="240" w:lineRule="auto"/>
                    <w:jc w:val="center"/>
                    <w:rPr>
                      <w:rFonts w:hint="default"/>
                      <w:sz w:val="21"/>
                      <w:szCs w:val="21"/>
                      <w:highlight w:val="none"/>
                      <w:vertAlign w:val="baseline"/>
                      <w:lang w:val="en-US" w:eastAsia="zh-CN"/>
                    </w:rPr>
                  </w:pPr>
                </w:p>
              </w:tc>
              <w:tc>
                <w:tcPr>
                  <w:tcW w:w="940" w:type="dxa"/>
                  <w:vMerge w:val="continue"/>
                  <w:noWrap w:val="0"/>
                  <w:vAlign w:val="center"/>
                </w:tcPr>
                <w:p w14:paraId="2A7510ED">
                  <w:pPr>
                    <w:spacing w:line="240" w:lineRule="auto"/>
                    <w:jc w:val="center"/>
                    <w:rPr>
                      <w:rFonts w:hint="default"/>
                      <w:sz w:val="21"/>
                      <w:szCs w:val="21"/>
                      <w:highlight w:val="none"/>
                      <w:vertAlign w:val="baseline"/>
                      <w:lang w:val="en-US" w:eastAsia="zh-CN"/>
                    </w:rPr>
                  </w:pPr>
                </w:p>
              </w:tc>
              <w:tc>
                <w:tcPr>
                  <w:tcW w:w="900" w:type="dxa"/>
                  <w:vMerge w:val="continue"/>
                  <w:noWrap w:val="0"/>
                  <w:vAlign w:val="center"/>
                </w:tcPr>
                <w:p w14:paraId="20DEEA9B">
                  <w:pPr>
                    <w:spacing w:line="240" w:lineRule="auto"/>
                    <w:jc w:val="center"/>
                    <w:rPr>
                      <w:rFonts w:hint="default"/>
                      <w:sz w:val="21"/>
                      <w:szCs w:val="21"/>
                      <w:highlight w:val="none"/>
                      <w:vertAlign w:val="baseline"/>
                      <w:lang w:val="en-US" w:eastAsia="zh-CN"/>
                    </w:rPr>
                  </w:pPr>
                </w:p>
              </w:tc>
              <w:tc>
                <w:tcPr>
                  <w:tcW w:w="1275" w:type="dxa"/>
                  <w:vMerge w:val="continue"/>
                  <w:noWrap w:val="0"/>
                  <w:vAlign w:val="center"/>
                </w:tcPr>
                <w:p w14:paraId="59A21CCB">
                  <w:pPr>
                    <w:spacing w:line="240" w:lineRule="auto"/>
                    <w:jc w:val="center"/>
                    <w:rPr>
                      <w:rFonts w:hint="default"/>
                      <w:sz w:val="21"/>
                      <w:szCs w:val="21"/>
                      <w:highlight w:val="none"/>
                      <w:vertAlign w:val="baseline"/>
                      <w:lang w:val="en-US" w:eastAsia="zh-CN"/>
                    </w:rPr>
                  </w:pPr>
                </w:p>
              </w:tc>
              <w:tc>
                <w:tcPr>
                  <w:tcW w:w="915" w:type="dxa"/>
                  <w:noWrap w:val="0"/>
                  <w:vAlign w:val="center"/>
                </w:tcPr>
                <w:p w14:paraId="50E898A8">
                  <w:pPr>
                    <w:spacing w:line="240" w:lineRule="auto"/>
                    <w:jc w:val="center"/>
                    <w:rPr>
                      <w:rFonts w:hint="default" w:ascii="Times New Roman" w:hAnsi="Times New Roman" w:eastAsia="宋体" w:cs="Times New Roman"/>
                      <w:spacing w:val="6"/>
                      <w:sz w:val="21"/>
                      <w:szCs w:val="21"/>
                      <w:highlight w:val="none"/>
                      <w:vertAlign w:val="baseline"/>
                      <w:lang w:val="en-US" w:eastAsia="zh-CN"/>
                    </w:rPr>
                  </w:pPr>
                  <w:r>
                    <w:rPr>
                      <w:rFonts w:hint="eastAsia" w:cs="Times New Roman"/>
                      <w:spacing w:val="6"/>
                      <w:sz w:val="21"/>
                      <w:szCs w:val="21"/>
                      <w:highlight w:val="none"/>
                      <w:vertAlign w:val="baseline"/>
                      <w:lang w:val="en-US" w:eastAsia="zh-CN"/>
                    </w:rPr>
                    <w:t>排水量</w:t>
                  </w:r>
                </w:p>
              </w:tc>
              <w:tc>
                <w:tcPr>
                  <w:tcW w:w="944" w:type="dxa"/>
                  <w:noWrap w:val="0"/>
                  <w:vAlign w:val="center"/>
                </w:tcPr>
                <w:p w14:paraId="558059DD">
                  <w:pPr>
                    <w:spacing w:line="240" w:lineRule="auto"/>
                    <w:jc w:val="center"/>
                    <w:rPr>
                      <w:rFonts w:hint="default" w:ascii="Times New Roman" w:hAnsi="Times New Roman" w:eastAsia="宋体" w:cs="Times New Roman"/>
                      <w:spacing w:val="6"/>
                      <w:sz w:val="21"/>
                      <w:szCs w:val="21"/>
                      <w:highlight w:val="none"/>
                      <w:vertAlign w:val="baseline"/>
                      <w:lang w:val="en-US" w:eastAsia="zh-CN"/>
                    </w:rPr>
                  </w:pPr>
                  <w:r>
                    <w:rPr>
                      <w:rFonts w:hint="eastAsia" w:ascii="Times New Roman" w:hAnsi="Times New Roman" w:eastAsia="宋体" w:cs="Times New Roman"/>
                      <w:sz w:val="21"/>
                      <w:szCs w:val="21"/>
                      <w:highlight w:val="none"/>
                      <w:lang w:val="en-US" w:eastAsia="zh-CN"/>
                    </w:rPr>
                    <w:t>0.5m</w:t>
                  </w:r>
                  <w:r>
                    <w:rPr>
                      <w:rFonts w:hint="eastAsia" w:ascii="Times New Roman" w:hAnsi="Times New Roman" w:eastAsia="宋体" w:cs="Times New Roman"/>
                      <w:sz w:val="21"/>
                      <w:szCs w:val="21"/>
                      <w:highlight w:val="none"/>
                      <w:vertAlign w:val="superscript"/>
                      <w:lang w:val="en-US" w:eastAsia="zh-CN"/>
                    </w:rPr>
                    <w:t>3</w:t>
                  </w:r>
                  <w:r>
                    <w:rPr>
                      <w:rFonts w:hint="eastAsia" w:ascii="Times New Roman" w:hAnsi="Times New Roman" w:eastAsia="宋体" w:cs="Times New Roman"/>
                      <w:sz w:val="21"/>
                      <w:szCs w:val="21"/>
                      <w:highlight w:val="none"/>
                      <w:lang w:val="en-US" w:eastAsia="zh-CN"/>
                    </w:rPr>
                    <w:t>/</w:t>
                  </w:r>
                  <w:r>
                    <w:rPr>
                      <w:rFonts w:hint="eastAsia" w:cs="Times New Roman"/>
                      <w:sz w:val="21"/>
                      <w:szCs w:val="21"/>
                      <w:highlight w:val="none"/>
                      <w:lang w:val="en-US" w:eastAsia="zh-CN"/>
                    </w:rPr>
                    <w:t>万粒</w:t>
                  </w:r>
                </w:p>
              </w:tc>
            </w:tr>
          </w:tbl>
          <w:p w14:paraId="2A1D02D5">
            <w:pPr>
              <w:pStyle w:val="44"/>
              <w:ind w:left="0" w:leftChars="0"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3</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厂区污水接管可行性分析</w:t>
            </w:r>
          </w:p>
          <w:p w14:paraId="45A127D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w:t>
            </w:r>
            <w:r>
              <w:rPr>
                <w:rFonts w:hint="eastAsia" w:ascii="Times New Roman" w:hAnsi="Times New Roman" w:cs="Times New Roman"/>
                <w:bCs/>
                <w:color w:val="auto"/>
                <w:kern w:val="21"/>
                <w:sz w:val="24"/>
                <w:szCs w:val="24"/>
                <w:highlight w:val="none"/>
                <w:lang w:val="en-US" w:eastAsia="zh-CN"/>
              </w:rPr>
              <w:t>生活</w:t>
            </w:r>
            <w:r>
              <w:rPr>
                <w:rFonts w:hint="eastAsia" w:ascii="Times New Roman" w:hAnsi="Times New Roman" w:eastAsia="宋体" w:cs="Times New Roman"/>
                <w:sz w:val="24"/>
                <w:szCs w:val="24"/>
                <w:highlight w:val="none"/>
                <w:lang w:eastAsia="zh-CN"/>
              </w:rPr>
              <w:t>污水经</w:t>
            </w:r>
            <w:r>
              <w:rPr>
                <w:rFonts w:hint="eastAsia" w:ascii="Times New Roman" w:hAnsi="Times New Roman" w:cs="Times New Roman"/>
                <w:bCs/>
                <w:color w:val="auto"/>
                <w:kern w:val="21"/>
                <w:sz w:val="24"/>
                <w:szCs w:val="24"/>
                <w:highlight w:val="none"/>
                <w:lang w:val="en-US" w:eastAsia="zh-CN"/>
              </w:rPr>
              <w:t>园区化粪池预处理后</w:t>
            </w:r>
            <w:r>
              <w:rPr>
                <w:rFonts w:hint="eastAsia" w:ascii="Times New Roman" w:hAnsi="Times New Roman" w:eastAsia="宋体" w:cs="Times New Roman"/>
                <w:color w:val="auto"/>
                <w:sz w:val="24"/>
                <w:szCs w:val="24"/>
                <w:highlight w:val="none"/>
                <w:lang w:val="en-US" w:eastAsia="zh-CN"/>
              </w:rPr>
              <w:t>接入</w:t>
            </w:r>
            <w:r>
              <w:rPr>
                <w:rFonts w:hint="eastAsia" w:cs="Times New Roman"/>
                <w:color w:val="auto"/>
                <w:sz w:val="24"/>
                <w:szCs w:val="24"/>
                <w:highlight w:val="none"/>
                <w:lang w:val="en-US" w:eastAsia="zh-CN"/>
              </w:rPr>
              <w:t>市政</w:t>
            </w:r>
            <w:r>
              <w:rPr>
                <w:rFonts w:hint="eastAsia" w:ascii="Times New Roman" w:hAnsi="Times New Roman" w:eastAsia="宋体" w:cs="Times New Roman"/>
                <w:color w:val="auto"/>
                <w:sz w:val="24"/>
                <w:szCs w:val="24"/>
                <w:highlight w:val="none"/>
                <w:lang w:val="en-US" w:eastAsia="zh-CN"/>
              </w:rPr>
              <w:t>污水管网，</w:t>
            </w:r>
            <w:r>
              <w:rPr>
                <w:rFonts w:hint="default" w:ascii="Times New Roman" w:hAnsi="Times New Roman" w:eastAsia="宋体" w:cs="Times New Roman"/>
                <w:sz w:val="24"/>
                <w:szCs w:val="24"/>
                <w:highlight w:val="none"/>
              </w:rPr>
              <w:t>送</w:t>
            </w:r>
            <w:r>
              <w:rPr>
                <w:rFonts w:hint="eastAsia" w:ascii="Times New Roman" w:hAnsi="Times New Roman" w:eastAsia="宋体" w:cs="Times New Roman"/>
                <w:sz w:val="24"/>
                <w:szCs w:val="24"/>
                <w:highlight w:val="none"/>
                <w:lang w:eastAsia="zh-CN"/>
              </w:rPr>
              <w:t>至</w:t>
            </w:r>
            <w:r>
              <w:rPr>
                <w:rFonts w:hint="default" w:ascii="Times New Roman" w:hAnsi="Times New Roman" w:eastAsia="宋体" w:cs="Times New Roman"/>
                <w:sz w:val="24"/>
                <w:szCs w:val="24"/>
                <w:highlight w:val="none"/>
              </w:rPr>
              <w:t>江南产业集中区第一污水处理厂处理达标后</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经九华河</w:t>
            </w:r>
            <w:r>
              <w:rPr>
                <w:rFonts w:hint="eastAsia" w:ascii="Times New Roman" w:hAnsi="Times New Roman" w:eastAsia="宋体" w:cs="Times New Roman"/>
                <w:color w:val="auto"/>
                <w:sz w:val="24"/>
                <w:szCs w:val="24"/>
                <w:highlight w:val="none"/>
                <w:lang w:val="en-US" w:eastAsia="zh-CN"/>
              </w:rPr>
              <w:t>排入长江。皖江江南新兴产业集中区第一污水处理厂一期工程设计污水处理量为25000m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/d，目前已投入运行，本项目日排污废水量约</w:t>
            </w:r>
            <w:r>
              <w:rPr>
                <w:rFonts w:hint="eastAsia" w:cs="Times New Roman"/>
                <w:color w:val="auto"/>
                <w:sz w:val="24"/>
                <w:szCs w:val="24"/>
                <w:highlight w:val="none"/>
                <w:lang w:val="en-US" w:eastAsia="zh-CN"/>
              </w:rPr>
              <w:t>4.08</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，本项目建成后外排水量仅占其处理能力的0.016%，不会对其处理能力造成冲击，因在其设计考虑处理范围内，接管水量是可行的</w:t>
            </w:r>
            <w:r>
              <w:rPr>
                <w:rFonts w:hint="eastAsia" w:ascii="Times New Roman" w:hAnsi="Times New Roman" w:eastAsia="宋体" w:cs="Times New Roman"/>
                <w:color w:val="auto"/>
                <w:sz w:val="24"/>
                <w:szCs w:val="24"/>
                <w:highlight w:val="none"/>
                <w:lang w:val="en-US" w:eastAsia="zh-CN"/>
              </w:rPr>
              <w:t>；且本项目生活污水经预处理后废水中污染物浓度均可达到</w:t>
            </w:r>
            <w:r>
              <w:rPr>
                <w:rFonts w:hint="default" w:ascii="Times New Roman" w:hAnsi="Times New Roman" w:eastAsia="宋体" w:cs="Times New Roman"/>
                <w:sz w:val="24"/>
                <w:szCs w:val="24"/>
                <w:highlight w:val="none"/>
              </w:rPr>
              <w:t>江南产业集中区第一污水处理厂</w:t>
            </w:r>
            <w:r>
              <w:rPr>
                <w:rFonts w:hint="eastAsia" w:cs="Times New Roman"/>
                <w:sz w:val="24"/>
                <w:szCs w:val="24"/>
                <w:highlight w:val="none"/>
                <w:lang w:eastAsia="zh-CN"/>
              </w:rPr>
              <w:t>接</w:t>
            </w:r>
            <w:r>
              <w:rPr>
                <w:rFonts w:hint="eastAsia" w:ascii="Times New Roman" w:hAnsi="Times New Roman" w:eastAsia="宋体" w:cs="Times New Roman"/>
                <w:color w:val="auto"/>
                <w:sz w:val="24"/>
                <w:szCs w:val="24"/>
                <w:highlight w:val="none"/>
                <w:lang w:val="en-US" w:eastAsia="zh-CN"/>
              </w:rPr>
              <w:t>管限值和《污水综合排放标准》（GB8978-1996）表 4 中三级标准，在处理效果上也可行。因此</w:t>
            </w:r>
            <w:r>
              <w:rPr>
                <w:rFonts w:hint="default" w:ascii="Times New Roman" w:hAnsi="Times New Roman" w:eastAsia="宋体" w:cs="Times New Roman"/>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完全有能力接纳本项目产生的污水，本项目污水接管可行。</w:t>
            </w:r>
            <w:r>
              <w:rPr>
                <w:rFonts w:hint="default" w:ascii="Times New Roman" w:hAnsi="Times New Roman" w:eastAsia="宋体" w:cs="Times New Roman"/>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污水处理工艺流程图见下图：</w:t>
            </w:r>
          </w:p>
          <w:p w14:paraId="0567FD0B">
            <w:pPr>
              <w:spacing w:line="360" w:lineRule="auto"/>
              <w:jc w:val="center"/>
              <w:rPr>
                <w:rFonts w:hint="eastAsia" w:ascii="Times New Roman" w:hAnsi="Times New Roman" w:eastAsia="宋体" w:cs="Times New Roman"/>
                <w:color w:val="auto"/>
                <w:sz w:val="24"/>
                <w:szCs w:val="24"/>
                <w:highlight w:val="none"/>
                <w:lang w:val="en-US" w:eastAsia="zh-CN"/>
              </w:rPr>
            </w:pPr>
            <w:r>
              <w:rPr>
                <w:sz w:val="24"/>
                <w:szCs w:val="24"/>
                <w:highlight w:val="none"/>
              </w:rPr>
              <w:drawing>
                <wp:inline distT="0" distB="0" distL="114300" distR="114300">
                  <wp:extent cx="5053965" cy="2960370"/>
                  <wp:effectExtent l="0" t="0" r="13335" b="1143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7"/>
                          <a:stretch>
                            <a:fillRect/>
                          </a:stretch>
                        </pic:blipFill>
                        <pic:spPr>
                          <a:xfrm>
                            <a:off x="0" y="0"/>
                            <a:ext cx="5053965" cy="2960370"/>
                          </a:xfrm>
                          <a:prstGeom prst="rect">
                            <a:avLst/>
                          </a:prstGeom>
                          <a:noFill/>
                          <a:ln>
                            <a:noFill/>
                          </a:ln>
                        </pic:spPr>
                      </pic:pic>
                    </a:graphicData>
                  </a:graphic>
                </wp:inline>
              </w:drawing>
            </w:r>
          </w:p>
          <w:p w14:paraId="5BAD0CA3">
            <w:pPr>
              <w:spacing w:line="360" w:lineRule="auto"/>
              <w:ind w:firstLine="482" w:firstLineChars="200"/>
              <w:jc w:val="center"/>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图4-</w:t>
            </w:r>
            <w:r>
              <w:rPr>
                <w:rFonts w:hint="eastAsia"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spacing w:val="6"/>
                <w:sz w:val="24"/>
                <w:szCs w:val="24"/>
                <w:highlight w:val="none"/>
                <w:vertAlign w:val="baseline"/>
                <w:lang w:eastAsia="zh-CN"/>
              </w:rPr>
              <w:t>江南产业集中区第一污水处理厂</w:t>
            </w:r>
            <w:r>
              <w:rPr>
                <w:rFonts w:hint="eastAsia" w:ascii="Times New Roman" w:hAnsi="Times New Roman" w:eastAsia="宋体" w:cs="Times New Roman"/>
                <w:b/>
                <w:bCs/>
                <w:color w:val="auto"/>
                <w:sz w:val="24"/>
                <w:szCs w:val="24"/>
                <w:highlight w:val="none"/>
                <w:lang w:val="en-US" w:eastAsia="zh-CN"/>
              </w:rPr>
              <w:t>污水处理工艺流程图</w:t>
            </w:r>
          </w:p>
          <w:p w14:paraId="79435451">
            <w:pPr>
              <w:adjustRightInd w:val="0"/>
              <w:spacing w:line="360" w:lineRule="auto"/>
              <w:ind w:firstLine="482" w:firstLineChars="200"/>
              <w:rPr>
                <w:rFonts w:hint="default" w:ascii="Times New Roman" w:hAnsi="Times New Roman" w:cs="Times New Roman"/>
                <w:color w:val="auto"/>
                <w:sz w:val="24"/>
                <w:szCs w:val="24"/>
                <w:highlight w:val="none"/>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4</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监测计划</w:t>
            </w:r>
          </w:p>
          <w:p w14:paraId="45087BDF">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结合《</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》（HJ1031—2019）</w:t>
            </w:r>
            <w:r>
              <w:rPr>
                <w:rFonts w:hint="default" w:ascii="Times New Roman" w:hAnsi="Times New Roman"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单独排向市政污水处理厂的生活污水不要求开展自行监测</w:t>
            </w:r>
            <w:r>
              <w:rPr>
                <w:rFonts w:hint="default" w:ascii="Times New Roman" w:hAnsi="Times New Roman" w:eastAsia="宋体" w:cs="Times New Roman"/>
                <w:color w:val="auto"/>
                <w:sz w:val="24"/>
                <w:szCs w:val="24"/>
                <w:highlight w:val="none"/>
                <w:lang w:val="en-US" w:eastAsia="zh-CN"/>
              </w:rPr>
              <w:t>。</w:t>
            </w:r>
          </w:p>
          <w:p w14:paraId="557A6199">
            <w:pPr>
              <w:spacing w:line="360" w:lineRule="auto"/>
              <w:ind w:firstLine="482" w:firstLineChars="200"/>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lang w:val="en-US" w:eastAsia="zh-CN"/>
              </w:rPr>
              <w:t>噪声</w:t>
            </w:r>
          </w:p>
          <w:p w14:paraId="4889EC60">
            <w:pPr>
              <w:spacing w:line="360" w:lineRule="auto"/>
              <w:ind w:firstLine="482" w:firstLineChars="200"/>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（1）噪声源强分析</w:t>
            </w:r>
          </w:p>
          <w:p w14:paraId="5E0695B2">
            <w:pPr>
              <w:spacing w:line="360" w:lineRule="auto"/>
              <w:ind w:firstLine="480" w:firstLineChars="200"/>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项目噪声源主要是各</w:t>
            </w:r>
            <w:r>
              <w:rPr>
                <w:rFonts w:hint="eastAsia" w:cs="Times New Roman"/>
                <w:b w:val="0"/>
                <w:bCs/>
                <w:color w:val="auto"/>
                <w:sz w:val="24"/>
                <w:szCs w:val="24"/>
                <w:highlight w:val="none"/>
                <w:lang w:val="en-US" w:eastAsia="zh-CN"/>
              </w:rPr>
              <w:t>生产</w:t>
            </w:r>
            <w:r>
              <w:rPr>
                <w:rFonts w:hint="default" w:ascii="Times New Roman" w:hAnsi="Times New Roman" w:eastAsia="宋体" w:cs="Times New Roman"/>
                <w:b w:val="0"/>
                <w:bCs/>
                <w:color w:val="auto"/>
                <w:sz w:val="24"/>
                <w:szCs w:val="24"/>
                <w:highlight w:val="none"/>
              </w:rPr>
              <w:t>设备</w:t>
            </w:r>
            <w:r>
              <w:rPr>
                <w:rFonts w:hint="eastAsia" w:cs="Times New Roman"/>
                <w:b w:val="0"/>
                <w:bCs/>
                <w:color w:val="auto"/>
                <w:sz w:val="24"/>
                <w:szCs w:val="24"/>
                <w:highlight w:val="none"/>
                <w:lang w:val="en-US" w:eastAsia="zh-CN"/>
              </w:rPr>
              <w:t>及废气处理设施风机</w:t>
            </w:r>
            <w:r>
              <w:rPr>
                <w:rFonts w:hint="default" w:ascii="Times New Roman" w:hAnsi="Times New Roman" w:eastAsia="宋体" w:cs="Times New Roman"/>
                <w:b w:val="0"/>
                <w:bCs/>
                <w:color w:val="auto"/>
                <w:sz w:val="24"/>
                <w:szCs w:val="24"/>
                <w:highlight w:val="none"/>
              </w:rPr>
              <w:t>运行时产生的噪声，其噪声源强在</w:t>
            </w:r>
            <w:r>
              <w:rPr>
                <w:rFonts w:hint="eastAsia" w:cs="Times New Roman"/>
                <w:b w:val="0"/>
                <w:bCs/>
                <w:color w:val="auto"/>
                <w:sz w:val="24"/>
                <w:szCs w:val="24"/>
                <w:highlight w:val="none"/>
                <w:lang w:val="en-US" w:eastAsia="zh-CN"/>
              </w:rPr>
              <w:t>70</w:t>
            </w:r>
            <w:r>
              <w:rPr>
                <w:rFonts w:hint="default" w:ascii="Times New Roman" w:hAnsi="Times New Roman" w:eastAsia="宋体" w:cs="Times New Roman"/>
                <w:b w:val="0"/>
                <w:bCs/>
                <w:color w:val="auto"/>
                <w:sz w:val="24"/>
                <w:szCs w:val="24"/>
                <w:highlight w:val="none"/>
              </w:rPr>
              <w:t>~</w:t>
            </w:r>
            <w:r>
              <w:rPr>
                <w:rFonts w:hint="eastAsia" w:cs="Times New Roman"/>
                <w:b w:val="0"/>
                <w:bCs/>
                <w:color w:val="auto"/>
                <w:sz w:val="24"/>
                <w:szCs w:val="24"/>
                <w:highlight w:val="none"/>
                <w:lang w:val="en-US" w:eastAsia="zh-CN"/>
              </w:rPr>
              <w:t>85</w:t>
            </w:r>
            <w:r>
              <w:rPr>
                <w:rFonts w:hint="default" w:ascii="Times New Roman" w:hAnsi="Times New Roman" w:eastAsia="宋体" w:cs="Times New Roman"/>
                <w:b w:val="0"/>
                <w:bCs/>
                <w:color w:val="auto"/>
                <w:sz w:val="24"/>
                <w:szCs w:val="24"/>
                <w:highlight w:val="none"/>
              </w:rPr>
              <w:t>dB(A)。具体详见下表：</w:t>
            </w:r>
          </w:p>
          <w:p w14:paraId="7FE65A5C">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4-13  项目噪声污染源一览表（室外）</w:t>
            </w:r>
          </w:p>
          <w:tbl>
            <w:tblPr>
              <w:tblStyle w:val="23"/>
              <w:tblW w:w="7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705"/>
              <w:gridCol w:w="900"/>
              <w:gridCol w:w="1609"/>
              <w:gridCol w:w="1011"/>
              <w:gridCol w:w="1045"/>
              <w:gridCol w:w="917"/>
              <w:gridCol w:w="991"/>
            </w:tblGrid>
            <w:tr w14:paraId="2918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Merge w:val="restart"/>
                  <w:vAlign w:val="center"/>
                </w:tcPr>
                <w:p w14:paraId="77D6FC87">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val="en-US" w:eastAsia="zh-CN"/>
                    </w:rPr>
                    <w:t>声源名称</w:t>
                  </w:r>
                </w:p>
              </w:tc>
              <w:tc>
                <w:tcPr>
                  <w:tcW w:w="705" w:type="dxa"/>
                  <w:vMerge w:val="restart"/>
                  <w:vAlign w:val="center"/>
                </w:tcPr>
                <w:p w14:paraId="3E2849C6">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val="en-US" w:eastAsia="zh-CN"/>
                    </w:rPr>
                    <w:t>数量</w:t>
                  </w:r>
                </w:p>
              </w:tc>
              <w:tc>
                <w:tcPr>
                  <w:tcW w:w="900" w:type="dxa"/>
                  <w:vMerge w:val="restart"/>
                  <w:vAlign w:val="center"/>
                </w:tcPr>
                <w:p w14:paraId="1B113FE0">
                  <w:pPr>
                    <w:adjustRightInd w:val="0"/>
                    <w:snapToGrid w:val="0"/>
                    <w:spacing w:line="240" w:lineRule="auto"/>
                    <w:jc w:val="center"/>
                    <w:rPr>
                      <w:rFonts w:hint="eastAsia"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eastAsia="zh-CN"/>
                    </w:rPr>
                    <w:t>噪声源强</w:t>
                  </w:r>
                  <w:r>
                    <w:rPr>
                      <w:rFonts w:hint="eastAsia" w:ascii="Times New Roman" w:hAnsi="Times New Roman" w:eastAsia="宋体" w:cs="Times New Roman"/>
                      <w:b/>
                      <w:bCs/>
                      <w:color w:val="auto"/>
                      <w:sz w:val="21"/>
                      <w:szCs w:val="21"/>
                      <w:highlight w:val="none"/>
                    </w:rPr>
                    <w:t>dB</w:t>
                  </w:r>
                  <w:r>
                    <w:rPr>
                      <w:rFonts w:hint="eastAsia" w:ascii="Times New Roman" w:hAnsi="Times New Roman" w:eastAsia="宋体" w:cs="Times New Roman"/>
                      <w:b/>
                      <w:bCs/>
                      <w:color w:val="auto"/>
                      <w:sz w:val="21"/>
                      <w:szCs w:val="21"/>
                      <w:highlight w:val="none"/>
                      <w:lang w:val="en-US" w:eastAsia="zh-CN"/>
                    </w:rPr>
                    <w:t xml:space="preserve"> </w:t>
                  </w:r>
                  <w:r>
                    <w:rPr>
                      <w:rFonts w:hint="eastAsia" w:ascii="Times New Roman" w:hAnsi="Times New Roman" w:eastAsia="宋体" w:cs="Times New Roman"/>
                      <w:b/>
                      <w:bCs/>
                      <w:color w:val="auto"/>
                      <w:sz w:val="21"/>
                      <w:szCs w:val="21"/>
                      <w:highlight w:val="none"/>
                    </w:rPr>
                    <w:t>(A)</w:t>
                  </w:r>
                </w:p>
              </w:tc>
              <w:tc>
                <w:tcPr>
                  <w:tcW w:w="1609" w:type="dxa"/>
                  <w:vMerge w:val="restart"/>
                  <w:vAlign w:val="center"/>
                </w:tcPr>
                <w:p w14:paraId="21960159">
                  <w:pPr>
                    <w:adjustRightInd w:val="0"/>
                    <w:snapToGrid w:val="0"/>
                    <w:spacing w:line="240" w:lineRule="auto"/>
                    <w:jc w:val="center"/>
                    <w:rPr>
                      <w:rFonts w:hint="eastAsia"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eastAsia="zh-CN"/>
                    </w:rPr>
                    <w:t>降噪</w:t>
                  </w:r>
                  <w:r>
                    <w:rPr>
                      <w:rFonts w:hint="eastAsia" w:ascii="Times New Roman" w:hAnsi="Times New Roman" w:eastAsia="宋体" w:cs="Times New Roman"/>
                      <w:b/>
                      <w:bCs/>
                      <w:color w:val="auto"/>
                      <w:sz w:val="21"/>
                      <w:szCs w:val="21"/>
                      <w:highlight w:val="none"/>
                    </w:rPr>
                    <w:t>措施</w:t>
                  </w:r>
                </w:p>
              </w:tc>
              <w:tc>
                <w:tcPr>
                  <w:tcW w:w="2973" w:type="dxa"/>
                  <w:gridSpan w:val="3"/>
                  <w:vAlign w:val="center"/>
                </w:tcPr>
                <w:p w14:paraId="784FB7F1">
                  <w:pPr>
                    <w:adjustRightInd w:val="0"/>
                    <w:snapToGrid w:val="0"/>
                    <w:spacing w:line="240" w:lineRule="auto"/>
                    <w:jc w:val="center"/>
                    <w:rPr>
                      <w:rFonts w:hint="eastAsia"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val="en-US" w:eastAsia="zh-CN"/>
                    </w:rPr>
                    <w:t>空间相对位置</w:t>
                  </w:r>
                </w:p>
              </w:tc>
              <w:tc>
                <w:tcPr>
                  <w:tcW w:w="991" w:type="dxa"/>
                  <w:vMerge w:val="restart"/>
                  <w:vAlign w:val="center"/>
                </w:tcPr>
                <w:p w14:paraId="59BD361C">
                  <w:pPr>
                    <w:spacing w:line="360" w:lineRule="auto"/>
                    <w:jc w:val="center"/>
                    <w:rPr>
                      <w:rFonts w:hint="eastAsia" w:ascii="Times New Roman" w:hAnsi="Times New Roman" w:eastAsia="宋体" w:cs="Times New Roman"/>
                      <w:b/>
                      <w:bCs w:val="0"/>
                      <w:color w:val="auto"/>
                      <w:sz w:val="21"/>
                      <w:szCs w:val="21"/>
                      <w:highlight w:val="none"/>
                      <w:vertAlign w:val="baseline"/>
                      <w:lang w:val="en-US" w:eastAsia="zh-CN"/>
                    </w:rPr>
                  </w:pPr>
                  <w:r>
                    <w:rPr>
                      <w:rFonts w:hint="eastAsia"/>
                      <w:b/>
                      <w:bCs/>
                      <w:color w:val="auto"/>
                      <w:sz w:val="21"/>
                      <w:szCs w:val="21"/>
                      <w:highlight w:val="none"/>
                    </w:rPr>
                    <w:t>损失量</w:t>
                  </w:r>
                  <w:r>
                    <w:rPr>
                      <w:b/>
                      <w:bCs/>
                      <w:color w:val="auto"/>
                      <w:sz w:val="21"/>
                      <w:szCs w:val="21"/>
                      <w:highlight w:val="none"/>
                    </w:rPr>
                    <w:t>dB(A)</w:t>
                  </w:r>
                </w:p>
              </w:tc>
            </w:tr>
            <w:tr w14:paraId="0446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Merge w:val="continue"/>
                  <w:vAlign w:val="center"/>
                </w:tcPr>
                <w:p w14:paraId="27C7A986">
                  <w:pPr>
                    <w:spacing w:line="360" w:lineRule="auto"/>
                    <w:jc w:val="center"/>
                    <w:rPr>
                      <w:rFonts w:hint="eastAsia" w:ascii="Times New Roman" w:hAnsi="Times New Roman" w:eastAsia="宋体" w:cs="Times New Roman"/>
                      <w:b/>
                      <w:bCs w:val="0"/>
                      <w:color w:val="auto"/>
                      <w:sz w:val="21"/>
                      <w:szCs w:val="21"/>
                      <w:highlight w:val="none"/>
                      <w:vertAlign w:val="baseline"/>
                      <w:lang w:val="en-US" w:eastAsia="zh-CN"/>
                    </w:rPr>
                  </w:pPr>
                </w:p>
              </w:tc>
              <w:tc>
                <w:tcPr>
                  <w:tcW w:w="705" w:type="dxa"/>
                  <w:vMerge w:val="continue"/>
                  <w:vAlign w:val="center"/>
                </w:tcPr>
                <w:p w14:paraId="36505665">
                  <w:pPr>
                    <w:spacing w:line="360" w:lineRule="auto"/>
                    <w:jc w:val="center"/>
                    <w:rPr>
                      <w:rFonts w:hint="eastAsia" w:ascii="Times New Roman" w:hAnsi="Times New Roman" w:eastAsia="宋体" w:cs="Times New Roman"/>
                      <w:b/>
                      <w:bCs w:val="0"/>
                      <w:color w:val="auto"/>
                      <w:sz w:val="21"/>
                      <w:szCs w:val="21"/>
                      <w:highlight w:val="none"/>
                      <w:vertAlign w:val="baseline"/>
                      <w:lang w:val="en-US" w:eastAsia="zh-CN"/>
                    </w:rPr>
                  </w:pPr>
                </w:p>
              </w:tc>
              <w:tc>
                <w:tcPr>
                  <w:tcW w:w="900" w:type="dxa"/>
                  <w:vMerge w:val="continue"/>
                  <w:vAlign w:val="center"/>
                </w:tcPr>
                <w:p w14:paraId="1E1EA5A3">
                  <w:pPr>
                    <w:spacing w:line="360" w:lineRule="auto"/>
                    <w:jc w:val="center"/>
                    <w:rPr>
                      <w:rFonts w:hint="eastAsia" w:ascii="Times New Roman" w:hAnsi="Times New Roman" w:eastAsia="宋体" w:cs="Times New Roman"/>
                      <w:b/>
                      <w:bCs w:val="0"/>
                      <w:color w:val="auto"/>
                      <w:sz w:val="21"/>
                      <w:szCs w:val="21"/>
                      <w:highlight w:val="none"/>
                      <w:vertAlign w:val="baseline"/>
                      <w:lang w:val="en-US" w:eastAsia="zh-CN"/>
                    </w:rPr>
                  </w:pPr>
                </w:p>
              </w:tc>
              <w:tc>
                <w:tcPr>
                  <w:tcW w:w="1609" w:type="dxa"/>
                  <w:vMerge w:val="continue"/>
                  <w:vAlign w:val="center"/>
                </w:tcPr>
                <w:p w14:paraId="486A279F">
                  <w:pPr>
                    <w:spacing w:line="360" w:lineRule="auto"/>
                    <w:jc w:val="center"/>
                    <w:rPr>
                      <w:rFonts w:hint="eastAsia" w:ascii="Times New Roman" w:hAnsi="Times New Roman" w:eastAsia="宋体" w:cs="Times New Roman"/>
                      <w:b/>
                      <w:bCs w:val="0"/>
                      <w:color w:val="auto"/>
                      <w:sz w:val="21"/>
                      <w:szCs w:val="21"/>
                      <w:highlight w:val="none"/>
                      <w:vertAlign w:val="baseline"/>
                      <w:lang w:val="en-US" w:eastAsia="zh-CN"/>
                    </w:rPr>
                  </w:pPr>
                </w:p>
              </w:tc>
              <w:tc>
                <w:tcPr>
                  <w:tcW w:w="1011" w:type="dxa"/>
                  <w:vAlign w:val="center"/>
                </w:tcPr>
                <w:p w14:paraId="099F0154">
                  <w:pPr>
                    <w:spacing w:line="240" w:lineRule="auto"/>
                    <w:jc w:val="center"/>
                    <w:rPr>
                      <w:rFonts w:hint="eastAsia" w:ascii="Times New Roman" w:hAnsi="Times New Roman" w:eastAsia="宋体" w:cs="Times New Roman"/>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X</w:t>
                  </w:r>
                </w:p>
              </w:tc>
              <w:tc>
                <w:tcPr>
                  <w:tcW w:w="1045" w:type="dxa"/>
                  <w:vAlign w:val="center"/>
                </w:tcPr>
                <w:p w14:paraId="2D6DB48A">
                  <w:pPr>
                    <w:spacing w:line="240" w:lineRule="auto"/>
                    <w:jc w:val="center"/>
                    <w:rPr>
                      <w:rFonts w:hint="eastAsia" w:ascii="Times New Roman" w:hAnsi="Times New Roman" w:eastAsia="宋体" w:cs="Times New Roman"/>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Y</w:t>
                  </w:r>
                </w:p>
              </w:tc>
              <w:tc>
                <w:tcPr>
                  <w:tcW w:w="917" w:type="dxa"/>
                  <w:vAlign w:val="center"/>
                </w:tcPr>
                <w:p w14:paraId="48B1B715">
                  <w:pPr>
                    <w:spacing w:line="240" w:lineRule="auto"/>
                    <w:jc w:val="center"/>
                    <w:rPr>
                      <w:rFonts w:hint="eastAsia" w:ascii="Times New Roman" w:hAnsi="Times New Roman" w:eastAsia="宋体" w:cs="Times New Roman"/>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Z</w:t>
                  </w:r>
                </w:p>
              </w:tc>
              <w:tc>
                <w:tcPr>
                  <w:tcW w:w="991" w:type="dxa"/>
                  <w:vMerge w:val="continue"/>
                  <w:vAlign w:val="center"/>
                </w:tcPr>
                <w:p w14:paraId="18E9203F">
                  <w:pPr>
                    <w:spacing w:line="360" w:lineRule="auto"/>
                    <w:jc w:val="center"/>
                    <w:rPr>
                      <w:rFonts w:hint="eastAsia" w:ascii="Times New Roman" w:hAnsi="Times New Roman" w:eastAsia="宋体" w:cs="Times New Roman"/>
                      <w:b/>
                      <w:bCs w:val="0"/>
                      <w:color w:val="auto"/>
                      <w:sz w:val="21"/>
                      <w:szCs w:val="21"/>
                      <w:highlight w:val="none"/>
                      <w:vertAlign w:val="baseline"/>
                      <w:lang w:val="en-US" w:eastAsia="zh-CN"/>
                    </w:rPr>
                  </w:pPr>
                </w:p>
              </w:tc>
            </w:tr>
            <w:tr w14:paraId="46B6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747" w:type="dxa"/>
                  <w:vAlign w:val="center"/>
                </w:tcPr>
                <w:p w14:paraId="4F611D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风机</w:t>
                  </w:r>
                </w:p>
              </w:tc>
              <w:tc>
                <w:tcPr>
                  <w:tcW w:w="705" w:type="dxa"/>
                  <w:vAlign w:val="center"/>
                </w:tcPr>
                <w:p w14:paraId="1D14FBE7">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w:t>
                  </w:r>
                </w:p>
              </w:tc>
              <w:tc>
                <w:tcPr>
                  <w:tcW w:w="900" w:type="dxa"/>
                  <w:vAlign w:val="center"/>
                </w:tcPr>
                <w:p w14:paraId="3E15133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85</w:t>
                  </w:r>
                </w:p>
              </w:tc>
              <w:tc>
                <w:tcPr>
                  <w:tcW w:w="1609" w:type="dxa"/>
                  <w:vAlign w:val="center"/>
                </w:tcPr>
                <w:p w14:paraId="3D2FA7BE">
                  <w:pPr>
                    <w:spacing w:line="240" w:lineRule="auto"/>
                    <w:jc w:val="center"/>
                    <w:rPr>
                      <w:rFonts w:hint="eastAsia"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color w:val="000000"/>
                      <w:sz w:val="21"/>
                      <w:szCs w:val="21"/>
                      <w:highlight w:val="none"/>
                      <w:lang w:val="en-US" w:eastAsia="zh-CN"/>
                    </w:rPr>
                    <w:t>合理布置设备位置、设备减振、消声</w:t>
                  </w:r>
                </w:p>
              </w:tc>
              <w:tc>
                <w:tcPr>
                  <w:tcW w:w="1011" w:type="dxa"/>
                  <w:vAlign w:val="center"/>
                </w:tcPr>
                <w:p w14:paraId="535598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90</w:t>
                  </w:r>
                </w:p>
              </w:tc>
              <w:tc>
                <w:tcPr>
                  <w:tcW w:w="1045" w:type="dxa"/>
                  <w:vAlign w:val="center"/>
                </w:tcPr>
                <w:p w14:paraId="444BDD3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8</w:t>
                  </w:r>
                </w:p>
              </w:tc>
              <w:tc>
                <w:tcPr>
                  <w:tcW w:w="917" w:type="dxa"/>
                  <w:vAlign w:val="center"/>
                </w:tcPr>
                <w:p w14:paraId="4972DF1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18</w:t>
                  </w:r>
                </w:p>
              </w:tc>
              <w:tc>
                <w:tcPr>
                  <w:tcW w:w="991" w:type="dxa"/>
                  <w:vAlign w:val="center"/>
                </w:tcPr>
                <w:p w14:paraId="4CF1A866">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15</w:t>
                  </w:r>
                </w:p>
              </w:tc>
            </w:tr>
          </w:tbl>
          <w:p w14:paraId="4A4BB18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表4-14  项目</w:t>
            </w:r>
            <w:r>
              <w:rPr>
                <w:rFonts w:hint="default" w:ascii="Times New Roman" w:hAnsi="Times New Roman" w:eastAsia="宋体" w:cs="Times New Roman"/>
                <w:b/>
                <w:color w:val="auto"/>
                <w:kern w:val="2"/>
                <w:sz w:val="24"/>
                <w:szCs w:val="24"/>
                <w:highlight w:val="none"/>
                <w:lang w:val="en-US" w:eastAsia="zh-CN"/>
              </w:rPr>
              <w:t>噪声污染源一览表</w:t>
            </w:r>
            <w:r>
              <w:rPr>
                <w:rFonts w:hint="eastAsia" w:ascii="Times New Roman" w:hAnsi="Times New Roman" w:eastAsia="宋体" w:cs="Times New Roman"/>
                <w:b/>
                <w:color w:val="auto"/>
                <w:kern w:val="2"/>
                <w:sz w:val="24"/>
                <w:szCs w:val="24"/>
                <w:highlight w:val="none"/>
                <w:lang w:val="en-US" w:eastAsia="zh-CN"/>
              </w:rPr>
              <w:t>（室内）</w:t>
            </w:r>
          </w:p>
          <w:tbl>
            <w:tblPr>
              <w:tblStyle w:val="23"/>
              <w:tblW w:w="7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
              <w:gridCol w:w="690"/>
              <w:gridCol w:w="453"/>
              <w:gridCol w:w="674"/>
              <w:gridCol w:w="766"/>
              <w:gridCol w:w="565"/>
              <w:gridCol w:w="596"/>
              <w:gridCol w:w="517"/>
              <w:gridCol w:w="864"/>
              <w:gridCol w:w="719"/>
              <w:gridCol w:w="767"/>
              <w:gridCol w:w="853"/>
            </w:tblGrid>
            <w:tr w14:paraId="7078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vMerge w:val="restart"/>
                  <w:noWrap w:val="0"/>
                  <w:vAlign w:val="center"/>
                </w:tcPr>
                <w:p w14:paraId="0E359D63">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690" w:type="dxa"/>
                  <w:vMerge w:val="restart"/>
                  <w:noWrap w:val="0"/>
                  <w:vAlign w:val="center"/>
                </w:tcPr>
                <w:p w14:paraId="75DB6B17">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声源名称</w:t>
                  </w:r>
                </w:p>
              </w:tc>
              <w:tc>
                <w:tcPr>
                  <w:tcW w:w="453" w:type="dxa"/>
                  <w:vMerge w:val="restart"/>
                  <w:noWrap w:val="0"/>
                  <w:vAlign w:val="center"/>
                </w:tcPr>
                <w:p w14:paraId="57CA4443">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数量</w:t>
                  </w:r>
                </w:p>
              </w:tc>
              <w:tc>
                <w:tcPr>
                  <w:tcW w:w="674" w:type="dxa"/>
                  <w:vMerge w:val="restart"/>
                  <w:noWrap w:val="0"/>
                  <w:vAlign w:val="center"/>
                </w:tcPr>
                <w:p w14:paraId="339B4DDD">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eastAsia="zh-CN"/>
                    </w:rPr>
                    <w:t>噪声源强</w:t>
                  </w:r>
                  <w:r>
                    <w:rPr>
                      <w:rFonts w:hint="eastAsia" w:ascii="Times New Roman" w:hAnsi="Times New Roman" w:eastAsia="宋体" w:cs="Times New Roman"/>
                      <w:b/>
                      <w:bCs/>
                      <w:color w:val="auto"/>
                      <w:sz w:val="21"/>
                      <w:szCs w:val="21"/>
                      <w:highlight w:val="none"/>
                    </w:rPr>
                    <w:t>dB</w:t>
                  </w:r>
                  <w:r>
                    <w:rPr>
                      <w:rFonts w:hint="eastAsia" w:ascii="Times New Roman" w:hAnsi="Times New Roman" w:eastAsia="宋体" w:cs="Times New Roman"/>
                      <w:b/>
                      <w:bCs/>
                      <w:color w:val="auto"/>
                      <w:sz w:val="21"/>
                      <w:szCs w:val="21"/>
                      <w:highlight w:val="none"/>
                      <w:lang w:val="en-US" w:eastAsia="zh-CN"/>
                    </w:rPr>
                    <w:t xml:space="preserve"> </w:t>
                  </w:r>
                  <w:r>
                    <w:rPr>
                      <w:rFonts w:hint="eastAsia" w:ascii="Times New Roman" w:hAnsi="Times New Roman" w:eastAsia="宋体" w:cs="Times New Roman"/>
                      <w:b/>
                      <w:bCs/>
                      <w:color w:val="auto"/>
                      <w:sz w:val="21"/>
                      <w:szCs w:val="21"/>
                      <w:highlight w:val="none"/>
                    </w:rPr>
                    <w:t>(A)</w:t>
                  </w:r>
                </w:p>
              </w:tc>
              <w:tc>
                <w:tcPr>
                  <w:tcW w:w="766" w:type="dxa"/>
                  <w:vMerge w:val="restart"/>
                  <w:noWrap w:val="0"/>
                  <w:vAlign w:val="center"/>
                </w:tcPr>
                <w:p w14:paraId="280DB95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bCs/>
                      <w:color w:val="auto"/>
                      <w:sz w:val="21"/>
                      <w:szCs w:val="21"/>
                      <w:highlight w:val="none"/>
                      <w:lang w:eastAsia="zh-CN"/>
                    </w:rPr>
                    <w:t>降噪</w:t>
                  </w:r>
                  <w:r>
                    <w:rPr>
                      <w:rFonts w:hint="eastAsia" w:ascii="Times New Roman" w:hAnsi="Times New Roman" w:eastAsia="宋体" w:cs="Times New Roman"/>
                      <w:b/>
                      <w:bCs/>
                      <w:color w:val="auto"/>
                      <w:sz w:val="21"/>
                      <w:szCs w:val="21"/>
                      <w:highlight w:val="none"/>
                    </w:rPr>
                    <w:t>措施</w:t>
                  </w:r>
                </w:p>
                <w:p w14:paraId="13034FFF">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p>
              </w:tc>
              <w:tc>
                <w:tcPr>
                  <w:tcW w:w="1678" w:type="dxa"/>
                  <w:gridSpan w:val="3"/>
                  <w:noWrap w:val="0"/>
                  <w:vAlign w:val="center"/>
                </w:tcPr>
                <w:p w14:paraId="49E6B321">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空间相对位置</w:t>
                  </w:r>
                </w:p>
              </w:tc>
              <w:tc>
                <w:tcPr>
                  <w:tcW w:w="864" w:type="dxa"/>
                  <w:vMerge w:val="restart"/>
                  <w:noWrap w:val="0"/>
                  <w:vAlign w:val="center"/>
                </w:tcPr>
                <w:p w14:paraId="1E331B0E">
                  <w:pPr>
                    <w:pStyle w:val="41"/>
                    <w:spacing w:before="74" w:line="240" w:lineRule="auto"/>
                    <w:ind w:left="137"/>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kern w:val="2"/>
                      <w:sz w:val="21"/>
                      <w:szCs w:val="21"/>
                      <w:highlight w:val="none"/>
                      <w:lang w:val="en-US" w:eastAsia="zh-CN" w:bidi="ar-SA"/>
                    </w:rPr>
                    <w:t>距室内边界距离/m</w:t>
                  </w:r>
                </w:p>
              </w:tc>
              <w:tc>
                <w:tcPr>
                  <w:tcW w:w="719" w:type="dxa"/>
                  <w:vMerge w:val="restart"/>
                  <w:noWrap w:val="0"/>
                  <w:vAlign w:val="center"/>
                </w:tcPr>
                <w:p w14:paraId="5930F9D2">
                  <w:pPr>
                    <w:adjustRightInd w:val="0"/>
                    <w:snapToGrid w:val="0"/>
                    <w:spacing w:line="240" w:lineRule="auto"/>
                    <w:jc w:val="center"/>
                    <w:rPr>
                      <w:rFonts w:hint="eastAsia" w:ascii="Times New Roman" w:hAnsi="Times New Roman" w:eastAsia="宋体" w:cs="Times New Roman"/>
                      <w:b/>
                      <w:bCs/>
                      <w:color w:val="auto"/>
                      <w:sz w:val="21"/>
                      <w:szCs w:val="21"/>
                      <w:highlight w:val="none"/>
                      <w:lang w:eastAsia="zh-CN"/>
                    </w:rPr>
                  </w:pPr>
                  <w:r>
                    <w:rPr>
                      <w:rFonts w:hint="eastAsia" w:ascii="宋体" w:hAnsi="宋体" w:eastAsia="宋体" w:cs="宋体"/>
                      <w:b/>
                      <w:bCs/>
                      <w:spacing w:val="6"/>
                      <w:kern w:val="2"/>
                      <w:sz w:val="21"/>
                      <w:szCs w:val="21"/>
                      <w:highlight w:val="none"/>
                      <w:lang w:val="en-US" w:eastAsia="en-US" w:bidi="ar-SA"/>
                    </w:rPr>
                    <w:t>室内</w:t>
                  </w:r>
                  <w:r>
                    <w:rPr>
                      <w:rFonts w:hint="eastAsia" w:ascii="Times New Roman" w:hAnsi="Times New Roman" w:eastAsia="宋体" w:cs="Times New Roman"/>
                      <w:b/>
                      <w:bCs/>
                      <w:color w:val="auto"/>
                      <w:sz w:val="21"/>
                      <w:szCs w:val="21"/>
                      <w:highlight w:val="none"/>
                    </w:rPr>
                    <w:t>边界声级/dB（A</w:t>
                  </w:r>
                  <w:r>
                    <w:rPr>
                      <w:rFonts w:hint="eastAsia" w:ascii="Times New Roman" w:hAnsi="Times New Roman" w:eastAsia="宋体" w:cs="Times New Roman"/>
                      <w:b/>
                      <w:bCs/>
                      <w:color w:val="auto"/>
                      <w:sz w:val="21"/>
                      <w:szCs w:val="21"/>
                      <w:highlight w:val="none"/>
                      <w:lang w:eastAsia="zh-CN"/>
                    </w:rPr>
                    <w:t>）</w:t>
                  </w:r>
                </w:p>
              </w:tc>
              <w:tc>
                <w:tcPr>
                  <w:tcW w:w="767" w:type="dxa"/>
                  <w:vMerge w:val="restart"/>
                  <w:noWrap w:val="0"/>
                  <w:vAlign w:val="center"/>
                </w:tcPr>
                <w:p w14:paraId="60AB6851">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rPr>
                    <w:t>建筑物插入损失/dB（A）</w:t>
                  </w:r>
                </w:p>
              </w:tc>
              <w:tc>
                <w:tcPr>
                  <w:tcW w:w="853" w:type="dxa"/>
                  <w:vMerge w:val="restart"/>
                  <w:noWrap w:val="0"/>
                  <w:vAlign w:val="center"/>
                </w:tcPr>
                <w:p w14:paraId="20A4E8FB">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rPr>
                    <w:t>建筑物外</w:t>
                  </w:r>
                  <w:r>
                    <w:rPr>
                      <w:rFonts w:hint="eastAsia" w:ascii="Times New Roman" w:hAnsi="Times New Roman" w:eastAsia="宋体" w:cs="Times New Roman"/>
                      <w:b/>
                      <w:bCs/>
                      <w:color w:val="auto"/>
                      <w:sz w:val="21"/>
                      <w:szCs w:val="21"/>
                      <w:highlight w:val="none"/>
                      <w:lang w:val="en-US" w:eastAsia="zh-CN"/>
                    </w:rPr>
                    <w:t>1m</w:t>
                  </w:r>
                  <w:r>
                    <w:rPr>
                      <w:rFonts w:hint="eastAsia" w:ascii="Times New Roman" w:hAnsi="Times New Roman" w:eastAsia="宋体" w:cs="Times New Roman"/>
                      <w:b/>
                      <w:bCs/>
                      <w:color w:val="auto"/>
                      <w:sz w:val="21"/>
                      <w:szCs w:val="21"/>
                      <w:highlight w:val="none"/>
                    </w:rPr>
                    <w:t>距离</w:t>
                  </w:r>
                  <w:r>
                    <w:rPr>
                      <w:rFonts w:hint="eastAsia" w:ascii="Times New Roman" w:hAnsi="Times New Roman" w:eastAsia="宋体" w:cs="Times New Roman"/>
                      <w:b/>
                      <w:bCs/>
                      <w:color w:val="auto"/>
                      <w:sz w:val="21"/>
                      <w:szCs w:val="21"/>
                      <w:highlight w:val="none"/>
                      <w:lang w:eastAsia="zh-CN"/>
                    </w:rPr>
                    <w:t>声压级</w:t>
                  </w:r>
                  <w:r>
                    <w:rPr>
                      <w:rFonts w:hint="eastAsia" w:ascii="Times New Roman" w:hAnsi="Times New Roman" w:eastAsia="宋体" w:cs="Times New Roman"/>
                      <w:b/>
                      <w:bCs/>
                      <w:color w:val="auto"/>
                      <w:sz w:val="21"/>
                      <w:szCs w:val="21"/>
                      <w:highlight w:val="none"/>
                    </w:rPr>
                    <w:t>/dB</w:t>
                  </w:r>
                  <w:r>
                    <w:rPr>
                      <w:rFonts w:hint="eastAsia" w:ascii="Times New Roman" w:hAnsi="Times New Roman" w:eastAsia="宋体" w:cs="Times New Roman"/>
                      <w:b/>
                      <w:bCs/>
                      <w:color w:val="auto"/>
                      <w:sz w:val="21"/>
                      <w:szCs w:val="21"/>
                      <w:highlight w:val="none"/>
                      <w:lang w:val="en-US" w:eastAsia="zh-CN"/>
                    </w:rPr>
                    <w:t>(</w:t>
                  </w:r>
                  <w:r>
                    <w:rPr>
                      <w:rFonts w:hint="eastAsia" w:ascii="Times New Roman" w:hAnsi="Times New Roman" w:eastAsia="宋体" w:cs="Times New Roman"/>
                      <w:b/>
                      <w:bCs/>
                      <w:color w:val="auto"/>
                      <w:sz w:val="21"/>
                      <w:szCs w:val="21"/>
                      <w:highlight w:val="none"/>
                    </w:rPr>
                    <w:t>A</w:t>
                  </w:r>
                  <w:r>
                    <w:rPr>
                      <w:rFonts w:hint="eastAsia" w:ascii="Times New Roman" w:hAnsi="Times New Roman" w:eastAsia="宋体" w:cs="Times New Roman"/>
                      <w:b/>
                      <w:bCs/>
                      <w:color w:val="auto"/>
                      <w:sz w:val="21"/>
                      <w:szCs w:val="21"/>
                      <w:highlight w:val="none"/>
                      <w:lang w:val="en-US" w:eastAsia="zh-CN"/>
                    </w:rPr>
                    <w:t>)</w:t>
                  </w:r>
                </w:p>
              </w:tc>
            </w:tr>
            <w:tr w14:paraId="44D3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vMerge w:val="continue"/>
                  <w:noWrap w:val="0"/>
                  <w:vAlign w:val="center"/>
                </w:tcPr>
                <w:p w14:paraId="30758211">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690" w:type="dxa"/>
                  <w:vMerge w:val="continue"/>
                  <w:noWrap w:val="0"/>
                  <w:vAlign w:val="center"/>
                </w:tcPr>
                <w:p w14:paraId="1EDDCC44">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453" w:type="dxa"/>
                  <w:vMerge w:val="continue"/>
                  <w:noWrap w:val="0"/>
                  <w:vAlign w:val="center"/>
                </w:tcPr>
                <w:p w14:paraId="72B98B55">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674" w:type="dxa"/>
                  <w:vMerge w:val="continue"/>
                  <w:noWrap w:val="0"/>
                  <w:vAlign w:val="center"/>
                </w:tcPr>
                <w:p w14:paraId="24D75B5D">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766" w:type="dxa"/>
                  <w:vMerge w:val="continue"/>
                  <w:noWrap w:val="0"/>
                  <w:vAlign w:val="center"/>
                </w:tcPr>
                <w:p w14:paraId="17892413">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565" w:type="dxa"/>
                  <w:noWrap w:val="0"/>
                  <w:vAlign w:val="center"/>
                </w:tcPr>
                <w:p w14:paraId="384A9CC6">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X</w:t>
                  </w:r>
                </w:p>
              </w:tc>
              <w:tc>
                <w:tcPr>
                  <w:tcW w:w="596" w:type="dxa"/>
                  <w:noWrap w:val="0"/>
                  <w:vAlign w:val="center"/>
                </w:tcPr>
                <w:p w14:paraId="47FC40CB">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Y</w:t>
                  </w:r>
                </w:p>
              </w:tc>
              <w:tc>
                <w:tcPr>
                  <w:tcW w:w="517" w:type="dxa"/>
                  <w:noWrap w:val="0"/>
                  <w:vAlign w:val="center"/>
                </w:tcPr>
                <w:p w14:paraId="78C7877A">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Z</w:t>
                  </w:r>
                </w:p>
              </w:tc>
              <w:tc>
                <w:tcPr>
                  <w:tcW w:w="864" w:type="dxa"/>
                  <w:vMerge w:val="continue"/>
                  <w:noWrap w:val="0"/>
                  <w:vAlign w:val="center"/>
                </w:tcPr>
                <w:p w14:paraId="1A67397F">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719" w:type="dxa"/>
                  <w:vMerge w:val="continue"/>
                  <w:noWrap w:val="0"/>
                  <w:vAlign w:val="center"/>
                </w:tcPr>
                <w:p w14:paraId="7569021B">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767" w:type="dxa"/>
                  <w:vMerge w:val="continue"/>
                  <w:noWrap w:val="0"/>
                  <w:vAlign w:val="center"/>
                </w:tcPr>
                <w:p w14:paraId="074884C9">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853" w:type="dxa"/>
                  <w:vMerge w:val="continue"/>
                  <w:noWrap w:val="0"/>
                  <w:vAlign w:val="center"/>
                </w:tcPr>
                <w:p w14:paraId="4E2264B1">
                  <w:pPr>
                    <w:spacing w:line="240" w:lineRule="auto"/>
                    <w:jc w:val="center"/>
                    <w:rPr>
                      <w:rFonts w:hint="eastAsia" w:ascii="宋体" w:hAnsi="宋体" w:eastAsia="宋体" w:cs="宋体"/>
                      <w:b/>
                      <w:bCs w:val="0"/>
                      <w:color w:val="auto"/>
                      <w:sz w:val="21"/>
                      <w:szCs w:val="21"/>
                      <w:highlight w:val="none"/>
                      <w:vertAlign w:val="baseline"/>
                      <w:lang w:val="en-US" w:eastAsia="zh-CN"/>
                    </w:rPr>
                  </w:pPr>
                </w:p>
              </w:tc>
            </w:tr>
            <w:tr w14:paraId="22F6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noWrap w:val="0"/>
                  <w:vAlign w:val="center"/>
                </w:tcPr>
                <w:p w14:paraId="3D2F01D9">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w:t>
                  </w:r>
                </w:p>
              </w:tc>
              <w:tc>
                <w:tcPr>
                  <w:tcW w:w="690" w:type="dxa"/>
                  <w:noWrap w:val="0"/>
                  <w:vAlign w:val="center"/>
                </w:tcPr>
                <w:p w14:paraId="2A289746">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val="en-US" w:eastAsia="zh-CN"/>
                    </w:rPr>
                    <w:t>全自动视觉印刷机</w:t>
                  </w:r>
                </w:p>
              </w:tc>
              <w:tc>
                <w:tcPr>
                  <w:tcW w:w="453" w:type="dxa"/>
                  <w:noWrap w:val="0"/>
                  <w:vAlign w:val="center"/>
                </w:tcPr>
                <w:p w14:paraId="7AE074B7">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4</w:t>
                  </w:r>
                </w:p>
              </w:tc>
              <w:tc>
                <w:tcPr>
                  <w:tcW w:w="674" w:type="dxa"/>
                  <w:noWrap w:val="0"/>
                  <w:vAlign w:val="center"/>
                </w:tcPr>
                <w:p w14:paraId="387F1CE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70</w:t>
                  </w:r>
                </w:p>
              </w:tc>
              <w:tc>
                <w:tcPr>
                  <w:tcW w:w="766" w:type="dxa"/>
                  <w:vMerge w:val="restart"/>
                  <w:noWrap w:val="0"/>
                  <w:vAlign w:val="center"/>
                </w:tcPr>
                <w:p w14:paraId="2A590DD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bookmarkStart w:id="2" w:name="OLE_LINK1"/>
                  <w:r>
                    <w:rPr>
                      <w:rFonts w:hint="default" w:ascii="Times New Roman" w:hAnsi="Times New Roman" w:eastAsia="宋体" w:cs="Times New Roman"/>
                      <w:color w:val="000000"/>
                      <w:sz w:val="21"/>
                      <w:szCs w:val="21"/>
                      <w:highlight w:val="none"/>
                      <w:lang w:val="en-US" w:eastAsia="zh-CN"/>
                    </w:rPr>
                    <w:t>合理布置设备位置、设备减振、消声</w:t>
                  </w:r>
                  <w:bookmarkEnd w:id="2"/>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厂房隔声</w:t>
                  </w:r>
                </w:p>
              </w:tc>
              <w:tc>
                <w:tcPr>
                  <w:tcW w:w="565" w:type="dxa"/>
                  <w:noWrap w:val="0"/>
                  <w:vAlign w:val="center"/>
                </w:tcPr>
                <w:p w14:paraId="2640B37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16</w:t>
                  </w:r>
                </w:p>
              </w:tc>
              <w:tc>
                <w:tcPr>
                  <w:tcW w:w="596" w:type="dxa"/>
                  <w:noWrap w:val="0"/>
                  <w:vAlign w:val="center"/>
                </w:tcPr>
                <w:p w14:paraId="2B83F6CB">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23</w:t>
                  </w:r>
                </w:p>
              </w:tc>
              <w:tc>
                <w:tcPr>
                  <w:tcW w:w="517" w:type="dxa"/>
                  <w:noWrap w:val="0"/>
                  <w:vAlign w:val="center"/>
                </w:tcPr>
                <w:p w14:paraId="31B9F8CE">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w:t>
                  </w:r>
                </w:p>
              </w:tc>
              <w:tc>
                <w:tcPr>
                  <w:tcW w:w="864" w:type="dxa"/>
                  <w:noWrap w:val="0"/>
                  <w:vAlign w:val="center"/>
                </w:tcPr>
                <w:p w14:paraId="392315E8">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16</w:t>
                  </w:r>
                </w:p>
              </w:tc>
              <w:tc>
                <w:tcPr>
                  <w:tcW w:w="719" w:type="dxa"/>
                  <w:noWrap w:val="0"/>
                  <w:vAlign w:val="center"/>
                </w:tcPr>
                <w:p w14:paraId="4936C15E">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45.9</w:t>
                  </w:r>
                </w:p>
              </w:tc>
              <w:tc>
                <w:tcPr>
                  <w:tcW w:w="767" w:type="dxa"/>
                  <w:noWrap w:val="0"/>
                  <w:vAlign w:val="center"/>
                </w:tcPr>
                <w:p w14:paraId="45ABB375">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853" w:type="dxa"/>
                  <w:noWrap w:val="0"/>
                  <w:vAlign w:val="center"/>
                </w:tcPr>
                <w:p w14:paraId="5371F6D8">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30.9</w:t>
                  </w:r>
                </w:p>
              </w:tc>
            </w:tr>
            <w:tr w14:paraId="07E2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noWrap w:val="0"/>
                  <w:vAlign w:val="center"/>
                </w:tcPr>
                <w:p w14:paraId="19A9B690">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w:t>
                  </w:r>
                </w:p>
              </w:tc>
              <w:tc>
                <w:tcPr>
                  <w:tcW w:w="690" w:type="dxa"/>
                  <w:noWrap w:val="0"/>
                  <w:vAlign w:val="center"/>
                </w:tcPr>
                <w:p w14:paraId="0EEE451B">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val="en-US" w:eastAsia="zh-CN"/>
                    </w:rPr>
                    <w:t>全自动视觉印刷机</w:t>
                  </w:r>
                </w:p>
              </w:tc>
              <w:tc>
                <w:tcPr>
                  <w:tcW w:w="453" w:type="dxa"/>
                  <w:noWrap w:val="0"/>
                  <w:vAlign w:val="center"/>
                </w:tcPr>
                <w:p w14:paraId="3909B1B0">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4</w:t>
                  </w:r>
                </w:p>
              </w:tc>
              <w:tc>
                <w:tcPr>
                  <w:tcW w:w="674" w:type="dxa"/>
                  <w:noWrap w:val="0"/>
                  <w:vAlign w:val="center"/>
                </w:tcPr>
                <w:p w14:paraId="278A7A82">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70</w:t>
                  </w:r>
                </w:p>
              </w:tc>
              <w:tc>
                <w:tcPr>
                  <w:tcW w:w="766" w:type="dxa"/>
                  <w:vMerge w:val="continue"/>
                  <w:noWrap w:val="0"/>
                  <w:vAlign w:val="center"/>
                </w:tcPr>
                <w:p w14:paraId="16B567D0">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565" w:type="dxa"/>
                  <w:noWrap w:val="0"/>
                  <w:vAlign w:val="center"/>
                </w:tcPr>
                <w:p w14:paraId="54C7FEA7">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89</w:t>
                  </w:r>
                </w:p>
              </w:tc>
              <w:tc>
                <w:tcPr>
                  <w:tcW w:w="596" w:type="dxa"/>
                  <w:noWrap w:val="0"/>
                  <w:vAlign w:val="center"/>
                </w:tcPr>
                <w:p w14:paraId="58A69405">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23</w:t>
                  </w:r>
                </w:p>
              </w:tc>
              <w:tc>
                <w:tcPr>
                  <w:tcW w:w="517" w:type="dxa"/>
                  <w:noWrap w:val="0"/>
                  <w:vAlign w:val="center"/>
                </w:tcPr>
                <w:p w14:paraId="5932CF7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w:t>
                  </w:r>
                </w:p>
              </w:tc>
              <w:tc>
                <w:tcPr>
                  <w:tcW w:w="864" w:type="dxa"/>
                  <w:noWrap w:val="0"/>
                  <w:vAlign w:val="center"/>
                </w:tcPr>
                <w:p w14:paraId="5B831E0B">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23</w:t>
                  </w:r>
                </w:p>
              </w:tc>
              <w:tc>
                <w:tcPr>
                  <w:tcW w:w="719" w:type="dxa"/>
                  <w:noWrap w:val="0"/>
                  <w:vAlign w:val="center"/>
                </w:tcPr>
                <w:p w14:paraId="3577883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42.8</w:t>
                  </w:r>
                </w:p>
              </w:tc>
              <w:tc>
                <w:tcPr>
                  <w:tcW w:w="767" w:type="dxa"/>
                  <w:noWrap w:val="0"/>
                  <w:vAlign w:val="center"/>
                </w:tcPr>
                <w:p w14:paraId="2FF293C8">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853" w:type="dxa"/>
                  <w:noWrap w:val="0"/>
                  <w:vAlign w:val="center"/>
                </w:tcPr>
                <w:p w14:paraId="352458F5">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27.8</w:t>
                  </w:r>
                </w:p>
              </w:tc>
            </w:tr>
            <w:tr w14:paraId="4210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noWrap w:val="0"/>
                  <w:vAlign w:val="center"/>
                </w:tcPr>
                <w:p w14:paraId="0DEB0B0F">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w:t>
                  </w:r>
                </w:p>
              </w:tc>
              <w:tc>
                <w:tcPr>
                  <w:tcW w:w="690" w:type="dxa"/>
                  <w:shd w:val="clear" w:color="auto" w:fill="auto"/>
                  <w:noWrap w:val="0"/>
                  <w:vAlign w:val="center"/>
                </w:tcPr>
                <w:p w14:paraId="5F48475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sz w:val="21"/>
                      <w:szCs w:val="21"/>
                      <w:highlight w:val="none"/>
                      <w:lang w:val="en-US" w:eastAsia="zh-CN"/>
                    </w:rPr>
                    <w:t>回流焊</w:t>
                  </w:r>
                </w:p>
              </w:tc>
              <w:tc>
                <w:tcPr>
                  <w:tcW w:w="453" w:type="dxa"/>
                  <w:shd w:val="clear" w:color="auto" w:fill="auto"/>
                  <w:noWrap w:val="0"/>
                  <w:vAlign w:val="center"/>
                </w:tcPr>
                <w:p w14:paraId="770007E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w:t>
                  </w:r>
                </w:p>
              </w:tc>
              <w:tc>
                <w:tcPr>
                  <w:tcW w:w="674" w:type="dxa"/>
                  <w:shd w:val="clear" w:color="auto" w:fill="auto"/>
                  <w:noWrap w:val="0"/>
                  <w:vAlign w:val="center"/>
                </w:tcPr>
                <w:p w14:paraId="1703AEF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75</w:t>
                  </w:r>
                </w:p>
              </w:tc>
              <w:tc>
                <w:tcPr>
                  <w:tcW w:w="766" w:type="dxa"/>
                  <w:vMerge w:val="continue"/>
                  <w:noWrap w:val="0"/>
                  <w:vAlign w:val="center"/>
                </w:tcPr>
                <w:p w14:paraId="464AE911">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565" w:type="dxa"/>
                  <w:shd w:val="clear" w:color="auto" w:fill="auto"/>
                  <w:noWrap w:val="0"/>
                  <w:vAlign w:val="center"/>
                </w:tcPr>
                <w:p w14:paraId="6FB4324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20</w:t>
                  </w:r>
                </w:p>
              </w:tc>
              <w:tc>
                <w:tcPr>
                  <w:tcW w:w="596" w:type="dxa"/>
                  <w:shd w:val="clear" w:color="auto" w:fill="auto"/>
                  <w:noWrap w:val="0"/>
                  <w:vAlign w:val="center"/>
                </w:tcPr>
                <w:p w14:paraId="19027AD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77CF4D2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72FDAAD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20</w:t>
                  </w:r>
                </w:p>
              </w:tc>
              <w:tc>
                <w:tcPr>
                  <w:tcW w:w="719" w:type="dxa"/>
                  <w:shd w:val="clear" w:color="auto" w:fill="auto"/>
                  <w:noWrap w:val="0"/>
                  <w:vAlign w:val="center"/>
                </w:tcPr>
                <w:p w14:paraId="193815C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49</w:t>
                  </w:r>
                </w:p>
              </w:tc>
              <w:tc>
                <w:tcPr>
                  <w:tcW w:w="767" w:type="dxa"/>
                  <w:shd w:val="clear" w:color="auto" w:fill="auto"/>
                  <w:noWrap w:val="0"/>
                  <w:vAlign w:val="center"/>
                </w:tcPr>
                <w:p w14:paraId="2ECF596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53257BF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34</w:t>
                  </w:r>
                </w:p>
              </w:tc>
            </w:tr>
            <w:tr w14:paraId="09F6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noWrap w:val="0"/>
                  <w:vAlign w:val="center"/>
                </w:tcPr>
                <w:p w14:paraId="52B03291">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w:t>
                  </w:r>
                </w:p>
              </w:tc>
              <w:tc>
                <w:tcPr>
                  <w:tcW w:w="690" w:type="dxa"/>
                  <w:shd w:val="clear" w:color="auto" w:fill="auto"/>
                  <w:noWrap w:val="0"/>
                  <w:vAlign w:val="center"/>
                </w:tcPr>
                <w:p w14:paraId="01A718D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sz w:val="21"/>
                      <w:szCs w:val="21"/>
                      <w:highlight w:val="none"/>
                      <w:lang w:val="en-US" w:eastAsia="zh-CN"/>
                    </w:rPr>
                    <w:t>回流焊</w:t>
                  </w:r>
                </w:p>
              </w:tc>
              <w:tc>
                <w:tcPr>
                  <w:tcW w:w="453" w:type="dxa"/>
                  <w:shd w:val="clear" w:color="auto" w:fill="auto"/>
                  <w:noWrap w:val="0"/>
                  <w:vAlign w:val="center"/>
                </w:tcPr>
                <w:p w14:paraId="01C1C75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w:t>
                  </w:r>
                </w:p>
              </w:tc>
              <w:tc>
                <w:tcPr>
                  <w:tcW w:w="674" w:type="dxa"/>
                  <w:shd w:val="clear" w:color="auto" w:fill="auto"/>
                  <w:noWrap w:val="0"/>
                  <w:vAlign w:val="center"/>
                </w:tcPr>
                <w:p w14:paraId="55ADA72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75</w:t>
                  </w:r>
                </w:p>
              </w:tc>
              <w:tc>
                <w:tcPr>
                  <w:tcW w:w="766" w:type="dxa"/>
                  <w:vMerge w:val="continue"/>
                  <w:noWrap w:val="0"/>
                  <w:vAlign w:val="center"/>
                </w:tcPr>
                <w:p w14:paraId="23407FA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565" w:type="dxa"/>
                  <w:shd w:val="clear" w:color="auto" w:fill="auto"/>
                  <w:noWrap w:val="0"/>
                  <w:vAlign w:val="center"/>
                </w:tcPr>
                <w:p w14:paraId="2AFACFE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93</w:t>
                  </w:r>
                </w:p>
              </w:tc>
              <w:tc>
                <w:tcPr>
                  <w:tcW w:w="596" w:type="dxa"/>
                  <w:shd w:val="clear" w:color="auto" w:fill="auto"/>
                  <w:noWrap w:val="0"/>
                  <w:vAlign w:val="center"/>
                </w:tcPr>
                <w:p w14:paraId="315EB71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70EE973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2411EE5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23</w:t>
                  </w:r>
                </w:p>
              </w:tc>
              <w:tc>
                <w:tcPr>
                  <w:tcW w:w="719" w:type="dxa"/>
                  <w:shd w:val="clear" w:color="auto" w:fill="auto"/>
                  <w:noWrap w:val="0"/>
                  <w:vAlign w:val="center"/>
                </w:tcPr>
                <w:p w14:paraId="07EACD6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47.8</w:t>
                  </w:r>
                </w:p>
              </w:tc>
              <w:tc>
                <w:tcPr>
                  <w:tcW w:w="767" w:type="dxa"/>
                  <w:shd w:val="clear" w:color="auto" w:fill="auto"/>
                  <w:noWrap w:val="0"/>
                  <w:vAlign w:val="center"/>
                </w:tcPr>
                <w:p w14:paraId="56C20D4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2849E17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32.8</w:t>
                  </w:r>
                </w:p>
              </w:tc>
            </w:tr>
            <w:tr w14:paraId="117C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noWrap w:val="0"/>
                  <w:vAlign w:val="center"/>
                </w:tcPr>
                <w:p w14:paraId="2B497B60">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5</w:t>
                  </w:r>
                </w:p>
              </w:tc>
              <w:tc>
                <w:tcPr>
                  <w:tcW w:w="690" w:type="dxa"/>
                  <w:shd w:val="clear" w:color="auto" w:fill="auto"/>
                  <w:noWrap w:val="0"/>
                  <w:vAlign w:val="center"/>
                </w:tcPr>
                <w:p w14:paraId="10E5495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sz w:val="21"/>
                      <w:szCs w:val="21"/>
                      <w:highlight w:val="none"/>
                      <w:lang w:val="en-US" w:eastAsia="zh-CN"/>
                    </w:rPr>
                    <w:t>贴片机</w:t>
                  </w:r>
                </w:p>
              </w:tc>
              <w:tc>
                <w:tcPr>
                  <w:tcW w:w="453" w:type="dxa"/>
                  <w:shd w:val="clear" w:color="auto" w:fill="auto"/>
                  <w:noWrap w:val="0"/>
                  <w:vAlign w:val="center"/>
                </w:tcPr>
                <w:p w14:paraId="3AF37AA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8</w:t>
                  </w:r>
                </w:p>
              </w:tc>
              <w:tc>
                <w:tcPr>
                  <w:tcW w:w="674" w:type="dxa"/>
                  <w:shd w:val="clear" w:color="auto" w:fill="auto"/>
                  <w:noWrap w:val="0"/>
                  <w:vAlign w:val="center"/>
                </w:tcPr>
                <w:p w14:paraId="097931B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70</w:t>
                  </w:r>
                </w:p>
              </w:tc>
              <w:tc>
                <w:tcPr>
                  <w:tcW w:w="766" w:type="dxa"/>
                  <w:vMerge w:val="continue"/>
                  <w:noWrap w:val="0"/>
                  <w:vAlign w:val="center"/>
                </w:tcPr>
                <w:p w14:paraId="6B7D9948">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565" w:type="dxa"/>
                  <w:shd w:val="clear" w:color="auto" w:fill="auto"/>
                  <w:noWrap w:val="0"/>
                  <w:vAlign w:val="center"/>
                </w:tcPr>
                <w:p w14:paraId="3C669E3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36</w:t>
                  </w:r>
                </w:p>
              </w:tc>
              <w:tc>
                <w:tcPr>
                  <w:tcW w:w="596" w:type="dxa"/>
                  <w:shd w:val="clear" w:color="auto" w:fill="auto"/>
                  <w:noWrap w:val="0"/>
                  <w:vAlign w:val="center"/>
                </w:tcPr>
                <w:p w14:paraId="5D90E97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2F553A3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206917C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23</w:t>
                  </w:r>
                </w:p>
              </w:tc>
              <w:tc>
                <w:tcPr>
                  <w:tcW w:w="719" w:type="dxa"/>
                  <w:shd w:val="clear" w:color="auto" w:fill="auto"/>
                  <w:noWrap w:val="0"/>
                  <w:vAlign w:val="center"/>
                </w:tcPr>
                <w:p w14:paraId="1D8FF648">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42.8</w:t>
                  </w:r>
                </w:p>
              </w:tc>
              <w:tc>
                <w:tcPr>
                  <w:tcW w:w="767" w:type="dxa"/>
                  <w:shd w:val="clear" w:color="auto" w:fill="auto"/>
                  <w:noWrap w:val="0"/>
                  <w:vAlign w:val="center"/>
                </w:tcPr>
                <w:p w14:paraId="3BFD994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2E4F5C4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27.8</w:t>
                  </w:r>
                </w:p>
              </w:tc>
            </w:tr>
            <w:tr w14:paraId="41B29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noWrap w:val="0"/>
                  <w:vAlign w:val="center"/>
                </w:tcPr>
                <w:p w14:paraId="7E22C205">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6</w:t>
                  </w:r>
                </w:p>
              </w:tc>
              <w:tc>
                <w:tcPr>
                  <w:tcW w:w="690" w:type="dxa"/>
                  <w:shd w:val="clear" w:color="auto" w:fill="auto"/>
                  <w:noWrap w:val="0"/>
                  <w:vAlign w:val="center"/>
                </w:tcPr>
                <w:p w14:paraId="2A51929B">
                  <w:pPr>
                    <w:spacing w:line="240" w:lineRule="auto"/>
                    <w:jc w:val="center"/>
                    <w:rPr>
                      <w:rFonts w:hint="eastAsia" w:ascii="宋体" w:hAnsi="宋体" w:eastAsia="宋体" w:cs="宋体"/>
                      <w:color w:val="000000"/>
                      <w:kern w:val="2"/>
                      <w:sz w:val="21"/>
                      <w:szCs w:val="21"/>
                      <w:highlight w:val="none"/>
                      <w:lang w:val="en-US" w:eastAsia="zh-CN" w:bidi="ar-SA"/>
                    </w:rPr>
                  </w:pPr>
                  <w:r>
                    <w:rPr>
                      <w:rFonts w:hint="eastAsia"/>
                      <w:sz w:val="21"/>
                      <w:szCs w:val="21"/>
                      <w:highlight w:val="none"/>
                      <w:lang w:val="en-US" w:eastAsia="zh-CN"/>
                    </w:rPr>
                    <w:t>贴片机</w:t>
                  </w:r>
                </w:p>
              </w:tc>
              <w:tc>
                <w:tcPr>
                  <w:tcW w:w="453" w:type="dxa"/>
                  <w:shd w:val="clear" w:color="auto" w:fill="auto"/>
                  <w:noWrap w:val="0"/>
                  <w:vAlign w:val="center"/>
                </w:tcPr>
                <w:p w14:paraId="0862F67D">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8</w:t>
                  </w:r>
                </w:p>
              </w:tc>
              <w:tc>
                <w:tcPr>
                  <w:tcW w:w="674" w:type="dxa"/>
                  <w:shd w:val="clear" w:color="auto" w:fill="auto"/>
                  <w:noWrap w:val="0"/>
                  <w:vAlign w:val="center"/>
                </w:tcPr>
                <w:p w14:paraId="27889E18">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70</w:t>
                  </w:r>
                </w:p>
              </w:tc>
              <w:tc>
                <w:tcPr>
                  <w:tcW w:w="766" w:type="dxa"/>
                  <w:vMerge w:val="continue"/>
                  <w:noWrap w:val="0"/>
                  <w:vAlign w:val="center"/>
                </w:tcPr>
                <w:p w14:paraId="6A8063D2">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565" w:type="dxa"/>
                  <w:shd w:val="clear" w:color="auto" w:fill="auto"/>
                  <w:noWrap w:val="0"/>
                  <w:vAlign w:val="center"/>
                </w:tcPr>
                <w:p w14:paraId="124AF21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108</w:t>
                  </w:r>
                </w:p>
              </w:tc>
              <w:tc>
                <w:tcPr>
                  <w:tcW w:w="596" w:type="dxa"/>
                  <w:shd w:val="clear" w:color="auto" w:fill="auto"/>
                  <w:noWrap w:val="0"/>
                  <w:vAlign w:val="center"/>
                </w:tcPr>
                <w:p w14:paraId="31BAC34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5CD65092">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61F95F7F">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23</w:t>
                  </w:r>
                </w:p>
              </w:tc>
              <w:tc>
                <w:tcPr>
                  <w:tcW w:w="719" w:type="dxa"/>
                  <w:shd w:val="clear" w:color="auto" w:fill="auto"/>
                  <w:noWrap w:val="0"/>
                  <w:vAlign w:val="center"/>
                </w:tcPr>
                <w:p w14:paraId="68052B8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42.8</w:t>
                  </w:r>
                </w:p>
              </w:tc>
              <w:tc>
                <w:tcPr>
                  <w:tcW w:w="767" w:type="dxa"/>
                  <w:shd w:val="clear" w:color="auto" w:fill="auto"/>
                  <w:noWrap w:val="0"/>
                  <w:vAlign w:val="center"/>
                </w:tcPr>
                <w:p w14:paraId="285BF36C">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41AD266D">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27.8</w:t>
                  </w:r>
                </w:p>
              </w:tc>
            </w:tr>
            <w:tr w14:paraId="448C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shd w:val="clear" w:color="auto" w:fill="auto"/>
                  <w:noWrap w:val="0"/>
                  <w:vAlign w:val="center"/>
                </w:tcPr>
                <w:p w14:paraId="0E40A37D">
                  <w:pPr>
                    <w:jc w:val="center"/>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7</w:t>
                  </w:r>
                </w:p>
              </w:tc>
              <w:tc>
                <w:tcPr>
                  <w:tcW w:w="690" w:type="dxa"/>
                  <w:shd w:val="clear" w:color="auto" w:fill="auto"/>
                  <w:noWrap w:val="0"/>
                  <w:vAlign w:val="center"/>
                </w:tcPr>
                <w:p w14:paraId="15A6D634">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default"/>
                      <w:color w:val="auto"/>
                      <w:sz w:val="21"/>
                      <w:szCs w:val="21"/>
                      <w:highlight w:val="none"/>
                      <w:u w:val="none"/>
                      <w:lang w:val="en-US" w:eastAsia="zh-CN"/>
                    </w:rPr>
                    <w:t>压面罩机</w:t>
                  </w:r>
                </w:p>
              </w:tc>
              <w:tc>
                <w:tcPr>
                  <w:tcW w:w="453" w:type="dxa"/>
                  <w:shd w:val="clear" w:color="auto" w:fill="auto"/>
                  <w:noWrap w:val="0"/>
                  <w:vAlign w:val="center"/>
                </w:tcPr>
                <w:p w14:paraId="682EF1F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674" w:type="dxa"/>
                  <w:shd w:val="clear" w:color="auto" w:fill="auto"/>
                  <w:noWrap w:val="0"/>
                  <w:vAlign w:val="center"/>
                </w:tcPr>
                <w:p w14:paraId="1471602F">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70</w:t>
                  </w:r>
                </w:p>
              </w:tc>
              <w:tc>
                <w:tcPr>
                  <w:tcW w:w="766" w:type="dxa"/>
                  <w:vMerge w:val="continue"/>
                  <w:noWrap w:val="0"/>
                  <w:vAlign w:val="center"/>
                </w:tcPr>
                <w:p w14:paraId="12AEF93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565" w:type="dxa"/>
                  <w:shd w:val="clear" w:color="auto" w:fill="auto"/>
                  <w:noWrap w:val="0"/>
                  <w:vAlign w:val="center"/>
                </w:tcPr>
                <w:p w14:paraId="36769F6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38</w:t>
                  </w:r>
                </w:p>
              </w:tc>
              <w:tc>
                <w:tcPr>
                  <w:tcW w:w="596" w:type="dxa"/>
                  <w:shd w:val="clear" w:color="auto" w:fill="auto"/>
                  <w:noWrap w:val="0"/>
                  <w:vAlign w:val="center"/>
                </w:tcPr>
                <w:p w14:paraId="07CD459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4540C475">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2D22FE13">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23</w:t>
                  </w:r>
                </w:p>
              </w:tc>
              <w:tc>
                <w:tcPr>
                  <w:tcW w:w="719" w:type="dxa"/>
                  <w:shd w:val="clear" w:color="auto" w:fill="auto"/>
                  <w:noWrap w:val="0"/>
                  <w:vAlign w:val="center"/>
                </w:tcPr>
                <w:p w14:paraId="4AF8508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42.8</w:t>
                  </w:r>
                </w:p>
              </w:tc>
              <w:tc>
                <w:tcPr>
                  <w:tcW w:w="767" w:type="dxa"/>
                  <w:shd w:val="clear" w:color="auto" w:fill="auto"/>
                  <w:noWrap w:val="0"/>
                  <w:vAlign w:val="center"/>
                </w:tcPr>
                <w:p w14:paraId="1A5E0263">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588ADFC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27.8</w:t>
                  </w:r>
                </w:p>
              </w:tc>
            </w:tr>
            <w:tr w14:paraId="0863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shd w:val="clear" w:color="auto" w:fill="auto"/>
                  <w:noWrap w:val="0"/>
                  <w:vAlign w:val="center"/>
                </w:tcPr>
                <w:p w14:paraId="3C41672A">
                  <w:pPr>
                    <w:jc w:val="center"/>
                    <w:rPr>
                      <w:rFonts w:hint="default"/>
                      <w:sz w:val="21"/>
                      <w:szCs w:val="21"/>
                      <w:lang w:val="en-US" w:eastAsia="zh-CN"/>
                    </w:rPr>
                  </w:pPr>
                  <w:r>
                    <w:rPr>
                      <w:rFonts w:hint="eastAsia"/>
                      <w:sz w:val="21"/>
                      <w:szCs w:val="21"/>
                      <w:lang w:val="en-US" w:eastAsia="zh-CN"/>
                    </w:rPr>
                    <w:t>8</w:t>
                  </w:r>
                </w:p>
              </w:tc>
              <w:tc>
                <w:tcPr>
                  <w:tcW w:w="690" w:type="dxa"/>
                  <w:shd w:val="clear" w:color="auto" w:fill="auto"/>
                  <w:noWrap w:val="0"/>
                  <w:vAlign w:val="center"/>
                </w:tcPr>
                <w:p w14:paraId="280001FC">
                  <w:pPr>
                    <w:spacing w:line="240" w:lineRule="auto"/>
                    <w:jc w:val="center"/>
                    <w:rPr>
                      <w:rFonts w:hint="default"/>
                      <w:color w:val="auto"/>
                      <w:sz w:val="21"/>
                      <w:szCs w:val="21"/>
                      <w:highlight w:val="none"/>
                      <w:u w:val="none"/>
                      <w:lang w:val="en-US" w:eastAsia="zh-CN"/>
                    </w:rPr>
                  </w:pPr>
                  <w:r>
                    <w:rPr>
                      <w:rFonts w:hint="default"/>
                      <w:color w:val="auto"/>
                      <w:sz w:val="21"/>
                      <w:szCs w:val="21"/>
                      <w:highlight w:val="none"/>
                      <w:u w:val="none"/>
                      <w:lang w:val="en-US" w:eastAsia="zh-CN"/>
                    </w:rPr>
                    <w:t>压面罩机</w:t>
                  </w:r>
                </w:p>
              </w:tc>
              <w:tc>
                <w:tcPr>
                  <w:tcW w:w="453" w:type="dxa"/>
                  <w:shd w:val="clear" w:color="auto" w:fill="auto"/>
                  <w:noWrap w:val="0"/>
                  <w:vAlign w:val="center"/>
                </w:tcPr>
                <w:p w14:paraId="6B11DDF4">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674" w:type="dxa"/>
                  <w:shd w:val="clear" w:color="auto" w:fill="auto"/>
                  <w:noWrap w:val="0"/>
                  <w:vAlign w:val="center"/>
                </w:tcPr>
                <w:p w14:paraId="0A6313FC">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70</w:t>
                  </w:r>
                </w:p>
              </w:tc>
              <w:tc>
                <w:tcPr>
                  <w:tcW w:w="766" w:type="dxa"/>
                  <w:vMerge w:val="continue"/>
                  <w:noWrap w:val="0"/>
                  <w:vAlign w:val="center"/>
                </w:tcPr>
                <w:p w14:paraId="7A5609B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565" w:type="dxa"/>
                  <w:shd w:val="clear" w:color="auto" w:fill="auto"/>
                  <w:noWrap w:val="0"/>
                  <w:vAlign w:val="center"/>
                </w:tcPr>
                <w:p w14:paraId="0610C6B9">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110</w:t>
                  </w:r>
                </w:p>
              </w:tc>
              <w:tc>
                <w:tcPr>
                  <w:tcW w:w="596" w:type="dxa"/>
                  <w:shd w:val="clear" w:color="auto" w:fill="auto"/>
                  <w:noWrap w:val="0"/>
                  <w:vAlign w:val="center"/>
                </w:tcPr>
                <w:p w14:paraId="782E57A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62AA50EF">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4EB58AEB">
                  <w:pPr>
                    <w:spacing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kern w:val="2"/>
                      <w:sz w:val="21"/>
                      <w:szCs w:val="21"/>
                      <w:highlight w:val="none"/>
                      <w:vertAlign w:val="baseline"/>
                      <w:lang w:val="en-US" w:eastAsia="zh-CN" w:bidi="ar-SA"/>
                    </w:rPr>
                    <w:t>23</w:t>
                  </w:r>
                </w:p>
              </w:tc>
              <w:tc>
                <w:tcPr>
                  <w:tcW w:w="719" w:type="dxa"/>
                  <w:shd w:val="clear" w:color="auto" w:fill="auto"/>
                  <w:noWrap w:val="0"/>
                  <w:vAlign w:val="center"/>
                </w:tcPr>
                <w:p w14:paraId="4130B1F4">
                  <w:pPr>
                    <w:spacing w:line="240" w:lineRule="auto"/>
                    <w:jc w:val="center"/>
                    <w:rPr>
                      <w:rFonts w:hint="eastAsia"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42.8</w:t>
                  </w:r>
                </w:p>
              </w:tc>
              <w:tc>
                <w:tcPr>
                  <w:tcW w:w="767" w:type="dxa"/>
                  <w:shd w:val="clear" w:color="auto" w:fill="auto"/>
                  <w:noWrap w:val="0"/>
                  <w:vAlign w:val="center"/>
                </w:tcPr>
                <w:p w14:paraId="7BC0DC32">
                  <w:pPr>
                    <w:spacing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1D6DC501">
                  <w:pPr>
                    <w:spacing w:line="240" w:lineRule="auto"/>
                    <w:jc w:val="center"/>
                    <w:rPr>
                      <w:rFonts w:hint="eastAsia"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27.8</w:t>
                  </w:r>
                </w:p>
              </w:tc>
            </w:tr>
            <w:tr w14:paraId="6CD6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483" w:type="dxa"/>
                  <w:shd w:val="clear" w:color="auto" w:fill="auto"/>
                  <w:noWrap w:val="0"/>
                  <w:vAlign w:val="center"/>
                </w:tcPr>
                <w:p w14:paraId="78DBE468">
                  <w:pPr>
                    <w:jc w:val="center"/>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9</w:t>
                  </w:r>
                </w:p>
              </w:tc>
              <w:tc>
                <w:tcPr>
                  <w:tcW w:w="690" w:type="dxa"/>
                  <w:shd w:val="clear" w:color="auto" w:fill="auto"/>
                  <w:noWrap w:val="0"/>
                  <w:vAlign w:val="center"/>
                </w:tcPr>
                <w:p w14:paraId="1A825D10">
                  <w:pPr>
                    <w:spacing w:line="240" w:lineRule="auto"/>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插件机</w:t>
                  </w:r>
                </w:p>
              </w:tc>
              <w:tc>
                <w:tcPr>
                  <w:tcW w:w="453" w:type="dxa"/>
                  <w:shd w:val="clear" w:color="auto" w:fill="auto"/>
                  <w:noWrap w:val="0"/>
                  <w:vAlign w:val="center"/>
                </w:tcPr>
                <w:p w14:paraId="5072426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13</w:t>
                  </w:r>
                </w:p>
              </w:tc>
              <w:tc>
                <w:tcPr>
                  <w:tcW w:w="674" w:type="dxa"/>
                  <w:shd w:val="clear" w:color="auto" w:fill="auto"/>
                  <w:noWrap w:val="0"/>
                  <w:vAlign w:val="center"/>
                </w:tcPr>
                <w:p w14:paraId="642B55D0">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70</w:t>
                  </w:r>
                </w:p>
              </w:tc>
              <w:tc>
                <w:tcPr>
                  <w:tcW w:w="766" w:type="dxa"/>
                  <w:vMerge w:val="continue"/>
                  <w:shd w:val="clear" w:color="auto" w:fill="auto"/>
                  <w:noWrap w:val="0"/>
                  <w:vAlign w:val="center"/>
                </w:tcPr>
                <w:p w14:paraId="023C71C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565" w:type="dxa"/>
                  <w:shd w:val="clear" w:color="auto" w:fill="auto"/>
                  <w:noWrap w:val="0"/>
                  <w:vAlign w:val="center"/>
                </w:tcPr>
                <w:p w14:paraId="6F824AC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40</w:t>
                  </w:r>
                </w:p>
              </w:tc>
              <w:tc>
                <w:tcPr>
                  <w:tcW w:w="596" w:type="dxa"/>
                  <w:shd w:val="clear" w:color="auto" w:fill="auto"/>
                  <w:noWrap w:val="0"/>
                  <w:vAlign w:val="center"/>
                </w:tcPr>
                <w:p w14:paraId="16DD205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694CCACE">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1AC26038">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23</w:t>
                  </w:r>
                </w:p>
              </w:tc>
              <w:tc>
                <w:tcPr>
                  <w:tcW w:w="719" w:type="dxa"/>
                  <w:shd w:val="clear" w:color="auto" w:fill="auto"/>
                  <w:noWrap w:val="0"/>
                  <w:vAlign w:val="center"/>
                </w:tcPr>
                <w:p w14:paraId="6F358268">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42.8</w:t>
                  </w:r>
                </w:p>
              </w:tc>
              <w:tc>
                <w:tcPr>
                  <w:tcW w:w="767" w:type="dxa"/>
                  <w:shd w:val="clear" w:color="auto" w:fill="auto"/>
                  <w:noWrap w:val="0"/>
                  <w:vAlign w:val="center"/>
                </w:tcPr>
                <w:p w14:paraId="1231B0FA">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5726754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27.8</w:t>
                  </w:r>
                </w:p>
              </w:tc>
            </w:tr>
            <w:tr w14:paraId="3CC05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483" w:type="dxa"/>
                  <w:shd w:val="clear" w:color="auto" w:fill="auto"/>
                  <w:noWrap w:val="0"/>
                  <w:vAlign w:val="center"/>
                </w:tcPr>
                <w:p w14:paraId="08FC3745">
                  <w:pPr>
                    <w:jc w:val="center"/>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10</w:t>
                  </w:r>
                </w:p>
              </w:tc>
              <w:tc>
                <w:tcPr>
                  <w:tcW w:w="690" w:type="dxa"/>
                  <w:shd w:val="clear" w:color="auto" w:fill="auto"/>
                  <w:noWrap w:val="0"/>
                  <w:vAlign w:val="center"/>
                </w:tcPr>
                <w:p w14:paraId="231ED5B9">
                  <w:pPr>
                    <w:spacing w:line="240" w:lineRule="auto"/>
                    <w:jc w:val="center"/>
                    <w:rPr>
                      <w:rFonts w:hint="eastAsia"/>
                      <w:sz w:val="21"/>
                      <w:szCs w:val="21"/>
                      <w:highlight w:val="none"/>
                      <w:lang w:val="en-US" w:eastAsia="zh-CN"/>
                    </w:rPr>
                  </w:pPr>
                  <w:r>
                    <w:rPr>
                      <w:rFonts w:hint="eastAsia"/>
                      <w:sz w:val="21"/>
                      <w:szCs w:val="21"/>
                      <w:highlight w:val="none"/>
                      <w:lang w:val="en-US" w:eastAsia="zh-CN"/>
                    </w:rPr>
                    <w:t>插件机</w:t>
                  </w:r>
                </w:p>
              </w:tc>
              <w:tc>
                <w:tcPr>
                  <w:tcW w:w="453" w:type="dxa"/>
                  <w:shd w:val="clear" w:color="auto" w:fill="auto"/>
                  <w:noWrap w:val="0"/>
                  <w:vAlign w:val="center"/>
                </w:tcPr>
                <w:p w14:paraId="26A82D0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13</w:t>
                  </w:r>
                </w:p>
              </w:tc>
              <w:tc>
                <w:tcPr>
                  <w:tcW w:w="674" w:type="dxa"/>
                  <w:shd w:val="clear" w:color="auto" w:fill="auto"/>
                  <w:noWrap w:val="0"/>
                  <w:vAlign w:val="center"/>
                </w:tcPr>
                <w:p w14:paraId="284F5F3E">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70</w:t>
                  </w:r>
                </w:p>
              </w:tc>
              <w:tc>
                <w:tcPr>
                  <w:tcW w:w="766" w:type="dxa"/>
                  <w:vMerge w:val="continue"/>
                  <w:shd w:val="clear" w:color="auto" w:fill="auto"/>
                  <w:noWrap w:val="0"/>
                  <w:vAlign w:val="center"/>
                </w:tcPr>
                <w:p w14:paraId="4174AC1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565" w:type="dxa"/>
                  <w:shd w:val="clear" w:color="auto" w:fill="auto"/>
                  <w:noWrap w:val="0"/>
                  <w:vAlign w:val="center"/>
                </w:tcPr>
                <w:p w14:paraId="4BD3AE7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110</w:t>
                  </w:r>
                </w:p>
              </w:tc>
              <w:tc>
                <w:tcPr>
                  <w:tcW w:w="596" w:type="dxa"/>
                  <w:shd w:val="clear" w:color="auto" w:fill="auto"/>
                  <w:noWrap w:val="0"/>
                  <w:vAlign w:val="center"/>
                </w:tcPr>
                <w:p w14:paraId="1D07162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70095C6C">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49B64715">
                  <w:pPr>
                    <w:spacing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kern w:val="2"/>
                      <w:sz w:val="21"/>
                      <w:szCs w:val="21"/>
                      <w:highlight w:val="none"/>
                      <w:vertAlign w:val="baseline"/>
                      <w:lang w:val="en-US" w:eastAsia="zh-CN" w:bidi="ar-SA"/>
                    </w:rPr>
                    <w:t>23</w:t>
                  </w:r>
                </w:p>
              </w:tc>
              <w:tc>
                <w:tcPr>
                  <w:tcW w:w="719" w:type="dxa"/>
                  <w:shd w:val="clear" w:color="auto" w:fill="auto"/>
                  <w:noWrap w:val="0"/>
                  <w:vAlign w:val="center"/>
                </w:tcPr>
                <w:p w14:paraId="7DA6D3D2">
                  <w:pPr>
                    <w:spacing w:line="240" w:lineRule="auto"/>
                    <w:jc w:val="center"/>
                    <w:rPr>
                      <w:rFonts w:hint="eastAsia"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42.8</w:t>
                  </w:r>
                </w:p>
              </w:tc>
              <w:tc>
                <w:tcPr>
                  <w:tcW w:w="767" w:type="dxa"/>
                  <w:shd w:val="clear" w:color="auto" w:fill="auto"/>
                  <w:noWrap w:val="0"/>
                  <w:vAlign w:val="center"/>
                </w:tcPr>
                <w:p w14:paraId="18B30526">
                  <w:pPr>
                    <w:spacing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226B1009">
                  <w:pPr>
                    <w:spacing w:line="240" w:lineRule="auto"/>
                    <w:jc w:val="center"/>
                    <w:rPr>
                      <w:rFonts w:hint="eastAsia"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27.8</w:t>
                  </w:r>
                </w:p>
              </w:tc>
            </w:tr>
            <w:tr w14:paraId="7CB92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shd w:val="clear" w:color="auto" w:fill="auto"/>
                  <w:noWrap w:val="0"/>
                  <w:vAlign w:val="center"/>
                </w:tcPr>
                <w:p w14:paraId="7E6CE39A">
                  <w:pPr>
                    <w:jc w:val="center"/>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11</w:t>
                  </w:r>
                </w:p>
              </w:tc>
              <w:tc>
                <w:tcPr>
                  <w:tcW w:w="690" w:type="dxa"/>
                  <w:shd w:val="clear" w:color="auto" w:fill="auto"/>
                  <w:noWrap w:val="0"/>
                  <w:vAlign w:val="center"/>
                </w:tcPr>
                <w:p w14:paraId="72B0E90D">
                  <w:pPr>
                    <w:spacing w:line="240" w:lineRule="auto"/>
                    <w:jc w:val="center"/>
                    <w:rPr>
                      <w:rFonts w:hint="eastAsia"/>
                      <w:sz w:val="21"/>
                      <w:szCs w:val="21"/>
                      <w:highlight w:val="none"/>
                      <w:lang w:val="en-US" w:eastAsia="zh-CN"/>
                    </w:rPr>
                  </w:pPr>
                  <w:r>
                    <w:rPr>
                      <w:rFonts w:hint="eastAsia"/>
                      <w:sz w:val="21"/>
                      <w:szCs w:val="21"/>
                      <w:highlight w:val="none"/>
                      <w:lang w:val="en-US" w:eastAsia="zh-CN"/>
                    </w:rPr>
                    <w:t>打螺丝机</w:t>
                  </w:r>
                </w:p>
              </w:tc>
              <w:tc>
                <w:tcPr>
                  <w:tcW w:w="453" w:type="dxa"/>
                  <w:shd w:val="clear" w:color="auto" w:fill="auto"/>
                  <w:noWrap w:val="0"/>
                  <w:vAlign w:val="center"/>
                </w:tcPr>
                <w:p w14:paraId="584845F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w:t>
                  </w:r>
                </w:p>
              </w:tc>
              <w:tc>
                <w:tcPr>
                  <w:tcW w:w="674" w:type="dxa"/>
                  <w:shd w:val="clear" w:color="auto" w:fill="auto"/>
                  <w:noWrap w:val="0"/>
                  <w:vAlign w:val="center"/>
                </w:tcPr>
                <w:p w14:paraId="071C1756">
                  <w:pPr>
                    <w:spacing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80</w:t>
                  </w:r>
                </w:p>
              </w:tc>
              <w:tc>
                <w:tcPr>
                  <w:tcW w:w="766" w:type="dxa"/>
                  <w:vMerge w:val="continue"/>
                  <w:shd w:val="clear" w:color="auto" w:fill="auto"/>
                  <w:noWrap w:val="0"/>
                  <w:vAlign w:val="center"/>
                </w:tcPr>
                <w:p w14:paraId="7E5F405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565" w:type="dxa"/>
                  <w:shd w:val="clear" w:color="auto" w:fill="auto"/>
                  <w:noWrap w:val="0"/>
                  <w:vAlign w:val="center"/>
                </w:tcPr>
                <w:p w14:paraId="24F7138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44</w:t>
                  </w:r>
                </w:p>
              </w:tc>
              <w:tc>
                <w:tcPr>
                  <w:tcW w:w="596" w:type="dxa"/>
                  <w:shd w:val="clear" w:color="auto" w:fill="auto"/>
                  <w:noWrap w:val="0"/>
                  <w:vAlign w:val="center"/>
                </w:tcPr>
                <w:p w14:paraId="5532717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67E1CACE">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4A8135C0">
                  <w:pPr>
                    <w:spacing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kern w:val="2"/>
                      <w:sz w:val="21"/>
                      <w:szCs w:val="21"/>
                      <w:highlight w:val="none"/>
                      <w:vertAlign w:val="baseline"/>
                      <w:lang w:val="en-US" w:eastAsia="zh-CN" w:bidi="ar-SA"/>
                    </w:rPr>
                    <w:t>23</w:t>
                  </w:r>
                </w:p>
              </w:tc>
              <w:tc>
                <w:tcPr>
                  <w:tcW w:w="719" w:type="dxa"/>
                  <w:shd w:val="clear" w:color="auto" w:fill="auto"/>
                  <w:noWrap w:val="0"/>
                  <w:vAlign w:val="center"/>
                </w:tcPr>
                <w:p w14:paraId="5AD8628D">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52.8</w:t>
                  </w:r>
                </w:p>
              </w:tc>
              <w:tc>
                <w:tcPr>
                  <w:tcW w:w="767" w:type="dxa"/>
                  <w:shd w:val="clear" w:color="auto" w:fill="auto"/>
                  <w:noWrap w:val="0"/>
                  <w:vAlign w:val="center"/>
                </w:tcPr>
                <w:p w14:paraId="056AA04B">
                  <w:pPr>
                    <w:spacing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3428FD44">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37.8</w:t>
                  </w:r>
                </w:p>
              </w:tc>
            </w:tr>
            <w:tr w14:paraId="67140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3" w:type="dxa"/>
                  <w:shd w:val="clear" w:color="auto" w:fill="auto"/>
                  <w:noWrap w:val="0"/>
                  <w:vAlign w:val="center"/>
                </w:tcPr>
                <w:p w14:paraId="540CDE87">
                  <w:pPr>
                    <w:jc w:val="center"/>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12</w:t>
                  </w:r>
                </w:p>
              </w:tc>
              <w:tc>
                <w:tcPr>
                  <w:tcW w:w="690" w:type="dxa"/>
                  <w:shd w:val="clear" w:color="auto" w:fill="auto"/>
                  <w:noWrap w:val="0"/>
                  <w:vAlign w:val="center"/>
                </w:tcPr>
                <w:p w14:paraId="5BD4DBF9">
                  <w:pPr>
                    <w:spacing w:line="240" w:lineRule="auto"/>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打螺丝机</w:t>
                  </w:r>
                </w:p>
              </w:tc>
              <w:tc>
                <w:tcPr>
                  <w:tcW w:w="453" w:type="dxa"/>
                  <w:shd w:val="clear" w:color="auto" w:fill="auto"/>
                  <w:noWrap w:val="0"/>
                  <w:vAlign w:val="center"/>
                </w:tcPr>
                <w:p w14:paraId="5AFC170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w:t>
                  </w:r>
                </w:p>
              </w:tc>
              <w:tc>
                <w:tcPr>
                  <w:tcW w:w="674" w:type="dxa"/>
                  <w:shd w:val="clear" w:color="auto" w:fill="auto"/>
                  <w:noWrap w:val="0"/>
                  <w:vAlign w:val="center"/>
                </w:tcPr>
                <w:p w14:paraId="23EA9BEC">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80</w:t>
                  </w:r>
                </w:p>
              </w:tc>
              <w:tc>
                <w:tcPr>
                  <w:tcW w:w="766" w:type="dxa"/>
                  <w:vMerge w:val="continue"/>
                  <w:shd w:val="clear" w:color="auto" w:fill="auto"/>
                  <w:noWrap w:val="0"/>
                  <w:vAlign w:val="center"/>
                </w:tcPr>
                <w:p w14:paraId="0849812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565" w:type="dxa"/>
                  <w:shd w:val="clear" w:color="auto" w:fill="auto"/>
                  <w:noWrap w:val="0"/>
                  <w:vAlign w:val="center"/>
                </w:tcPr>
                <w:p w14:paraId="559C9BB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114</w:t>
                  </w:r>
                </w:p>
              </w:tc>
              <w:tc>
                <w:tcPr>
                  <w:tcW w:w="596" w:type="dxa"/>
                  <w:shd w:val="clear" w:color="auto" w:fill="auto"/>
                  <w:noWrap w:val="0"/>
                  <w:vAlign w:val="center"/>
                </w:tcPr>
                <w:p w14:paraId="2B430CC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w:t>
                  </w:r>
                </w:p>
              </w:tc>
              <w:tc>
                <w:tcPr>
                  <w:tcW w:w="517" w:type="dxa"/>
                  <w:shd w:val="clear" w:color="auto" w:fill="auto"/>
                  <w:noWrap w:val="0"/>
                  <w:vAlign w:val="center"/>
                </w:tcPr>
                <w:p w14:paraId="6ED78E5E">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605F6919">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23</w:t>
                  </w:r>
                </w:p>
              </w:tc>
              <w:tc>
                <w:tcPr>
                  <w:tcW w:w="719" w:type="dxa"/>
                  <w:shd w:val="clear" w:color="auto" w:fill="auto"/>
                  <w:noWrap w:val="0"/>
                  <w:vAlign w:val="center"/>
                </w:tcPr>
                <w:p w14:paraId="20996BC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52.8</w:t>
                  </w:r>
                </w:p>
              </w:tc>
              <w:tc>
                <w:tcPr>
                  <w:tcW w:w="767" w:type="dxa"/>
                  <w:shd w:val="clear" w:color="auto" w:fill="auto"/>
                  <w:noWrap w:val="0"/>
                  <w:vAlign w:val="center"/>
                </w:tcPr>
                <w:p w14:paraId="0B123BD4">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47A485B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37.8</w:t>
                  </w:r>
                </w:p>
              </w:tc>
            </w:tr>
            <w:tr w14:paraId="40C10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83" w:type="dxa"/>
                  <w:shd w:val="clear" w:color="auto" w:fill="auto"/>
                  <w:noWrap w:val="0"/>
                  <w:vAlign w:val="center"/>
                </w:tcPr>
                <w:p w14:paraId="2436E0E3">
                  <w:pPr>
                    <w:jc w:val="center"/>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13</w:t>
                  </w:r>
                </w:p>
              </w:tc>
              <w:tc>
                <w:tcPr>
                  <w:tcW w:w="690" w:type="dxa"/>
                  <w:shd w:val="clear" w:color="auto" w:fill="auto"/>
                  <w:noWrap w:val="0"/>
                  <w:vAlign w:val="center"/>
                </w:tcPr>
                <w:p w14:paraId="24BC7179">
                  <w:pPr>
                    <w:spacing w:line="240" w:lineRule="auto"/>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lang w:val="en-US" w:eastAsia="zh-CN"/>
                    </w:rPr>
                    <w:t>空压机</w:t>
                  </w:r>
                </w:p>
              </w:tc>
              <w:tc>
                <w:tcPr>
                  <w:tcW w:w="453" w:type="dxa"/>
                  <w:shd w:val="clear" w:color="auto" w:fill="auto"/>
                  <w:noWrap w:val="0"/>
                  <w:vAlign w:val="center"/>
                </w:tcPr>
                <w:p w14:paraId="4BAE1F2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674" w:type="dxa"/>
                  <w:shd w:val="clear" w:color="auto" w:fill="auto"/>
                  <w:noWrap w:val="0"/>
                  <w:vAlign w:val="center"/>
                </w:tcPr>
                <w:p w14:paraId="34E9F0C6">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85</w:t>
                  </w:r>
                </w:p>
              </w:tc>
              <w:tc>
                <w:tcPr>
                  <w:tcW w:w="766" w:type="dxa"/>
                  <w:vMerge w:val="continue"/>
                  <w:shd w:val="clear" w:color="auto" w:fill="auto"/>
                  <w:noWrap w:val="0"/>
                  <w:vAlign w:val="center"/>
                </w:tcPr>
                <w:p w14:paraId="2BEB604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565" w:type="dxa"/>
                  <w:shd w:val="clear" w:color="auto" w:fill="auto"/>
                  <w:noWrap w:val="0"/>
                  <w:vAlign w:val="center"/>
                </w:tcPr>
                <w:p w14:paraId="3E4C54F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153</w:t>
                  </w:r>
                </w:p>
              </w:tc>
              <w:tc>
                <w:tcPr>
                  <w:tcW w:w="596" w:type="dxa"/>
                  <w:shd w:val="clear" w:color="auto" w:fill="auto"/>
                  <w:noWrap w:val="0"/>
                  <w:vAlign w:val="center"/>
                </w:tcPr>
                <w:p w14:paraId="70ADB13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w:t>
                  </w:r>
                </w:p>
              </w:tc>
              <w:tc>
                <w:tcPr>
                  <w:tcW w:w="517" w:type="dxa"/>
                  <w:shd w:val="clear" w:color="auto" w:fill="auto"/>
                  <w:noWrap w:val="0"/>
                  <w:vAlign w:val="center"/>
                </w:tcPr>
                <w:p w14:paraId="28242161">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w:t>
                  </w:r>
                </w:p>
              </w:tc>
              <w:tc>
                <w:tcPr>
                  <w:tcW w:w="864" w:type="dxa"/>
                  <w:shd w:val="clear" w:color="auto" w:fill="auto"/>
                  <w:noWrap w:val="0"/>
                  <w:vAlign w:val="center"/>
                </w:tcPr>
                <w:p w14:paraId="0A1E4DAF">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5</w:t>
                  </w:r>
                </w:p>
              </w:tc>
              <w:tc>
                <w:tcPr>
                  <w:tcW w:w="719" w:type="dxa"/>
                  <w:shd w:val="clear" w:color="auto" w:fill="auto"/>
                  <w:noWrap w:val="0"/>
                  <w:vAlign w:val="center"/>
                </w:tcPr>
                <w:p w14:paraId="2C04FF1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68.1</w:t>
                  </w:r>
                </w:p>
              </w:tc>
              <w:tc>
                <w:tcPr>
                  <w:tcW w:w="767" w:type="dxa"/>
                  <w:shd w:val="clear" w:color="auto" w:fill="auto"/>
                  <w:noWrap w:val="0"/>
                  <w:vAlign w:val="center"/>
                </w:tcPr>
                <w:p w14:paraId="57E2276F">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853" w:type="dxa"/>
                  <w:shd w:val="clear" w:color="auto" w:fill="auto"/>
                  <w:noWrap w:val="0"/>
                  <w:vAlign w:val="center"/>
                </w:tcPr>
                <w:p w14:paraId="76F2819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53.1</w:t>
                  </w:r>
                </w:p>
              </w:tc>
            </w:tr>
          </w:tbl>
          <w:p w14:paraId="0D4E6DB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eastAsia="zh-CN"/>
              </w:rPr>
              <w:t>注：以厂区西南角为原点，正东向为</w:t>
            </w:r>
            <w:r>
              <w:rPr>
                <w:rFonts w:hint="eastAsia" w:cs="Times New Roman"/>
                <w:b/>
                <w:bCs/>
                <w:color w:val="auto"/>
                <w:sz w:val="24"/>
                <w:szCs w:val="24"/>
                <w:highlight w:val="none"/>
                <w:lang w:val="en-US" w:eastAsia="zh-CN"/>
              </w:rPr>
              <w:t>X轴，正北向为Y轴。</w:t>
            </w:r>
          </w:p>
          <w:p w14:paraId="76BD2D0C">
            <w:pPr>
              <w:pStyle w:val="45"/>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（2）噪声环境影响分析</w:t>
            </w:r>
          </w:p>
          <w:p w14:paraId="7B1C747C">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预测模式采用《环境影响评价技术导则 声环境》（HJ2.4—2021）中推荐的模型。①声级计算</w:t>
            </w:r>
          </w:p>
          <w:p w14:paraId="3A4DA1F0">
            <w:pPr>
              <w:spacing w:line="360" w:lineRule="auto"/>
              <w:ind w:firstLine="480" w:firstLineChars="200"/>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建设项目声源在预测点产生的等效声级贡献值(Leqg)计算公式：</w:t>
            </w:r>
          </w:p>
          <w:p w14:paraId="7D1009D0">
            <w:pPr>
              <w:spacing w:line="360" w:lineRule="auto"/>
              <w:ind w:firstLine="480" w:firstLineChars="200"/>
              <w:jc w:val="center"/>
              <w:rPr>
                <w:rFonts w:hint="default" w:ascii="Times New Roman" w:hAnsi="Times New Roman" w:eastAsia="宋体" w:cs="Times New Roman"/>
                <w:b w:val="0"/>
                <w:bCs/>
                <w:color w:val="auto"/>
                <w:sz w:val="24"/>
                <w:szCs w:val="24"/>
                <w:highlight w:val="none"/>
                <w:lang w:val="en-US" w:eastAsia="zh-CN"/>
              </w:rPr>
            </w:pPr>
            <w:r>
              <w:rPr>
                <w:sz w:val="24"/>
                <w:szCs w:val="24"/>
                <w:highlight w:val="none"/>
              </w:rPr>
              <w:drawing>
                <wp:inline distT="0" distB="0" distL="114300" distR="114300">
                  <wp:extent cx="1781175" cy="447675"/>
                  <wp:effectExtent l="0" t="0" r="9525" b="952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8"/>
                          <a:stretch>
                            <a:fillRect/>
                          </a:stretch>
                        </pic:blipFill>
                        <pic:spPr>
                          <a:xfrm>
                            <a:off x="0" y="0"/>
                            <a:ext cx="1781175" cy="447675"/>
                          </a:xfrm>
                          <a:prstGeom prst="rect">
                            <a:avLst/>
                          </a:prstGeom>
                          <a:noFill/>
                          <a:ln>
                            <a:noFill/>
                          </a:ln>
                        </pic:spPr>
                      </pic:pic>
                    </a:graphicData>
                  </a:graphic>
                </wp:inline>
              </w:drawing>
            </w:r>
          </w:p>
          <w:p w14:paraId="2034A9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0CC1A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LAi—i声源在预测点产生的 A 声级，dB(A)；</w:t>
            </w:r>
          </w:p>
          <w:p w14:paraId="36CEC0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T—预测计算的时间段，s；</w:t>
            </w:r>
          </w:p>
          <w:p w14:paraId="1CB4EB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ti—i声源在 T 时段内的运行时间，s。</w:t>
            </w:r>
          </w:p>
          <w:p w14:paraId="48D536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②预测点的预测等效声级(Leq)计算公式</w:t>
            </w:r>
          </w:p>
          <w:p w14:paraId="198050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sz w:val="24"/>
                <w:szCs w:val="24"/>
                <w:highlight w:val="none"/>
              </w:rPr>
              <w:drawing>
                <wp:inline distT="0" distB="0" distL="114300" distR="114300">
                  <wp:extent cx="1971675" cy="400050"/>
                  <wp:effectExtent l="0" t="0" r="9525"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19"/>
                          <a:stretch>
                            <a:fillRect/>
                          </a:stretch>
                        </pic:blipFill>
                        <pic:spPr>
                          <a:xfrm>
                            <a:off x="0" y="0"/>
                            <a:ext cx="1971675" cy="400050"/>
                          </a:xfrm>
                          <a:prstGeom prst="rect">
                            <a:avLst/>
                          </a:prstGeom>
                          <a:noFill/>
                          <a:ln>
                            <a:noFill/>
                          </a:ln>
                        </pic:spPr>
                      </pic:pic>
                    </a:graphicData>
                  </a:graphic>
                </wp:inline>
              </w:drawing>
            </w:r>
          </w:p>
          <w:p w14:paraId="6A7345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539B3C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Leqb—预测点的背景值，dB(A)</w:t>
            </w:r>
          </w:p>
          <w:p w14:paraId="38E418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③户外声传播衰减</w:t>
            </w:r>
          </w:p>
          <w:p w14:paraId="25B13A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噪声在室外空间的传播，由于受到遮挡物的隔断，各种介质的吸收与反射以及空气介质的吸收等物理作用而逐渐减弱。为了简化计算条件并能考虑到最不利因素，计算时只考虑噪声随距离的衰减。</w:t>
            </w:r>
          </w:p>
          <w:p w14:paraId="2BC1D2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④无指向点声源几何发散衰减基本模式：</w:t>
            </w:r>
          </w:p>
          <w:p w14:paraId="737931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sz w:val="24"/>
                <w:szCs w:val="24"/>
                <w:highlight w:val="none"/>
              </w:rPr>
              <w:drawing>
                <wp:inline distT="0" distB="0" distL="114300" distR="114300">
                  <wp:extent cx="1866900" cy="323850"/>
                  <wp:effectExtent l="0" t="0" r="0" b="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20"/>
                          <a:stretch>
                            <a:fillRect/>
                          </a:stretch>
                        </pic:blipFill>
                        <pic:spPr>
                          <a:xfrm>
                            <a:off x="0" y="0"/>
                            <a:ext cx="1866900" cy="323850"/>
                          </a:xfrm>
                          <a:prstGeom prst="rect">
                            <a:avLst/>
                          </a:prstGeom>
                          <a:noFill/>
                          <a:ln>
                            <a:noFill/>
                          </a:ln>
                        </pic:spPr>
                      </pic:pic>
                    </a:graphicData>
                  </a:graphic>
                </wp:inline>
              </w:drawing>
            </w:r>
          </w:p>
          <w:p w14:paraId="17775F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式中：Lp（r）、L（r0）—分别为测点r和r0的噪声声级，dB(A)；</w:t>
            </w:r>
          </w:p>
          <w:p w14:paraId="5E80BE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r、r0—分别为测点1和2对噪声源的距离，m，（r&gt;r0）。</w:t>
            </w:r>
          </w:p>
          <w:p w14:paraId="59DE7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该项目厂界噪声执行《工业企业厂界环境噪声排放标准》（GB12348-2008）中 3 类标准。</w:t>
            </w:r>
          </w:p>
          <w:p w14:paraId="5E42DA3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default" w:ascii="Times New Roman" w:hAnsi="Times New Roman" w:cs="Times New Roman"/>
                <w:b/>
                <w:bCs/>
                <w:color w:val="auto"/>
                <w:sz w:val="24"/>
                <w:szCs w:val="24"/>
                <w:highlight w:val="none"/>
              </w:rPr>
              <w:t>预测结果及评价</w:t>
            </w:r>
          </w:p>
          <w:p w14:paraId="66417C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根据以上参数，</w:t>
            </w:r>
            <w:r>
              <w:rPr>
                <w:rFonts w:hint="default" w:ascii="Times New Roman" w:hAnsi="Times New Roman" w:cs="Times New Roman"/>
                <w:color w:val="auto"/>
                <w:sz w:val="24"/>
                <w:szCs w:val="24"/>
                <w:highlight w:val="none"/>
              </w:rPr>
              <w:t>建设项目厂界噪声影响预测结果见</w:t>
            </w:r>
            <w:r>
              <w:rPr>
                <w:rFonts w:hint="default" w:ascii="Times New Roman" w:hAnsi="Times New Roman" w:cs="Times New Roman"/>
                <w:color w:val="auto"/>
                <w:sz w:val="24"/>
                <w:szCs w:val="24"/>
                <w:highlight w:val="none"/>
                <w:lang w:eastAsia="zh-CN"/>
              </w:rPr>
              <w:t>下</w:t>
            </w:r>
            <w:r>
              <w:rPr>
                <w:rFonts w:hint="default" w:ascii="Times New Roman" w:hAnsi="Times New Roman" w:cs="Times New Roman"/>
                <w:color w:val="auto"/>
                <w:sz w:val="24"/>
                <w:szCs w:val="24"/>
                <w:highlight w:val="none"/>
              </w:rPr>
              <w:t>表：</w:t>
            </w:r>
          </w:p>
          <w:p w14:paraId="2CF0F00F">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 xml:space="preserve">表4-15  </w:t>
            </w:r>
            <w:r>
              <w:rPr>
                <w:rFonts w:hint="default" w:ascii="Times New Roman" w:hAnsi="Times New Roman" w:eastAsia="宋体" w:cs="Times New Roman"/>
                <w:b/>
                <w:color w:val="auto"/>
                <w:kern w:val="2"/>
                <w:sz w:val="24"/>
                <w:szCs w:val="24"/>
                <w:highlight w:val="none"/>
                <w:lang w:val="en-US" w:eastAsia="zh-CN"/>
              </w:rPr>
              <w:t>项目厂界噪声预测结果单位：dB(A)</w:t>
            </w:r>
          </w:p>
          <w:tbl>
            <w:tblPr>
              <w:tblStyle w:val="22"/>
              <w:tblW w:w="48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0"/>
              <w:gridCol w:w="1200"/>
              <w:gridCol w:w="1200"/>
              <w:gridCol w:w="1200"/>
              <w:gridCol w:w="1200"/>
              <w:gridCol w:w="1575"/>
            </w:tblGrid>
            <w:tr w14:paraId="7D9BD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808" w:type="pct"/>
                  <w:vMerge w:val="restart"/>
                  <w:tcBorders>
                    <w:tl2br w:val="nil"/>
                    <w:tr2bl w:val="nil"/>
                  </w:tcBorders>
                  <w:noWrap w:val="0"/>
                  <w:vAlign w:val="center"/>
                </w:tcPr>
                <w:p w14:paraId="058BE4F9">
                  <w:pPr>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预测点位</w:t>
                  </w:r>
                </w:p>
              </w:tc>
              <w:tc>
                <w:tcPr>
                  <w:tcW w:w="1577" w:type="pct"/>
                  <w:gridSpan w:val="2"/>
                  <w:tcBorders>
                    <w:tl2br w:val="nil"/>
                    <w:tr2bl w:val="nil"/>
                  </w:tcBorders>
                  <w:noWrap w:val="0"/>
                  <w:vAlign w:val="center"/>
                </w:tcPr>
                <w:p w14:paraId="64A50E53">
                  <w:pPr>
                    <w:adjustRightInd w:val="0"/>
                    <w:snapToGrid w:val="0"/>
                    <w:spacing w:line="240" w:lineRule="auto"/>
                    <w:jc w:val="center"/>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贡献值</w:t>
                  </w:r>
                </w:p>
              </w:tc>
              <w:tc>
                <w:tcPr>
                  <w:tcW w:w="1577" w:type="pct"/>
                  <w:gridSpan w:val="2"/>
                  <w:tcBorders>
                    <w:tl2br w:val="nil"/>
                    <w:tr2bl w:val="nil"/>
                  </w:tcBorders>
                  <w:noWrap w:val="0"/>
                  <w:vAlign w:val="center"/>
                </w:tcPr>
                <w:p w14:paraId="5772D54A">
                  <w:pPr>
                    <w:adjustRightInd w:val="0"/>
                    <w:snapToGrid w:val="0"/>
                    <w:spacing w:line="240" w:lineRule="auto"/>
                    <w:jc w:val="center"/>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val="en-US" w:eastAsia="zh-CN"/>
                    </w:rPr>
                    <w:t>预测值</w:t>
                  </w:r>
                </w:p>
              </w:tc>
              <w:tc>
                <w:tcPr>
                  <w:tcW w:w="1035" w:type="pct"/>
                  <w:vMerge w:val="restart"/>
                  <w:tcBorders>
                    <w:tl2br w:val="nil"/>
                    <w:tr2bl w:val="nil"/>
                  </w:tcBorders>
                  <w:noWrap w:val="0"/>
                  <w:vAlign w:val="center"/>
                </w:tcPr>
                <w:p w14:paraId="306E18B4">
                  <w:pPr>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标准限值</w:t>
                  </w:r>
                </w:p>
              </w:tc>
            </w:tr>
            <w:tr w14:paraId="11AB0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jc w:val="center"/>
              </w:trPr>
              <w:tc>
                <w:tcPr>
                  <w:tcW w:w="808" w:type="pct"/>
                  <w:vMerge w:val="continue"/>
                  <w:tcBorders>
                    <w:tl2br w:val="nil"/>
                    <w:tr2bl w:val="nil"/>
                  </w:tcBorders>
                  <w:noWrap w:val="0"/>
                  <w:vAlign w:val="center"/>
                </w:tcPr>
                <w:p w14:paraId="21192EE4">
                  <w:pPr>
                    <w:adjustRightInd w:val="0"/>
                    <w:snapToGrid w:val="0"/>
                    <w:spacing w:line="240" w:lineRule="auto"/>
                    <w:jc w:val="center"/>
                    <w:rPr>
                      <w:sz w:val="21"/>
                      <w:szCs w:val="21"/>
                      <w:highlight w:val="none"/>
                    </w:rPr>
                  </w:pPr>
                </w:p>
              </w:tc>
              <w:tc>
                <w:tcPr>
                  <w:tcW w:w="788" w:type="pct"/>
                  <w:tcBorders>
                    <w:tl2br w:val="nil"/>
                    <w:tr2bl w:val="nil"/>
                  </w:tcBorders>
                  <w:shd w:val="clear" w:color="auto" w:fill="auto"/>
                  <w:noWrap w:val="0"/>
                  <w:vAlign w:val="center"/>
                </w:tcPr>
                <w:p w14:paraId="79E68204">
                  <w:pPr>
                    <w:adjustRightInd w:val="0"/>
                    <w:snapToGrid w:val="0"/>
                    <w:spacing w:line="240" w:lineRule="auto"/>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eastAsia="zh-CN"/>
                    </w:rPr>
                    <w:t>昼间</w:t>
                  </w:r>
                </w:p>
              </w:tc>
              <w:tc>
                <w:tcPr>
                  <w:tcW w:w="788" w:type="pct"/>
                  <w:tcBorders>
                    <w:tl2br w:val="nil"/>
                    <w:tr2bl w:val="nil"/>
                  </w:tcBorders>
                  <w:shd w:val="clear" w:color="auto" w:fill="auto"/>
                  <w:noWrap w:val="0"/>
                  <w:vAlign w:val="center"/>
                </w:tcPr>
                <w:p w14:paraId="6AA24A3E">
                  <w:pPr>
                    <w:adjustRightInd w:val="0"/>
                    <w:snapToGrid w:val="0"/>
                    <w:spacing w:line="240" w:lineRule="auto"/>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eastAsia="zh-CN"/>
                    </w:rPr>
                    <w:t>夜间</w:t>
                  </w:r>
                </w:p>
              </w:tc>
              <w:tc>
                <w:tcPr>
                  <w:tcW w:w="788" w:type="pct"/>
                  <w:tcBorders>
                    <w:tl2br w:val="nil"/>
                    <w:tr2bl w:val="nil"/>
                  </w:tcBorders>
                  <w:noWrap w:val="0"/>
                  <w:vAlign w:val="center"/>
                </w:tcPr>
                <w:p w14:paraId="61D0C84F">
                  <w:pPr>
                    <w:adjustRightInd w:val="0"/>
                    <w:snapToGrid w:val="0"/>
                    <w:spacing w:line="240" w:lineRule="auto"/>
                    <w:jc w:val="center"/>
                    <w:rPr>
                      <w:rFonts w:hint="eastAsia" w:ascii="Times New Roman" w:hAnsi="Times New Roman" w:cs="Times New Roman"/>
                      <w:b/>
                      <w:bCs/>
                      <w:color w:val="auto"/>
                      <w:sz w:val="21"/>
                      <w:szCs w:val="21"/>
                      <w:highlight w:val="none"/>
                      <w:lang w:eastAsia="zh-CN"/>
                    </w:rPr>
                  </w:pPr>
                  <w:r>
                    <w:rPr>
                      <w:rFonts w:hint="eastAsia" w:cs="Times New Roman"/>
                      <w:b/>
                      <w:bCs/>
                      <w:color w:val="auto"/>
                      <w:sz w:val="21"/>
                      <w:szCs w:val="21"/>
                      <w:highlight w:val="none"/>
                      <w:lang w:eastAsia="zh-CN"/>
                    </w:rPr>
                    <w:t>昼间</w:t>
                  </w:r>
                </w:p>
              </w:tc>
              <w:tc>
                <w:tcPr>
                  <w:tcW w:w="788" w:type="pct"/>
                  <w:tcBorders>
                    <w:tl2br w:val="nil"/>
                    <w:tr2bl w:val="nil"/>
                  </w:tcBorders>
                  <w:noWrap w:val="0"/>
                  <w:vAlign w:val="center"/>
                </w:tcPr>
                <w:p w14:paraId="1CC60ABB">
                  <w:pPr>
                    <w:adjustRightInd w:val="0"/>
                    <w:snapToGrid w:val="0"/>
                    <w:spacing w:line="240" w:lineRule="auto"/>
                    <w:jc w:val="center"/>
                    <w:rPr>
                      <w:rFonts w:hint="eastAsia" w:ascii="Times New Roman" w:hAnsi="Times New Roman" w:cs="Times New Roman"/>
                      <w:b/>
                      <w:bCs/>
                      <w:color w:val="auto"/>
                      <w:sz w:val="21"/>
                      <w:szCs w:val="21"/>
                      <w:highlight w:val="none"/>
                      <w:lang w:eastAsia="zh-CN"/>
                    </w:rPr>
                  </w:pPr>
                  <w:r>
                    <w:rPr>
                      <w:rFonts w:hint="eastAsia" w:cs="Times New Roman"/>
                      <w:b/>
                      <w:bCs/>
                      <w:color w:val="auto"/>
                      <w:sz w:val="21"/>
                      <w:szCs w:val="21"/>
                      <w:highlight w:val="none"/>
                      <w:lang w:eastAsia="zh-CN"/>
                    </w:rPr>
                    <w:t>夜间</w:t>
                  </w:r>
                </w:p>
              </w:tc>
              <w:tc>
                <w:tcPr>
                  <w:tcW w:w="1035" w:type="pct"/>
                  <w:vMerge w:val="continue"/>
                  <w:tcBorders>
                    <w:tl2br w:val="nil"/>
                    <w:tr2bl w:val="nil"/>
                  </w:tcBorders>
                  <w:noWrap w:val="0"/>
                  <w:vAlign w:val="center"/>
                </w:tcPr>
                <w:p w14:paraId="6C34F4B5">
                  <w:pPr>
                    <w:adjustRightInd w:val="0"/>
                    <w:snapToGrid w:val="0"/>
                    <w:spacing w:line="240" w:lineRule="auto"/>
                    <w:jc w:val="center"/>
                    <w:rPr>
                      <w:rFonts w:hint="eastAsia" w:ascii="Times New Roman" w:hAnsi="Times New Roman" w:cs="Times New Roman"/>
                      <w:b/>
                      <w:bCs/>
                      <w:color w:val="auto"/>
                      <w:sz w:val="21"/>
                      <w:szCs w:val="21"/>
                      <w:highlight w:val="none"/>
                      <w:lang w:eastAsia="zh-CN"/>
                    </w:rPr>
                  </w:pPr>
                </w:p>
              </w:tc>
            </w:tr>
            <w:tr w14:paraId="5CCFD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jc w:val="center"/>
              </w:trPr>
              <w:tc>
                <w:tcPr>
                  <w:tcW w:w="808" w:type="pct"/>
                  <w:tcBorders>
                    <w:tl2br w:val="nil"/>
                    <w:tr2bl w:val="nil"/>
                  </w:tcBorders>
                  <w:noWrap w:val="0"/>
                  <w:vAlign w:val="center"/>
                </w:tcPr>
                <w:p w14:paraId="5408C7A8">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东</w:t>
                  </w:r>
                  <w:r>
                    <w:rPr>
                      <w:rFonts w:hint="default" w:ascii="Times New Roman" w:hAnsi="Times New Roman" w:cs="Times New Roman"/>
                      <w:color w:val="auto"/>
                      <w:sz w:val="21"/>
                      <w:szCs w:val="21"/>
                      <w:highlight w:val="none"/>
                      <w:lang w:eastAsia="zh-CN"/>
                    </w:rPr>
                    <w:t>厂界</w:t>
                  </w:r>
                </w:p>
              </w:tc>
              <w:tc>
                <w:tcPr>
                  <w:tcW w:w="788" w:type="pct"/>
                  <w:tcBorders>
                    <w:tl2br w:val="nil"/>
                    <w:tr2bl w:val="nil"/>
                  </w:tcBorders>
                  <w:shd w:val="clear" w:color="auto" w:fill="auto"/>
                  <w:noWrap w:val="0"/>
                  <w:vAlign w:val="center"/>
                </w:tcPr>
                <w:p w14:paraId="077B96DA">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54.6</w:t>
                  </w:r>
                </w:p>
              </w:tc>
              <w:tc>
                <w:tcPr>
                  <w:tcW w:w="1200" w:type="dxa"/>
                  <w:tcBorders>
                    <w:tl2br w:val="nil"/>
                    <w:tr2bl w:val="nil"/>
                  </w:tcBorders>
                  <w:shd w:val="clear" w:color="auto" w:fill="auto"/>
                  <w:noWrap w:val="0"/>
                  <w:vAlign w:val="center"/>
                </w:tcPr>
                <w:p w14:paraId="457FC903">
                  <w:pPr>
                    <w:adjustRightInd w:val="0"/>
                    <w:snapToGrid w:val="0"/>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54.6</w:t>
                  </w:r>
                </w:p>
              </w:tc>
              <w:tc>
                <w:tcPr>
                  <w:tcW w:w="1200" w:type="dxa"/>
                  <w:tcBorders>
                    <w:tl2br w:val="nil"/>
                    <w:tr2bl w:val="nil"/>
                  </w:tcBorders>
                  <w:shd w:val="clear" w:color="auto" w:fill="auto"/>
                  <w:noWrap w:val="0"/>
                  <w:vAlign w:val="center"/>
                </w:tcPr>
                <w:p w14:paraId="52A4446B">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54.6</w:t>
                  </w:r>
                </w:p>
              </w:tc>
              <w:tc>
                <w:tcPr>
                  <w:tcW w:w="1200" w:type="dxa"/>
                  <w:tcBorders>
                    <w:tl2br w:val="nil"/>
                    <w:tr2bl w:val="nil"/>
                  </w:tcBorders>
                  <w:shd w:val="clear" w:color="auto" w:fill="auto"/>
                  <w:noWrap w:val="0"/>
                  <w:vAlign w:val="center"/>
                </w:tcPr>
                <w:p w14:paraId="2A42CD28">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54.6</w:t>
                  </w:r>
                </w:p>
              </w:tc>
              <w:tc>
                <w:tcPr>
                  <w:tcW w:w="1035" w:type="pct"/>
                  <w:vMerge w:val="restart"/>
                  <w:tcBorders>
                    <w:tl2br w:val="nil"/>
                    <w:tr2bl w:val="nil"/>
                  </w:tcBorders>
                  <w:noWrap w:val="0"/>
                  <w:vAlign w:val="center"/>
                </w:tcPr>
                <w:p w14:paraId="7895127D">
                  <w:pPr>
                    <w:adjustRightInd w:val="0"/>
                    <w:snapToGrid w:val="0"/>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昼间：65</w:t>
                  </w:r>
                </w:p>
                <w:p w14:paraId="4596504D">
                  <w:pPr>
                    <w:adjustRightInd w:val="0"/>
                    <w:snapToGrid w:val="0"/>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夜间：55</w:t>
                  </w:r>
                </w:p>
              </w:tc>
            </w:tr>
            <w:tr w14:paraId="07C76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808" w:type="pct"/>
                  <w:tcBorders>
                    <w:tl2br w:val="nil"/>
                    <w:tr2bl w:val="nil"/>
                  </w:tcBorders>
                  <w:noWrap w:val="0"/>
                  <w:vAlign w:val="center"/>
                </w:tcPr>
                <w:p w14:paraId="550D9A1F">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南</w:t>
                  </w:r>
                  <w:r>
                    <w:rPr>
                      <w:rFonts w:hint="default" w:ascii="Times New Roman" w:hAnsi="Times New Roman" w:cs="Times New Roman"/>
                      <w:color w:val="auto"/>
                      <w:sz w:val="21"/>
                      <w:szCs w:val="21"/>
                      <w:highlight w:val="none"/>
                      <w:lang w:eastAsia="zh-CN"/>
                    </w:rPr>
                    <w:t>厂界</w:t>
                  </w:r>
                </w:p>
              </w:tc>
              <w:tc>
                <w:tcPr>
                  <w:tcW w:w="788" w:type="pct"/>
                  <w:tcBorders>
                    <w:tl2br w:val="nil"/>
                    <w:tr2bl w:val="nil"/>
                  </w:tcBorders>
                  <w:shd w:val="clear" w:color="auto" w:fill="auto"/>
                  <w:noWrap w:val="0"/>
                  <w:vAlign w:val="center"/>
                </w:tcPr>
                <w:p w14:paraId="68E8E017">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53.5</w:t>
                  </w:r>
                </w:p>
              </w:tc>
              <w:tc>
                <w:tcPr>
                  <w:tcW w:w="1200" w:type="dxa"/>
                  <w:tcBorders>
                    <w:tl2br w:val="nil"/>
                    <w:tr2bl w:val="nil"/>
                  </w:tcBorders>
                  <w:shd w:val="clear" w:color="auto" w:fill="auto"/>
                  <w:noWrap w:val="0"/>
                  <w:vAlign w:val="center"/>
                </w:tcPr>
                <w:p w14:paraId="0529779D">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53.5</w:t>
                  </w:r>
                </w:p>
              </w:tc>
              <w:tc>
                <w:tcPr>
                  <w:tcW w:w="1200" w:type="dxa"/>
                  <w:tcBorders>
                    <w:tl2br w:val="nil"/>
                    <w:tr2bl w:val="nil"/>
                  </w:tcBorders>
                  <w:shd w:val="clear" w:color="auto" w:fill="auto"/>
                  <w:noWrap w:val="0"/>
                  <w:vAlign w:val="center"/>
                </w:tcPr>
                <w:p w14:paraId="232C0783">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53.5</w:t>
                  </w:r>
                </w:p>
              </w:tc>
              <w:tc>
                <w:tcPr>
                  <w:tcW w:w="1200" w:type="dxa"/>
                  <w:tcBorders>
                    <w:tl2br w:val="nil"/>
                    <w:tr2bl w:val="nil"/>
                  </w:tcBorders>
                  <w:shd w:val="clear" w:color="auto" w:fill="auto"/>
                  <w:noWrap w:val="0"/>
                  <w:vAlign w:val="center"/>
                </w:tcPr>
                <w:p w14:paraId="3399A84D">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53.5</w:t>
                  </w:r>
                </w:p>
              </w:tc>
              <w:tc>
                <w:tcPr>
                  <w:tcW w:w="1035" w:type="pct"/>
                  <w:vMerge w:val="continue"/>
                  <w:tcBorders>
                    <w:tl2br w:val="nil"/>
                    <w:tr2bl w:val="nil"/>
                  </w:tcBorders>
                  <w:noWrap w:val="0"/>
                  <w:vAlign w:val="center"/>
                </w:tcPr>
                <w:p w14:paraId="4F53AFA2">
                  <w:pPr>
                    <w:adjustRightInd w:val="0"/>
                    <w:snapToGrid w:val="0"/>
                    <w:spacing w:line="240" w:lineRule="auto"/>
                    <w:jc w:val="center"/>
                    <w:rPr>
                      <w:rFonts w:hint="default" w:ascii="Times New Roman" w:hAnsi="Times New Roman" w:cs="Times New Roman"/>
                      <w:color w:val="auto"/>
                      <w:sz w:val="21"/>
                      <w:szCs w:val="21"/>
                      <w:highlight w:val="none"/>
                    </w:rPr>
                  </w:pPr>
                </w:p>
              </w:tc>
            </w:tr>
            <w:tr w14:paraId="6580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808" w:type="pct"/>
                  <w:tcBorders>
                    <w:tl2br w:val="nil"/>
                    <w:tr2bl w:val="nil"/>
                  </w:tcBorders>
                  <w:noWrap w:val="0"/>
                  <w:vAlign w:val="center"/>
                </w:tcPr>
                <w:p w14:paraId="415CDC6A">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西厂界</w:t>
                  </w:r>
                </w:p>
              </w:tc>
              <w:tc>
                <w:tcPr>
                  <w:tcW w:w="788" w:type="pct"/>
                  <w:tcBorders>
                    <w:tl2br w:val="nil"/>
                    <w:tr2bl w:val="nil"/>
                  </w:tcBorders>
                  <w:shd w:val="clear" w:color="auto" w:fill="auto"/>
                  <w:noWrap w:val="0"/>
                  <w:vAlign w:val="center"/>
                </w:tcPr>
                <w:p w14:paraId="0EFAC2D0">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49.7</w:t>
                  </w:r>
                </w:p>
              </w:tc>
              <w:tc>
                <w:tcPr>
                  <w:tcW w:w="1200" w:type="dxa"/>
                  <w:tcBorders>
                    <w:tl2br w:val="nil"/>
                    <w:tr2bl w:val="nil"/>
                  </w:tcBorders>
                  <w:shd w:val="clear" w:color="auto" w:fill="auto"/>
                  <w:noWrap w:val="0"/>
                  <w:vAlign w:val="center"/>
                </w:tcPr>
                <w:p w14:paraId="5431FF5A">
                  <w:pPr>
                    <w:adjustRightInd w:val="0"/>
                    <w:snapToGrid w:val="0"/>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49.7</w:t>
                  </w:r>
                </w:p>
              </w:tc>
              <w:tc>
                <w:tcPr>
                  <w:tcW w:w="1200" w:type="dxa"/>
                  <w:tcBorders>
                    <w:tl2br w:val="nil"/>
                    <w:tr2bl w:val="nil"/>
                  </w:tcBorders>
                  <w:shd w:val="clear" w:color="auto" w:fill="auto"/>
                  <w:noWrap w:val="0"/>
                  <w:vAlign w:val="center"/>
                </w:tcPr>
                <w:p w14:paraId="1FF5CFEE">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49.7</w:t>
                  </w:r>
                </w:p>
              </w:tc>
              <w:tc>
                <w:tcPr>
                  <w:tcW w:w="1200" w:type="dxa"/>
                  <w:tcBorders>
                    <w:tl2br w:val="nil"/>
                    <w:tr2bl w:val="nil"/>
                  </w:tcBorders>
                  <w:shd w:val="clear" w:color="auto" w:fill="auto"/>
                  <w:noWrap w:val="0"/>
                  <w:vAlign w:val="center"/>
                </w:tcPr>
                <w:p w14:paraId="6C856579">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49.7</w:t>
                  </w:r>
                </w:p>
              </w:tc>
              <w:tc>
                <w:tcPr>
                  <w:tcW w:w="1035" w:type="pct"/>
                  <w:vMerge w:val="continue"/>
                  <w:tcBorders>
                    <w:tl2br w:val="nil"/>
                    <w:tr2bl w:val="nil"/>
                  </w:tcBorders>
                  <w:noWrap w:val="0"/>
                  <w:vAlign w:val="center"/>
                </w:tcPr>
                <w:p w14:paraId="34C6F7D9">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r w14:paraId="54E54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808" w:type="pct"/>
                  <w:tcBorders>
                    <w:tl2br w:val="nil"/>
                    <w:tr2bl w:val="nil"/>
                  </w:tcBorders>
                  <w:noWrap w:val="0"/>
                  <w:vAlign w:val="center"/>
                </w:tcPr>
                <w:p w14:paraId="267AB4A0">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北</w:t>
                  </w:r>
                  <w:r>
                    <w:rPr>
                      <w:rFonts w:hint="default" w:ascii="Times New Roman" w:hAnsi="Times New Roman" w:cs="Times New Roman"/>
                      <w:color w:val="auto"/>
                      <w:sz w:val="21"/>
                      <w:szCs w:val="21"/>
                      <w:highlight w:val="none"/>
                      <w:lang w:eastAsia="zh-CN"/>
                    </w:rPr>
                    <w:t>厂界</w:t>
                  </w:r>
                </w:p>
              </w:tc>
              <w:tc>
                <w:tcPr>
                  <w:tcW w:w="788" w:type="pct"/>
                  <w:tcBorders>
                    <w:tl2br w:val="nil"/>
                    <w:tr2bl w:val="nil"/>
                  </w:tcBorders>
                  <w:shd w:val="clear" w:color="auto" w:fill="auto"/>
                  <w:noWrap w:val="0"/>
                  <w:vAlign w:val="center"/>
                </w:tcPr>
                <w:p w14:paraId="439867FF">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51.3</w:t>
                  </w:r>
                </w:p>
              </w:tc>
              <w:tc>
                <w:tcPr>
                  <w:tcW w:w="1200" w:type="dxa"/>
                  <w:tcBorders>
                    <w:tl2br w:val="nil"/>
                    <w:tr2bl w:val="nil"/>
                  </w:tcBorders>
                  <w:shd w:val="clear" w:color="auto" w:fill="auto"/>
                  <w:noWrap w:val="0"/>
                  <w:vAlign w:val="center"/>
                </w:tcPr>
                <w:p w14:paraId="3F76C9BA">
                  <w:pPr>
                    <w:adjustRightInd w:val="0"/>
                    <w:snapToGrid w:val="0"/>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51.3</w:t>
                  </w:r>
                </w:p>
              </w:tc>
              <w:tc>
                <w:tcPr>
                  <w:tcW w:w="1200" w:type="dxa"/>
                  <w:tcBorders>
                    <w:tl2br w:val="nil"/>
                    <w:tr2bl w:val="nil"/>
                  </w:tcBorders>
                  <w:shd w:val="clear" w:color="auto" w:fill="auto"/>
                  <w:noWrap w:val="0"/>
                  <w:vAlign w:val="center"/>
                </w:tcPr>
                <w:p w14:paraId="3D35A1EA">
                  <w:pPr>
                    <w:adjustRightInd w:val="0"/>
                    <w:snapToGrid w:val="0"/>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51.3</w:t>
                  </w:r>
                </w:p>
              </w:tc>
              <w:tc>
                <w:tcPr>
                  <w:tcW w:w="1200" w:type="dxa"/>
                  <w:tcBorders>
                    <w:tl2br w:val="nil"/>
                    <w:tr2bl w:val="nil"/>
                  </w:tcBorders>
                  <w:shd w:val="clear" w:color="auto" w:fill="auto"/>
                  <w:noWrap w:val="0"/>
                  <w:vAlign w:val="center"/>
                </w:tcPr>
                <w:p w14:paraId="6B0FE126">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51.3</w:t>
                  </w:r>
                </w:p>
              </w:tc>
              <w:tc>
                <w:tcPr>
                  <w:tcW w:w="1035" w:type="pct"/>
                  <w:vMerge w:val="continue"/>
                  <w:tcBorders>
                    <w:tl2br w:val="nil"/>
                    <w:tr2bl w:val="nil"/>
                  </w:tcBorders>
                  <w:noWrap w:val="0"/>
                  <w:vAlign w:val="center"/>
                </w:tcPr>
                <w:p w14:paraId="1803A6EE">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bl>
          <w:p w14:paraId="454FAF85">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由上表可见，项目区</w:t>
            </w:r>
            <w:r>
              <w:rPr>
                <w:rFonts w:hint="default" w:ascii="Times New Roman" w:hAnsi="Times New Roman" w:cs="Times New Roman"/>
                <w:b w:val="0"/>
                <w:bCs w:val="0"/>
                <w:color w:val="auto"/>
                <w:spacing w:val="0"/>
                <w:position w:val="0"/>
                <w:sz w:val="24"/>
                <w:szCs w:val="24"/>
                <w:highlight w:val="none"/>
                <w:lang w:eastAsia="zh-CN"/>
              </w:rPr>
              <w:t>厂</w:t>
            </w:r>
            <w:r>
              <w:rPr>
                <w:rFonts w:hint="default" w:ascii="Times New Roman" w:hAnsi="Times New Roman" w:cs="Times New Roman"/>
                <w:color w:val="auto"/>
                <w:sz w:val="24"/>
                <w:szCs w:val="24"/>
                <w:highlight w:val="none"/>
              </w:rPr>
              <w:t>界噪声可以达到《工业企业厂界环境噪声排放标准》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GB12348-2008</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中</w:t>
            </w:r>
            <w:r>
              <w:rPr>
                <w:rFonts w:hint="default"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类标准要求。本次评价认为，只要项目方严格按照拟定的</w:t>
            </w:r>
            <w:r>
              <w:rPr>
                <w:rFonts w:hint="eastAsia" w:cs="Times New Roman"/>
                <w:color w:val="auto"/>
                <w:sz w:val="24"/>
                <w:szCs w:val="24"/>
                <w:highlight w:val="none"/>
                <w:lang w:val="en-US" w:eastAsia="zh-CN"/>
              </w:rPr>
              <w:t>减</w:t>
            </w:r>
            <w:r>
              <w:rPr>
                <w:rFonts w:hint="default" w:ascii="Times New Roman" w:hAnsi="Times New Roman" w:cs="Times New Roman"/>
                <w:color w:val="auto"/>
                <w:sz w:val="24"/>
                <w:szCs w:val="24"/>
                <w:highlight w:val="none"/>
              </w:rPr>
              <w:t>振降噪措施和生产布局，落实环评提出的环保要求和生产调度要求，项目投产后不会影响居民的正常生活，对周边环境影响较小。</w:t>
            </w:r>
          </w:p>
          <w:p w14:paraId="0920A54D">
            <w:pPr>
              <w:pStyle w:val="46"/>
              <w:adjustRightInd w:val="0"/>
              <w:ind w:firstLine="422"/>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（4）噪声治理措施</w:t>
            </w:r>
          </w:p>
          <w:p w14:paraId="5D94FA7E">
            <w:pPr>
              <w:pStyle w:val="46"/>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为减少项目噪声对周围环境的影响建议采取以下措施加以控制：</w:t>
            </w:r>
          </w:p>
          <w:p w14:paraId="1D5110CB">
            <w:pPr>
              <w:pStyle w:val="46"/>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①设计选型时采用低噪声、节能型</w:t>
            </w:r>
            <w:r>
              <w:rPr>
                <w:rFonts w:hint="eastAsia" w:ascii="Times New Roman" w:hAnsi="Times New Roman" w:cs="Times New Roman"/>
                <w:color w:val="auto"/>
                <w:sz w:val="24"/>
                <w:szCs w:val="24"/>
                <w:highlight w:val="none"/>
                <w:lang w:val="en-US" w:eastAsia="zh-CN"/>
              </w:rPr>
              <w:t>设备</w:t>
            </w:r>
            <w:r>
              <w:rPr>
                <w:rFonts w:hint="default" w:ascii="Times New Roman" w:hAnsi="Times New Roman" w:cs="Times New Roman"/>
                <w:color w:val="auto"/>
                <w:sz w:val="24"/>
                <w:szCs w:val="24"/>
                <w:highlight w:val="none"/>
              </w:rPr>
              <w:t>，设备布置在车间内，并采取</w:t>
            </w:r>
            <w:r>
              <w:rPr>
                <w:rFonts w:hint="eastAsia" w:cs="Times New Roman"/>
                <w:color w:val="auto"/>
                <w:sz w:val="24"/>
                <w:szCs w:val="24"/>
                <w:highlight w:val="none"/>
                <w:lang w:val="en-US" w:eastAsia="zh-CN"/>
              </w:rPr>
              <w:t>减振</w:t>
            </w:r>
            <w:r>
              <w:rPr>
                <w:rFonts w:hint="default" w:ascii="Times New Roman" w:hAnsi="Times New Roman" w:cs="Times New Roman"/>
                <w:color w:val="auto"/>
                <w:sz w:val="24"/>
                <w:szCs w:val="24"/>
                <w:highlight w:val="none"/>
              </w:rPr>
              <w:t>、隔声、消音等综合防治措施，可有效降低噪声对环境的影响。</w:t>
            </w:r>
          </w:p>
          <w:p w14:paraId="6080BBA1">
            <w:pPr>
              <w:pStyle w:val="46"/>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②车间内设备合理布局，生产设备尽量远离门窗，涉及到较多的产噪设备，加强车间的密闭性。</w:t>
            </w:r>
          </w:p>
          <w:p w14:paraId="5E28E3AE">
            <w:pPr>
              <w:pStyle w:val="46"/>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③加强设备的维护，确保设备处于良好的运转状态，</w:t>
            </w:r>
            <w:r>
              <w:rPr>
                <w:rFonts w:hint="eastAsia" w:ascii="Times New Roman" w:hAnsi="Times New Roman" w:cs="Times New Roman"/>
                <w:color w:val="auto"/>
                <w:sz w:val="24"/>
                <w:szCs w:val="24"/>
                <w:highlight w:val="none"/>
                <w:lang w:eastAsia="zh-CN"/>
              </w:rPr>
              <w:t>杜绝</w:t>
            </w:r>
            <w:r>
              <w:rPr>
                <w:rFonts w:hint="default" w:ascii="Times New Roman" w:hAnsi="Times New Roman" w:cs="Times New Roman"/>
                <w:color w:val="auto"/>
                <w:sz w:val="24"/>
                <w:szCs w:val="24"/>
                <w:highlight w:val="none"/>
              </w:rPr>
              <w:t>因设备不正常运转产生高噪声现象。</w:t>
            </w:r>
          </w:p>
          <w:p w14:paraId="288516E9">
            <w:pPr>
              <w:pStyle w:val="46"/>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④在保证有良好隔声结构的基础上，应对动力设备采取有效的隔</w:t>
            </w:r>
            <w:r>
              <w:rPr>
                <w:rFonts w:hint="eastAsia"/>
                <w:color w:val="auto"/>
                <w:sz w:val="24"/>
                <w:szCs w:val="24"/>
                <w:highlight w:val="none"/>
                <w:lang w:val="en-US" w:eastAsia="zh-CN"/>
              </w:rPr>
              <w:t>振</w:t>
            </w:r>
            <w:r>
              <w:rPr>
                <w:rFonts w:hint="default" w:ascii="Times New Roman" w:hAnsi="Times New Roman" w:cs="Times New Roman"/>
                <w:color w:val="auto"/>
                <w:sz w:val="24"/>
                <w:szCs w:val="24"/>
                <w:highlight w:val="none"/>
              </w:rPr>
              <w:t>措施，一般可采用中等硬度橡胶等许应力较高的隔振材料与减振沟相结合的方法进行减</w:t>
            </w:r>
            <w:r>
              <w:rPr>
                <w:rFonts w:hint="eastAsia" w:ascii="Times New Roman" w:hAnsi="Times New Roman" w:cs="Times New Roman"/>
                <w:color w:val="auto"/>
                <w:sz w:val="24"/>
                <w:szCs w:val="24"/>
                <w:highlight w:val="none"/>
                <w:lang w:val="en-US" w:eastAsia="zh-CN"/>
              </w:rPr>
              <w:t>振</w:t>
            </w:r>
            <w:r>
              <w:rPr>
                <w:rFonts w:hint="default" w:ascii="Times New Roman" w:hAnsi="Times New Roman" w:cs="Times New Roman"/>
                <w:color w:val="auto"/>
                <w:sz w:val="24"/>
                <w:szCs w:val="24"/>
                <w:highlight w:val="none"/>
              </w:rPr>
              <w:t>。</w:t>
            </w:r>
          </w:p>
          <w:p w14:paraId="5CA6CCCC">
            <w:pPr>
              <w:pStyle w:val="46"/>
              <w:adjustRightInd w:val="0"/>
              <w:ind w:firstLine="422"/>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经采取上述措施后，该项目对厂界声环境影响较小。项目厂界噪声能够满足《工业企业厂界环境噪声标准》（GB12348-2008）中3类标准要求（昼间：65dB（A），夜间：55dB（A）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，项目建设对周围环境的噪声影响在可接受的范围内。</w:t>
            </w:r>
          </w:p>
          <w:p w14:paraId="4DCBA98E">
            <w:pPr>
              <w:pStyle w:val="46"/>
              <w:adjustRightInd w:val="0"/>
              <w:ind w:firstLine="422"/>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（5）</w:t>
            </w:r>
            <w:r>
              <w:rPr>
                <w:rFonts w:hint="default" w:ascii="Times New Roman" w:hAnsi="Times New Roman" w:cs="Times New Roman"/>
                <w:b/>
                <w:bCs/>
                <w:color w:val="auto"/>
                <w:sz w:val="24"/>
                <w:szCs w:val="24"/>
                <w:highlight w:val="none"/>
              </w:rPr>
              <w:t>噪声监测计划</w:t>
            </w:r>
          </w:p>
          <w:p w14:paraId="2E6466DA">
            <w:pPr>
              <w:pStyle w:val="46"/>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项目噪声监测计划如下表所示：</w:t>
            </w:r>
          </w:p>
          <w:p w14:paraId="659C7ED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表4-</w:t>
            </w:r>
            <w:r>
              <w:rPr>
                <w:rFonts w:hint="eastAsia" w:ascii="Times New Roman" w:hAnsi="Times New Roman" w:eastAsia="宋体" w:cs="Times New Roman"/>
                <w:b/>
                <w:color w:val="auto"/>
                <w:kern w:val="2"/>
                <w:sz w:val="24"/>
                <w:szCs w:val="24"/>
                <w:highlight w:val="none"/>
                <w:lang w:val="en-US" w:eastAsia="zh-CN"/>
              </w:rPr>
              <w:t xml:space="preserve">16  </w:t>
            </w:r>
            <w:r>
              <w:rPr>
                <w:rFonts w:hint="default" w:ascii="Times New Roman" w:hAnsi="Times New Roman" w:eastAsia="宋体" w:cs="Times New Roman"/>
                <w:b/>
                <w:color w:val="auto"/>
                <w:kern w:val="2"/>
                <w:sz w:val="24"/>
                <w:szCs w:val="24"/>
                <w:highlight w:val="none"/>
                <w:lang w:eastAsia="zh-CN"/>
              </w:rPr>
              <w:t>环境噪声监测计划一览表</w:t>
            </w:r>
          </w:p>
          <w:tbl>
            <w:tblPr>
              <w:tblStyle w:val="2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4"/>
              <w:gridCol w:w="2598"/>
              <w:gridCol w:w="2199"/>
              <w:gridCol w:w="1471"/>
            </w:tblGrid>
            <w:tr w14:paraId="016A4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1039" w:type="pct"/>
                  <w:noWrap w:val="0"/>
                  <w:tcMar>
                    <w:top w:w="15" w:type="dxa"/>
                    <w:left w:w="15" w:type="dxa"/>
                    <w:right w:w="15" w:type="dxa"/>
                  </w:tcMar>
                  <w:vAlign w:val="center"/>
                </w:tcPr>
                <w:p w14:paraId="74B4B68C">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1642" w:type="pct"/>
                  <w:noWrap w:val="0"/>
                  <w:tcMar>
                    <w:top w:w="15" w:type="dxa"/>
                    <w:left w:w="15" w:type="dxa"/>
                    <w:right w:w="15" w:type="dxa"/>
                  </w:tcMar>
                  <w:vAlign w:val="center"/>
                </w:tcPr>
                <w:p w14:paraId="64E02E00">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kern w:val="0"/>
                      <w:sz w:val="21"/>
                      <w:szCs w:val="21"/>
                      <w:highlight w:val="none"/>
                      <w:lang w:bidi="ar"/>
                    </w:rPr>
                    <w:t>监测点</w:t>
                  </w:r>
                </w:p>
              </w:tc>
              <w:tc>
                <w:tcPr>
                  <w:tcW w:w="1389" w:type="pct"/>
                  <w:noWrap w:val="0"/>
                  <w:tcMar>
                    <w:top w:w="15" w:type="dxa"/>
                    <w:left w:w="15" w:type="dxa"/>
                    <w:right w:w="15" w:type="dxa"/>
                  </w:tcMar>
                  <w:vAlign w:val="center"/>
                </w:tcPr>
                <w:p w14:paraId="66CB52F3">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929" w:type="pct"/>
                  <w:noWrap w:val="0"/>
                  <w:tcMar>
                    <w:top w:w="15" w:type="dxa"/>
                    <w:left w:w="15" w:type="dxa"/>
                    <w:right w:w="15" w:type="dxa"/>
                  </w:tcMar>
                  <w:vAlign w:val="center"/>
                </w:tcPr>
                <w:p w14:paraId="59B2312E">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67CAA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39" w:type="pct"/>
                  <w:noWrap w:val="0"/>
                  <w:tcMar>
                    <w:top w:w="15" w:type="dxa"/>
                    <w:left w:w="15" w:type="dxa"/>
                    <w:right w:w="15" w:type="dxa"/>
                  </w:tcMar>
                  <w:vAlign w:val="center"/>
                </w:tcPr>
                <w:p w14:paraId="1FD2CFBB">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厂界噪声</w:t>
                  </w:r>
                </w:p>
              </w:tc>
              <w:tc>
                <w:tcPr>
                  <w:tcW w:w="1642" w:type="pct"/>
                  <w:noWrap w:val="0"/>
                  <w:tcMar>
                    <w:top w:w="15" w:type="dxa"/>
                    <w:left w:w="15" w:type="dxa"/>
                    <w:right w:w="15" w:type="dxa"/>
                  </w:tcMar>
                  <w:vAlign w:val="center"/>
                </w:tcPr>
                <w:p w14:paraId="60758C43">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厂界四周外1m处</w:t>
                  </w:r>
                </w:p>
              </w:tc>
              <w:tc>
                <w:tcPr>
                  <w:tcW w:w="1389" w:type="pct"/>
                  <w:noWrap w:val="0"/>
                  <w:tcMar>
                    <w:top w:w="15" w:type="dxa"/>
                    <w:left w:w="15" w:type="dxa"/>
                    <w:right w:w="15" w:type="dxa"/>
                  </w:tcMar>
                  <w:vAlign w:val="center"/>
                </w:tcPr>
                <w:p w14:paraId="76E4394A">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等效连续A声级</w:t>
                  </w:r>
                </w:p>
              </w:tc>
              <w:tc>
                <w:tcPr>
                  <w:tcW w:w="929" w:type="pct"/>
                  <w:noWrap w:val="0"/>
                  <w:tcMar>
                    <w:top w:w="15" w:type="dxa"/>
                    <w:left w:w="15" w:type="dxa"/>
                    <w:right w:w="15" w:type="dxa"/>
                  </w:tcMar>
                  <w:vAlign w:val="center"/>
                </w:tcPr>
                <w:p w14:paraId="75FF2260">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1次/季度</w:t>
                  </w:r>
                </w:p>
              </w:tc>
            </w:tr>
          </w:tbl>
          <w:p w14:paraId="204A7682">
            <w:pPr>
              <w:numPr>
                <w:ilvl w:val="0"/>
                <w:numId w:val="7"/>
              </w:num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固体废物</w:t>
            </w:r>
          </w:p>
          <w:p w14:paraId="496C84E2">
            <w:pPr>
              <w:spacing w:line="360" w:lineRule="auto"/>
              <w:ind w:firstLine="480" w:firstLineChars="200"/>
              <w:rPr>
                <w:rFonts w:hint="default" w:ascii="Times New Roman" w:hAnsi="Times New Roman" w:cs="Times New Roman"/>
                <w:b/>
                <w:color w:val="auto"/>
                <w:sz w:val="24"/>
                <w:szCs w:val="24"/>
                <w:highlight w:val="none"/>
              </w:rPr>
            </w:pPr>
            <w:r>
              <w:rPr>
                <w:rFonts w:hint="default" w:ascii="Times New Roman" w:hAnsi="Times New Roman" w:cs="Times New Roman"/>
                <w:color w:val="000000"/>
                <w:sz w:val="24"/>
                <w:szCs w:val="24"/>
                <w:highlight w:val="none"/>
                <w:lang w:val="en-US" w:eastAsia="zh-CN"/>
              </w:rPr>
              <w:t>本项目固废主要为生活垃圾、一般固体废物和危险废物。</w:t>
            </w:r>
          </w:p>
          <w:p w14:paraId="7150A317">
            <w:pPr>
              <w:spacing w:line="360" w:lineRule="auto"/>
              <w:ind w:firstLine="482" w:firstLineChars="20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生活垃圾</w:t>
            </w:r>
          </w:p>
          <w:p w14:paraId="24C23EB5">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80</w:t>
            </w:r>
            <w:r>
              <w:rPr>
                <w:rFonts w:hint="default" w:ascii="Times New Roman" w:hAnsi="Times New Roman" w:cs="Times New Roman"/>
                <w:color w:val="auto"/>
                <w:sz w:val="24"/>
                <w:szCs w:val="24"/>
                <w:highlight w:val="none"/>
              </w:rPr>
              <w:t>人，年工作</w:t>
            </w:r>
            <w:r>
              <w:rPr>
                <w:rFonts w:hint="eastAsia" w:cs="Times New Roman"/>
                <w:color w:val="auto"/>
                <w:sz w:val="24"/>
                <w:szCs w:val="24"/>
                <w:highlight w:val="none"/>
                <w:lang w:val="en-US" w:eastAsia="zh-CN"/>
              </w:rPr>
              <w:t>300</w:t>
            </w:r>
            <w:r>
              <w:rPr>
                <w:rFonts w:hint="default" w:ascii="Times New Roman" w:hAnsi="Times New Roman" w:cs="Times New Roman"/>
                <w:color w:val="auto"/>
                <w:sz w:val="24"/>
                <w:szCs w:val="24"/>
                <w:highlight w:val="none"/>
              </w:rPr>
              <w:t>天</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每个员工生活垃圾产生量按0.5kg/d计，预计产生量为</w:t>
            </w:r>
            <w:r>
              <w:rPr>
                <w:rFonts w:hint="eastAsia" w:cs="Times New Roman"/>
                <w:color w:val="auto"/>
                <w:sz w:val="24"/>
                <w:szCs w:val="24"/>
                <w:highlight w:val="none"/>
                <w:lang w:val="en-US" w:eastAsia="zh-CN"/>
              </w:rPr>
              <w:t>40kg/d（12</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企业收集后委托</w:t>
            </w:r>
            <w:r>
              <w:rPr>
                <w:rFonts w:hint="eastAsia" w:ascii="Times New Roman" w:hAnsi="Times New Roman"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环卫部门清运</w:t>
            </w:r>
            <w:r>
              <w:rPr>
                <w:rFonts w:hint="eastAsia" w:ascii="Times New Roman" w:hAnsi="Times New Roman" w:cs="Times New Roman"/>
                <w:color w:val="auto"/>
                <w:sz w:val="24"/>
                <w:szCs w:val="24"/>
                <w:highlight w:val="none"/>
                <w:lang w:eastAsia="zh-CN"/>
              </w:rPr>
              <w:t>。</w:t>
            </w:r>
          </w:p>
          <w:p w14:paraId="76C3CE8C">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（2）一般固体废物</w:t>
            </w:r>
          </w:p>
          <w:p w14:paraId="557C3F2E">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w:t>
            </w:r>
            <w:r>
              <w:rPr>
                <w:rFonts w:hint="default" w:ascii="Calibri" w:hAnsi="Calibri" w:cs="Calibri"/>
                <w:color w:val="auto"/>
                <w:sz w:val="24"/>
                <w:szCs w:val="24"/>
                <w:highlight w:val="none"/>
              </w:rPr>
              <w:t>废包装箱</w:t>
            </w:r>
          </w:p>
          <w:p w14:paraId="08A72BEF">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原辅料使用产生废包装箱，预计</w:t>
            </w:r>
            <w:r>
              <w:rPr>
                <w:rFonts w:hint="eastAsia" w:cs="Times New Roman"/>
                <w:color w:val="auto"/>
                <w:sz w:val="24"/>
                <w:szCs w:val="24"/>
                <w:highlight w:val="none"/>
                <w:lang w:eastAsia="zh-CN"/>
              </w:rPr>
              <w:t>总</w:t>
            </w:r>
            <w:r>
              <w:rPr>
                <w:rFonts w:hint="default" w:ascii="Times New Roman" w:hAnsi="Times New Roman" w:cs="Times New Roman"/>
                <w:color w:val="auto"/>
                <w:sz w:val="24"/>
                <w:szCs w:val="24"/>
                <w:highlight w:val="none"/>
              </w:rPr>
              <w:t>产生量为0.</w:t>
            </w:r>
            <w:r>
              <w:rPr>
                <w:rFonts w:hint="eastAsia" w:cs="Times New Roman"/>
                <w:color w:val="auto"/>
                <w:sz w:val="24"/>
                <w:szCs w:val="24"/>
                <w:highlight w:val="none"/>
                <w:lang w:val="en-US" w:eastAsia="zh-CN"/>
              </w:rPr>
              <w:t>75</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，则</w:t>
            </w:r>
            <w:r>
              <w:rPr>
                <w:rFonts w:hint="default" w:ascii="Times New Roman" w:hAnsi="Times New Roman" w:cs="Times New Roman"/>
                <w:color w:val="auto"/>
                <w:sz w:val="24"/>
                <w:szCs w:val="24"/>
                <w:highlight w:val="none"/>
              </w:rPr>
              <w:t>废包装箱</w:t>
            </w:r>
            <w:r>
              <w:rPr>
                <w:rFonts w:hint="eastAsia" w:cs="Times New Roman"/>
                <w:color w:val="auto"/>
                <w:sz w:val="24"/>
                <w:szCs w:val="24"/>
                <w:highlight w:val="none"/>
                <w:lang w:val="en-US" w:eastAsia="zh-CN"/>
              </w:rPr>
              <w:t>0.75</w:t>
            </w:r>
            <w:r>
              <w:rPr>
                <w:rFonts w:hint="default" w:ascii="Times New Roman" w:hAnsi="Times New Roman" w:cs="Times New Roman"/>
                <w:color w:val="auto"/>
                <w:sz w:val="24"/>
                <w:szCs w:val="24"/>
                <w:highlight w:val="none"/>
              </w:rPr>
              <w:t>t/a。企业收集后外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p>
          <w:p w14:paraId="0EBB4F23">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②</w:t>
            </w:r>
            <w:r>
              <w:rPr>
                <w:rFonts w:hint="eastAsia" w:ascii="Calibri" w:hAnsi="Calibri" w:cs="Calibri"/>
                <w:color w:val="auto"/>
                <w:sz w:val="24"/>
                <w:szCs w:val="24"/>
                <w:highlight w:val="none"/>
                <w:lang w:eastAsia="zh-CN"/>
              </w:rPr>
              <w:t>焊锡锡渣</w:t>
            </w:r>
          </w:p>
          <w:p w14:paraId="3EE5F660">
            <w:pPr>
              <w:spacing w:line="360" w:lineRule="auto"/>
              <w:ind w:firstLine="480" w:firstLineChars="200"/>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产品加工过程中回流焊、手工焊工序产生锡渣，锡渣</w:t>
            </w:r>
            <w:r>
              <w:rPr>
                <w:rFonts w:hint="default" w:ascii="Times New Roman" w:hAnsi="Times New Roman" w:cs="Times New Roman"/>
                <w:color w:val="auto"/>
                <w:sz w:val="24"/>
                <w:szCs w:val="24"/>
                <w:highlight w:val="none"/>
              </w:rPr>
              <w:t>产生量</w:t>
            </w:r>
            <w:r>
              <w:rPr>
                <w:rFonts w:hint="eastAsia" w:ascii="Times New Roman" w:hAnsi="Times New Roman" w:cs="Times New Roman"/>
                <w:color w:val="auto"/>
                <w:sz w:val="24"/>
                <w:szCs w:val="24"/>
                <w:highlight w:val="none"/>
                <w:lang w:eastAsia="zh-CN"/>
              </w:rPr>
              <w:t>按原料使用量的</w:t>
            </w:r>
            <w:r>
              <w:rPr>
                <w:rFonts w:hint="eastAsia"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val="en-US" w:eastAsia="zh-CN"/>
              </w:rPr>
              <w:t>%计算，</w:t>
            </w:r>
            <w:r>
              <w:rPr>
                <w:rFonts w:hint="eastAsia" w:cs="Times New Roman"/>
                <w:color w:val="auto"/>
                <w:sz w:val="24"/>
                <w:szCs w:val="24"/>
                <w:highlight w:val="none"/>
                <w:lang w:eastAsia="zh-CN"/>
              </w:rPr>
              <w:t>无铅锡膏及无铅锡丝总</w:t>
            </w:r>
            <w:r>
              <w:rPr>
                <w:rFonts w:hint="default" w:ascii="Times New Roman" w:hAnsi="Times New Roman" w:cs="Times New Roman"/>
                <w:color w:val="auto"/>
                <w:sz w:val="24"/>
                <w:szCs w:val="24"/>
                <w:highlight w:val="none"/>
              </w:rPr>
              <w:t>用量</w:t>
            </w:r>
            <w:r>
              <w:rPr>
                <w:rFonts w:hint="eastAsia" w:cs="Times New Roman"/>
                <w:color w:val="auto"/>
                <w:sz w:val="24"/>
                <w:szCs w:val="24"/>
                <w:highlight w:val="none"/>
                <w:lang w:val="en-US" w:eastAsia="zh-CN"/>
              </w:rPr>
              <w:t>约</w:t>
            </w:r>
            <w:r>
              <w:rPr>
                <w:rFonts w:hint="default" w:ascii="Times New Roman" w:hAnsi="Times New Roman" w:cs="Times New Roman"/>
                <w:color w:val="auto"/>
                <w:sz w:val="24"/>
                <w:szCs w:val="24"/>
                <w:highlight w:val="none"/>
              </w:rPr>
              <w:t>为</w:t>
            </w:r>
            <w:r>
              <w:rPr>
                <w:rFonts w:hint="eastAsia" w:cs="Times New Roman"/>
                <w:color w:val="auto"/>
                <w:sz w:val="24"/>
                <w:szCs w:val="24"/>
                <w:highlight w:val="none"/>
                <w:lang w:val="en-US" w:eastAsia="zh-CN"/>
              </w:rPr>
              <w:t>9.72</w:t>
            </w:r>
            <w:r>
              <w:rPr>
                <w:rFonts w:hint="default" w:ascii="Times New Roman" w:hAnsi="Times New Roman" w:cs="Times New Roman"/>
                <w:color w:val="auto"/>
                <w:sz w:val="24"/>
                <w:szCs w:val="24"/>
                <w:highlight w:val="none"/>
              </w:rPr>
              <w:t>t/a</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则</w:t>
            </w:r>
            <w:r>
              <w:rPr>
                <w:rFonts w:hint="eastAsia" w:ascii="Calibri" w:hAnsi="Calibri" w:cs="Calibri"/>
                <w:color w:val="auto"/>
                <w:sz w:val="24"/>
                <w:szCs w:val="24"/>
                <w:highlight w:val="none"/>
                <w:lang w:eastAsia="zh-CN"/>
              </w:rPr>
              <w:t>焊锡锡渣</w:t>
            </w:r>
            <w:r>
              <w:rPr>
                <w:rFonts w:hint="default" w:ascii="Times New Roman" w:hAnsi="Times New Roman" w:cs="Times New Roman"/>
                <w:color w:val="auto"/>
                <w:sz w:val="24"/>
                <w:szCs w:val="24"/>
                <w:highlight w:val="none"/>
              </w:rPr>
              <w:t>产生量为</w:t>
            </w:r>
            <w:r>
              <w:rPr>
                <w:rFonts w:hint="eastAsia" w:cs="Times New Roman"/>
                <w:color w:val="auto"/>
                <w:sz w:val="24"/>
                <w:szCs w:val="24"/>
                <w:highlight w:val="none"/>
                <w:lang w:val="en-US" w:eastAsia="zh-CN"/>
              </w:rPr>
              <w:t>0.0972</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可由锡膏供应商回收，用于提炼锡及其化合物</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，企业收集后外售综合利用。</w:t>
            </w:r>
          </w:p>
          <w:p w14:paraId="666D624B">
            <w:pPr>
              <w:numPr>
                <w:ilvl w:val="0"/>
                <w:numId w:val="8"/>
              </w:numPr>
              <w:spacing w:line="360" w:lineRule="auto"/>
              <w:ind w:firstLine="482" w:firstLineChars="200"/>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危险废物</w:t>
            </w:r>
          </w:p>
          <w:p w14:paraId="4B65C1A8">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①</w:t>
            </w:r>
            <w:r>
              <w:rPr>
                <w:rFonts w:hint="eastAsia" w:cs="Times New Roman"/>
                <w:color w:val="auto"/>
                <w:sz w:val="24"/>
                <w:szCs w:val="24"/>
                <w:highlight w:val="none"/>
                <w:lang w:val="en-US" w:eastAsia="zh-CN"/>
              </w:rPr>
              <w:t>废包装罐</w:t>
            </w:r>
          </w:p>
          <w:p w14:paraId="77EDFB30">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根据建设单位提供的资料，项目无铅锡膏用量为</w:t>
            </w:r>
            <w:r>
              <w:rPr>
                <w:rFonts w:hint="eastAsia" w:cs="Times New Roman"/>
                <w:color w:val="auto"/>
                <w:sz w:val="24"/>
                <w:szCs w:val="24"/>
                <w:highlight w:val="none"/>
                <w:lang w:val="en-US" w:eastAsia="zh-CN"/>
              </w:rPr>
              <w:t>9.6</w:t>
            </w:r>
            <w:r>
              <w:rPr>
                <w:rFonts w:hint="default" w:ascii="Times New Roman" w:hAnsi="Times New Roman" w:eastAsia="宋体" w:cs="Times New Roman"/>
                <w:color w:val="auto"/>
                <w:sz w:val="24"/>
                <w:szCs w:val="24"/>
                <w:highlight w:val="none"/>
              </w:rPr>
              <w:t>t/a，产生废包装罐</w:t>
            </w:r>
            <w:r>
              <w:rPr>
                <w:rFonts w:hint="eastAsia" w:cs="Times New Roman"/>
                <w:color w:val="auto"/>
                <w:sz w:val="24"/>
                <w:szCs w:val="24"/>
                <w:highlight w:val="none"/>
                <w:lang w:val="en-US" w:eastAsia="zh-CN"/>
              </w:rPr>
              <w:t>19200</w:t>
            </w:r>
            <w:r>
              <w:rPr>
                <w:rFonts w:hint="default" w:ascii="Times New Roman" w:hAnsi="Times New Roman" w:eastAsia="宋体" w:cs="Times New Roman"/>
                <w:color w:val="auto"/>
                <w:sz w:val="24"/>
                <w:szCs w:val="24"/>
                <w:highlight w:val="none"/>
              </w:rPr>
              <w:t>个/a；按照每个包装罐重量0.033kg计，则废包装罐产生量约为</w:t>
            </w:r>
            <w:r>
              <w:rPr>
                <w:rFonts w:hint="eastAsia" w:cs="Times New Roman"/>
                <w:color w:val="auto"/>
                <w:sz w:val="24"/>
                <w:szCs w:val="24"/>
                <w:highlight w:val="none"/>
                <w:lang w:val="en-US" w:eastAsia="zh-CN"/>
              </w:rPr>
              <w:t>0.6336</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年版）》，废包装罐/桶属于HW49 其他废物-含有或沾染毒性、感染性危险废物的废弃包装物、容器、过滤吸附介质，危废代码为</w:t>
            </w:r>
            <w:r>
              <w:rPr>
                <w:rFonts w:hint="eastAsia" w:cs="Times New Roman"/>
                <w:color w:val="auto"/>
                <w:sz w:val="24"/>
                <w:szCs w:val="24"/>
                <w:highlight w:val="none"/>
                <w:lang w:val="en-US" w:eastAsia="zh-CN"/>
              </w:rPr>
              <w:t>HW49-</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4D4709F3">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②不合格品</w:t>
            </w:r>
          </w:p>
          <w:p w14:paraId="64BF64D9">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产品焊接、老化、调试过程中会产生不合格品</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对不合格品进行检测，若是因产品原辅料问题产生的不合格品则退回原辅料供应商，若是因产品生产过程导致的不合格品</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则</w:t>
            </w:r>
            <w:r>
              <w:rPr>
                <w:rFonts w:hint="default" w:ascii="Times New Roman" w:hAnsi="Times New Roman" w:eastAsia="宋体" w:cs="Times New Roman"/>
                <w:color w:val="auto"/>
                <w:sz w:val="24"/>
                <w:szCs w:val="24"/>
                <w:highlight w:val="none"/>
              </w:rPr>
              <w:t>先在厂内返修，少量无法修复的作为危险废物</w:t>
            </w:r>
            <w:r>
              <w:rPr>
                <w:rFonts w:hint="eastAsia" w:cs="Times New Roman"/>
                <w:color w:val="auto"/>
                <w:sz w:val="24"/>
                <w:szCs w:val="24"/>
                <w:highlight w:val="none"/>
                <w:lang w:eastAsia="zh-CN"/>
              </w:rPr>
              <w:t>，</w:t>
            </w:r>
            <w:r>
              <w:rPr>
                <w:rFonts w:hint="default" w:cs="Times New Roman"/>
                <w:color w:val="auto"/>
                <w:sz w:val="24"/>
                <w:szCs w:val="24"/>
                <w:highlight w:val="none"/>
                <w:lang w:val="en-US" w:eastAsia="zh-CN"/>
              </w:rPr>
              <w:t>不合格品</w:t>
            </w:r>
            <w:r>
              <w:rPr>
                <w:rFonts w:hint="eastAsia" w:cs="Times New Roman"/>
                <w:color w:val="auto"/>
                <w:sz w:val="24"/>
                <w:szCs w:val="24"/>
                <w:highlight w:val="none"/>
                <w:lang w:val="en-US" w:eastAsia="zh-CN"/>
              </w:rPr>
              <w:t>产生率约为万分之三</w:t>
            </w:r>
            <w:r>
              <w:rPr>
                <w:rFonts w:hint="default" w:cs="Times New Roman"/>
                <w:color w:val="auto"/>
                <w:sz w:val="24"/>
                <w:szCs w:val="24"/>
                <w:highlight w:val="none"/>
                <w:lang w:val="en-US" w:eastAsia="zh-CN"/>
              </w:rPr>
              <w:t>，</w:t>
            </w:r>
            <w:r>
              <w:rPr>
                <w:rFonts w:hint="eastAsia" w:cs="Times New Roman"/>
                <w:color w:val="auto"/>
                <w:sz w:val="24"/>
                <w:szCs w:val="24"/>
                <w:highlight w:val="none"/>
                <w:lang w:val="en-US" w:eastAsia="zh-CN"/>
              </w:rPr>
              <w:t>每件产品重量约为0.5kg，则不合格品产生量约为0.36t/a，</w:t>
            </w:r>
            <w:r>
              <w:rPr>
                <w:rFonts w:hint="default" w:cs="Times New Roman"/>
                <w:color w:val="auto"/>
                <w:sz w:val="24"/>
                <w:szCs w:val="24"/>
                <w:highlight w:val="none"/>
                <w:lang w:val="en-US" w:eastAsia="zh-CN"/>
              </w:rPr>
              <w:t>属于</w:t>
            </w:r>
            <w:r>
              <w:rPr>
                <w:rFonts w:hint="default" w:ascii="Times New Roman" w:hAnsi="Times New Roman" w:eastAsia="宋体" w:cs="Times New Roman"/>
                <w:color w:val="auto"/>
                <w:sz w:val="24"/>
                <w:szCs w:val="24"/>
                <w:highlight w:val="none"/>
              </w:rPr>
              <w:t>《国家危险废物名录（202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年版）》HW49其他废物-废电路板（包括已拆除或未拆除元器件的废弃电路板），及废电路板拆解过程产生的废弃CPU、显卡、声卡、内存、含电解液的电容器、含金等贵金属的连接件，危废代码为HW49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900-045-49</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集中收集后置于危废库，定期委托有资质的单位进行处置。</w:t>
            </w:r>
          </w:p>
          <w:p w14:paraId="45BCE43D">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③</w:t>
            </w:r>
            <w:r>
              <w:rPr>
                <w:rFonts w:hint="default" w:ascii="Times New Roman" w:hAnsi="Times New Roman" w:eastAsia="宋体" w:cs="Times New Roman"/>
                <w:color w:val="auto"/>
                <w:sz w:val="24"/>
                <w:szCs w:val="24"/>
                <w:highlight w:val="none"/>
              </w:rPr>
              <w:t>擦拭废纸</w:t>
            </w:r>
          </w:p>
          <w:p w14:paraId="47061012">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锡膏印刷过程每4-6小时需使用无尘纸对自动印刷机里的钢网进行一次擦拭，此过程产生擦拭废纸。根据建设单位提供的资料，项目无尘纸用量为</w:t>
            </w:r>
            <w:r>
              <w:rPr>
                <w:rFonts w:hint="eastAsia" w:cs="Times New Roman"/>
                <w:color w:val="auto"/>
                <w:sz w:val="24"/>
                <w:szCs w:val="24"/>
                <w:highlight w:val="none"/>
                <w:lang w:val="en-US" w:eastAsia="zh-CN"/>
              </w:rPr>
              <w:t>7560</w:t>
            </w:r>
            <w:r>
              <w:rPr>
                <w:rFonts w:hint="default" w:ascii="Times New Roman" w:hAnsi="Times New Roman" w:eastAsia="宋体" w:cs="Times New Roman"/>
                <w:color w:val="auto"/>
                <w:sz w:val="24"/>
                <w:szCs w:val="24"/>
                <w:highlight w:val="none"/>
              </w:rPr>
              <w:t>张/a，每张擦拭废纸重量约10g，则擦拭废纸产生量约为0.0</w:t>
            </w:r>
            <w:r>
              <w:rPr>
                <w:rFonts w:hint="eastAsia" w:cs="Times New Roman"/>
                <w:color w:val="auto"/>
                <w:sz w:val="24"/>
                <w:szCs w:val="24"/>
                <w:highlight w:val="none"/>
                <w:lang w:val="en-US" w:eastAsia="zh-CN"/>
              </w:rPr>
              <w:t>756</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年版）》，擦拭废纸属于HW49其他废物-含有或沾染毒性、感染性危险废物的废弃包装物、容器、过滤吸附介质，危废代码为HW49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498A8CD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④</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活性炭</w:t>
            </w:r>
          </w:p>
          <w:p w14:paraId="6A802344">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项目产生的废气使用活性炭吸附，类比同类型项目，1t活性炭约吸附0.</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t有机废气，本项目收集处理的有机废气量约为</w:t>
            </w:r>
            <w:r>
              <w:rPr>
                <w:rFonts w:hint="eastAsia" w:cs="Times New Roman"/>
                <w:color w:val="auto"/>
                <w:sz w:val="24"/>
                <w:szCs w:val="24"/>
                <w:highlight w:val="none"/>
                <w:lang w:val="en-US" w:eastAsia="zh-CN"/>
              </w:rPr>
              <w:t>1.45</w:t>
            </w:r>
            <w:r>
              <w:rPr>
                <w:rFonts w:hint="eastAsia" w:ascii="Times New Roman" w:hAnsi="Times New Roman" w:eastAsia="宋体" w:cs="Times New Roman"/>
                <w:color w:val="auto"/>
                <w:sz w:val="24"/>
                <w:szCs w:val="24"/>
                <w:highlight w:val="none"/>
                <w:lang w:val="en-US" w:eastAsia="zh-CN"/>
              </w:rPr>
              <w:t>t/a，则预计项目年消耗活性炭量约为</w:t>
            </w:r>
            <w:r>
              <w:rPr>
                <w:rFonts w:hint="eastAsia" w:cs="Times New Roman"/>
                <w:color w:val="auto"/>
                <w:sz w:val="24"/>
                <w:szCs w:val="24"/>
                <w:highlight w:val="none"/>
                <w:lang w:val="en-US" w:eastAsia="zh-CN"/>
              </w:rPr>
              <w:t>4.84</w:t>
            </w:r>
            <w:r>
              <w:rPr>
                <w:rFonts w:hint="eastAsia" w:ascii="Times New Roman" w:hAnsi="Times New Roman" w:eastAsia="宋体" w:cs="Times New Roman"/>
                <w:color w:val="auto"/>
                <w:sz w:val="24"/>
                <w:szCs w:val="24"/>
                <w:highlight w:val="none"/>
                <w:lang w:val="en-US" w:eastAsia="zh-CN"/>
              </w:rPr>
              <w:t>t，</w:t>
            </w:r>
            <w:r>
              <w:rPr>
                <w:rFonts w:hint="eastAsia" w:cs="Times New Roman"/>
                <w:color w:val="auto"/>
                <w:sz w:val="24"/>
                <w:szCs w:val="24"/>
                <w:highlight w:val="none"/>
                <w:lang w:val="en-US" w:eastAsia="zh-CN"/>
              </w:rPr>
              <w:t>废活性炭产生量约为6.29t</w:t>
            </w:r>
            <w:r>
              <w:rPr>
                <w:rFonts w:hint="eastAsia" w:ascii="Times New Roman" w:hAnsi="Times New Roman" w:eastAsia="宋体" w:cs="Times New Roman"/>
                <w:color w:val="auto"/>
                <w:sz w:val="24"/>
                <w:szCs w:val="24"/>
                <w:highlight w:val="none"/>
                <w:lang w:val="en-US" w:eastAsia="zh-CN"/>
              </w:rPr>
              <w:t>/a，根据《国家危险废物名录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其属于危险废物</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危废代码为</w:t>
            </w:r>
            <w:r>
              <w:rPr>
                <w:rFonts w:hint="eastAsia" w:ascii="Times New Roman" w:hAnsi="Times New Roman" w:eastAsia="宋体" w:cs="Times New Roman"/>
                <w:color w:val="auto"/>
                <w:sz w:val="24"/>
                <w:szCs w:val="24"/>
                <w:highlight w:val="none"/>
                <w:lang w:val="en-US" w:eastAsia="zh-CN"/>
              </w:rPr>
              <w:t>HW49-900-039-49，</w:t>
            </w:r>
            <w:r>
              <w:rPr>
                <w:rFonts w:hint="default" w:ascii="Times New Roman" w:hAnsi="Times New Roman" w:eastAsia="宋体" w:cs="Times New Roman"/>
                <w:color w:val="auto"/>
                <w:sz w:val="24"/>
                <w:szCs w:val="24"/>
                <w:highlight w:val="none"/>
                <w:lang w:val="en-US" w:eastAsia="zh-CN"/>
              </w:rPr>
              <w:t>企业收集后</w:t>
            </w:r>
            <w:r>
              <w:rPr>
                <w:rFonts w:hint="eastAsia" w:ascii="Times New Roman" w:hAnsi="Times New Roman" w:eastAsia="宋体" w:cs="Times New Roman"/>
                <w:color w:val="auto"/>
                <w:sz w:val="24"/>
                <w:szCs w:val="24"/>
                <w:highlight w:val="none"/>
                <w:lang w:val="en-US" w:eastAsia="zh-CN"/>
              </w:rPr>
              <w:t>在危废库暂存，</w:t>
            </w:r>
            <w:r>
              <w:rPr>
                <w:rFonts w:hint="default" w:ascii="Times New Roman" w:hAnsi="Times New Roman" w:eastAsia="宋体" w:cs="Times New Roman"/>
                <w:color w:val="auto"/>
                <w:sz w:val="24"/>
                <w:szCs w:val="24"/>
                <w:highlight w:val="none"/>
                <w:lang w:val="en-US" w:eastAsia="zh-CN"/>
              </w:rPr>
              <w:t>委托有资质单位</w:t>
            </w:r>
            <w:r>
              <w:rPr>
                <w:rFonts w:hint="eastAsia" w:ascii="Times New Roman" w:hAnsi="Times New Roman" w:eastAsia="宋体" w:cs="Times New Roman"/>
                <w:color w:val="auto"/>
                <w:sz w:val="24"/>
                <w:szCs w:val="24"/>
                <w:highlight w:val="none"/>
                <w:lang w:val="en-US" w:eastAsia="zh-CN"/>
              </w:rPr>
              <w:t>定期</w:t>
            </w:r>
            <w:r>
              <w:rPr>
                <w:rFonts w:hint="default" w:ascii="Times New Roman" w:hAnsi="Times New Roman" w:eastAsia="宋体" w:cs="Times New Roman"/>
                <w:color w:val="auto"/>
                <w:sz w:val="24"/>
                <w:szCs w:val="24"/>
                <w:highlight w:val="none"/>
                <w:lang w:val="en-US" w:eastAsia="zh-CN"/>
              </w:rPr>
              <w:t>进行处置</w:t>
            </w:r>
            <w:r>
              <w:rPr>
                <w:rFonts w:hint="eastAsia" w:ascii="Times New Roman" w:hAnsi="Times New Roman" w:eastAsia="宋体" w:cs="Times New Roman"/>
                <w:color w:val="auto"/>
                <w:sz w:val="24"/>
                <w:szCs w:val="24"/>
                <w:highlight w:val="none"/>
                <w:lang w:val="en-US" w:eastAsia="zh-CN"/>
              </w:rPr>
              <w:t>。</w:t>
            </w:r>
          </w:p>
          <w:p w14:paraId="0D08B5C3">
            <w:pPr>
              <w:spacing w:line="360" w:lineRule="auto"/>
              <w:ind w:firstLine="480" w:firstLineChars="200"/>
              <w:rPr>
                <w:rFonts w:hint="eastAsia"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⑤</w:t>
            </w:r>
            <w:r>
              <w:rPr>
                <w:rFonts w:hint="eastAsia" w:cs="Times New Roman"/>
                <w:color w:val="auto"/>
                <w:kern w:val="2"/>
                <w:sz w:val="24"/>
                <w:szCs w:val="24"/>
                <w:highlight w:val="none"/>
                <w:lang w:val="en-US" w:eastAsia="zh-CN" w:bidi="ar-SA"/>
              </w:rPr>
              <w:t>废滤料</w:t>
            </w:r>
          </w:p>
          <w:p w14:paraId="01D51DCB">
            <w:pPr>
              <w:spacing w:line="360" w:lineRule="auto"/>
              <w:ind w:firstLine="480" w:firstLineChars="200"/>
              <w:jc w:val="left"/>
              <w:rPr>
                <w:rFonts w:hint="default"/>
                <w:sz w:val="24"/>
                <w:szCs w:val="24"/>
                <w:highlight w:val="none"/>
                <w:lang w:val="en-US" w:eastAsia="zh-CN"/>
              </w:rPr>
            </w:pPr>
            <w:r>
              <w:rPr>
                <w:rFonts w:hint="eastAsia"/>
                <w:sz w:val="24"/>
                <w:szCs w:val="24"/>
                <w:highlight w:val="none"/>
                <w:lang w:val="en-US" w:eastAsia="zh-CN"/>
              </w:rPr>
              <w:t>项目干式过滤器使用过程会产生废滤料，滤料填充量约为0.1t，滤料每半年更换一次，则滤料使用量约为0.2t/a，滤料吸附的颗粒物约为0.0032t/a，则</w:t>
            </w:r>
            <w:r>
              <w:rPr>
                <w:rFonts w:hint="eastAsia" w:cs="Times New Roman"/>
                <w:color w:val="auto"/>
                <w:kern w:val="2"/>
                <w:sz w:val="24"/>
                <w:szCs w:val="24"/>
                <w:highlight w:val="none"/>
                <w:lang w:val="en-US" w:eastAsia="zh-CN" w:bidi="ar-SA"/>
              </w:rPr>
              <w:t>废滤料产生量为0.2032t/a，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49</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000000"/>
                <w:sz w:val="24"/>
                <w:szCs w:val="24"/>
                <w:highlight w:val="none"/>
                <w:lang w:val="en-US" w:eastAsia="zh-CN"/>
              </w:rPr>
              <w:t>900-</w:t>
            </w:r>
            <w:r>
              <w:rPr>
                <w:rFonts w:hint="eastAsia" w:cs="Times New Roman"/>
                <w:color w:val="000000"/>
                <w:sz w:val="24"/>
                <w:szCs w:val="24"/>
                <w:highlight w:val="none"/>
                <w:lang w:val="en-US" w:eastAsia="zh-CN"/>
              </w:rPr>
              <w:t>041</w:t>
            </w:r>
            <w:r>
              <w:rPr>
                <w:rFonts w:hint="default" w:ascii="Times New Roman" w:hAnsi="Times New Roman" w:cs="Times New Roman"/>
                <w:color w:val="000000"/>
                <w:sz w:val="24"/>
                <w:szCs w:val="24"/>
                <w:highlight w:val="none"/>
                <w:lang w:val="en-US" w:eastAsia="zh-CN"/>
              </w:rPr>
              <w:t>-</w:t>
            </w:r>
            <w:r>
              <w:rPr>
                <w:rFonts w:hint="eastAsia" w:cs="Times New Roman"/>
                <w:color w:val="000000"/>
                <w:sz w:val="24"/>
                <w:szCs w:val="24"/>
                <w:highlight w:val="none"/>
                <w:lang w:val="en-US" w:eastAsia="zh-CN"/>
              </w:rPr>
              <w:t>49</w:t>
            </w:r>
            <w:r>
              <w:rPr>
                <w:rFonts w:hint="default" w:ascii="Times New Roman" w:hAnsi="Times New Roman" w:cs="Times New Roman"/>
                <w:color w:val="000000"/>
                <w:sz w:val="24"/>
                <w:szCs w:val="24"/>
                <w:highlight w:val="none"/>
                <w:lang w:val="en-US" w:eastAsia="zh-CN"/>
              </w:rPr>
              <w:t>，经收集后暂存于</w:t>
            </w:r>
            <w:r>
              <w:rPr>
                <w:rFonts w:hint="eastAsia" w:ascii="Times New Roman" w:hAnsi="Times New Roman" w:cs="Times New Roman"/>
                <w:color w:val="000000"/>
                <w:sz w:val="24"/>
                <w:szCs w:val="24"/>
                <w:highlight w:val="none"/>
                <w:lang w:val="en-US" w:eastAsia="zh-CN"/>
              </w:rPr>
              <w:t>危废库</w:t>
            </w:r>
            <w:r>
              <w:rPr>
                <w:rFonts w:hint="default" w:ascii="Times New Roman" w:hAnsi="Times New Roman" w:cs="Times New Roman"/>
                <w:color w:val="000000"/>
                <w:sz w:val="24"/>
                <w:szCs w:val="24"/>
                <w:highlight w:val="none"/>
                <w:lang w:val="en-US" w:eastAsia="zh-CN"/>
              </w:rPr>
              <w:t>内，委托有资质单位</w:t>
            </w:r>
            <w:r>
              <w:rPr>
                <w:rFonts w:hint="eastAsia" w:ascii="Times New Roman" w:hAnsi="Times New Roman" w:cs="Times New Roman"/>
                <w:color w:val="000000"/>
                <w:sz w:val="24"/>
                <w:szCs w:val="24"/>
                <w:highlight w:val="none"/>
                <w:lang w:val="en-US" w:eastAsia="zh-CN"/>
              </w:rPr>
              <w:t>定期</w:t>
            </w:r>
            <w:r>
              <w:rPr>
                <w:rFonts w:hint="default" w:ascii="Times New Roman" w:hAnsi="Times New Roman" w:cs="Times New Roman"/>
                <w:color w:val="000000"/>
                <w:sz w:val="24"/>
                <w:szCs w:val="24"/>
                <w:highlight w:val="none"/>
                <w:lang w:val="en-US" w:eastAsia="zh-CN"/>
              </w:rPr>
              <w:t>进行处置。</w:t>
            </w:r>
          </w:p>
          <w:p w14:paraId="20FB0D26">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⑥</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宋体" w:hAnsi="宋体" w:eastAsia="宋体" w:cs="宋体"/>
                <w:color w:val="auto"/>
                <w:sz w:val="24"/>
                <w:szCs w:val="24"/>
                <w:highlight w:val="none"/>
                <w:lang w:eastAsia="zh-CN"/>
              </w:rPr>
              <w:t>油</w:t>
            </w:r>
          </w:p>
          <w:p w14:paraId="414061A5">
            <w:pPr>
              <w:spacing w:line="360" w:lineRule="auto"/>
              <w:ind w:firstLine="480" w:firstLineChars="200"/>
              <w:jc w:val="left"/>
              <w:rPr>
                <w:rFonts w:hint="default" w:ascii="Times New Roman" w:hAnsi="Times New Roman" w:cs="Times New Roman"/>
                <w:color w:val="000000"/>
                <w:sz w:val="24"/>
                <w:szCs w:val="24"/>
                <w:highlight w:val="none"/>
                <w:lang w:val="en-US" w:eastAsia="zh-CN"/>
              </w:rPr>
            </w:pPr>
            <w:r>
              <w:rPr>
                <w:rFonts w:hint="eastAsia" w:cs="Times New Roman"/>
                <w:color w:val="000000"/>
                <w:sz w:val="24"/>
                <w:szCs w:val="24"/>
                <w:highlight w:val="none"/>
                <w:lang w:val="en-US" w:eastAsia="zh-CN"/>
              </w:rPr>
              <w:t>本项目设备维护过程中，会有废机油产生，产生量约为0.2t/a，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HW08-</w:t>
            </w:r>
            <w:r>
              <w:rPr>
                <w:rFonts w:hint="default" w:ascii="Times New Roman" w:hAnsi="Times New Roman" w:cs="Times New Roman"/>
                <w:color w:val="000000"/>
                <w:sz w:val="24"/>
                <w:szCs w:val="24"/>
                <w:highlight w:val="none"/>
                <w:lang w:val="en-US" w:eastAsia="zh-CN"/>
              </w:rPr>
              <w:t>900-21</w:t>
            </w:r>
            <w:r>
              <w:rPr>
                <w:rFonts w:hint="eastAsia" w:cs="Times New Roman"/>
                <w:color w:val="000000"/>
                <w:sz w:val="24"/>
                <w:szCs w:val="24"/>
                <w:highlight w:val="none"/>
                <w:lang w:val="en-US" w:eastAsia="zh-CN"/>
              </w:rPr>
              <w:t>4</w:t>
            </w:r>
            <w:r>
              <w:rPr>
                <w:rFonts w:hint="default" w:ascii="Times New Roman" w:hAnsi="Times New Roman" w:cs="Times New Roman"/>
                <w:color w:val="000000"/>
                <w:sz w:val="24"/>
                <w:szCs w:val="24"/>
                <w:highlight w:val="none"/>
                <w:lang w:val="en-US" w:eastAsia="zh-CN"/>
              </w:rPr>
              <w:t>-08，经收集后放入专用的储存桶内暂存于</w:t>
            </w:r>
            <w:r>
              <w:rPr>
                <w:rFonts w:hint="eastAsia" w:ascii="Times New Roman" w:hAnsi="Times New Roman" w:cs="Times New Roman"/>
                <w:color w:val="000000"/>
                <w:sz w:val="24"/>
                <w:szCs w:val="24"/>
                <w:highlight w:val="none"/>
                <w:lang w:val="en-US" w:eastAsia="zh-CN"/>
              </w:rPr>
              <w:t>危废库</w:t>
            </w:r>
            <w:r>
              <w:rPr>
                <w:rFonts w:hint="default" w:ascii="Times New Roman" w:hAnsi="Times New Roman" w:cs="Times New Roman"/>
                <w:color w:val="000000"/>
                <w:sz w:val="24"/>
                <w:szCs w:val="24"/>
                <w:highlight w:val="none"/>
                <w:lang w:val="en-US" w:eastAsia="zh-CN"/>
              </w:rPr>
              <w:t>内，委托有资质单位</w:t>
            </w:r>
            <w:r>
              <w:rPr>
                <w:rFonts w:hint="eastAsia" w:ascii="Times New Roman" w:hAnsi="Times New Roman" w:cs="Times New Roman"/>
                <w:color w:val="000000"/>
                <w:sz w:val="24"/>
                <w:szCs w:val="24"/>
                <w:highlight w:val="none"/>
                <w:lang w:val="en-US" w:eastAsia="zh-CN"/>
              </w:rPr>
              <w:t>定期</w:t>
            </w:r>
            <w:r>
              <w:rPr>
                <w:rFonts w:hint="default" w:ascii="Times New Roman" w:hAnsi="Times New Roman" w:cs="Times New Roman"/>
                <w:color w:val="000000"/>
                <w:sz w:val="24"/>
                <w:szCs w:val="24"/>
                <w:highlight w:val="none"/>
                <w:lang w:val="en-US" w:eastAsia="zh-CN"/>
              </w:rPr>
              <w:t>进行处置。</w:t>
            </w:r>
          </w:p>
          <w:p w14:paraId="739DDD58">
            <w:pPr>
              <w:spacing w:line="360" w:lineRule="auto"/>
              <w:ind w:firstLine="480" w:firstLineChars="200"/>
              <w:rPr>
                <w:rFonts w:hint="eastAsia"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⑦</w:t>
            </w:r>
            <w:r>
              <w:rPr>
                <w:rFonts w:hint="eastAsia" w:ascii="宋体" w:hAnsi="宋体" w:cs="宋体"/>
                <w:color w:val="auto"/>
                <w:sz w:val="24"/>
                <w:szCs w:val="24"/>
                <w:highlight w:val="none"/>
                <w:lang w:val="en-US" w:eastAsia="zh-CN"/>
              </w:rPr>
              <w:t>废机油桶</w:t>
            </w:r>
          </w:p>
          <w:p w14:paraId="7E033BF1">
            <w:pPr>
              <w:spacing w:line="360" w:lineRule="auto"/>
              <w:ind w:firstLine="480" w:firstLineChars="200"/>
              <w:rPr>
                <w:rFonts w:hint="default"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根据建设单位提供的资料，项目机油用量为</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t/a，产生废包装桶</w:t>
            </w:r>
            <w:r>
              <w:rPr>
                <w:rFonts w:hint="eastAsia" w:cs="Times New Roman"/>
                <w:color w:val="auto"/>
                <w:sz w:val="24"/>
                <w:szCs w:val="24"/>
                <w:highlight w:val="none"/>
                <w:lang w:val="en-US" w:eastAsia="zh-CN"/>
              </w:rPr>
              <w:t>40</w:t>
            </w:r>
            <w:r>
              <w:rPr>
                <w:rFonts w:hint="default" w:ascii="Times New Roman" w:hAnsi="Times New Roman" w:eastAsia="宋体" w:cs="Times New Roman"/>
                <w:color w:val="auto"/>
                <w:sz w:val="24"/>
                <w:szCs w:val="24"/>
                <w:highlight w:val="none"/>
              </w:rPr>
              <w:t>个/a；按照每个包装桶重量0.5kg计，则废包装罐产生量约为0.0</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t/a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08</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000000"/>
                <w:sz w:val="24"/>
                <w:szCs w:val="24"/>
                <w:highlight w:val="none"/>
                <w:lang w:val="en-US" w:eastAsia="zh-CN"/>
              </w:rPr>
              <w:t>900-249-08，经收集后暂存于</w:t>
            </w:r>
            <w:r>
              <w:rPr>
                <w:rFonts w:hint="eastAsia" w:ascii="Times New Roman" w:hAnsi="Times New Roman" w:cs="Times New Roman"/>
                <w:color w:val="000000"/>
                <w:sz w:val="24"/>
                <w:szCs w:val="24"/>
                <w:highlight w:val="none"/>
                <w:lang w:val="en-US" w:eastAsia="zh-CN"/>
              </w:rPr>
              <w:t>危废库</w:t>
            </w:r>
            <w:r>
              <w:rPr>
                <w:rFonts w:hint="default" w:ascii="Times New Roman" w:hAnsi="Times New Roman" w:cs="Times New Roman"/>
                <w:color w:val="000000"/>
                <w:sz w:val="24"/>
                <w:szCs w:val="24"/>
                <w:highlight w:val="none"/>
                <w:lang w:val="en-US" w:eastAsia="zh-CN"/>
              </w:rPr>
              <w:t>内，委托有资质单位</w:t>
            </w:r>
            <w:r>
              <w:rPr>
                <w:rFonts w:hint="eastAsia" w:ascii="Times New Roman" w:hAnsi="Times New Roman" w:cs="Times New Roman"/>
                <w:color w:val="000000"/>
                <w:sz w:val="24"/>
                <w:szCs w:val="24"/>
                <w:highlight w:val="none"/>
                <w:lang w:val="en-US" w:eastAsia="zh-CN"/>
              </w:rPr>
              <w:t>定期</w:t>
            </w:r>
            <w:r>
              <w:rPr>
                <w:rFonts w:hint="default" w:ascii="Times New Roman" w:hAnsi="Times New Roman" w:cs="Times New Roman"/>
                <w:color w:val="000000"/>
                <w:sz w:val="24"/>
                <w:szCs w:val="24"/>
                <w:highlight w:val="none"/>
                <w:lang w:val="en-US" w:eastAsia="zh-CN"/>
              </w:rPr>
              <w:t>进行处置</w:t>
            </w:r>
            <w:r>
              <w:rPr>
                <w:rFonts w:hint="default" w:ascii="Times New Roman" w:hAnsi="Times New Roman" w:eastAsia="宋体" w:cs="Times New Roman"/>
                <w:color w:val="auto"/>
                <w:sz w:val="24"/>
                <w:szCs w:val="24"/>
                <w:highlight w:val="none"/>
              </w:rPr>
              <w:t>。</w:t>
            </w:r>
          </w:p>
          <w:p w14:paraId="6BA156DA">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⑧</w:t>
            </w:r>
            <w:r>
              <w:rPr>
                <w:rFonts w:hint="eastAsia" w:ascii="Times New Roman" w:hAnsi="Times New Roman" w:eastAsia="宋体" w:cs="Times New Roman"/>
                <w:color w:val="auto"/>
                <w:sz w:val="24"/>
                <w:szCs w:val="24"/>
                <w:highlight w:val="none"/>
                <w:lang w:val="en-US" w:eastAsia="zh-CN"/>
              </w:rPr>
              <w:t>废含油抹布</w:t>
            </w:r>
          </w:p>
          <w:p w14:paraId="0AFA16A5">
            <w:pPr>
              <w:spacing w:line="360" w:lineRule="auto"/>
              <w:ind w:firstLine="480" w:firstLineChars="200"/>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auto"/>
                <w:sz w:val="24"/>
                <w:szCs w:val="24"/>
                <w:highlight w:val="none"/>
                <w:lang w:val="en-US" w:eastAsia="zh-CN"/>
              </w:rPr>
              <w:t>设备维护</w:t>
            </w:r>
            <w:r>
              <w:rPr>
                <w:rFonts w:hint="eastAsia" w:ascii="Times New Roman" w:hAnsi="Times New Roman" w:cs="Times New Roman"/>
                <w:color w:val="auto"/>
                <w:sz w:val="24"/>
                <w:szCs w:val="24"/>
                <w:highlight w:val="none"/>
                <w:lang w:val="en-US" w:eastAsia="zh-CN"/>
              </w:rPr>
              <w:t>过程需使用抹布擦拭，产生废含油抹布，产生量约为0.01</w:t>
            </w:r>
            <w:r>
              <w:rPr>
                <w:rFonts w:hint="eastAsia" w:cs="Times New Roman"/>
                <w:color w:val="000000"/>
                <w:sz w:val="24"/>
                <w:szCs w:val="24"/>
                <w:highlight w:val="none"/>
                <w:lang w:val="en-US" w:eastAsia="zh-CN"/>
              </w:rPr>
              <w:t>t/a，</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》，废含油抹布、手套等属于HW49其他废物-含有或沾染毒性、感染性危险废物的废弃包装物、容器、过滤吸附介质，危废代码为HW49-900-041-49。集中收集后置于危废库，定期委托有资质的单位进行处置。</w:t>
            </w:r>
          </w:p>
          <w:p w14:paraId="762C5908">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项目产生的固体废物应根据《国家危险废物名录》（202</w:t>
            </w:r>
            <w:r>
              <w:rPr>
                <w:rFonts w:hint="eastAsia"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年）以及危险废物鉴别标准划分一般固废和危险废物，遵循分类收集、厂内利用、外售综合利用或委外处置处理等原则。通过采取以上措施后，本项目产生的固废均得到回收利用或有效处理，不会对</w:t>
            </w:r>
            <w:r>
              <w:rPr>
                <w:rFonts w:hint="eastAsia" w:ascii="Times New Roman" w:hAnsi="Times New Roman" w:cs="Times New Roman"/>
                <w:color w:val="auto"/>
                <w:sz w:val="24"/>
                <w:szCs w:val="24"/>
                <w:highlight w:val="none"/>
                <w:lang w:eastAsia="zh-CN"/>
              </w:rPr>
              <w:t>厂区</w:t>
            </w:r>
            <w:r>
              <w:rPr>
                <w:rFonts w:hint="default" w:ascii="Times New Roman" w:hAnsi="Times New Roman" w:cs="Times New Roman"/>
                <w:color w:val="auto"/>
                <w:sz w:val="24"/>
                <w:szCs w:val="24"/>
                <w:highlight w:val="none"/>
              </w:rPr>
              <w:t>外环境产生影响。</w:t>
            </w:r>
          </w:p>
          <w:p w14:paraId="6C083B6E">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项目固体废物产生情况具体见下表。</w:t>
            </w:r>
          </w:p>
          <w:p w14:paraId="1D1DDBF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表4-</w:t>
            </w:r>
            <w:r>
              <w:rPr>
                <w:rFonts w:hint="eastAsia" w:ascii="Times New Roman" w:hAnsi="Times New Roman" w:eastAsia="宋体" w:cs="Times New Roman"/>
                <w:b/>
                <w:color w:val="auto"/>
                <w:kern w:val="2"/>
                <w:sz w:val="24"/>
                <w:szCs w:val="24"/>
                <w:highlight w:val="none"/>
                <w:lang w:val="en-US" w:eastAsia="zh-CN"/>
              </w:rPr>
              <w:t xml:space="preserve">17  </w:t>
            </w:r>
            <w:r>
              <w:rPr>
                <w:rFonts w:hint="default" w:ascii="Times New Roman" w:hAnsi="Times New Roman" w:eastAsia="宋体" w:cs="Times New Roman"/>
                <w:b/>
                <w:color w:val="auto"/>
                <w:kern w:val="2"/>
                <w:sz w:val="24"/>
                <w:szCs w:val="24"/>
                <w:highlight w:val="none"/>
                <w:lang w:eastAsia="zh-CN"/>
              </w:rPr>
              <w:t>项目固体废物产生情况一览表</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2024"/>
              <w:gridCol w:w="1617"/>
              <w:gridCol w:w="3185"/>
            </w:tblGrid>
            <w:tr w14:paraId="553A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pct"/>
                  <w:noWrap w:val="0"/>
                  <w:vAlign w:val="center"/>
                </w:tcPr>
                <w:p w14:paraId="365DB48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种类</w:t>
                  </w:r>
                </w:p>
              </w:tc>
              <w:tc>
                <w:tcPr>
                  <w:tcW w:w="1279" w:type="pct"/>
                  <w:noWrap w:val="0"/>
                  <w:vAlign w:val="center"/>
                </w:tcPr>
                <w:p w14:paraId="254661B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名称</w:t>
                  </w:r>
                </w:p>
              </w:tc>
              <w:tc>
                <w:tcPr>
                  <w:tcW w:w="1021" w:type="pct"/>
                  <w:noWrap w:val="0"/>
                  <w:vAlign w:val="center"/>
                </w:tcPr>
                <w:p w14:paraId="083E8AF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产生量（t/a）</w:t>
                  </w:r>
                </w:p>
              </w:tc>
              <w:tc>
                <w:tcPr>
                  <w:tcW w:w="2012" w:type="pct"/>
                  <w:noWrap w:val="0"/>
                  <w:vAlign w:val="center"/>
                </w:tcPr>
                <w:p w14:paraId="5A438B6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处置措施</w:t>
                  </w:r>
                </w:p>
              </w:tc>
            </w:tr>
            <w:tr w14:paraId="5AD4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pct"/>
                  <w:noWrap w:val="0"/>
                  <w:vAlign w:val="center"/>
                </w:tcPr>
                <w:p w14:paraId="7EF7BA7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生活垃圾</w:t>
                  </w:r>
                </w:p>
              </w:tc>
              <w:tc>
                <w:tcPr>
                  <w:tcW w:w="1279" w:type="pct"/>
                  <w:noWrap w:val="0"/>
                  <w:vAlign w:val="center"/>
                </w:tcPr>
                <w:p w14:paraId="454C7B2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生活垃圾</w:t>
                  </w:r>
                </w:p>
              </w:tc>
              <w:tc>
                <w:tcPr>
                  <w:tcW w:w="1021" w:type="pct"/>
                  <w:noWrap w:val="0"/>
                  <w:vAlign w:val="center"/>
                </w:tcPr>
                <w:p w14:paraId="092944E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12</w:t>
                  </w:r>
                </w:p>
              </w:tc>
              <w:tc>
                <w:tcPr>
                  <w:tcW w:w="2012" w:type="pct"/>
                  <w:noWrap w:val="0"/>
                  <w:vAlign w:val="center"/>
                </w:tcPr>
                <w:p w14:paraId="4E29F55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收集后委托</w:t>
                  </w:r>
                  <w:r>
                    <w:rPr>
                      <w:rFonts w:hint="eastAsia"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2EB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pct"/>
                  <w:vMerge w:val="restart"/>
                  <w:noWrap w:val="0"/>
                  <w:vAlign w:val="center"/>
                </w:tcPr>
                <w:p w14:paraId="15D736C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一般固废</w:t>
                  </w:r>
                </w:p>
              </w:tc>
              <w:tc>
                <w:tcPr>
                  <w:tcW w:w="1279" w:type="pct"/>
                  <w:noWrap w:val="0"/>
                  <w:vAlign w:val="center"/>
                </w:tcPr>
                <w:p w14:paraId="3284505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废包装箱</w:t>
                  </w:r>
                </w:p>
              </w:tc>
              <w:tc>
                <w:tcPr>
                  <w:tcW w:w="1021" w:type="pct"/>
                  <w:noWrap w:val="0"/>
                  <w:vAlign w:val="center"/>
                </w:tcPr>
                <w:p w14:paraId="18077AA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eastAsia" w:cs="Times New Roman"/>
                      <w:color w:val="auto"/>
                      <w:kern w:val="0"/>
                      <w:sz w:val="21"/>
                      <w:szCs w:val="21"/>
                      <w:highlight w:val="none"/>
                      <w:lang w:val="en-US" w:eastAsia="zh-CN" w:bidi="ar"/>
                    </w:rPr>
                    <w:t>0.75</w:t>
                  </w:r>
                </w:p>
              </w:tc>
              <w:tc>
                <w:tcPr>
                  <w:tcW w:w="2012" w:type="pct"/>
                  <w:vMerge w:val="restart"/>
                  <w:noWrap w:val="0"/>
                  <w:vAlign w:val="center"/>
                </w:tcPr>
                <w:p w14:paraId="4F39C8E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企业收集后外</w:t>
                  </w:r>
                  <w:r>
                    <w:rPr>
                      <w:rFonts w:hint="eastAsia" w:cs="Times New Roman"/>
                      <w:color w:val="auto"/>
                      <w:sz w:val="21"/>
                      <w:szCs w:val="21"/>
                      <w:highlight w:val="none"/>
                      <w:lang w:val="en-US" w:eastAsia="zh-CN"/>
                    </w:rPr>
                    <w:t>售</w:t>
                  </w:r>
                  <w:r>
                    <w:rPr>
                      <w:rFonts w:hint="default" w:ascii="Times New Roman" w:hAnsi="Times New Roman" w:cs="Times New Roman"/>
                      <w:color w:val="auto"/>
                      <w:sz w:val="21"/>
                      <w:szCs w:val="21"/>
                      <w:highlight w:val="none"/>
                    </w:rPr>
                    <w:t>综合利用</w:t>
                  </w:r>
                </w:p>
              </w:tc>
            </w:tr>
            <w:tr w14:paraId="2957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pct"/>
                  <w:vMerge w:val="continue"/>
                  <w:noWrap w:val="0"/>
                  <w:vAlign w:val="center"/>
                </w:tcPr>
                <w:p w14:paraId="13E0B95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2B15F5F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Calibri" w:hAnsi="Calibri" w:cs="Calibri"/>
                      <w:color w:val="auto"/>
                      <w:sz w:val="21"/>
                      <w:szCs w:val="21"/>
                      <w:highlight w:val="none"/>
                      <w:lang w:eastAsia="zh-CN"/>
                    </w:rPr>
                    <w:t>焊锡锡渣</w:t>
                  </w:r>
                </w:p>
              </w:tc>
              <w:tc>
                <w:tcPr>
                  <w:tcW w:w="1021" w:type="pct"/>
                  <w:noWrap w:val="0"/>
                  <w:vAlign w:val="center"/>
                </w:tcPr>
                <w:p w14:paraId="2C1E150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eastAsia" w:cs="Times New Roman"/>
                      <w:color w:val="auto"/>
                      <w:kern w:val="0"/>
                      <w:sz w:val="21"/>
                      <w:szCs w:val="21"/>
                      <w:highlight w:val="none"/>
                      <w:lang w:val="en-US" w:eastAsia="zh-CN" w:bidi="ar"/>
                    </w:rPr>
                    <w:t>0.0972</w:t>
                  </w:r>
                </w:p>
              </w:tc>
              <w:tc>
                <w:tcPr>
                  <w:tcW w:w="2012" w:type="pct"/>
                  <w:vMerge w:val="continue"/>
                  <w:noWrap w:val="0"/>
                  <w:vAlign w:val="center"/>
                </w:tcPr>
                <w:p w14:paraId="1D54478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5382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pct"/>
                  <w:vMerge w:val="restart"/>
                  <w:noWrap w:val="0"/>
                  <w:vAlign w:val="center"/>
                </w:tcPr>
                <w:p w14:paraId="22BCBC1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危险废物</w:t>
                  </w:r>
                </w:p>
              </w:tc>
              <w:tc>
                <w:tcPr>
                  <w:tcW w:w="1279" w:type="pct"/>
                  <w:noWrap w:val="0"/>
                  <w:vAlign w:val="center"/>
                </w:tcPr>
                <w:p w14:paraId="473DD991">
                  <w:pPr>
                    <w:keepNext w:val="0"/>
                    <w:keepLines w:val="0"/>
                    <w:pageBreakBefore w:val="0"/>
                    <w:widowControl/>
                    <w:kinsoku/>
                    <w:wordWrap/>
                    <w:overflowPunct/>
                    <w:topLinePunct w:val="0"/>
                    <w:autoSpaceDE/>
                    <w:autoSpaceDN/>
                    <w:bidi w:val="0"/>
                    <w:spacing w:line="240" w:lineRule="auto"/>
                    <w:jc w:val="center"/>
                    <w:textAlignment w:val="center"/>
                    <w:rPr>
                      <w:rFonts w:hint="default" w:ascii="Calibri" w:hAnsi="Calibri" w:cs="Calibri"/>
                      <w:color w:val="auto"/>
                      <w:sz w:val="21"/>
                      <w:szCs w:val="21"/>
                      <w:highlight w:val="none"/>
                      <w:lang w:val="en-US" w:eastAsia="zh-CN"/>
                    </w:rPr>
                  </w:pPr>
                  <w:r>
                    <w:rPr>
                      <w:rFonts w:hint="eastAsia" w:ascii="Calibri" w:hAnsi="Calibri" w:cs="Calibri"/>
                      <w:color w:val="auto"/>
                      <w:sz w:val="21"/>
                      <w:szCs w:val="21"/>
                      <w:highlight w:val="none"/>
                      <w:lang w:val="en-US" w:eastAsia="zh-CN"/>
                    </w:rPr>
                    <w:t>废包装罐</w:t>
                  </w:r>
                </w:p>
              </w:tc>
              <w:tc>
                <w:tcPr>
                  <w:tcW w:w="1021" w:type="pct"/>
                  <w:noWrap w:val="0"/>
                  <w:vAlign w:val="center"/>
                </w:tcPr>
                <w:p w14:paraId="66A5DDEA">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0.6336</w:t>
                  </w:r>
                </w:p>
              </w:tc>
              <w:tc>
                <w:tcPr>
                  <w:tcW w:w="2012" w:type="pct"/>
                  <w:vMerge w:val="restart"/>
                  <w:noWrap w:val="0"/>
                  <w:vAlign w:val="center"/>
                </w:tcPr>
                <w:p w14:paraId="417AC43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000000"/>
                      <w:sz w:val="21"/>
                      <w:szCs w:val="21"/>
                      <w:highlight w:val="none"/>
                      <w:lang w:val="en-US" w:eastAsia="zh-CN"/>
                    </w:rPr>
                    <w:t>在危废库暂存</w:t>
                  </w:r>
                  <w:r>
                    <w:rPr>
                      <w:rFonts w:hint="eastAsia"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sz w:val="21"/>
                      <w:szCs w:val="21"/>
                      <w:highlight w:val="none"/>
                    </w:rPr>
                    <w:t>委托有资质单位</w:t>
                  </w:r>
                  <w:r>
                    <w:rPr>
                      <w:rFonts w:hint="eastAsia" w:ascii="Times New Roman" w:hAnsi="Times New Roman" w:cs="Times New Roman"/>
                      <w:color w:val="000000"/>
                      <w:sz w:val="21"/>
                      <w:szCs w:val="21"/>
                      <w:highlight w:val="none"/>
                      <w:lang w:val="en-US" w:eastAsia="zh-CN"/>
                    </w:rPr>
                    <w:t>定期</w:t>
                  </w:r>
                  <w:r>
                    <w:rPr>
                      <w:rFonts w:hint="default" w:ascii="Times New Roman" w:hAnsi="Times New Roman" w:cs="Times New Roman"/>
                      <w:color w:val="000000"/>
                      <w:sz w:val="21"/>
                      <w:szCs w:val="21"/>
                      <w:highlight w:val="none"/>
                      <w:lang w:val="en-US" w:eastAsia="zh-CN"/>
                    </w:rPr>
                    <w:t>进行处置</w:t>
                  </w:r>
                </w:p>
              </w:tc>
            </w:tr>
            <w:tr w14:paraId="6E52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pct"/>
                  <w:vMerge w:val="continue"/>
                  <w:noWrap w:val="0"/>
                  <w:vAlign w:val="center"/>
                </w:tcPr>
                <w:p w14:paraId="2E4EFAD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D669C34">
                  <w:pPr>
                    <w:keepNext w:val="0"/>
                    <w:keepLines w:val="0"/>
                    <w:pageBreakBefore w:val="0"/>
                    <w:widowControl/>
                    <w:kinsoku/>
                    <w:wordWrap/>
                    <w:overflowPunct/>
                    <w:topLinePunct w:val="0"/>
                    <w:autoSpaceDE/>
                    <w:autoSpaceDN/>
                    <w:bidi w:val="0"/>
                    <w:spacing w:line="240" w:lineRule="auto"/>
                    <w:jc w:val="center"/>
                    <w:textAlignment w:val="center"/>
                    <w:rPr>
                      <w:rFonts w:hint="eastAsia" w:ascii="Calibri" w:hAnsi="Calibri" w:cs="Calibri"/>
                      <w:color w:val="auto"/>
                      <w:sz w:val="21"/>
                      <w:szCs w:val="21"/>
                      <w:highlight w:val="none"/>
                      <w:lang w:eastAsia="zh-CN"/>
                    </w:rPr>
                  </w:pPr>
                  <w:r>
                    <w:rPr>
                      <w:rFonts w:hint="eastAsia" w:ascii="Calibri" w:hAnsi="Calibri" w:cs="Calibri"/>
                      <w:color w:val="auto"/>
                      <w:sz w:val="21"/>
                      <w:szCs w:val="21"/>
                      <w:highlight w:val="none"/>
                      <w:lang w:eastAsia="zh-CN"/>
                    </w:rPr>
                    <w:t>不合格品</w:t>
                  </w:r>
                </w:p>
              </w:tc>
              <w:tc>
                <w:tcPr>
                  <w:tcW w:w="1021" w:type="pct"/>
                  <w:noWrap w:val="0"/>
                  <w:vAlign w:val="center"/>
                </w:tcPr>
                <w:p w14:paraId="524F2090">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0.36</w:t>
                  </w:r>
                </w:p>
              </w:tc>
              <w:tc>
                <w:tcPr>
                  <w:tcW w:w="2012" w:type="pct"/>
                  <w:vMerge w:val="continue"/>
                  <w:shd w:val="clear" w:color="auto" w:fill="auto"/>
                  <w:noWrap w:val="0"/>
                  <w:vAlign w:val="center"/>
                </w:tcPr>
                <w:p w14:paraId="36A53B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5503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pct"/>
                  <w:vMerge w:val="continue"/>
                  <w:noWrap w:val="0"/>
                  <w:vAlign w:val="center"/>
                </w:tcPr>
                <w:p w14:paraId="533317A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6CD4F15A">
                  <w:pPr>
                    <w:keepNext w:val="0"/>
                    <w:keepLines w:val="0"/>
                    <w:pageBreakBefore w:val="0"/>
                    <w:widowControl/>
                    <w:kinsoku/>
                    <w:wordWrap/>
                    <w:overflowPunct/>
                    <w:topLinePunct w:val="0"/>
                    <w:autoSpaceDE/>
                    <w:autoSpaceDN/>
                    <w:bidi w:val="0"/>
                    <w:spacing w:line="240" w:lineRule="auto"/>
                    <w:jc w:val="center"/>
                    <w:textAlignment w:val="center"/>
                    <w:rPr>
                      <w:rFonts w:hint="eastAsia" w:ascii="Calibri" w:hAnsi="Calibri" w:eastAsia="宋体" w:cs="Calibri"/>
                      <w:color w:val="auto"/>
                      <w:sz w:val="21"/>
                      <w:szCs w:val="21"/>
                      <w:highlight w:val="none"/>
                      <w:lang w:eastAsia="zh-CN"/>
                    </w:rPr>
                  </w:pPr>
                  <w:r>
                    <w:rPr>
                      <w:rFonts w:hint="eastAsia" w:ascii="Calibri" w:hAnsi="Calibri" w:cs="Calibri"/>
                      <w:color w:val="auto"/>
                      <w:sz w:val="21"/>
                      <w:szCs w:val="21"/>
                      <w:highlight w:val="none"/>
                      <w:lang w:eastAsia="zh-CN"/>
                    </w:rPr>
                    <w:t>擦拭废纸</w:t>
                  </w:r>
                </w:p>
              </w:tc>
              <w:tc>
                <w:tcPr>
                  <w:tcW w:w="1021" w:type="pct"/>
                  <w:noWrap w:val="0"/>
                  <w:vAlign w:val="center"/>
                </w:tcPr>
                <w:p w14:paraId="1EF3951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0.0756</w:t>
                  </w:r>
                </w:p>
              </w:tc>
              <w:tc>
                <w:tcPr>
                  <w:tcW w:w="2012" w:type="pct"/>
                  <w:vMerge w:val="continue"/>
                  <w:noWrap w:val="0"/>
                  <w:vAlign w:val="center"/>
                </w:tcPr>
                <w:p w14:paraId="1388E85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1833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86" w:type="pct"/>
                  <w:vMerge w:val="continue"/>
                  <w:noWrap w:val="0"/>
                  <w:vAlign w:val="center"/>
                </w:tcPr>
                <w:p w14:paraId="18B2CF9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71D4914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eastAsia="zh-CN" w:bidi="ar"/>
                    </w:rPr>
                    <w:t>废</w:t>
                  </w:r>
                  <w:r>
                    <w:rPr>
                      <w:rFonts w:hint="eastAsia" w:cs="Times New Roman"/>
                      <w:color w:val="auto"/>
                      <w:kern w:val="0"/>
                      <w:sz w:val="21"/>
                      <w:szCs w:val="21"/>
                      <w:highlight w:val="none"/>
                      <w:lang w:eastAsia="zh-CN" w:bidi="ar"/>
                    </w:rPr>
                    <w:t>活性炭</w:t>
                  </w:r>
                </w:p>
              </w:tc>
              <w:tc>
                <w:tcPr>
                  <w:tcW w:w="1021" w:type="pct"/>
                  <w:noWrap w:val="0"/>
                  <w:vAlign w:val="center"/>
                </w:tcPr>
                <w:p w14:paraId="0DEE0EE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6.29</w:t>
                  </w:r>
                </w:p>
              </w:tc>
              <w:tc>
                <w:tcPr>
                  <w:tcW w:w="2012" w:type="pct"/>
                  <w:vMerge w:val="continue"/>
                  <w:noWrap w:val="0"/>
                  <w:vAlign w:val="center"/>
                </w:tcPr>
                <w:p w14:paraId="1401D06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5C8C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6" w:type="pct"/>
                  <w:vMerge w:val="continue"/>
                  <w:noWrap w:val="0"/>
                  <w:vAlign w:val="center"/>
                </w:tcPr>
                <w:p w14:paraId="3ABCD1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572FF07">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eastAsia="zh-CN" w:bidi="ar"/>
                    </w:rPr>
                  </w:pPr>
                  <w:r>
                    <w:rPr>
                      <w:rFonts w:hint="eastAsia" w:cs="Times New Roman"/>
                      <w:color w:val="auto"/>
                      <w:kern w:val="2"/>
                      <w:sz w:val="21"/>
                      <w:szCs w:val="21"/>
                      <w:highlight w:val="none"/>
                      <w:lang w:val="en-US" w:eastAsia="zh-CN" w:bidi="ar-SA"/>
                    </w:rPr>
                    <w:t>废滤料</w:t>
                  </w:r>
                </w:p>
              </w:tc>
              <w:tc>
                <w:tcPr>
                  <w:tcW w:w="1021" w:type="pct"/>
                  <w:noWrap w:val="0"/>
                  <w:vAlign w:val="center"/>
                </w:tcPr>
                <w:p w14:paraId="2CE22AE1">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0.2032</w:t>
                  </w:r>
                </w:p>
              </w:tc>
              <w:tc>
                <w:tcPr>
                  <w:tcW w:w="2012" w:type="pct"/>
                  <w:vMerge w:val="continue"/>
                  <w:noWrap w:val="0"/>
                  <w:vAlign w:val="center"/>
                </w:tcPr>
                <w:p w14:paraId="2A2A0EFB">
                  <w:pPr>
                    <w:keepNext w:val="0"/>
                    <w:keepLines w:val="0"/>
                    <w:pageBreakBefore w:val="0"/>
                    <w:widowControl/>
                    <w:kinsoku/>
                    <w:wordWrap/>
                    <w:overflowPunct/>
                    <w:topLinePunct w:val="0"/>
                    <w:autoSpaceDE/>
                    <w:autoSpaceDN/>
                    <w:bidi w:val="0"/>
                    <w:spacing w:line="240" w:lineRule="auto"/>
                    <w:jc w:val="center"/>
                    <w:textAlignment w:val="center"/>
                    <w:rPr>
                      <w:rFonts w:hint="eastAsia" w:cs="Times New Roman"/>
                      <w:color w:val="000000"/>
                      <w:sz w:val="21"/>
                      <w:szCs w:val="21"/>
                      <w:highlight w:val="none"/>
                      <w:lang w:val="en-US" w:eastAsia="zh-CN"/>
                    </w:rPr>
                  </w:pPr>
                </w:p>
              </w:tc>
            </w:tr>
            <w:tr w14:paraId="3A71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6" w:type="pct"/>
                  <w:vMerge w:val="continue"/>
                  <w:noWrap w:val="0"/>
                  <w:vAlign w:val="center"/>
                </w:tcPr>
                <w:p w14:paraId="01D567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45495108">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eastAsia="zh-CN" w:bidi="ar"/>
                    </w:rPr>
                    <w:t>废</w:t>
                  </w:r>
                  <w:r>
                    <w:rPr>
                      <w:rFonts w:hint="eastAsia" w:cs="Times New Roman"/>
                      <w:color w:val="auto"/>
                      <w:kern w:val="0"/>
                      <w:sz w:val="21"/>
                      <w:szCs w:val="21"/>
                      <w:highlight w:val="none"/>
                      <w:lang w:eastAsia="zh-CN" w:bidi="ar"/>
                    </w:rPr>
                    <w:t>机油</w:t>
                  </w:r>
                </w:p>
              </w:tc>
              <w:tc>
                <w:tcPr>
                  <w:tcW w:w="1021" w:type="pct"/>
                  <w:noWrap w:val="0"/>
                  <w:vAlign w:val="center"/>
                </w:tcPr>
                <w:p w14:paraId="4CDBC4A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w:t>
                  </w:r>
                </w:p>
              </w:tc>
              <w:tc>
                <w:tcPr>
                  <w:tcW w:w="2012" w:type="pct"/>
                  <w:vMerge w:val="continue"/>
                  <w:noWrap w:val="0"/>
                  <w:vAlign w:val="center"/>
                </w:tcPr>
                <w:p w14:paraId="3A1AD569">
                  <w:pPr>
                    <w:keepNext w:val="0"/>
                    <w:keepLines w:val="0"/>
                    <w:pageBreakBefore w:val="0"/>
                    <w:widowControl/>
                    <w:kinsoku/>
                    <w:wordWrap/>
                    <w:overflowPunct/>
                    <w:topLinePunct w:val="0"/>
                    <w:autoSpaceDE/>
                    <w:autoSpaceDN/>
                    <w:bidi w:val="0"/>
                    <w:spacing w:line="240" w:lineRule="auto"/>
                    <w:jc w:val="center"/>
                    <w:textAlignment w:val="center"/>
                    <w:rPr>
                      <w:rFonts w:hint="eastAsia" w:cs="Times New Roman"/>
                      <w:color w:val="000000"/>
                      <w:sz w:val="21"/>
                      <w:szCs w:val="21"/>
                      <w:highlight w:val="none"/>
                      <w:lang w:val="en-US" w:eastAsia="zh-CN"/>
                    </w:rPr>
                  </w:pPr>
                </w:p>
              </w:tc>
            </w:tr>
            <w:tr w14:paraId="3116F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pct"/>
                  <w:vMerge w:val="continue"/>
                  <w:noWrap w:val="0"/>
                  <w:vAlign w:val="center"/>
                </w:tcPr>
                <w:p w14:paraId="0FFE964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1B41701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废机油桶</w:t>
                  </w:r>
                </w:p>
              </w:tc>
              <w:tc>
                <w:tcPr>
                  <w:tcW w:w="1021" w:type="pct"/>
                  <w:noWrap w:val="0"/>
                  <w:vAlign w:val="center"/>
                </w:tcPr>
                <w:p w14:paraId="4F00F144">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w:t>
                  </w:r>
                </w:p>
              </w:tc>
              <w:tc>
                <w:tcPr>
                  <w:tcW w:w="2012" w:type="pct"/>
                  <w:vMerge w:val="continue"/>
                  <w:noWrap w:val="0"/>
                  <w:vAlign w:val="center"/>
                </w:tcPr>
                <w:p w14:paraId="5A10E4C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r w14:paraId="7491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pct"/>
                  <w:vMerge w:val="continue"/>
                  <w:noWrap w:val="0"/>
                  <w:vAlign w:val="center"/>
                </w:tcPr>
                <w:p w14:paraId="37E359F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4891DC3A">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eastAsia="zh-CN" w:bidi="ar"/>
                    </w:rPr>
                    <w:t>废含油</w:t>
                  </w:r>
                  <w:r>
                    <w:rPr>
                      <w:rFonts w:hint="default" w:ascii="Times New Roman" w:hAnsi="Times New Roman" w:eastAsia="宋体" w:cs="Times New Roman"/>
                      <w:color w:val="auto"/>
                      <w:kern w:val="0"/>
                      <w:sz w:val="21"/>
                      <w:szCs w:val="21"/>
                      <w:highlight w:val="none"/>
                      <w:lang w:eastAsia="zh-CN" w:bidi="ar"/>
                    </w:rPr>
                    <w:t>手套及</w:t>
                  </w:r>
                  <w:r>
                    <w:rPr>
                      <w:rFonts w:hint="eastAsia" w:ascii="Times New Roman" w:hAnsi="Times New Roman" w:eastAsia="宋体" w:cs="Times New Roman"/>
                      <w:color w:val="auto"/>
                      <w:kern w:val="0"/>
                      <w:sz w:val="21"/>
                      <w:szCs w:val="21"/>
                      <w:highlight w:val="none"/>
                      <w:lang w:eastAsia="zh-CN" w:bidi="ar"/>
                    </w:rPr>
                    <w:t>抹布</w:t>
                  </w:r>
                </w:p>
              </w:tc>
              <w:tc>
                <w:tcPr>
                  <w:tcW w:w="1021" w:type="pct"/>
                  <w:noWrap w:val="0"/>
                  <w:vAlign w:val="center"/>
                </w:tcPr>
                <w:p w14:paraId="0138B55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0.01</w:t>
                  </w:r>
                </w:p>
              </w:tc>
              <w:tc>
                <w:tcPr>
                  <w:tcW w:w="2012" w:type="pct"/>
                  <w:vMerge w:val="continue"/>
                  <w:noWrap w:val="0"/>
                  <w:vAlign w:val="center"/>
                </w:tcPr>
                <w:p w14:paraId="71FFF1D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bl>
          <w:p w14:paraId="6E36F65E">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表4-</w:t>
            </w:r>
            <w:r>
              <w:rPr>
                <w:rFonts w:hint="eastAsia" w:ascii="Times New Roman" w:hAnsi="Times New Roman" w:eastAsia="宋体" w:cs="Times New Roman"/>
                <w:b/>
                <w:color w:val="auto"/>
                <w:kern w:val="2"/>
                <w:sz w:val="24"/>
                <w:szCs w:val="24"/>
                <w:highlight w:val="none"/>
                <w:lang w:val="en-US" w:eastAsia="zh-CN"/>
              </w:rPr>
              <w:t xml:space="preserve">18  </w:t>
            </w:r>
            <w:r>
              <w:rPr>
                <w:rFonts w:hint="default" w:ascii="Times New Roman" w:hAnsi="Times New Roman" w:eastAsia="宋体" w:cs="Times New Roman"/>
                <w:b/>
                <w:color w:val="auto"/>
                <w:kern w:val="2"/>
                <w:sz w:val="24"/>
                <w:szCs w:val="24"/>
                <w:highlight w:val="none"/>
                <w:lang w:eastAsia="zh-CN"/>
              </w:rPr>
              <w:t>项目危险废物汇总一览表</w:t>
            </w:r>
          </w:p>
          <w:tbl>
            <w:tblPr>
              <w:tblStyle w:val="22"/>
              <w:tblW w:w="50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02"/>
              <w:gridCol w:w="1969"/>
              <w:gridCol w:w="945"/>
              <w:gridCol w:w="1080"/>
              <w:gridCol w:w="642"/>
              <w:gridCol w:w="834"/>
              <w:gridCol w:w="1297"/>
            </w:tblGrid>
            <w:tr w14:paraId="1950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754" w:type="pct"/>
                  <w:noWrap w:val="0"/>
                  <w:vAlign w:val="center"/>
                </w:tcPr>
                <w:p w14:paraId="364231E7">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危险废物名称</w:t>
                  </w:r>
                </w:p>
              </w:tc>
              <w:tc>
                <w:tcPr>
                  <w:tcW w:w="1235" w:type="pct"/>
                  <w:noWrap w:val="0"/>
                  <w:vAlign w:val="center"/>
                </w:tcPr>
                <w:p w14:paraId="51259D53">
                  <w:pPr>
                    <w:keepNext w:val="0"/>
                    <w:keepLines w:val="0"/>
                    <w:pageBreakBefore w:val="0"/>
                    <w:kinsoku/>
                    <w:wordWrap/>
                    <w:overflowPunct/>
                    <w:topLinePunct w:val="0"/>
                    <w:autoSpaceDE/>
                    <w:autoSpaceDN/>
                    <w:bidi w:val="0"/>
                    <w:adjustRightInd w:val="0"/>
                    <w:snapToGrid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危险废物代码</w:t>
                  </w:r>
                </w:p>
              </w:tc>
              <w:tc>
                <w:tcPr>
                  <w:tcW w:w="592" w:type="pct"/>
                  <w:noWrap w:val="0"/>
                  <w:vAlign w:val="center"/>
                </w:tcPr>
                <w:p w14:paraId="03AE9779">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产生量（t/a）</w:t>
                  </w:r>
                </w:p>
              </w:tc>
              <w:tc>
                <w:tcPr>
                  <w:tcW w:w="677" w:type="pct"/>
                  <w:noWrap w:val="0"/>
                  <w:vAlign w:val="center"/>
                </w:tcPr>
                <w:p w14:paraId="321441DF">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产生工序及装置</w:t>
                  </w:r>
                </w:p>
              </w:tc>
              <w:tc>
                <w:tcPr>
                  <w:tcW w:w="402" w:type="pct"/>
                  <w:noWrap w:val="0"/>
                  <w:vAlign w:val="center"/>
                </w:tcPr>
                <w:p w14:paraId="0BA98870">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形态</w:t>
                  </w:r>
                </w:p>
              </w:tc>
              <w:tc>
                <w:tcPr>
                  <w:tcW w:w="523" w:type="pct"/>
                  <w:noWrap w:val="0"/>
                  <w:vAlign w:val="center"/>
                </w:tcPr>
                <w:p w14:paraId="6908A964">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环境危险特性</w:t>
                  </w:r>
                </w:p>
              </w:tc>
              <w:tc>
                <w:tcPr>
                  <w:tcW w:w="813" w:type="pct"/>
                  <w:noWrap w:val="0"/>
                  <w:vAlign w:val="center"/>
                </w:tcPr>
                <w:p w14:paraId="06682D28">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利用处置量方式和去向</w:t>
                  </w:r>
                </w:p>
              </w:tc>
            </w:tr>
            <w:tr w14:paraId="6399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754" w:type="pct"/>
                  <w:shd w:val="clear" w:color="auto" w:fill="auto"/>
                  <w:noWrap w:val="0"/>
                  <w:vAlign w:val="center"/>
                </w:tcPr>
                <w:p w14:paraId="178BA40B">
                  <w:pPr>
                    <w:keepNext w:val="0"/>
                    <w:keepLines w:val="0"/>
                    <w:pageBreakBefore w:val="0"/>
                    <w:widowControl/>
                    <w:kinsoku/>
                    <w:wordWrap/>
                    <w:overflowPunct/>
                    <w:topLinePunct w:val="0"/>
                    <w:autoSpaceDE/>
                    <w:autoSpaceDN/>
                    <w:bidi w:val="0"/>
                    <w:spacing w:line="240" w:lineRule="auto"/>
                    <w:jc w:val="center"/>
                    <w:textAlignment w:val="center"/>
                    <w:rPr>
                      <w:rFonts w:hint="eastAsia" w:ascii="Calibri" w:hAnsi="Calibri" w:eastAsia="宋体" w:cs="Calibri"/>
                      <w:color w:val="auto"/>
                      <w:kern w:val="2"/>
                      <w:sz w:val="21"/>
                      <w:szCs w:val="21"/>
                      <w:highlight w:val="none"/>
                      <w:lang w:val="en-US" w:eastAsia="zh-CN" w:bidi="ar-SA"/>
                    </w:rPr>
                  </w:pPr>
                  <w:r>
                    <w:rPr>
                      <w:rFonts w:hint="eastAsia" w:ascii="Calibri" w:hAnsi="Calibri" w:cs="Calibri"/>
                      <w:color w:val="auto"/>
                      <w:sz w:val="21"/>
                      <w:szCs w:val="21"/>
                      <w:highlight w:val="none"/>
                      <w:lang w:val="en-US" w:eastAsia="zh-CN"/>
                    </w:rPr>
                    <w:t>废包装罐</w:t>
                  </w:r>
                </w:p>
              </w:tc>
              <w:tc>
                <w:tcPr>
                  <w:tcW w:w="1235" w:type="pct"/>
                  <w:shd w:val="clear" w:color="auto" w:fill="auto"/>
                  <w:noWrap w:val="0"/>
                  <w:vAlign w:val="center"/>
                </w:tcPr>
                <w:p w14:paraId="2106AEB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sz w:val="21"/>
                      <w:szCs w:val="21"/>
                      <w:highlight w:val="none"/>
                      <w:lang w:val="en-US" w:eastAsia="zh-CN"/>
                    </w:rPr>
                    <w:t>HW49-</w:t>
                  </w:r>
                  <w:r>
                    <w:rPr>
                      <w:rFonts w:hint="default" w:ascii="Times New Roman" w:hAnsi="Times New Roman" w:eastAsia="宋体" w:cs="Times New Roman"/>
                      <w:color w:val="auto"/>
                      <w:sz w:val="21"/>
                      <w:szCs w:val="21"/>
                      <w:highlight w:val="none"/>
                    </w:rPr>
                    <w:t>900-041-49</w:t>
                  </w:r>
                </w:p>
              </w:tc>
              <w:tc>
                <w:tcPr>
                  <w:tcW w:w="592" w:type="pct"/>
                  <w:shd w:val="clear" w:color="auto" w:fill="auto"/>
                  <w:noWrap w:val="0"/>
                  <w:vAlign w:val="center"/>
                </w:tcPr>
                <w:p w14:paraId="1A2A141C">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0.6336</w:t>
                  </w:r>
                </w:p>
              </w:tc>
              <w:tc>
                <w:tcPr>
                  <w:tcW w:w="677" w:type="pct"/>
                  <w:shd w:val="clear" w:color="auto" w:fill="auto"/>
                  <w:noWrap w:val="0"/>
                  <w:vAlign w:val="center"/>
                </w:tcPr>
                <w:p w14:paraId="45A46A6B">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原辅料使用</w:t>
                  </w:r>
                </w:p>
              </w:tc>
              <w:tc>
                <w:tcPr>
                  <w:tcW w:w="402" w:type="pct"/>
                  <w:shd w:val="clear" w:color="auto" w:fill="auto"/>
                  <w:noWrap w:val="0"/>
                  <w:vAlign w:val="center"/>
                </w:tcPr>
                <w:p w14:paraId="320D40AE">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固态</w:t>
                  </w:r>
                </w:p>
              </w:tc>
              <w:tc>
                <w:tcPr>
                  <w:tcW w:w="523" w:type="pct"/>
                  <w:shd w:val="clear" w:color="auto" w:fill="auto"/>
                  <w:noWrap w:val="0"/>
                  <w:vAlign w:val="center"/>
                </w:tcPr>
                <w:p w14:paraId="1F5390C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restart"/>
                  <w:noWrap w:val="0"/>
                  <w:vAlign w:val="center"/>
                </w:tcPr>
                <w:p w14:paraId="67D6F27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eastAsia" w:cs="Times New Roman"/>
                      <w:color w:val="000000"/>
                      <w:sz w:val="21"/>
                      <w:szCs w:val="21"/>
                      <w:highlight w:val="none"/>
                      <w:lang w:val="en-US" w:eastAsia="zh-CN"/>
                    </w:rPr>
                    <w:t>在危废库暂存</w:t>
                  </w:r>
                  <w:r>
                    <w:rPr>
                      <w:rFonts w:hint="eastAsia" w:ascii="Times New Roman" w:hAnsi="Times New Roman" w:eastAsia="宋体" w:cs="Times New Roman"/>
                      <w:color w:val="auto"/>
                      <w:kern w:val="0"/>
                      <w:sz w:val="21"/>
                      <w:szCs w:val="21"/>
                      <w:highlight w:val="none"/>
                      <w:lang w:val="en-US" w:eastAsia="zh-CN" w:bidi="ar"/>
                    </w:rPr>
                    <w:t>，定期送资质单位安全处置</w:t>
                  </w:r>
                </w:p>
              </w:tc>
            </w:tr>
            <w:tr w14:paraId="2270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754" w:type="pct"/>
                  <w:shd w:val="clear" w:color="auto" w:fill="auto"/>
                  <w:noWrap w:val="0"/>
                  <w:vAlign w:val="center"/>
                </w:tcPr>
                <w:p w14:paraId="2B367637">
                  <w:pPr>
                    <w:keepNext w:val="0"/>
                    <w:keepLines w:val="0"/>
                    <w:pageBreakBefore w:val="0"/>
                    <w:widowControl/>
                    <w:kinsoku/>
                    <w:wordWrap/>
                    <w:overflowPunct/>
                    <w:topLinePunct w:val="0"/>
                    <w:autoSpaceDE/>
                    <w:autoSpaceDN/>
                    <w:bidi w:val="0"/>
                    <w:spacing w:line="240" w:lineRule="auto"/>
                    <w:jc w:val="center"/>
                    <w:textAlignment w:val="center"/>
                    <w:rPr>
                      <w:rFonts w:hint="eastAsia" w:ascii="Calibri" w:hAnsi="Calibri" w:eastAsia="宋体" w:cs="Calibri"/>
                      <w:color w:val="auto"/>
                      <w:kern w:val="2"/>
                      <w:sz w:val="21"/>
                      <w:szCs w:val="21"/>
                      <w:highlight w:val="none"/>
                      <w:lang w:val="en-US" w:eastAsia="zh-CN" w:bidi="ar-SA"/>
                    </w:rPr>
                  </w:pPr>
                  <w:r>
                    <w:rPr>
                      <w:rFonts w:hint="eastAsia" w:ascii="Calibri" w:hAnsi="Calibri" w:cs="Calibri"/>
                      <w:color w:val="auto"/>
                      <w:sz w:val="21"/>
                      <w:szCs w:val="21"/>
                      <w:highlight w:val="none"/>
                      <w:lang w:eastAsia="zh-CN"/>
                    </w:rPr>
                    <w:t>不合格品</w:t>
                  </w:r>
                </w:p>
              </w:tc>
              <w:tc>
                <w:tcPr>
                  <w:tcW w:w="1235" w:type="pct"/>
                  <w:shd w:val="clear" w:color="auto" w:fill="auto"/>
                  <w:noWrap w:val="0"/>
                  <w:vAlign w:val="center"/>
                </w:tcPr>
                <w:p w14:paraId="700BC4FB">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900-045-49</w:t>
                  </w:r>
                </w:p>
              </w:tc>
              <w:tc>
                <w:tcPr>
                  <w:tcW w:w="592" w:type="pct"/>
                  <w:shd w:val="clear" w:color="auto" w:fill="auto"/>
                  <w:noWrap w:val="0"/>
                  <w:vAlign w:val="center"/>
                </w:tcPr>
                <w:p w14:paraId="133B443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0.36</w:t>
                  </w:r>
                </w:p>
              </w:tc>
              <w:tc>
                <w:tcPr>
                  <w:tcW w:w="677" w:type="pct"/>
                  <w:shd w:val="clear" w:color="auto" w:fill="auto"/>
                  <w:noWrap w:val="0"/>
                  <w:vAlign w:val="center"/>
                </w:tcPr>
                <w:p w14:paraId="554F0CE7">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sz w:val="21"/>
                      <w:szCs w:val="21"/>
                      <w:highlight w:val="none"/>
                      <w:lang w:eastAsia="zh-CN"/>
                    </w:rPr>
                    <w:t>产品加工、老化、调试</w:t>
                  </w:r>
                </w:p>
              </w:tc>
              <w:tc>
                <w:tcPr>
                  <w:tcW w:w="402" w:type="pct"/>
                  <w:shd w:val="clear" w:color="auto" w:fill="auto"/>
                  <w:noWrap w:val="0"/>
                  <w:vAlign w:val="center"/>
                </w:tcPr>
                <w:p w14:paraId="494C568E">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固态</w:t>
                  </w:r>
                </w:p>
              </w:tc>
              <w:tc>
                <w:tcPr>
                  <w:tcW w:w="523" w:type="pct"/>
                  <w:shd w:val="clear" w:color="auto" w:fill="auto"/>
                  <w:noWrap w:val="0"/>
                  <w:vAlign w:val="center"/>
                </w:tcPr>
                <w:p w14:paraId="5C4E219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6899411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543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754" w:type="pct"/>
                  <w:shd w:val="clear" w:color="auto" w:fill="auto"/>
                  <w:noWrap w:val="0"/>
                  <w:vAlign w:val="center"/>
                </w:tcPr>
                <w:p w14:paraId="0559D583">
                  <w:pPr>
                    <w:keepNext w:val="0"/>
                    <w:keepLines w:val="0"/>
                    <w:pageBreakBefore w:val="0"/>
                    <w:widowControl/>
                    <w:kinsoku/>
                    <w:wordWrap/>
                    <w:overflowPunct/>
                    <w:topLinePunct w:val="0"/>
                    <w:autoSpaceDE/>
                    <w:autoSpaceDN/>
                    <w:bidi w:val="0"/>
                    <w:spacing w:line="240" w:lineRule="auto"/>
                    <w:jc w:val="center"/>
                    <w:textAlignment w:val="center"/>
                    <w:rPr>
                      <w:rFonts w:hint="eastAsia" w:ascii="Calibri" w:hAnsi="Calibri" w:eastAsia="宋体" w:cs="Calibri"/>
                      <w:color w:val="auto"/>
                      <w:kern w:val="2"/>
                      <w:sz w:val="21"/>
                      <w:szCs w:val="21"/>
                      <w:highlight w:val="none"/>
                      <w:lang w:val="en-US" w:eastAsia="zh-CN" w:bidi="ar-SA"/>
                    </w:rPr>
                  </w:pPr>
                  <w:r>
                    <w:rPr>
                      <w:rFonts w:hint="eastAsia" w:ascii="Calibri" w:hAnsi="Calibri" w:cs="Calibri"/>
                      <w:color w:val="auto"/>
                      <w:sz w:val="21"/>
                      <w:szCs w:val="21"/>
                      <w:highlight w:val="none"/>
                      <w:lang w:eastAsia="zh-CN"/>
                    </w:rPr>
                    <w:t>擦拭废纸</w:t>
                  </w:r>
                </w:p>
              </w:tc>
              <w:tc>
                <w:tcPr>
                  <w:tcW w:w="1235" w:type="pct"/>
                  <w:shd w:val="clear" w:color="auto" w:fill="auto"/>
                  <w:noWrap w:val="0"/>
                  <w:vAlign w:val="center"/>
                </w:tcPr>
                <w:p w14:paraId="385492E1">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900-041-49</w:t>
                  </w:r>
                </w:p>
              </w:tc>
              <w:tc>
                <w:tcPr>
                  <w:tcW w:w="592" w:type="pct"/>
                  <w:shd w:val="clear" w:color="auto" w:fill="auto"/>
                  <w:noWrap w:val="0"/>
                  <w:vAlign w:val="center"/>
                </w:tcPr>
                <w:p w14:paraId="441E74A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0.0756</w:t>
                  </w:r>
                </w:p>
              </w:tc>
              <w:tc>
                <w:tcPr>
                  <w:tcW w:w="677" w:type="pct"/>
                  <w:shd w:val="clear" w:color="auto" w:fill="auto"/>
                  <w:noWrap w:val="0"/>
                  <w:vAlign w:val="center"/>
                </w:tcPr>
                <w:p w14:paraId="6D56829B">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eastAsia="宋体" w:cs="Times New Roman"/>
                      <w:color w:val="auto"/>
                      <w:kern w:val="0"/>
                      <w:sz w:val="21"/>
                      <w:szCs w:val="21"/>
                      <w:highlight w:val="none"/>
                      <w:lang w:val="en-US" w:eastAsia="zh-CN" w:bidi="ar"/>
                    </w:rPr>
                    <w:t>钢网</w:t>
                  </w:r>
                  <w:r>
                    <w:rPr>
                      <w:rFonts w:hint="eastAsia" w:cs="Times New Roman"/>
                      <w:color w:val="auto"/>
                      <w:kern w:val="0"/>
                      <w:sz w:val="21"/>
                      <w:szCs w:val="21"/>
                      <w:highlight w:val="none"/>
                      <w:lang w:val="en-US" w:eastAsia="zh-CN"/>
                    </w:rPr>
                    <w:t>擦拭</w:t>
                  </w:r>
                </w:p>
              </w:tc>
              <w:tc>
                <w:tcPr>
                  <w:tcW w:w="402" w:type="pct"/>
                  <w:shd w:val="clear" w:color="auto" w:fill="auto"/>
                  <w:noWrap w:val="0"/>
                  <w:vAlign w:val="center"/>
                </w:tcPr>
                <w:p w14:paraId="445D4F80">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固态</w:t>
                  </w:r>
                </w:p>
              </w:tc>
              <w:tc>
                <w:tcPr>
                  <w:tcW w:w="523" w:type="pct"/>
                  <w:shd w:val="clear" w:color="auto" w:fill="auto"/>
                  <w:noWrap w:val="0"/>
                  <w:vAlign w:val="center"/>
                </w:tcPr>
                <w:p w14:paraId="074B0384">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26AF6061">
                  <w:pPr>
                    <w:keepNext w:val="0"/>
                    <w:keepLines w:val="0"/>
                    <w:pageBreakBefore w:val="0"/>
                    <w:widowControl/>
                    <w:kinsoku/>
                    <w:wordWrap/>
                    <w:overflowPunct/>
                    <w:topLinePunct w:val="0"/>
                    <w:autoSpaceDE/>
                    <w:autoSpaceDN/>
                    <w:bidi w:val="0"/>
                    <w:jc w:val="center"/>
                    <w:textAlignment w:val="center"/>
                    <w:rPr>
                      <w:rFonts w:hint="eastAsia" w:cs="Times New Roman"/>
                      <w:color w:val="000000"/>
                      <w:sz w:val="21"/>
                      <w:szCs w:val="21"/>
                      <w:highlight w:val="none"/>
                      <w:lang w:val="en-US" w:eastAsia="zh-CN"/>
                    </w:rPr>
                  </w:pPr>
                </w:p>
              </w:tc>
            </w:tr>
            <w:tr w14:paraId="4818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754" w:type="pct"/>
                  <w:noWrap w:val="0"/>
                  <w:vAlign w:val="center"/>
                </w:tcPr>
                <w:p w14:paraId="39C9BD0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eastAsia="zh-CN" w:bidi="ar"/>
                    </w:rPr>
                    <w:t>废</w:t>
                  </w:r>
                  <w:r>
                    <w:rPr>
                      <w:rFonts w:hint="eastAsia" w:cs="Times New Roman"/>
                      <w:color w:val="auto"/>
                      <w:kern w:val="0"/>
                      <w:sz w:val="21"/>
                      <w:szCs w:val="21"/>
                      <w:highlight w:val="none"/>
                      <w:lang w:eastAsia="zh-CN" w:bidi="ar"/>
                    </w:rPr>
                    <w:t>活性炭</w:t>
                  </w:r>
                </w:p>
              </w:tc>
              <w:tc>
                <w:tcPr>
                  <w:tcW w:w="1235" w:type="pct"/>
                  <w:noWrap w:val="0"/>
                  <w:vAlign w:val="center"/>
                </w:tcPr>
                <w:p w14:paraId="35AFE68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HW</w:t>
                  </w:r>
                  <w:r>
                    <w:rPr>
                      <w:rFonts w:hint="eastAsia" w:cs="Times New Roman"/>
                      <w:color w:val="auto"/>
                      <w:kern w:val="0"/>
                      <w:sz w:val="21"/>
                      <w:szCs w:val="21"/>
                      <w:highlight w:val="none"/>
                      <w:lang w:val="en-US" w:eastAsia="zh-CN" w:bidi="ar"/>
                    </w:rPr>
                    <w:t>4</w:t>
                  </w:r>
                  <w:r>
                    <w:rPr>
                      <w:rFonts w:hint="eastAsia" w:ascii="Times New Roman" w:hAnsi="Times New Roman" w:eastAsia="宋体" w:cs="Times New Roman"/>
                      <w:color w:val="auto"/>
                      <w:kern w:val="0"/>
                      <w:sz w:val="21"/>
                      <w:szCs w:val="21"/>
                      <w:highlight w:val="none"/>
                      <w:lang w:val="en-US" w:eastAsia="zh-CN" w:bidi="ar"/>
                    </w:rPr>
                    <w:t>9-</w:t>
                  </w:r>
                  <w:r>
                    <w:rPr>
                      <w:rFonts w:hint="default" w:ascii="Times New Roman" w:hAnsi="Times New Roman" w:eastAsia="宋体" w:cs="Times New Roman"/>
                      <w:color w:val="auto"/>
                      <w:kern w:val="0"/>
                      <w:sz w:val="21"/>
                      <w:szCs w:val="21"/>
                      <w:highlight w:val="none"/>
                      <w:lang w:val="en-US" w:eastAsia="zh-CN" w:bidi="ar"/>
                    </w:rPr>
                    <w:t>900-</w:t>
                  </w:r>
                  <w:r>
                    <w:rPr>
                      <w:rFonts w:hint="eastAsia" w:ascii="Times New Roman" w:hAnsi="Times New Roman" w:eastAsia="宋体" w:cs="Times New Roman"/>
                      <w:color w:val="auto"/>
                      <w:kern w:val="0"/>
                      <w:sz w:val="21"/>
                      <w:szCs w:val="21"/>
                      <w:highlight w:val="none"/>
                      <w:lang w:val="en-US" w:eastAsia="zh-CN" w:bidi="ar"/>
                    </w:rPr>
                    <w:t>0</w:t>
                  </w:r>
                  <w:r>
                    <w:rPr>
                      <w:rFonts w:hint="eastAsia" w:cs="Times New Roman"/>
                      <w:color w:val="auto"/>
                      <w:kern w:val="0"/>
                      <w:sz w:val="21"/>
                      <w:szCs w:val="21"/>
                      <w:highlight w:val="none"/>
                      <w:lang w:val="en-US" w:eastAsia="zh-CN" w:bidi="ar"/>
                    </w:rPr>
                    <w:t>39</w:t>
                  </w:r>
                  <w:r>
                    <w:rPr>
                      <w:rFonts w:hint="default" w:ascii="Times New Roman" w:hAnsi="Times New Roman" w:eastAsia="宋体"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49</w:t>
                  </w:r>
                </w:p>
              </w:tc>
              <w:tc>
                <w:tcPr>
                  <w:tcW w:w="592" w:type="pct"/>
                  <w:shd w:val="clear" w:color="auto" w:fill="auto"/>
                  <w:noWrap w:val="0"/>
                  <w:vAlign w:val="center"/>
                </w:tcPr>
                <w:p w14:paraId="6A54675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6.29</w:t>
                  </w:r>
                </w:p>
              </w:tc>
              <w:tc>
                <w:tcPr>
                  <w:tcW w:w="677" w:type="pct"/>
                  <w:noWrap w:val="0"/>
                  <w:vAlign w:val="center"/>
                </w:tcPr>
                <w:p w14:paraId="0877C098">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废气处理</w:t>
                  </w:r>
                </w:p>
              </w:tc>
              <w:tc>
                <w:tcPr>
                  <w:tcW w:w="402" w:type="pct"/>
                  <w:noWrap w:val="0"/>
                  <w:vAlign w:val="center"/>
                </w:tcPr>
                <w:p w14:paraId="1533FCD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固态</w:t>
                  </w:r>
                </w:p>
              </w:tc>
              <w:tc>
                <w:tcPr>
                  <w:tcW w:w="523" w:type="pct"/>
                  <w:noWrap w:val="0"/>
                  <w:vAlign w:val="center"/>
                </w:tcPr>
                <w:p w14:paraId="31ED950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06712ED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835C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7" w:hRule="atLeast"/>
              </w:trPr>
              <w:tc>
                <w:tcPr>
                  <w:tcW w:w="754" w:type="pct"/>
                  <w:shd w:val="clear" w:color="auto" w:fill="auto"/>
                  <w:noWrap w:val="0"/>
                  <w:vAlign w:val="center"/>
                </w:tcPr>
                <w:p w14:paraId="666B0EF9">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2"/>
                      <w:sz w:val="21"/>
                      <w:szCs w:val="21"/>
                      <w:highlight w:val="none"/>
                      <w:lang w:val="en-US" w:eastAsia="zh-CN" w:bidi="ar-SA"/>
                    </w:rPr>
                    <w:t>废滤料</w:t>
                  </w:r>
                </w:p>
              </w:tc>
              <w:tc>
                <w:tcPr>
                  <w:tcW w:w="1235" w:type="pct"/>
                  <w:shd w:val="clear" w:color="auto" w:fill="auto"/>
                  <w:noWrap w:val="0"/>
                  <w:vAlign w:val="center"/>
                </w:tcPr>
                <w:p w14:paraId="76CDCB83">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 w:val="21"/>
                      <w:szCs w:val="21"/>
                      <w:highlight w:val="none"/>
                      <w:lang w:val="en-US" w:eastAsia="zh-CN"/>
                    </w:rPr>
                    <w:t>HW</w:t>
                  </w:r>
                  <w:r>
                    <w:rPr>
                      <w:rFonts w:hint="eastAsia" w:cs="Times New Roman"/>
                      <w:color w:val="auto"/>
                      <w:sz w:val="21"/>
                      <w:szCs w:val="21"/>
                      <w:highlight w:val="none"/>
                      <w:lang w:val="en-US" w:eastAsia="zh-CN"/>
                    </w:rPr>
                    <w:t>49</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000000"/>
                      <w:sz w:val="21"/>
                      <w:szCs w:val="21"/>
                      <w:highlight w:val="none"/>
                      <w:lang w:val="en-US" w:eastAsia="zh-CN"/>
                    </w:rPr>
                    <w:t>900-</w:t>
                  </w:r>
                  <w:r>
                    <w:rPr>
                      <w:rFonts w:hint="eastAsia" w:cs="Times New Roman"/>
                      <w:color w:val="000000"/>
                      <w:sz w:val="21"/>
                      <w:szCs w:val="21"/>
                      <w:highlight w:val="none"/>
                      <w:lang w:val="en-US" w:eastAsia="zh-CN"/>
                    </w:rPr>
                    <w:t>041</w:t>
                  </w:r>
                  <w:r>
                    <w:rPr>
                      <w:rFonts w:hint="default" w:ascii="Times New Roman" w:hAnsi="Times New Roman" w:cs="Times New Roman"/>
                      <w:color w:val="000000"/>
                      <w:sz w:val="21"/>
                      <w:szCs w:val="21"/>
                      <w:highlight w:val="none"/>
                      <w:lang w:val="en-US" w:eastAsia="zh-CN"/>
                    </w:rPr>
                    <w:t>-</w:t>
                  </w:r>
                  <w:r>
                    <w:rPr>
                      <w:rFonts w:hint="eastAsia" w:cs="Times New Roman"/>
                      <w:color w:val="000000"/>
                      <w:sz w:val="21"/>
                      <w:szCs w:val="21"/>
                      <w:highlight w:val="none"/>
                      <w:lang w:val="en-US" w:eastAsia="zh-CN"/>
                    </w:rPr>
                    <w:t>49</w:t>
                  </w:r>
                </w:p>
              </w:tc>
              <w:tc>
                <w:tcPr>
                  <w:tcW w:w="592" w:type="pct"/>
                  <w:shd w:val="clear" w:color="auto" w:fill="auto"/>
                  <w:noWrap w:val="0"/>
                  <w:vAlign w:val="center"/>
                </w:tcPr>
                <w:p w14:paraId="7716F53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0.2032</w:t>
                  </w:r>
                </w:p>
              </w:tc>
              <w:tc>
                <w:tcPr>
                  <w:tcW w:w="677" w:type="pct"/>
                  <w:shd w:val="clear" w:color="auto" w:fill="auto"/>
                  <w:noWrap w:val="0"/>
                  <w:vAlign w:val="center"/>
                </w:tcPr>
                <w:p w14:paraId="2B38BDB6">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废气处理</w:t>
                  </w:r>
                </w:p>
              </w:tc>
              <w:tc>
                <w:tcPr>
                  <w:tcW w:w="402" w:type="pct"/>
                  <w:shd w:val="clear" w:color="auto" w:fill="auto"/>
                  <w:noWrap w:val="0"/>
                  <w:vAlign w:val="center"/>
                </w:tcPr>
                <w:p w14:paraId="4B879A13">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固态</w:t>
                  </w:r>
                </w:p>
              </w:tc>
              <w:tc>
                <w:tcPr>
                  <w:tcW w:w="523" w:type="pct"/>
                  <w:noWrap w:val="0"/>
                  <w:vAlign w:val="center"/>
                </w:tcPr>
                <w:p w14:paraId="7B2C80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583CD49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B9A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7" w:hRule="atLeast"/>
              </w:trPr>
              <w:tc>
                <w:tcPr>
                  <w:tcW w:w="754" w:type="pct"/>
                  <w:noWrap w:val="0"/>
                  <w:vAlign w:val="center"/>
                </w:tcPr>
                <w:p w14:paraId="5A36E578">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eastAsia="zh-CN" w:bidi="ar"/>
                    </w:rPr>
                    <w:t>废</w:t>
                  </w:r>
                  <w:r>
                    <w:rPr>
                      <w:rFonts w:hint="eastAsia" w:cs="Times New Roman"/>
                      <w:color w:val="auto"/>
                      <w:kern w:val="0"/>
                      <w:sz w:val="21"/>
                      <w:szCs w:val="21"/>
                      <w:highlight w:val="none"/>
                      <w:lang w:eastAsia="zh-CN" w:bidi="ar"/>
                    </w:rPr>
                    <w:t>机</w:t>
                  </w:r>
                  <w:r>
                    <w:rPr>
                      <w:rFonts w:hint="eastAsia" w:ascii="Times New Roman" w:hAnsi="Times New Roman" w:eastAsia="宋体" w:cs="Times New Roman"/>
                      <w:color w:val="auto"/>
                      <w:kern w:val="0"/>
                      <w:sz w:val="21"/>
                      <w:szCs w:val="21"/>
                      <w:highlight w:val="none"/>
                      <w:lang w:eastAsia="zh-CN" w:bidi="ar"/>
                    </w:rPr>
                    <w:t>油</w:t>
                  </w:r>
                </w:p>
              </w:tc>
              <w:tc>
                <w:tcPr>
                  <w:tcW w:w="1235" w:type="pct"/>
                  <w:noWrap w:val="0"/>
                  <w:vAlign w:val="center"/>
                </w:tcPr>
                <w:p w14:paraId="4279E06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 w:val="21"/>
                      <w:szCs w:val="21"/>
                      <w:highlight w:val="none"/>
                      <w:lang w:val="en-US" w:eastAsia="zh-CN"/>
                    </w:rPr>
                    <w:t>HW08-</w:t>
                  </w:r>
                  <w:r>
                    <w:rPr>
                      <w:rFonts w:hint="default" w:ascii="Times New Roman" w:hAnsi="Times New Roman" w:cs="Times New Roman"/>
                      <w:color w:val="000000"/>
                      <w:sz w:val="21"/>
                      <w:szCs w:val="21"/>
                      <w:highlight w:val="none"/>
                      <w:lang w:val="en-US" w:eastAsia="zh-CN"/>
                    </w:rPr>
                    <w:t>900-21</w:t>
                  </w:r>
                  <w:r>
                    <w:rPr>
                      <w:rFonts w:hint="eastAsia" w:cs="Times New Roman"/>
                      <w:color w:val="000000"/>
                      <w:sz w:val="21"/>
                      <w:szCs w:val="21"/>
                      <w:highlight w:val="none"/>
                      <w:lang w:val="en-US" w:eastAsia="zh-CN"/>
                    </w:rPr>
                    <w:t>4</w:t>
                  </w:r>
                  <w:r>
                    <w:rPr>
                      <w:rFonts w:hint="default" w:ascii="Times New Roman" w:hAnsi="Times New Roman" w:cs="Times New Roman"/>
                      <w:color w:val="000000"/>
                      <w:sz w:val="21"/>
                      <w:szCs w:val="21"/>
                      <w:highlight w:val="none"/>
                      <w:lang w:val="en-US" w:eastAsia="zh-CN"/>
                    </w:rPr>
                    <w:t>-08</w:t>
                  </w:r>
                </w:p>
              </w:tc>
              <w:tc>
                <w:tcPr>
                  <w:tcW w:w="592" w:type="pct"/>
                  <w:shd w:val="clear" w:color="auto" w:fill="auto"/>
                  <w:noWrap w:val="0"/>
                  <w:vAlign w:val="center"/>
                </w:tcPr>
                <w:p w14:paraId="77B52E2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w:t>
                  </w:r>
                </w:p>
              </w:tc>
              <w:tc>
                <w:tcPr>
                  <w:tcW w:w="677" w:type="pct"/>
                  <w:noWrap w:val="0"/>
                  <w:vAlign w:val="center"/>
                </w:tcPr>
                <w:p w14:paraId="3171EB2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设备维护</w:t>
                  </w:r>
                </w:p>
              </w:tc>
              <w:tc>
                <w:tcPr>
                  <w:tcW w:w="402" w:type="pct"/>
                  <w:noWrap w:val="0"/>
                  <w:vAlign w:val="center"/>
                </w:tcPr>
                <w:p w14:paraId="76B85FF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液态</w:t>
                  </w:r>
                </w:p>
              </w:tc>
              <w:tc>
                <w:tcPr>
                  <w:tcW w:w="523" w:type="pct"/>
                  <w:noWrap w:val="0"/>
                  <w:vAlign w:val="center"/>
                </w:tcPr>
                <w:p w14:paraId="0398B45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73E6F4C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76411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754" w:type="pct"/>
                  <w:noWrap w:val="0"/>
                  <w:vAlign w:val="center"/>
                </w:tcPr>
                <w:p w14:paraId="793ADB6B">
                  <w:pPr>
                    <w:keepNext w:val="0"/>
                    <w:keepLines w:val="0"/>
                    <w:pageBreakBefore w:val="0"/>
                    <w:widowControl/>
                    <w:kinsoku/>
                    <w:wordWrap/>
                    <w:overflowPunct/>
                    <w:topLinePunct w:val="0"/>
                    <w:autoSpaceDE/>
                    <w:autoSpaceDN/>
                    <w:bidi w:val="0"/>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废机油桶</w:t>
                  </w:r>
                </w:p>
              </w:tc>
              <w:tc>
                <w:tcPr>
                  <w:tcW w:w="1235" w:type="pct"/>
                  <w:noWrap w:val="0"/>
                  <w:vAlign w:val="center"/>
                </w:tcPr>
                <w:p w14:paraId="182749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auto"/>
                      <w:sz w:val="21"/>
                      <w:szCs w:val="21"/>
                      <w:highlight w:val="none"/>
                      <w:lang w:val="en-US" w:eastAsia="zh-CN"/>
                    </w:rPr>
                    <w:t>HW</w:t>
                  </w:r>
                  <w:r>
                    <w:rPr>
                      <w:rFonts w:hint="eastAsia" w:cs="Times New Roman"/>
                      <w:color w:val="auto"/>
                      <w:sz w:val="21"/>
                      <w:szCs w:val="21"/>
                      <w:highlight w:val="none"/>
                      <w:lang w:val="en-US" w:eastAsia="zh-CN"/>
                    </w:rPr>
                    <w:t>08</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000000"/>
                      <w:sz w:val="21"/>
                      <w:szCs w:val="21"/>
                      <w:highlight w:val="none"/>
                      <w:lang w:val="en-US" w:eastAsia="zh-CN"/>
                    </w:rPr>
                    <w:t>900-249-08</w:t>
                  </w:r>
                </w:p>
              </w:tc>
              <w:tc>
                <w:tcPr>
                  <w:tcW w:w="592" w:type="pct"/>
                  <w:shd w:val="clear" w:color="auto" w:fill="auto"/>
                  <w:noWrap w:val="0"/>
                  <w:vAlign w:val="center"/>
                </w:tcPr>
                <w:p w14:paraId="3752012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w:t>
                  </w:r>
                </w:p>
              </w:tc>
              <w:tc>
                <w:tcPr>
                  <w:tcW w:w="677" w:type="pct"/>
                  <w:shd w:val="clear" w:color="auto" w:fill="auto"/>
                  <w:noWrap w:val="0"/>
                  <w:vAlign w:val="center"/>
                </w:tcPr>
                <w:p w14:paraId="501BE77A">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设备维护</w:t>
                  </w:r>
                </w:p>
              </w:tc>
              <w:tc>
                <w:tcPr>
                  <w:tcW w:w="402" w:type="pct"/>
                  <w:shd w:val="clear" w:color="auto" w:fill="auto"/>
                  <w:noWrap w:val="0"/>
                  <w:vAlign w:val="center"/>
                </w:tcPr>
                <w:p w14:paraId="74E7DD4B">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固态</w:t>
                  </w:r>
                </w:p>
              </w:tc>
              <w:tc>
                <w:tcPr>
                  <w:tcW w:w="523" w:type="pct"/>
                  <w:noWrap w:val="0"/>
                  <w:vAlign w:val="center"/>
                </w:tcPr>
                <w:p w14:paraId="5FC9E11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096B73D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E12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754" w:type="pct"/>
                  <w:noWrap w:val="0"/>
                  <w:vAlign w:val="center"/>
                </w:tcPr>
                <w:p w14:paraId="7A8285E5">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eastAsia="zh-CN" w:bidi="ar"/>
                    </w:rPr>
                  </w:pPr>
                  <w:r>
                    <w:rPr>
                      <w:rFonts w:hint="eastAsia" w:cs="Times New Roman"/>
                      <w:color w:val="auto"/>
                      <w:kern w:val="0"/>
                      <w:sz w:val="21"/>
                      <w:szCs w:val="21"/>
                      <w:highlight w:val="none"/>
                      <w:lang w:eastAsia="zh-CN" w:bidi="ar"/>
                    </w:rPr>
                    <w:t>废含油抹布</w:t>
                  </w:r>
                </w:p>
              </w:tc>
              <w:tc>
                <w:tcPr>
                  <w:tcW w:w="1235" w:type="pct"/>
                  <w:noWrap w:val="0"/>
                  <w:vAlign w:val="center"/>
                </w:tcPr>
                <w:p w14:paraId="22FC585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HW49-900-041-49</w:t>
                  </w:r>
                </w:p>
              </w:tc>
              <w:tc>
                <w:tcPr>
                  <w:tcW w:w="592" w:type="pct"/>
                  <w:shd w:val="clear" w:color="auto" w:fill="auto"/>
                  <w:noWrap w:val="0"/>
                  <w:vAlign w:val="center"/>
                </w:tcPr>
                <w:p w14:paraId="7D1D98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0.01</w:t>
                  </w:r>
                </w:p>
              </w:tc>
              <w:tc>
                <w:tcPr>
                  <w:tcW w:w="677" w:type="pct"/>
                  <w:noWrap w:val="0"/>
                  <w:vAlign w:val="center"/>
                </w:tcPr>
                <w:p w14:paraId="6B93EA1A">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设备维护</w:t>
                  </w:r>
                </w:p>
              </w:tc>
              <w:tc>
                <w:tcPr>
                  <w:tcW w:w="402" w:type="pct"/>
                  <w:noWrap w:val="0"/>
                  <w:vAlign w:val="center"/>
                </w:tcPr>
                <w:p w14:paraId="6045F46D">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固态</w:t>
                  </w:r>
                </w:p>
              </w:tc>
              <w:tc>
                <w:tcPr>
                  <w:tcW w:w="523" w:type="pct"/>
                  <w:noWrap w:val="0"/>
                  <w:vAlign w:val="center"/>
                </w:tcPr>
                <w:p w14:paraId="66C4F87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4BFB8D57">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bl>
          <w:p w14:paraId="26FBFD50">
            <w:pPr>
              <w:pStyle w:val="40"/>
              <w:ind w:firstLine="42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贮存设施污染控制要求：</w:t>
            </w:r>
          </w:p>
          <w:p w14:paraId="7ED2F3FE">
            <w:pPr>
              <w:pStyle w:val="40"/>
              <w:ind w:firstLine="42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①贮存设施应根据危险废物的形态、物理化学性质、包装形式和污染物迁移途径，采取必要的防风、防晒、防雨、防漏、防渗、防腐以及其他环境污染防治措施，不应露天堆放危险废物。</w:t>
            </w:r>
          </w:p>
          <w:p w14:paraId="5910000B">
            <w:pPr>
              <w:pStyle w:val="40"/>
              <w:ind w:firstLine="42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②贮存设施应根据危险废物的类别、数量、形态、物理化学性质和污染防治等要求设置必要的贮存分区，避免不相容的危险废物接触、混合。</w:t>
            </w:r>
          </w:p>
          <w:p w14:paraId="49FB582D">
            <w:pPr>
              <w:pStyle w:val="40"/>
              <w:ind w:firstLine="42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③贮存设施或贮存分区内地面、墙面裙脚、堵截泄漏的围堰、接触危险废物的隔板和墙体等应采用坚固的材料建造，表面无裂缝。</w:t>
            </w:r>
          </w:p>
          <w:p w14:paraId="433419C5">
            <w:pPr>
              <w:pStyle w:val="40"/>
              <w:ind w:firstLine="42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④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ascii="Times New Roman" w:hAnsi="Times New Roman" w:eastAsia="宋体" w:cs="Times New Roman"/>
                <w:bCs/>
                <w:color w:val="auto"/>
                <w:sz w:val="24"/>
                <w:szCs w:val="24"/>
                <w:highlight w:val="none"/>
                <w:vertAlign w:val="superscript"/>
                <w:lang w:val="en-US" w:eastAsia="zh-CN"/>
              </w:rPr>
              <w:t>-7</w:t>
            </w:r>
            <w:r>
              <w:rPr>
                <w:rFonts w:hint="eastAsia" w:ascii="Times New Roman" w:hAnsi="Times New Roman" w:eastAsia="宋体" w:cs="Times New Roman"/>
                <w:bCs/>
                <w:color w:val="auto"/>
                <w:sz w:val="24"/>
                <w:szCs w:val="24"/>
                <w:highlight w:val="none"/>
                <w:lang w:val="en-US" w:eastAsia="zh-CN"/>
              </w:rPr>
              <w:t>cm/s），或至少2mm厚高密度聚乙烯膜等人工防渗材料（渗透系数不大于10</w:t>
            </w:r>
            <w:r>
              <w:rPr>
                <w:rFonts w:hint="eastAsia" w:ascii="Times New Roman" w:hAnsi="Times New Roman" w:eastAsia="宋体" w:cs="Times New Roman"/>
                <w:bCs/>
                <w:color w:val="auto"/>
                <w:sz w:val="24"/>
                <w:szCs w:val="24"/>
                <w:highlight w:val="none"/>
                <w:vertAlign w:val="superscript"/>
                <w:lang w:val="en-US" w:eastAsia="zh-CN"/>
              </w:rPr>
              <w:t>-10</w:t>
            </w:r>
            <w:r>
              <w:rPr>
                <w:rFonts w:hint="eastAsia" w:ascii="Times New Roman" w:hAnsi="Times New Roman" w:eastAsia="宋体" w:cs="Times New Roman"/>
                <w:bCs/>
                <w:color w:val="auto"/>
                <w:sz w:val="24"/>
                <w:szCs w:val="24"/>
                <w:highlight w:val="none"/>
                <w:lang w:val="en-US" w:eastAsia="zh-CN"/>
              </w:rPr>
              <w:t>cm/s），或其他防渗性能等效的材料。</w:t>
            </w:r>
          </w:p>
          <w:p w14:paraId="4FF2CEB8">
            <w:pPr>
              <w:pStyle w:val="40"/>
              <w:ind w:firstLine="42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⑤同一贮存设施宜采用相同的防渗、防腐工艺（包括防渗、防腐结构或材料），防渗、防腐材料应覆盖所有可能与废物及其渗滤液、渗漏液等接触的构筑物表面；采用不同防渗、防腐工艺应分别建设贮存分区。</w:t>
            </w:r>
          </w:p>
          <w:p w14:paraId="387A11DB">
            <w:pPr>
              <w:pStyle w:val="40"/>
              <w:ind w:firstLine="42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⑥贮存设施应采取技术和管理措施防止无关人员进入。</w:t>
            </w:r>
          </w:p>
          <w:p w14:paraId="6FC1A953">
            <w:pPr>
              <w:numPr>
                <w:ilvl w:val="0"/>
                <w:numId w:val="0"/>
              </w:numPr>
              <w:adjustRightInd w:val="0"/>
              <w:snapToGrid w:val="0"/>
              <w:spacing w:line="360" w:lineRule="auto"/>
              <w:ind w:firstLine="482" w:firstLineChars="200"/>
              <w:rPr>
                <w:rFonts w:hint="default"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lang w:val="en-US" w:eastAsia="zh-CN"/>
              </w:rPr>
              <w:t>（4）</w:t>
            </w:r>
            <w:r>
              <w:rPr>
                <w:rFonts w:hint="default" w:ascii="Times New Roman" w:hAnsi="Times New Roman" w:cs="Times New Roman"/>
                <w:b/>
                <w:bCs w:val="0"/>
                <w:color w:val="auto"/>
                <w:sz w:val="24"/>
                <w:szCs w:val="24"/>
                <w:highlight w:val="none"/>
              </w:rPr>
              <w:t>固废环境影响分析</w:t>
            </w:r>
          </w:p>
          <w:p w14:paraId="36EE0D70">
            <w:pPr>
              <w:pStyle w:val="40"/>
              <w:ind w:firstLine="420"/>
              <w:rPr>
                <w:rFonts w:hint="eastAsia" w:ascii="Times New Roman" w:hAnsi="Times New Roman" w:cs="Times New Roman"/>
                <w:bCs/>
                <w:color w:val="auto"/>
                <w:sz w:val="24"/>
                <w:szCs w:val="24"/>
                <w:highlight w:val="none"/>
                <w:lang w:eastAsia="zh-CN"/>
              </w:rPr>
            </w:pPr>
            <w:r>
              <w:rPr>
                <w:rFonts w:hint="eastAsia" w:cs="Times New Roman"/>
                <w:bCs/>
                <w:color w:val="auto"/>
                <w:sz w:val="24"/>
                <w:szCs w:val="24"/>
                <w:highlight w:val="none"/>
                <w:lang w:val="en-US" w:eastAsia="zh-CN"/>
              </w:rPr>
              <w:t>项目一般固废库位于项目厂房4层西北侧</w:t>
            </w:r>
            <w:r>
              <w:rPr>
                <w:rFonts w:hint="eastAsia" w:cs="Times New Roman"/>
                <w:bCs/>
                <w:color w:val="auto"/>
                <w:sz w:val="24"/>
                <w:szCs w:val="24"/>
                <w:highlight w:val="cyan"/>
                <w:lang w:val="en-US" w:eastAsia="zh-CN"/>
              </w:rPr>
              <w:t>，建筑面积约40m</w:t>
            </w:r>
            <w:r>
              <w:rPr>
                <w:rFonts w:hint="eastAsia" w:cs="Times New Roman"/>
                <w:bCs/>
                <w:color w:val="auto"/>
                <w:sz w:val="24"/>
                <w:szCs w:val="24"/>
                <w:highlight w:val="cyan"/>
                <w:vertAlign w:val="superscript"/>
                <w:lang w:val="en-US" w:eastAsia="zh-CN"/>
              </w:rPr>
              <w:t>2</w:t>
            </w:r>
            <w:r>
              <w:rPr>
                <w:rFonts w:hint="eastAsia" w:cs="Times New Roman"/>
                <w:bCs/>
                <w:color w:val="auto"/>
                <w:sz w:val="24"/>
                <w:szCs w:val="24"/>
                <w:highlight w:val="none"/>
                <w:vertAlign w:val="baseline"/>
                <w:lang w:val="en-US" w:eastAsia="zh-CN"/>
              </w:rPr>
              <w:t>，</w:t>
            </w:r>
            <w:r>
              <w:rPr>
                <w:rFonts w:hint="eastAsia" w:ascii="Times New Roman" w:hAnsi="Times New Roman" w:cs="Times New Roman"/>
                <w:bCs/>
                <w:color w:val="auto"/>
                <w:sz w:val="24"/>
                <w:szCs w:val="24"/>
                <w:highlight w:val="none"/>
                <w:lang w:eastAsia="zh-CN"/>
              </w:rPr>
              <w:t>一般固废物暂存区按照《一般工业固体废物贮存和填埋污染控制标准》（GB18599-2020）设计。设置防风、防晒、防雨措施，防止雨水径流进入贮存、处置场内。一般固废物暂存区按 GB15562.2 设置环境保护图形标志。建立检查维护和档案制度，定期检查维护导流渠等设施，发现有损坏可能或异常，及时采取必要措施，以保障正常运行，将产生和入场的一般工业固体废物的种类和数量以及检查维护资料详细记录在案，长期保存。</w:t>
            </w:r>
          </w:p>
          <w:p w14:paraId="6E5850B5">
            <w:pPr>
              <w:adjustRightInd w:val="0"/>
              <w:snapToGrid w:val="0"/>
              <w:spacing w:line="360" w:lineRule="auto"/>
              <w:ind w:firstLine="480" w:firstLineChars="200"/>
              <w:rPr>
                <w:rFonts w:hint="eastAsia" w:ascii="Times New Roman" w:hAnsi="Times New Roman" w:cs="Times New Roman"/>
                <w:bCs/>
                <w:color w:val="auto"/>
                <w:sz w:val="24"/>
                <w:szCs w:val="24"/>
                <w:highlight w:val="none"/>
                <w:lang w:eastAsia="zh-CN"/>
              </w:rPr>
            </w:pPr>
            <w:r>
              <w:rPr>
                <w:rFonts w:hint="eastAsia" w:cs="Times New Roman"/>
                <w:bCs/>
                <w:color w:val="auto"/>
                <w:sz w:val="24"/>
                <w:szCs w:val="24"/>
                <w:highlight w:val="none"/>
                <w:lang w:val="en-US" w:eastAsia="zh-CN"/>
              </w:rPr>
              <w:t>项目危废库位于项目</w:t>
            </w:r>
            <w:r>
              <w:rPr>
                <w:rFonts w:hint="eastAsia" w:ascii="Times New Roman" w:hAnsi="Times New Roman" w:cs="Times New Roman"/>
                <w:color w:val="auto"/>
                <w:sz w:val="24"/>
                <w:szCs w:val="24"/>
                <w:highlight w:val="none"/>
                <w:lang w:eastAsia="zh-CN"/>
              </w:rPr>
              <w:t>位于</w:t>
            </w:r>
            <w:r>
              <w:rPr>
                <w:rFonts w:hint="eastAsia" w:cs="Times New Roman"/>
                <w:color w:val="auto"/>
                <w:sz w:val="24"/>
                <w:szCs w:val="24"/>
                <w:highlight w:val="none"/>
                <w:lang w:val="en-US" w:eastAsia="zh-CN"/>
              </w:rPr>
              <w:t>厂房</w:t>
            </w:r>
            <w:r>
              <w:rPr>
                <w:rFonts w:hint="eastAsia" w:cs="Times New Roman"/>
                <w:color w:val="auto"/>
                <w:sz w:val="24"/>
                <w:szCs w:val="24"/>
                <w:highlight w:val="cyan"/>
                <w:lang w:val="en-US" w:eastAsia="zh-CN"/>
              </w:rPr>
              <w:t>4</w:t>
            </w:r>
            <w:r>
              <w:rPr>
                <w:rFonts w:hint="eastAsia" w:ascii="Times New Roman" w:hAnsi="Times New Roman" w:cs="Times New Roman"/>
                <w:color w:val="auto"/>
                <w:sz w:val="24"/>
                <w:szCs w:val="24"/>
                <w:highlight w:val="cyan"/>
                <w:lang w:val="en-US" w:eastAsia="zh-CN"/>
              </w:rPr>
              <w:t>层</w:t>
            </w:r>
            <w:r>
              <w:rPr>
                <w:rFonts w:hint="eastAsia" w:cs="Times New Roman"/>
                <w:color w:val="auto"/>
                <w:sz w:val="24"/>
                <w:szCs w:val="24"/>
                <w:highlight w:val="cyan"/>
                <w:lang w:val="en-US" w:eastAsia="zh-CN"/>
              </w:rPr>
              <w:t>西南侧</w:t>
            </w:r>
            <w:r>
              <w:rPr>
                <w:rFonts w:hint="eastAsia" w:cs="Times New Roman"/>
                <w:bCs/>
                <w:color w:val="auto"/>
                <w:sz w:val="24"/>
                <w:szCs w:val="24"/>
                <w:highlight w:val="cyan"/>
                <w:lang w:val="en-US" w:eastAsia="zh-CN"/>
              </w:rPr>
              <w:t>，建筑面积约40m</w:t>
            </w:r>
            <w:r>
              <w:rPr>
                <w:rFonts w:hint="eastAsia" w:cs="Times New Roman"/>
                <w:bCs/>
                <w:color w:val="auto"/>
                <w:sz w:val="24"/>
                <w:szCs w:val="24"/>
                <w:highlight w:val="cyan"/>
                <w:vertAlign w:val="superscript"/>
                <w:lang w:val="en-US" w:eastAsia="zh-CN"/>
              </w:rPr>
              <w:t>2</w:t>
            </w:r>
            <w:r>
              <w:rPr>
                <w:rFonts w:hint="eastAsia" w:cs="Times New Roman"/>
                <w:bCs/>
                <w:color w:val="auto"/>
                <w:sz w:val="24"/>
                <w:szCs w:val="24"/>
                <w:highlight w:val="none"/>
                <w:vertAlign w:val="baseline"/>
                <w:lang w:val="en-US" w:eastAsia="zh-CN"/>
              </w:rPr>
              <w:t>，</w:t>
            </w:r>
            <w:r>
              <w:rPr>
                <w:rFonts w:hint="eastAsia" w:cs="Times New Roman"/>
                <w:bCs/>
                <w:color w:val="auto"/>
                <w:sz w:val="24"/>
                <w:szCs w:val="24"/>
                <w:highlight w:val="none"/>
                <w:lang w:eastAsia="zh-CN"/>
              </w:rPr>
              <w:t>危废库</w:t>
            </w:r>
            <w:r>
              <w:rPr>
                <w:rFonts w:hint="eastAsia" w:ascii="Times New Roman" w:hAnsi="Times New Roman" w:cs="Times New Roman"/>
                <w:bCs/>
                <w:color w:val="auto"/>
                <w:sz w:val="24"/>
                <w:szCs w:val="24"/>
                <w:highlight w:val="none"/>
                <w:lang w:eastAsia="zh-CN"/>
              </w:rPr>
              <w:t>按照《危险废物贮存污染控制标准》(GB18597-20</w:t>
            </w:r>
            <w:r>
              <w:rPr>
                <w:rFonts w:hint="eastAsia" w:cs="Times New Roman"/>
                <w:bCs/>
                <w:color w:val="auto"/>
                <w:sz w:val="24"/>
                <w:szCs w:val="24"/>
                <w:highlight w:val="none"/>
                <w:lang w:val="en-US" w:eastAsia="zh-CN"/>
              </w:rPr>
              <w:t>23</w:t>
            </w:r>
            <w:r>
              <w:rPr>
                <w:rFonts w:hint="eastAsia" w:ascii="Times New Roman" w:hAnsi="Times New Roman" w:cs="Times New Roman"/>
                <w:bCs/>
                <w:color w:val="auto"/>
                <w:sz w:val="24"/>
                <w:szCs w:val="24"/>
                <w:highlight w:val="none"/>
                <w:lang w:eastAsia="zh-CN"/>
              </w:rPr>
              <w:t>）及《建设项目危险废物环境影响评价指南》的规定设置。做到防风、防雨、防渗漏。地面基础必须防渗，渗透系数</w:t>
            </w:r>
            <w:r>
              <w:rPr>
                <w:rFonts w:hint="eastAsia" w:cs="Times New Roman"/>
                <w:bCs/>
                <w:color w:val="auto"/>
                <w:sz w:val="24"/>
                <w:szCs w:val="24"/>
                <w:highlight w:val="none"/>
                <w:lang w:eastAsia="zh-CN"/>
              </w:rPr>
              <w:t>不小于</w:t>
            </w:r>
            <w:r>
              <w:rPr>
                <w:rFonts w:hint="eastAsia" w:ascii="Times New Roman" w:hAnsi="Times New Roman" w:cs="Times New Roman"/>
                <w:bCs/>
                <w:color w:val="auto"/>
                <w:sz w:val="24"/>
                <w:szCs w:val="24"/>
                <w:highlight w:val="none"/>
                <w:lang w:eastAsia="zh-CN"/>
              </w:rPr>
              <w:t>&lt;10</w:t>
            </w:r>
            <w:r>
              <w:rPr>
                <w:rFonts w:hint="eastAsia" w:ascii="Times New Roman" w:hAnsi="Times New Roman" w:cs="Times New Roman"/>
                <w:bCs/>
                <w:color w:val="auto"/>
                <w:sz w:val="24"/>
                <w:szCs w:val="24"/>
                <w:highlight w:val="none"/>
                <w:vertAlign w:val="superscript"/>
                <w:lang w:eastAsia="zh-CN"/>
              </w:rPr>
              <w:t>-</w:t>
            </w:r>
            <w:r>
              <w:rPr>
                <w:rFonts w:hint="eastAsia" w:cs="Times New Roman"/>
                <w:bCs/>
                <w:color w:val="auto"/>
                <w:sz w:val="24"/>
                <w:szCs w:val="24"/>
                <w:highlight w:val="none"/>
                <w:vertAlign w:val="superscript"/>
                <w:lang w:val="en-US" w:eastAsia="zh-CN"/>
              </w:rPr>
              <w:t>7</w:t>
            </w:r>
            <w:r>
              <w:rPr>
                <w:rFonts w:hint="eastAsia" w:ascii="Times New Roman" w:hAnsi="Times New Roman" w:cs="Times New Roman"/>
                <w:bCs/>
                <w:color w:val="auto"/>
                <w:sz w:val="24"/>
                <w:szCs w:val="24"/>
                <w:highlight w:val="none"/>
                <w:lang w:eastAsia="zh-CN"/>
              </w:rPr>
              <w:t>cm/s。</w:t>
            </w:r>
            <w:r>
              <w:rPr>
                <w:rFonts w:hint="eastAsia" w:cs="Times New Roman"/>
                <w:bCs/>
                <w:color w:val="auto"/>
                <w:sz w:val="24"/>
                <w:szCs w:val="24"/>
                <w:highlight w:val="none"/>
                <w:lang w:eastAsia="zh-CN"/>
              </w:rPr>
              <w:t>危废库</w:t>
            </w:r>
            <w:r>
              <w:rPr>
                <w:rFonts w:hint="eastAsia" w:ascii="Times New Roman" w:hAnsi="Times New Roman" w:cs="Times New Roman"/>
                <w:bCs/>
                <w:color w:val="auto"/>
                <w:sz w:val="24"/>
                <w:szCs w:val="24"/>
                <w:highlight w:val="none"/>
                <w:lang w:eastAsia="zh-CN"/>
              </w:rPr>
              <w:t>门口设置有堵截泄漏的裙脚、围堰等设施。危废暂存间内设置不渗透间隔分开的区域，每个部分设置防漏裙脚或储漏盘。</w:t>
            </w:r>
          </w:p>
          <w:p w14:paraId="66E4E12A">
            <w:pPr>
              <w:adjustRightInd w:val="0"/>
              <w:snapToGrid w:val="0"/>
              <w:spacing w:line="360" w:lineRule="auto"/>
              <w:ind w:firstLine="480" w:firstLineChars="200"/>
              <w:rPr>
                <w:rFonts w:hint="eastAsia" w:ascii="Times New Roman" w:hAnsi="Times New Roman" w:cs="Times New Roman"/>
                <w:bCs/>
                <w:color w:val="auto"/>
                <w:sz w:val="24"/>
                <w:szCs w:val="24"/>
                <w:highlight w:val="none"/>
                <w:lang w:eastAsia="zh-CN"/>
              </w:rPr>
            </w:pPr>
            <w:r>
              <w:rPr>
                <w:rFonts w:hint="eastAsia" w:ascii="Times New Roman" w:hAnsi="Times New Roman" w:cs="Times New Roman"/>
                <w:bCs/>
                <w:color w:val="auto"/>
                <w:sz w:val="24"/>
                <w:szCs w:val="24"/>
                <w:highlight w:val="none"/>
                <w:lang w:eastAsia="zh-CN"/>
              </w:rPr>
              <w:t>项目产生的</w:t>
            </w:r>
            <w:bookmarkStart w:id="3" w:name="OLE_LINK2"/>
            <w:r>
              <w:rPr>
                <w:rFonts w:hint="eastAsia" w:ascii="Times New Roman" w:hAnsi="Times New Roman" w:cs="Times New Roman"/>
                <w:bCs/>
                <w:color w:val="auto"/>
                <w:sz w:val="24"/>
                <w:szCs w:val="24"/>
                <w:highlight w:val="none"/>
                <w:lang w:eastAsia="zh-CN"/>
              </w:rPr>
              <w:t>危险废物暂存期不</w:t>
            </w:r>
            <w:r>
              <w:rPr>
                <w:rFonts w:hint="eastAsia" w:cs="Times New Roman"/>
                <w:bCs/>
                <w:color w:val="auto"/>
                <w:sz w:val="24"/>
                <w:szCs w:val="24"/>
                <w:highlight w:val="none"/>
                <w:lang w:val="en-US" w:eastAsia="zh-CN"/>
              </w:rPr>
              <w:t>得</w:t>
            </w:r>
            <w:r>
              <w:rPr>
                <w:rFonts w:hint="eastAsia" w:ascii="Times New Roman" w:hAnsi="Times New Roman" w:cs="Times New Roman"/>
                <w:bCs/>
                <w:color w:val="auto"/>
                <w:sz w:val="24"/>
                <w:szCs w:val="24"/>
                <w:highlight w:val="none"/>
                <w:lang w:eastAsia="zh-CN"/>
              </w:rPr>
              <w:t>超过</w:t>
            </w:r>
            <w:r>
              <w:rPr>
                <w:rFonts w:hint="eastAsia" w:cs="Times New Roman"/>
                <w:bCs/>
                <w:color w:val="auto"/>
                <w:sz w:val="24"/>
                <w:szCs w:val="24"/>
                <w:highlight w:val="none"/>
                <w:lang w:val="en-US" w:eastAsia="zh-CN"/>
              </w:rPr>
              <w:t>一</w:t>
            </w:r>
            <w:r>
              <w:rPr>
                <w:rFonts w:hint="eastAsia" w:ascii="Times New Roman" w:hAnsi="Times New Roman" w:cs="Times New Roman"/>
                <w:bCs/>
                <w:color w:val="auto"/>
                <w:sz w:val="24"/>
                <w:szCs w:val="24"/>
                <w:highlight w:val="none"/>
                <w:lang w:eastAsia="zh-CN"/>
              </w:rPr>
              <w:t>年</w:t>
            </w:r>
            <w:bookmarkEnd w:id="3"/>
            <w:r>
              <w:rPr>
                <w:rFonts w:hint="eastAsia" w:ascii="Times New Roman" w:hAnsi="Times New Roman" w:cs="Times New Roman"/>
                <w:bCs/>
                <w:color w:val="auto"/>
                <w:sz w:val="24"/>
                <w:szCs w:val="24"/>
                <w:highlight w:val="none"/>
                <w:lang w:eastAsia="zh-CN"/>
              </w:rPr>
              <w:t>，拟采取的处置措施及去向必须向当地环境主管部门申报，填报危险废物转移五联单。</w:t>
            </w:r>
          </w:p>
          <w:p w14:paraId="6D6AC1DE">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val="en-US" w:eastAsia="zh-CN"/>
              </w:rPr>
              <w:t>5</w:t>
            </w:r>
            <w:r>
              <w:rPr>
                <w:rFonts w:hint="default" w:ascii="Times New Roman" w:hAnsi="Times New Roman" w:cs="Times New Roman"/>
                <w:b/>
                <w:color w:val="auto"/>
                <w:spacing w:val="-10"/>
                <w:sz w:val="24"/>
                <w:szCs w:val="24"/>
                <w:highlight w:val="none"/>
              </w:rPr>
              <w:t>、地下水、土壤环境影响分析</w:t>
            </w:r>
          </w:p>
          <w:p w14:paraId="4A460D71">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本项目在现有厂房内进行建设，厂区地面已硬化，无污染土壤及地下水环境的途径，不会对土壤及地下水环境产生影响。</w:t>
            </w:r>
          </w:p>
          <w:p w14:paraId="1E6CEE6E">
            <w:pPr>
              <w:spacing w:line="360" w:lineRule="auto"/>
              <w:ind w:firstLine="480" w:firstLineChars="200"/>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项目车间采用标准厂房，原料及废弃物严禁在室外露天堆放，厂房内地面采用水泥硬化。</w:t>
            </w:r>
            <w:r>
              <w:rPr>
                <w:rFonts w:hint="default"/>
                <w:color w:val="000000" w:themeColor="text1"/>
                <w:sz w:val="24"/>
                <w:szCs w:val="24"/>
                <w:highlight w:val="none"/>
                <w:lang w:val="en-US" w:eastAsia="zh-CN"/>
                <w14:textFill>
                  <w14:solidFill>
                    <w14:schemeClr w14:val="tx1"/>
                  </w14:solidFill>
                </w14:textFill>
              </w:rPr>
              <w:t>生产过程中对地下水和土壤不造成污染影响，项目可能对地下水、土壤环境造成影响的环节主要为危废间泄</w:t>
            </w:r>
            <w:r>
              <w:rPr>
                <w:rFonts w:hint="eastAsia"/>
                <w:color w:val="000000" w:themeColor="text1"/>
                <w:sz w:val="24"/>
                <w:szCs w:val="24"/>
                <w:highlight w:val="none"/>
                <w:lang w:val="en-US" w:eastAsia="zh-CN"/>
                <w14:textFill>
                  <w14:solidFill>
                    <w14:schemeClr w14:val="tx1"/>
                  </w14:solidFill>
                </w14:textFill>
              </w:rPr>
              <w:t>漏</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本</w:t>
            </w:r>
            <w:r>
              <w:rPr>
                <w:rFonts w:hint="default" w:ascii="Times New Roman" w:hAnsi="Times New Roman" w:cs="Times New Roman"/>
                <w:color w:val="auto"/>
                <w:sz w:val="24"/>
                <w:szCs w:val="24"/>
                <w:highlight w:val="none"/>
              </w:rPr>
              <w:t>评价要求建设项目采取分区防渗措施，具体的防渗防控措施见下表。</w:t>
            </w:r>
          </w:p>
          <w:p w14:paraId="7EED0213">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表4-</w:t>
            </w:r>
            <w:r>
              <w:rPr>
                <w:rFonts w:hint="eastAsia" w:ascii="Times New Roman" w:hAnsi="Times New Roman" w:eastAsia="宋体" w:cs="Times New Roman"/>
                <w:b/>
                <w:color w:val="auto"/>
                <w:kern w:val="2"/>
                <w:sz w:val="24"/>
                <w:szCs w:val="24"/>
                <w:highlight w:val="none"/>
                <w:lang w:val="en-US" w:eastAsia="zh-CN"/>
              </w:rPr>
              <w:t xml:space="preserve">19  </w:t>
            </w:r>
            <w:r>
              <w:rPr>
                <w:rFonts w:hint="default" w:ascii="Times New Roman" w:hAnsi="Times New Roman" w:eastAsia="宋体" w:cs="Times New Roman"/>
                <w:b/>
                <w:color w:val="auto"/>
                <w:kern w:val="2"/>
                <w:sz w:val="24"/>
                <w:szCs w:val="24"/>
                <w:highlight w:val="none"/>
                <w:lang w:eastAsia="zh-CN"/>
              </w:rPr>
              <w:t>项目采取的防腐防渗措施一览表</w:t>
            </w:r>
          </w:p>
          <w:tbl>
            <w:tblPr>
              <w:tblStyle w:val="22"/>
              <w:tblW w:w="7660" w:type="dxa"/>
              <w:jc w:val="center"/>
              <w:tblLayout w:type="fixed"/>
              <w:tblCellMar>
                <w:top w:w="0" w:type="dxa"/>
                <w:left w:w="0" w:type="dxa"/>
                <w:bottom w:w="0" w:type="dxa"/>
                <w:right w:w="0" w:type="dxa"/>
              </w:tblCellMar>
            </w:tblPr>
            <w:tblGrid>
              <w:gridCol w:w="1353"/>
              <w:gridCol w:w="1583"/>
              <w:gridCol w:w="4724"/>
            </w:tblGrid>
            <w:tr w14:paraId="479C24BA">
              <w:tblPrEx>
                <w:tblCellMar>
                  <w:top w:w="0" w:type="dxa"/>
                  <w:left w:w="0" w:type="dxa"/>
                  <w:bottom w:w="0" w:type="dxa"/>
                  <w:right w:w="0" w:type="dxa"/>
                </w:tblCellMar>
              </w:tblPrEx>
              <w:trPr>
                <w:trHeight w:val="34" w:hRule="atLeast"/>
                <w:jc w:val="center"/>
              </w:trPr>
              <w:tc>
                <w:tcPr>
                  <w:tcW w:w="8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DCFF71">
                  <w:pPr>
                    <w:widowControl/>
                    <w:spacing w:line="240" w:lineRule="auto"/>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kern w:val="0"/>
                      <w:sz w:val="21"/>
                      <w:szCs w:val="21"/>
                      <w:highlight w:val="none"/>
                      <w:lang w:bidi="ar"/>
                    </w:rPr>
                    <w:t>序号</w:t>
                  </w:r>
                </w:p>
              </w:tc>
              <w:tc>
                <w:tcPr>
                  <w:tcW w:w="103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6B8630">
                  <w:pPr>
                    <w:widowControl/>
                    <w:spacing w:line="240" w:lineRule="auto"/>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kern w:val="0"/>
                      <w:sz w:val="21"/>
                      <w:szCs w:val="21"/>
                      <w:highlight w:val="none"/>
                      <w:lang w:bidi="ar"/>
                    </w:rPr>
                    <w:t>名称</w:t>
                  </w:r>
                </w:p>
              </w:tc>
              <w:tc>
                <w:tcPr>
                  <w:tcW w:w="30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3954FC">
                  <w:pPr>
                    <w:widowControl/>
                    <w:spacing w:line="240" w:lineRule="auto"/>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kern w:val="0"/>
                      <w:sz w:val="21"/>
                      <w:szCs w:val="21"/>
                      <w:highlight w:val="none"/>
                      <w:lang w:bidi="ar"/>
                    </w:rPr>
                    <w:t>防腐防渗措施</w:t>
                  </w:r>
                </w:p>
              </w:tc>
            </w:tr>
            <w:tr w14:paraId="19D4B77D">
              <w:tblPrEx>
                <w:tblCellMar>
                  <w:top w:w="0" w:type="dxa"/>
                  <w:left w:w="0" w:type="dxa"/>
                  <w:bottom w:w="0" w:type="dxa"/>
                  <w:right w:w="0" w:type="dxa"/>
                </w:tblCellMar>
              </w:tblPrEx>
              <w:trPr>
                <w:trHeight w:val="975" w:hRule="atLeast"/>
                <w:jc w:val="center"/>
              </w:trPr>
              <w:tc>
                <w:tcPr>
                  <w:tcW w:w="883" w:type="pct"/>
                  <w:tcBorders>
                    <w:top w:val="single" w:color="000000" w:sz="4" w:space="0"/>
                    <w:left w:val="single" w:color="000000" w:sz="4" w:space="0"/>
                    <w:right w:val="single" w:color="000000" w:sz="4" w:space="0"/>
                  </w:tcBorders>
                  <w:noWrap w:val="0"/>
                  <w:tcMar>
                    <w:top w:w="15" w:type="dxa"/>
                    <w:left w:w="15" w:type="dxa"/>
                    <w:right w:w="15" w:type="dxa"/>
                  </w:tcMar>
                  <w:vAlign w:val="center"/>
                </w:tcPr>
                <w:p w14:paraId="0EF0B193">
                  <w:pPr>
                    <w:widowControl/>
                    <w:spacing w:line="240" w:lineRule="auto"/>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重点防渗区</w:t>
                  </w:r>
                </w:p>
              </w:tc>
              <w:tc>
                <w:tcPr>
                  <w:tcW w:w="103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8ADE5B">
                  <w:pPr>
                    <w:widowControl/>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危废库</w:t>
                  </w:r>
                </w:p>
              </w:tc>
              <w:tc>
                <w:tcPr>
                  <w:tcW w:w="3083" w:type="pct"/>
                  <w:tcBorders>
                    <w:top w:val="single" w:color="000000" w:sz="4" w:space="0"/>
                    <w:left w:val="single" w:color="000000" w:sz="4" w:space="0"/>
                    <w:right w:val="single" w:color="auto" w:sz="4" w:space="0"/>
                  </w:tcBorders>
                  <w:noWrap w:val="0"/>
                  <w:tcMar>
                    <w:top w:w="15" w:type="dxa"/>
                    <w:left w:w="15" w:type="dxa"/>
                    <w:right w:w="15" w:type="dxa"/>
                  </w:tcMar>
                  <w:vAlign w:val="center"/>
                </w:tcPr>
                <w:p w14:paraId="1E3D13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rPr>
                  </w:pPr>
                  <w:r>
                    <w:rPr>
                      <w:rFonts w:hint="eastAsia" w:ascii="Times New Roman" w:hAnsi="Times New Roman" w:eastAsia="宋体" w:cs="Times New Roman"/>
                      <w:color w:val="000000"/>
                      <w:sz w:val="21"/>
                      <w:szCs w:val="21"/>
                      <w:highlight w:val="none"/>
                      <w:lang w:val="en-US" w:eastAsia="zh-CN"/>
                    </w:rPr>
                    <w:t>等效黏土防渗层（厚度）Mb≧6.0m、渗透系数K≦1.0×10</w:t>
                  </w:r>
                  <w:r>
                    <w:rPr>
                      <w:rFonts w:hint="eastAsia" w:ascii="Times New Roman" w:hAnsi="Times New Roman" w:eastAsia="宋体" w:cs="Times New Roman"/>
                      <w:color w:val="000000"/>
                      <w:sz w:val="21"/>
                      <w:szCs w:val="21"/>
                      <w:highlight w:val="none"/>
                      <w:vertAlign w:val="superscript"/>
                      <w:lang w:val="en-US" w:eastAsia="zh-CN"/>
                    </w:rPr>
                    <w:t>-7</w:t>
                  </w:r>
                  <w:r>
                    <w:rPr>
                      <w:rFonts w:hint="eastAsia" w:ascii="Times New Roman" w:hAnsi="Times New Roman" w:eastAsia="宋体" w:cs="Times New Roman"/>
                      <w:color w:val="000000"/>
                      <w:sz w:val="21"/>
                      <w:szCs w:val="21"/>
                      <w:highlight w:val="none"/>
                      <w:lang w:val="en-US" w:eastAsia="zh-CN"/>
                    </w:rPr>
                    <w:t>cm/s</w:t>
                  </w:r>
                </w:p>
              </w:tc>
            </w:tr>
            <w:tr w14:paraId="71EDACDA">
              <w:tblPrEx>
                <w:tblCellMar>
                  <w:top w:w="0" w:type="dxa"/>
                  <w:left w:w="0" w:type="dxa"/>
                  <w:bottom w:w="0" w:type="dxa"/>
                  <w:right w:w="0" w:type="dxa"/>
                </w:tblCellMar>
              </w:tblPrEx>
              <w:trPr>
                <w:trHeight w:val="34" w:hRule="atLeast"/>
                <w:jc w:val="center"/>
              </w:trPr>
              <w:tc>
                <w:tcPr>
                  <w:tcW w:w="8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75D510">
                  <w:pPr>
                    <w:widowControl/>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一般防渗区</w:t>
                  </w:r>
                </w:p>
              </w:tc>
              <w:tc>
                <w:tcPr>
                  <w:tcW w:w="103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D7345B">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bidi="ar"/>
                    </w:rPr>
                  </w:pPr>
                  <w:r>
                    <w:rPr>
                      <w:rFonts w:hint="default" w:ascii="Times New Roman" w:hAnsi="Times New Roman" w:eastAsia="宋体" w:cs="Times New Roman"/>
                      <w:color w:val="auto"/>
                      <w:kern w:val="0"/>
                      <w:sz w:val="21"/>
                      <w:szCs w:val="21"/>
                      <w:highlight w:val="none"/>
                      <w:lang w:bidi="ar"/>
                    </w:rPr>
                    <w:t>生产</w:t>
                  </w:r>
                  <w:r>
                    <w:rPr>
                      <w:rFonts w:hint="eastAsia" w:cs="Times New Roman"/>
                      <w:color w:val="auto"/>
                      <w:kern w:val="0"/>
                      <w:sz w:val="21"/>
                      <w:szCs w:val="21"/>
                      <w:highlight w:val="none"/>
                      <w:lang w:eastAsia="zh-CN" w:bidi="ar"/>
                    </w:rPr>
                    <w:t>车间、</w:t>
                  </w:r>
                  <w:r>
                    <w:rPr>
                      <w:rFonts w:hint="eastAsia" w:cs="Times New Roman"/>
                      <w:color w:val="auto"/>
                      <w:kern w:val="0"/>
                      <w:sz w:val="21"/>
                      <w:szCs w:val="21"/>
                      <w:highlight w:val="none"/>
                      <w:lang w:val="en-US" w:eastAsia="zh-CN" w:bidi="ar"/>
                    </w:rPr>
                    <w:t>原辅料仓库</w:t>
                  </w:r>
                </w:p>
              </w:tc>
              <w:tc>
                <w:tcPr>
                  <w:tcW w:w="30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1908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bidi="ar"/>
                    </w:rPr>
                  </w:pPr>
                  <w:r>
                    <w:rPr>
                      <w:rFonts w:hint="eastAsia" w:ascii="Times New Roman" w:hAnsi="Times New Roman" w:eastAsia="宋体" w:cs="Times New Roman"/>
                      <w:color w:val="000000"/>
                      <w:sz w:val="21"/>
                      <w:szCs w:val="21"/>
                      <w:highlight w:val="none"/>
                      <w:lang w:val="en-US" w:eastAsia="zh-CN"/>
                    </w:rPr>
                    <w:t>等效黏土防渗层（厚度）Mb≧1.5m、渗透系数K≦1.0×10</w:t>
                  </w:r>
                  <w:r>
                    <w:rPr>
                      <w:rFonts w:hint="eastAsia" w:ascii="Times New Roman" w:hAnsi="Times New Roman" w:eastAsia="宋体" w:cs="Times New Roman"/>
                      <w:color w:val="000000"/>
                      <w:sz w:val="21"/>
                      <w:szCs w:val="21"/>
                      <w:highlight w:val="none"/>
                      <w:vertAlign w:val="superscript"/>
                      <w:lang w:val="en-US" w:eastAsia="zh-CN"/>
                    </w:rPr>
                    <w:t>-7</w:t>
                  </w:r>
                  <w:r>
                    <w:rPr>
                      <w:rFonts w:hint="eastAsia" w:ascii="Times New Roman" w:hAnsi="Times New Roman" w:eastAsia="宋体" w:cs="Times New Roman"/>
                      <w:color w:val="000000"/>
                      <w:sz w:val="21"/>
                      <w:szCs w:val="21"/>
                      <w:highlight w:val="none"/>
                      <w:lang w:val="en-US" w:eastAsia="zh-CN"/>
                    </w:rPr>
                    <w:t>cm/s</w:t>
                  </w:r>
                </w:p>
              </w:tc>
            </w:tr>
            <w:tr w14:paraId="633A35C8">
              <w:tblPrEx>
                <w:tblCellMar>
                  <w:top w:w="0" w:type="dxa"/>
                  <w:left w:w="0" w:type="dxa"/>
                  <w:bottom w:w="0" w:type="dxa"/>
                  <w:right w:w="0" w:type="dxa"/>
                </w:tblCellMar>
              </w:tblPrEx>
              <w:trPr>
                <w:trHeight w:val="34" w:hRule="atLeast"/>
                <w:jc w:val="center"/>
              </w:trPr>
              <w:tc>
                <w:tcPr>
                  <w:tcW w:w="8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BEAE7D">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eastAsia="en-US" w:bidi="ar"/>
                    </w:rPr>
                  </w:pPr>
                  <w:r>
                    <w:rPr>
                      <w:rFonts w:hint="default" w:ascii="Times New Roman" w:hAnsi="Times New Roman" w:eastAsia="宋体" w:cs="Times New Roman"/>
                      <w:color w:val="auto"/>
                      <w:kern w:val="0"/>
                      <w:sz w:val="21"/>
                      <w:szCs w:val="21"/>
                      <w:highlight w:val="none"/>
                      <w:lang w:bidi="ar"/>
                    </w:rPr>
                    <w:t>简单防渗区</w:t>
                  </w:r>
                </w:p>
              </w:tc>
              <w:tc>
                <w:tcPr>
                  <w:tcW w:w="103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661B1A">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eastAsia="en-US" w:bidi="ar"/>
                    </w:rPr>
                  </w:pPr>
                  <w:r>
                    <w:rPr>
                      <w:rFonts w:hint="default" w:ascii="Times New Roman" w:hAnsi="Times New Roman" w:eastAsia="宋体" w:cs="Times New Roman"/>
                      <w:color w:val="auto"/>
                      <w:kern w:val="0"/>
                      <w:sz w:val="21"/>
                      <w:szCs w:val="21"/>
                      <w:highlight w:val="none"/>
                      <w:lang w:bidi="ar"/>
                    </w:rPr>
                    <w:t>其他</w:t>
                  </w:r>
                </w:p>
              </w:tc>
              <w:tc>
                <w:tcPr>
                  <w:tcW w:w="30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2B86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en-US" w:bidi="ar"/>
                    </w:rPr>
                  </w:pPr>
                  <w:r>
                    <w:rPr>
                      <w:rFonts w:hint="eastAsia" w:cs="Times New Roman"/>
                      <w:color w:val="000000"/>
                      <w:sz w:val="21"/>
                      <w:szCs w:val="21"/>
                      <w:highlight w:val="none"/>
                      <w:lang w:val="en-US" w:eastAsia="zh-CN"/>
                    </w:rPr>
                    <w:t>一般</w:t>
                  </w:r>
                  <w:r>
                    <w:rPr>
                      <w:rFonts w:hint="eastAsia" w:ascii="Times New Roman" w:hAnsi="Times New Roman" w:eastAsia="宋体" w:cs="Times New Roman"/>
                      <w:color w:val="000000"/>
                      <w:sz w:val="21"/>
                      <w:szCs w:val="21"/>
                      <w:highlight w:val="none"/>
                      <w:lang w:val="en-US" w:eastAsia="zh-CN"/>
                    </w:rPr>
                    <w:t>地面硬化</w:t>
                  </w:r>
                </w:p>
              </w:tc>
            </w:tr>
          </w:tbl>
          <w:p w14:paraId="5A66337F">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项目采取了严格的防泄漏、防渗措施，基本上排除了土壤及地下水污染途径。</w:t>
            </w:r>
          </w:p>
          <w:p w14:paraId="1DEDD8EB">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6</w:t>
            </w:r>
            <w:r>
              <w:rPr>
                <w:rFonts w:hint="default" w:ascii="Times New Roman" w:hAnsi="Times New Roman" w:cs="Times New Roman"/>
                <w:b/>
                <w:bCs/>
                <w:color w:val="auto"/>
                <w:sz w:val="24"/>
                <w:szCs w:val="24"/>
                <w:highlight w:val="none"/>
              </w:rPr>
              <w:t>、环境风险</w:t>
            </w:r>
          </w:p>
          <w:p w14:paraId="07295092">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1</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建设项目风险源调查</w:t>
            </w:r>
          </w:p>
          <w:p w14:paraId="037ADAB7">
            <w:pPr>
              <w:pStyle w:val="47"/>
              <w:spacing w:line="360" w:lineRule="auto"/>
              <w:jc w:val="both"/>
              <w:rPr>
                <w:rFonts w:hint="default"/>
                <w:color w:val="000000"/>
                <w:sz w:val="24"/>
                <w:szCs w:val="24"/>
                <w:highlight w:val="none"/>
                <w:lang w:val="en-US" w:eastAsia="zh-CN"/>
              </w:rPr>
            </w:pPr>
            <w:r>
              <w:rPr>
                <w:rFonts w:hint="default"/>
                <w:color w:val="000000"/>
                <w:sz w:val="24"/>
                <w:szCs w:val="24"/>
                <w:highlight w:val="none"/>
                <w:lang w:val="en-US" w:eastAsia="zh-CN"/>
              </w:rPr>
              <w:t>危险物质为具有易燃易爆、有毒有害特性，会对环境造成危害的物质。物质危险性识别主要对项目所涉及的原料、辅料、燃料、污染物、火灾和爆炸伴生/次生物等物质进行识别，并根据《建设项目环境风险评价技术导则》（HJ169-2018）附录B</w:t>
            </w:r>
            <w:r>
              <w:rPr>
                <w:rFonts w:hint="eastAsia"/>
                <w:color w:val="000000"/>
                <w:sz w:val="24"/>
                <w:szCs w:val="24"/>
                <w:highlight w:val="none"/>
                <w:lang w:val="en-US" w:eastAsia="zh-CN"/>
              </w:rPr>
              <w:t>及《企业突发环境事件风险分级方法》（HJ 941-2018）附录A</w:t>
            </w:r>
            <w:r>
              <w:rPr>
                <w:rFonts w:hint="default"/>
                <w:color w:val="000000"/>
                <w:sz w:val="24"/>
                <w:szCs w:val="24"/>
                <w:highlight w:val="none"/>
                <w:lang w:val="en-US" w:eastAsia="zh-CN"/>
              </w:rPr>
              <w:t>筛选风险评价因子，通过对全厂涉及的原料、辅料、产品及废物等物质进行调查，本项目风险物质类别、分布情况见下表。</w:t>
            </w:r>
          </w:p>
          <w:p w14:paraId="0FC86B09">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4"/>
                <w:szCs w:val="24"/>
                <w:highlight w:val="none"/>
                <w:lang w:eastAsia="zh-CN"/>
              </w:rPr>
              <w:t>表</w:t>
            </w:r>
            <w:r>
              <w:rPr>
                <w:rFonts w:hint="default" w:ascii="Times New Roman" w:hAnsi="Times New Roman" w:eastAsia="宋体" w:cs="Times New Roman"/>
                <w:b/>
                <w:color w:val="auto"/>
                <w:kern w:val="2"/>
                <w:sz w:val="24"/>
                <w:szCs w:val="24"/>
                <w:highlight w:val="none"/>
                <w:lang w:val="en-US" w:eastAsia="zh-CN"/>
              </w:rPr>
              <w:t xml:space="preserve">4-20  </w:t>
            </w:r>
            <w:r>
              <w:rPr>
                <w:rFonts w:hint="default" w:ascii="Times New Roman" w:hAnsi="Times New Roman" w:eastAsia="宋体" w:cs="Times New Roman"/>
                <w:b/>
                <w:color w:val="auto"/>
                <w:kern w:val="2"/>
                <w:sz w:val="24"/>
                <w:szCs w:val="24"/>
                <w:highlight w:val="none"/>
              </w:rPr>
              <w:t>本项目风险物质情况表</w:t>
            </w:r>
          </w:p>
          <w:tbl>
            <w:tblPr>
              <w:tblStyle w:val="23"/>
              <w:tblW w:w="7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2"/>
              <w:gridCol w:w="2191"/>
              <w:gridCol w:w="1915"/>
              <w:gridCol w:w="1490"/>
              <w:gridCol w:w="1304"/>
            </w:tblGrid>
            <w:tr w14:paraId="6916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2" w:type="dxa"/>
                  <w:noWrap w:val="0"/>
                  <w:vAlign w:val="center"/>
                </w:tcPr>
                <w:p w14:paraId="334E1726">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序号</w:t>
                  </w:r>
                </w:p>
              </w:tc>
              <w:tc>
                <w:tcPr>
                  <w:tcW w:w="2191" w:type="dxa"/>
                  <w:noWrap w:val="0"/>
                  <w:vAlign w:val="center"/>
                </w:tcPr>
                <w:p w14:paraId="5FB1D990">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名称</w:t>
                  </w:r>
                </w:p>
              </w:tc>
              <w:tc>
                <w:tcPr>
                  <w:tcW w:w="1915" w:type="dxa"/>
                  <w:noWrap w:val="0"/>
                  <w:vAlign w:val="center"/>
                </w:tcPr>
                <w:p w14:paraId="4DAF2975">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储存位置</w:t>
                  </w:r>
                </w:p>
              </w:tc>
              <w:tc>
                <w:tcPr>
                  <w:tcW w:w="1490" w:type="dxa"/>
                  <w:noWrap w:val="0"/>
                  <w:vAlign w:val="center"/>
                </w:tcPr>
                <w:p w14:paraId="02CEB419">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cs="Times New Roman"/>
                      <w:b/>
                      <w:bCs w:val="0"/>
                      <w:color w:val="auto"/>
                      <w:spacing w:val="-10"/>
                      <w:sz w:val="21"/>
                      <w:szCs w:val="21"/>
                      <w:highlight w:val="none"/>
                      <w:vertAlign w:val="baseline"/>
                      <w:lang w:val="en-US" w:eastAsia="zh-CN"/>
                    </w:rPr>
                    <w:t>存在量</w:t>
                  </w:r>
                  <w:r>
                    <w:rPr>
                      <w:rFonts w:hint="eastAsia" w:ascii="Times New Roman" w:hAnsi="Times New Roman" w:cs="Times New Roman"/>
                      <w:b/>
                      <w:bCs w:val="0"/>
                      <w:color w:val="auto"/>
                      <w:spacing w:val="-10"/>
                      <w:sz w:val="21"/>
                      <w:szCs w:val="21"/>
                      <w:highlight w:val="none"/>
                      <w:vertAlign w:val="baseline"/>
                      <w:lang w:val="en-US" w:eastAsia="zh-CN"/>
                    </w:rPr>
                    <w:t>（t）</w:t>
                  </w:r>
                </w:p>
              </w:tc>
              <w:tc>
                <w:tcPr>
                  <w:tcW w:w="1304" w:type="dxa"/>
                  <w:noWrap w:val="0"/>
                  <w:vAlign w:val="center"/>
                </w:tcPr>
                <w:p w14:paraId="253BA559">
                  <w:pPr>
                    <w:spacing w:line="240" w:lineRule="auto"/>
                    <w:jc w:val="center"/>
                    <w:rPr>
                      <w:rFonts w:hint="default" w:ascii="Times New Roman" w:hAnsi="Times New Roman" w:eastAsia="宋体" w:cs="Times New Roman"/>
                      <w:b/>
                      <w:bCs w:val="0"/>
                      <w:color w:val="auto"/>
                      <w:spacing w:val="-10"/>
                      <w:sz w:val="21"/>
                      <w:szCs w:val="21"/>
                      <w:highlight w:val="none"/>
                      <w:vertAlign w:val="baseline"/>
                      <w:lang w:val="en-US" w:eastAsia="zh-CN"/>
                    </w:rPr>
                  </w:pPr>
                  <w:r>
                    <w:rPr>
                      <w:rFonts w:hint="eastAsia" w:ascii="Times New Roman" w:hAnsi="Times New Roman" w:cs="Times New Roman"/>
                      <w:b/>
                      <w:bCs w:val="0"/>
                      <w:color w:val="auto"/>
                      <w:spacing w:val="-10"/>
                      <w:sz w:val="21"/>
                      <w:szCs w:val="21"/>
                      <w:highlight w:val="none"/>
                      <w:vertAlign w:val="baseline"/>
                      <w:lang w:val="en-US" w:eastAsia="zh-CN"/>
                    </w:rPr>
                    <w:t>临界量（t）</w:t>
                  </w:r>
                </w:p>
              </w:tc>
            </w:tr>
            <w:tr w14:paraId="7C91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2" w:type="dxa"/>
                  <w:noWrap w:val="0"/>
                  <w:vAlign w:val="center"/>
                </w:tcPr>
                <w:p w14:paraId="0D5A5B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1</w:t>
                  </w:r>
                </w:p>
              </w:tc>
              <w:tc>
                <w:tcPr>
                  <w:tcW w:w="2191" w:type="dxa"/>
                  <w:noWrap w:val="0"/>
                  <w:vAlign w:val="center"/>
                </w:tcPr>
                <w:p w14:paraId="59E98F34">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机油</w:t>
                  </w:r>
                </w:p>
              </w:tc>
              <w:tc>
                <w:tcPr>
                  <w:tcW w:w="1915" w:type="dxa"/>
                  <w:noWrap w:val="0"/>
                  <w:vAlign w:val="center"/>
                </w:tcPr>
                <w:p w14:paraId="3C3B199C">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原辅料仓库</w:t>
                  </w:r>
                </w:p>
              </w:tc>
              <w:tc>
                <w:tcPr>
                  <w:tcW w:w="1490" w:type="dxa"/>
                  <w:noWrap w:val="0"/>
                  <w:vAlign w:val="center"/>
                </w:tcPr>
                <w:p w14:paraId="22EAE915">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1304" w:type="dxa"/>
                  <w:noWrap w:val="0"/>
                  <w:vAlign w:val="center"/>
                </w:tcPr>
                <w:p w14:paraId="0A152B4F">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2500</w:t>
                  </w:r>
                </w:p>
              </w:tc>
            </w:tr>
            <w:tr w14:paraId="38A65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1052" w:type="dxa"/>
                  <w:noWrap w:val="0"/>
                  <w:vAlign w:val="center"/>
                </w:tcPr>
                <w:p w14:paraId="0D1C46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w:t>
                  </w:r>
                </w:p>
              </w:tc>
              <w:tc>
                <w:tcPr>
                  <w:tcW w:w="2191" w:type="dxa"/>
                  <w:noWrap w:val="0"/>
                  <w:vAlign w:val="center"/>
                </w:tcPr>
                <w:p w14:paraId="47B8A1E5">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废机油</w:t>
                  </w:r>
                </w:p>
              </w:tc>
              <w:tc>
                <w:tcPr>
                  <w:tcW w:w="1915" w:type="dxa"/>
                  <w:noWrap w:val="0"/>
                  <w:vAlign w:val="center"/>
                </w:tcPr>
                <w:p w14:paraId="75E084A9">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sz w:val="21"/>
                      <w:szCs w:val="21"/>
                      <w:highlight w:val="none"/>
                      <w:vertAlign w:val="baseline"/>
                      <w:lang w:val="en-US" w:eastAsia="zh-CN"/>
                    </w:rPr>
                    <w:t>危废库</w:t>
                  </w:r>
                </w:p>
              </w:tc>
              <w:tc>
                <w:tcPr>
                  <w:tcW w:w="1490" w:type="dxa"/>
                  <w:noWrap w:val="0"/>
                  <w:vAlign w:val="center"/>
                </w:tcPr>
                <w:p w14:paraId="7D576F51">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1304" w:type="dxa"/>
                  <w:noWrap w:val="0"/>
                  <w:vAlign w:val="center"/>
                </w:tcPr>
                <w:p w14:paraId="1E413BF8">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ascii="Times New Roman" w:hAnsi="Times New Roman" w:eastAsia="宋体" w:cs="Times New Roman"/>
                      <w:bCs/>
                      <w:color w:val="auto"/>
                      <w:spacing w:val="-10"/>
                      <w:sz w:val="21"/>
                      <w:szCs w:val="21"/>
                      <w:highlight w:val="none"/>
                      <w:vertAlign w:val="baseline"/>
                      <w:lang w:val="en-US" w:eastAsia="zh-CN"/>
                    </w:rPr>
                    <w:t>2500</w:t>
                  </w:r>
                </w:p>
              </w:tc>
            </w:tr>
            <w:tr w14:paraId="47188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2" w:type="dxa"/>
                  <w:noWrap w:val="0"/>
                  <w:vAlign w:val="center"/>
                </w:tcPr>
                <w:p w14:paraId="50FA5C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3</w:t>
                  </w:r>
                </w:p>
              </w:tc>
              <w:tc>
                <w:tcPr>
                  <w:tcW w:w="2191" w:type="dxa"/>
                  <w:noWrap w:val="0"/>
                  <w:vAlign w:val="center"/>
                </w:tcPr>
                <w:p w14:paraId="47A406DC">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银及其化合物</w:t>
                  </w:r>
                </w:p>
              </w:tc>
              <w:tc>
                <w:tcPr>
                  <w:tcW w:w="1915" w:type="dxa"/>
                  <w:noWrap w:val="0"/>
                  <w:vAlign w:val="center"/>
                </w:tcPr>
                <w:p w14:paraId="7CE95214">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原辅料仓库</w:t>
                  </w:r>
                </w:p>
              </w:tc>
              <w:tc>
                <w:tcPr>
                  <w:tcW w:w="1490" w:type="dxa"/>
                  <w:noWrap w:val="0"/>
                  <w:vAlign w:val="center"/>
                </w:tcPr>
                <w:p w14:paraId="6CCC4874">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0.005</w:t>
                  </w:r>
                </w:p>
              </w:tc>
              <w:tc>
                <w:tcPr>
                  <w:tcW w:w="1304" w:type="dxa"/>
                  <w:noWrap w:val="0"/>
                  <w:vAlign w:val="center"/>
                </w:tcPr>
                <w:p w14:paraId="1C765DD8">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0.25</w:t>
                  </w:r>
                </w:p>
              </w:tc>
            </w:tr>
            <w:tr w14:paraId="7A96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52" w:type="dxa"/>
                  <w:noWrap w:val="0"/>
                  <w:vAlign w:val="center"/>
                </w:tcPr>
                <w:p w14:paraId="2160E0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4</w:t>
                  </w:r>
                </w:p>
              </w:tc>
              <w:tc>
                <w:tcPr>
                  <w:tcW w:w="2191" w:type="dxa"/>
                  <w:noWrap w:val="0"/>
                  <w:vAlign w:val="center"/>
                </w:tcPr>
                <w:p w14:paraId="4555864A">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酒精</w:t>
                  </w:r>
                </w:p>
              </w:tc>
              <w:tc>
                <w:tcPr>
                  <w:tcW w:w="1915" w:type="dxa"/>
                  <w:noWrap w:val="0"/>
                  <w:vAlign w:val="center"/>
                </w:tcPr>
                <w:p w14:paraId="5CDBB85E">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原辅料仓库防爆柜</w:t>
                  </w:r>
                </w:p>
              </w:tc>
              <w:tc>
                <w:tcPr>
                  <w:tcW w:w="1490" w:type="dxa"/>
                  <w:noWrap w:val="0"/>
                  <w:vAlign w:val="center"/>
                </w:tcPr>
                <w:p w14:paraId="1E19BD67">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0.025</w:t>
                  </w:r>
                </w:p>
              </w:tc>
              <w:tc>
                <w:tcPr>
                  <w:tcW w:w="1304" w:type="dxa"/>
                  <w:noWrap w:val="0"/>
                  <w:vAlign w:val="center"/>
                </w:tcPr>
                <w:p w14:paraId="4F9472D8">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500</w:t>
                  </w:r>
                </w:p>
              </w:tc>
            </w:tr>
          </w:tbl>
          <w:p w14:paraId="4FDA542E">
            <w:pPr>
              <w:spacing w:line="360" w:lineRule="auto"/>
              <w:ind w:firstLine="340"/>
              <w:rPr>
                <w:rFonts w:hint="eastAsia" w:ascii="Times New Roman" w:hAnsi="Times New Roman" w:cs="Times New Roman"/>
                <w:b/>
                <w:color w:val="auto"/>
                <w:spacing w:val="-10"/>
                <w:sz w:val="18"/>
                <w:szCs w:val="18"/>
                <w:highlight w:val="none"/>
                <w:lang w:eastAsia="zh-CN"/>
              </w:rPr>
            </w:pPr>
            <w:r>
              <w:rPr>
                <w:rFonts w:hint="eastAsia" w:ascii="Times New Roman" w:hAnsi="Times New Roman" w:eastAsia="Times New Roman" w:cs="Times New Roman"/>
                <w:spacing w:val="7"/>
                <w:position w:val="1"/>
                <w:sz w:val="18"/>
                <w:szCs w:val="18"/>
                <w:highlight w:val="none"/>
                <w:lang w:eastAsia="zh-CN"/>
              </w:rPr>
              <w:t>注：无铅锡膏</w:t>
            </w:r>
            <w:r>
              <w:rPr>
                <w:rFonts w:hint="eastAsia" w:eastAsia="Times New Roman" w:cs="Times New Roman"/>
                <w:spacing w:val="7"/>
                <w:position w:val="1"/>
                <w:sz w:val="18"/>
                <w:szCs w:val="18"/>
                <w:highlight w:val="none"/>
                <w:lang w:val="en-US" w:eastAsia="zh-CN"/>
              </w:rPr>
              <w:t>及无铅锡焊丝</w:t>
            </w:r>
            <w:r>
              <w:rPr>
                <w:rFonts w:hint="eastAsia" w:ascii="Times New Roman" w:hAnsi="Times New Roman" w:eastAsia="Times New Roman" w:cs="Times New Roman"/>
                <w:spacing w:val="7"/>
                <w:position w:val="1"/>
                <w:sz w:val="18"/>
                <w:szCs w:val="18"/>
                <w:highlight w:val="none"/>
                <w:lang w:eastAsia="zh-CN"/>
              </w:rPr>
              <w:t>中含有银，本次评价按</w:t>
            </w:r>
            <w:r>
              <w:rPr>
                <w:rFonts w:hint="eastAsia" w:ascii="Times New Roman" w:hAnsi="Times New Roman" w:eastAsia="Times New Roman" w:cs="Times New Roman"/>
                <w:spacing w:val="7"/>
                <w:position w:val="1"/>
                <w:sz w:val="18"/>
                <w:szCs w:val="18"/>
                <w:highlight w:val="none"/>
                <w:lang w:val="en-US" w:eastAsia="zh-CN"/>
              </w:rPr>
              <w:t>银</w:t>
            </w:r>
            <w:r>
              <w:rPr>
                <w:rFonts w:hint="eastAsia" w:eastAsia="Times New Roman" w:cs="Times New Roman"/>
                <w:spacing w:val="7"/>
                <w:position w:val="1"/>
                <w:sz w:val="18"/>
                <w:szCs w:val="18"/>
                <w:highlight w:val="none"/>
                <w:lang w:val="en-US" w:eastAsia="zh-CN"/>
              </w:rPr>
              <w:t>占锡膏</w:t>
            </w:r>
            <w:r>
              <w:rPr>
                <w:rFonts w:hint="eastAsia" w:ascii="Times New Roman" w:hAnsi="Times New Roman" w:eastAsia="Times New Roman" w:cs="Times New Roman"/>
                <w:spacing w:val="7"/>
                <w:position w:val="1"/>
                <w:sz w:val="18"/>
                <w:szCs w:val="18"/>
                <w:highlight w:val="none"/>
                <w:lang w:val="en-US" w:eastAsia="zh-CN"/>
              </w:rPr>
              <w:t>含量</w:t>
            </w:r>
            <w:r>
              <w:rPr>
                <w:rFonts w:hint="eastAsia" w:eastAsia="Times New Roman" w:cs="Times New Roman"/>
                <w:spacing w:val="7"/>
                <w:position w:val="1"/>
                <w:sz w:val="18"/>
                <w:szCs w:val="18"/>
                <w:highlight w:val="none"/>
                <w:lang w:val="en-US" w:eastAsia="zh-CN"/>
              </w:rPr>
              <w:t>最大值5</w:t>
            </w:r>
            <w:r>
              <w:rPr>
                <w:rFonts w:hint="eastAsia" w:ascii="Times New Roman" w:hAnsi="Times New Roman" w:eastAsia="Times New Roman" w:cs="Times New Roman"/>
                <w:spacing w:val="7"/>
                <w:position w:val="1"/>
                <w:sz w:val="18"/>
                <w:szCs w:val="18"/>
                <w:highlight w:val="none"/>
                <w:lang w:val="en-US" w:eastAsia="zh-CN"/>
              </w:rPr>
              <w:t>%计。</w:t>
            </w:r>
          </w:p>
          <w:p w14:paraId="64059A6D">
            <w:pPr>
              <w:spacing w:line="360" w:lineRule="auto"/>
              <w:ind w:firstLine="34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2</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环境风险潜势初判</w:t>
            </w:r>
          </w:p>
          <w:p w14:paraId="5D3D3B44">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风险评价技术导则》（HJ169-2018）附录C1.1，“危险物质数量与临界量比值（Q）”：计算所涉及的每种风险物质在厂界内的最大存在总量与其在附录B中对应临界量的比值Q。在不同厂区的同一种物质，按其在厂界内的最大存在总量计算。</w:t>
            </w:r>
          </w:p>
          <w:p w14:paraId="708089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drawing>
                <wp:inline distT="0" distB="0" distL="114300" distR="114300">
                  <wp:extent cx="3954780" cy="495300"/>
                  <wp:effectExtent l="0" t="0" r="762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1"/>
                          <a:stretch>
                            <a:fillRect/>
                          </a:stretch>
                        </pic:blipFill>
                        <pic:spPr>
                          <a:xfrm>
                            <a:off x="0" y="0"/>
                            <a:ext cx="3954780" cy="495300"/>
                          </a:xfrm>
                          <a:prstGeom prst="rect">
                            <a:avLst/>
                          </a:prstGeom>
                          <a:noFill/>
                          <a:ln>
                            <a:noFill/>
                          </a:ln>
                        </pic:spPr>
                      </pic:pic>
                    </a:graphicData>
                  </a:graphic>
                </wp:inline>
              </w:drawing>
            </w:r>
          </w:p>
          <w:p w14:paraId="70543E12">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式中：q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——每种环境风险物质的存在总量，t；</w:t>
            </w:r>
          </w:p>
          <w:p w14:paraId="5A732983">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——每种环境风险物质的临界量，t。</w:t>
            </w:r>
          </w:p>
          <w:p w14:paraId="278432BF">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按照数值大小，将Q划分</w:t>
            </w:r>
            <w:r>
              <w:rPr>
                <w:rFonts w:hint="eastAsia" w:ascii="Times New Roman" w:hAnsi="Times New Roman" w:cs="Times New Roman"/>
                <w:bCs/>
                <w:color w:val="auto"/>
                <w:spacing w:val="-10"/>
                <w:sz w:val="24"/>
                <w:szCs w:val="24"/>
                <w:highlight w:val="none"/>
                <w:lang w:val="en-US" w:eastAsia="zh-CN"/>
              </w:rPr>
              <w:t>为</w:t>
            </w:r>
            <w:r>
              <w:rPr>
                <w:rFonts w:hint="default" w:ascii="Times New Roman" w:hAnsi="Times New Roman" w:cs="Times New Roman"/>
                <w:bCs/>
                <w:color w:val="auto"/>
                <w:spacing w:val="-10"/>
                <w:sz w:val="24"/>
                <w:szCs w:val="24"/>
                <w:highlight w:val="none"/>
              </w:rPr>
              <w:t>4个水平：</w:t>
            </w:r>
          </w:p>
          <w:p w14:paraId="36969C2D">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当Q＜1时，该项目</w:t>
            </w:r>
            <w:bookmarkStart w:id="4" w:name="_Hlk2285808"/>
            <w:r>
              <w:rPr>
                <w:rFonts w:hint="default" w:ascii="Times New Roman" w:hAnsi="Times New Roman" w:cs="Times New Roman"/>
                <w:bCs/>
                <w:color w:val="auto"/>
                <w:spacing w:val="-10"/>
                <w:sz w:val="24"/>
                <w:szCs w:val="24"/>
                <w:highlight w:val="none"/>
              </w:rPr>
              <w:t>环境风险潜势为Ⅰ</w:t>
            </w:r>
            <w:bookmarkEnd w:id="4"/>
            <w:r>
              <w:rPr>
                <w:rFonts w:hint="default" w:ascii="Times New Roman" w:hAnsi="Times New Roman" w:cs="Times New Roman"/>
                <w:bCs/>
                <w:color w:val="auto"/>
                <w:spacing w:val="-10"/>
                <w:sz w:val="24"/>
                <w:szCs w:val="24"/>
                <w:highlight w:val="none"/>
              </w:rPr>
              <w:t>。</w:t>
            </w:r>
          </w:p>
          <w:p w14:paraId="334558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当Q≥1时，将Q值划分为：(1)1≤Q＜10；(2)10≤Q＜100；(3)Q≥100。企业生产中涉及的环境风险物质的数量和临界量见下表。</w:t>
            </w:r>
          </w:p>
          <w:p w14:paraId="0D1A92C9">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4"/>
                <w:szCs w:val="24"/>
                <w:highlight w:val="none"/>
                <w:lang w:val="en-US" w:eastAsia="zh-CN"/>
              </w:rPr>
              <w:t>表4-</w:t>
            </w:r>
            <w:r>
              <w:rPr>
                <w:rFonts w:hint="eastAsia" w:ascii="Times New Roman" w:hAnsi="Times New Roman" w:eastAsia="宋体" w:cs="Times New Roman"/>
                <w:b/>
                <w:color w:val="auto"/>
                <w:kern w:val="2"/>
                <w:sz w:val="24"/>
                <w:szCs w:val="24"/>
                <w:highlight w:val="none"/>
                <w:lang w:val="en-US" w:eastAsia="zh-CN"/>
              </w:rPr>
              <w:t>21</w:t>
            </w:r>
            <w:r>
              <w:rPr>
                <w:rFonts w:hint="default" w:ascii="Times New Roman" w:hAnsi="Times New Roman" w:eastAsia="宋体" w:cs="Times New Roman"/>
                <w:b/>
                <w:color w:val="auto"/>
                <w:kern w:val="2"/>
                <w:sz w:val="24"/>
                <w:szCs w:val="24"/>
                <w:highlight w:val="none"/>
                <w:lang w:val="en-US" w:eastAsia="zh-CN"/>
              </w:rPr>
              <w:t xml:space="preserve"> </w:t>
            </w:r>
            <w:r>
              <w:rPr>
                <w:rFonts w:hint="eastAsia" w:ascii="Times New Roman" w:hAnsi="Times New Roman" w:eastAsia="宋体" w:cs="Times New Roman"/>
                <w:b/>
                <w:color w:val="auto"/>
                <w:kern w:val="2"/>
                <w:sz w:val="24"/>
                <w:szCs w:val="24"/>
                <w:highlight w:val="none"/>
                <w:lang w:val="en-US" w:eastAsia="zh-CN"/>
              </w:rPr>
              <w:t xml:space="preserve"> </w:t>
            </w:r>
            <w:r>
              <w:rPr>
                <w:rFonts w:hint="default" w:ascii="Times New Roman" w:hAnsi="Times New Roman" w:eastAsia="宋体" w:cs="Times New Roman"/>
                <w:b/>
                <w:color w:val="auto"/>
                <w:kern w:val="2"/>
                <w:sz w:val="24"/>
                <w:szCs w:val="24"/>
                <w:highlight w:val="none"/>
                <w:lang w:val="en-US" w:eastAsia="zh-CN"/>
              </w:rPr>
              <w:t>危险物质数量及临界量比值情况一览表</w:t>
            </w:r>
          </w:p>
          <w:tbl>
            <w:tblPr>
              <w:tblStyle w:val="23"/>
              <w:tblW w:w="8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130"/>
              <w:gridCol w:w="1371"/>
              <w:gridCol w:w="1770"/>
              <w:gridCol w:w="1871"/>
            </w:tblGrid>
            <w:tr w14:paraId="64B6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2F8801CA">
                  <w:pPr>
                    <w:spacing w:line="240" w:lineRule="auto"/>
                    <w:jc w:val="center"/>
                    <w:rPr>
                      <w:rFonts w:hint="default"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序号</w:t>
                  </w:r>
                </w:p>
              </w:tc>
              <w:tc>
                <w:tcPr>
                  <w:tcW w:w="2130" w:type="dxa"/>
                  <w:noWrap w:val="0"/>
                  <w:vAlign w:val="center"/>
                </w:tcPr>
                <w:p w14:paraId="3E0AF740">
                  <w:pPr>
                    <w:spacing w:line="240" w:lineRule="auto"/>
                    <w:jc w:val="center"/>
                    <w:rPr>
                      <w:rFonts w:hint="default"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名称</w:t>
                  </w:r>
                </w:p>
              </w:tc>
              <w:tc>
                <w:tcPr>
                  <w:tcW w:w="1371" w:type="dxa"/>
                  <w:noWrap w:val="0"/>
                  <w:vAlign w:val="center"/>
                </w:tcPr>
                <w:p w14:paraId="44EC567F">
                  <w:pPr>
                    <w:spacing w:line="240" w:lineRule="auto"/>
                    <w:jc w:val="center"/>
                    <w:rPr>
                      <w:rFonts w:hint="default" w:ascii="Times New Roman" w:hAnsi="Times New Roman" w:eastAsia="宋体" w:cs="Times New Roman"/>
                      <w:b/>
                      <w:bCs/>
                      <w:color w:val="000000"/>
                      <w:kern w:val="2"/>
                      <w:sz w:val="21"/>
                      <w:szCs w:val="21"/>
                      <w:highlight w:val="none"/>
                      <w:lang w:val="en-US" w:eastAsia="zh-CN" w:bidi="ar-SA"/>
                    </w:rPr>
                  </w:pPr>
                  <w:r>
                    <w:rPr>
                      <w:rFonts w:hint="eastAsia" w:cs="Times New Roman"/>
                      <w:b/>
                      <w:bCs/>
                      <w:color w:val="000000"/>
                      <w:sz w:val="21"/>
                      <w:szCs w:val="21"/>
                      <w:highlight w:val="none"/>
                      <w:lang w:val="en-US" w:eastAsia="zh-CN"/>
                    </w:rPr>
                    <w:t>存在</w:t>
                  </w:r>
                  <w:r>
                    <w:rPr>
                      <w:rFonts w:hint="eastAsia" w:ascii="Times New Roman" w:hAnsi="Times New Roman" w:eastAsia="宋体" w:cs="Times New Roman"/>
                      <w:b/>
                      <w:bCs/>
                      <w:color w:val="000000"/>
                      <w:sz w:val="21"/>
                      <w:szCs w:val="21"/>
                      <w:highlight w:val="none"/>
                      <w:lang w:val="en-US" w:eastAsia="zh-CN"/>
                    </w:rPr>
                    <w:t>量（t）</w:t>
                  </w:r>
                </w:p>
              </w:tc>
              <w:tc>
                <w:tcPr>
                  <w:tcW w:w="1770" w:type="dxa"/>
                  <w:noWrap w:val="0"/>
                  <w:vAlign w:val="center"/>
                </w:tcPr>
                <w:p w14:paraId="44C5C22B">
                  <w:pPr>
                    <w:spacing w:line="240" w:lineRule="auto"/>
                    <w:jc w:val="center"/>
                    <w:rPr>
                      <w:rFonts w:hint="default" w:ascii="Times New Roman" w:hAnsi="Times New Roman" w:eastAsia="宋体" w:cs="Times New Roman"/>
                      <w:b/>
                      <w:bCs/>
                      <w:color w:val="000000"/>
                      <w:kern w:val="2"/>
                      <w:sz w:val="21"/>
                      <w:szCs w:val="21"/>
                      <w:highlight w:val="none"/>
                      <w:lang w:val="en-US" w:eastAsia="zh-CN" w:bidi="ar-SA"/>
                    </w:rPr>
                  </w:pPr>
                  <w:r>
                    <w:rPr>
                      <w:rFonts w:hint="eastAsia" w:ascii="Times New Roman" w:hAnsi="Times New Roman" w:eastAsia="宋体" w:cs="Times New Roman"/>
                      <w:b/>
                      <w:bCs/>
                      <w:color w:val="000000"/>
                      <w:sz w:val="21"/>
                      <w:szCs w:val="21"/>
                      <w:highlight w:val="none"/>
                      <w:lang w:val="en-US" w:eastAsia="zh-CN"/>
                    </w:rPr>
                    <w:t>临界量（t）</w:t>
                  </w:r>
                </w:p>
              </w:tc>
              <w:tc>
                <w:tcPr>
                  <w:tcW w:w="1871" w:type="dxa"/>
                  <w:noWrap w:val="0"/>
                  <w:vAlign w:val="center"/>
                </w:tcPr>
                <w:p w14:paraId="6D162B33">
                  <w:pPr>
                    <w:spacing w:line="240" w:lineRule="auto"/>
                    <w:jc w:val="center"/>
                    <w:rPr>
                      <w:rFonts w:hint="default" w:ascii="Times New Roman" w:hAnsi="Times New Roman" w:eastAsia="宋体" w:cs="Times New Roman"/>
                      <w:b/>
                      <w:bCs/>
                      <w:color w:val="000000"/>
                      <w:sz w:val="21"/>
                      <w:szCs w:val="21"/>
                      <w:highlight w:val="none"/>
                      <w:lang w:val="en-US" w:eastAsia="zh-CN"/>
                    </w:rPr>
                  </w:pPr>
                  <w:r>
                    <w:rPr>
                      <w:b/>
                      <w:bCs/>
                      <w:color w:val="auto"/>
                      <w:sz w:val="21"/>
                      <w:szCs w:val="21"/>
                      <w:highlight w:val="none"/>
                    </w:rPr>
                    <w:t>q/Q</w:t>
                  </w:r>
                </w:p>
              </w:tc>
            </w:tr>
            <w:tr w14:paraId="40BC4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2910EA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1</w:t>
                  </w:r>
                </w:p>
              </w:tc>
              <w:tc>
                <w:tcPr>
                  <w:tcW w:w="2130" w:type="dxa"/>
                  <w:noWrap w:val="0"/>
                  <w:vAlign w:val="center"/>
                </w:tcPr>
                <w:p w14:paraId="0EA9976D">
                  <w:pPr>
                    <w:widowControl/>
                    <w:spacing w:line="240" w:lineRule="auto"/>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auto"/>
                      <w:kern w:val="0"/>
                      <w:sz w:val="21"/>
                      <w:szCs w:val="21"/>
                      <w:highlight w:val="none"/>
                      <w:lang w:eastAsia="zh-CN" w:bidi="ar"/>
                    </w:rPr>
                    <w:t>银及其化合物</w:t>
                  </w:r>
                </w:p>
              </w:tc>
              <w:tc>
                <w:tcPr>
                  <w:tcW w:w="1371" w:type="dxa"/>
                  <w:noWrap w:val="0"/>
                  <w:vAlign w:val="center"/>
                </w:tcPr>
                <w:p w14:paraId="5A0F98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bCs/>
                      <w:color w:val="auto"/>
                      <w:spacing w:val="-10"/>
                      <w:kern w:val="2"/>
                      <w:sz w:val="21"/>
                      <w:szCs w:val="21"/>
                      <w:highlight w:val="none"/>
                      <w:vertAlign w:val="baseline"/>
                      <w:lang w:val="en-US" w:eastAsia="zh-CN" w:bidi="ar-SA"/>
                    </w:rPr>
                    <w:t>0.005</w:t>
                  </w:r>
                </w:p>
              </w:tc>
              <w:tc>
                <w:tcPr>
                  <w:tcW w:w="1770" w:type="dxa"/>
                  <w:noWrap w:val="0"/>
                  <w:vAlign w:val="center"/>
                </w:tcPr>
                <w:p w14:paraId="2172C3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0.25</w:t>
                  </w:r>
                </w:p>
              </w:tc>
              <w:tc>
                <w:tcPr>
                  <w:tcW w:w="1871" w:type="dxa"/>
                  <w:noWrap w:val="0"/>
                  <w:vAlign w:val="center"/>
                </w:tcPr>
                <w:p w14:paraId="671E7C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0.02</w:t>
                  </w:r>
                </w:p>
              </w:tc>
            </w:tr>
            <w:tr w14:paraId="11A2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920" w:type="dxa"/>
                  <w:noWrap w:val="0"/>
                  <w:vAlign w:val="center"/>
                </w:tcPr>
                <w:p w14:paraId="2682CF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2</w:t>
                  </w:r>
                </w:p>
              </w:tc>
              <w:tc>
                <w:tcPr>
                  <w:tcW w:w="2130" w:type="dxa"/>
                  <w:noWrap w:val="0"/>
                  <w:vAlign w:val="center"/>
                </w:tcPr>
                <w:p w14:paraId="586F5B61">
                  <w:pPr>
                    <w:widowControl/>
                    <w:spacing w:line="240" w:lineRule="auto"/>
                    <w:jc w:val="center"/>
                    <w:textAlignment w:val="center"/>
                    <w:rPr>
                      <w:rFonts w:hint="eastAsia" w:cs="Times New Roman"/>
                      <w:color w:val="auto"/>
                      <w:kern w:val="0"/>
                      <w:sz w:val="21"/>
                      <w:szCs w:val="21"/>
                      <w:highlight w:val="none"/>
                      <w:lang w:eastAsia="zh-CN" w:bidi="ar"/>
                    </w:rPr>
                  </w:pPr>
                  <w:r>
                    <w:rPr>
                      <w:rFonts w:hint="eastAsia" w:cs="Times New Roman"/>
                      <w:color w:val="auto"/>
                      <w:kern w:val="0"/>
                      <w:sz w:val="21"/>
                      <w:szCs w:val="21"/>
                      <w:highlight w:val="none"/>
                      <w:lang w:eastAsia="zh-CN" w:bidi="ar"/>
                    </w:rPr>
                    <w:t>机油</w:t>
                  </w:r>
                </w:p>
              </w:tc>
              <w:tc>
                <w:tcPr>
                  <w:tcW w:w="1371" w:type="dxa"/>
                  <w:noWrap w:val="0"/>
                  <w:vAlign w:val="center"/>
                </w:tcPr>
                <w:p w14:paraId="658A6E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0.2</w:t>
                  </w:r>
                </w:p>
              </w:tc>
              <w:tc>
                <w:tcPr>
                  <w:tcW w:w="1770" w:type="dxa"/>
                  <w:noWrap w:val="0"/>
                  <w:vAlign w:val="center"/>
                </w:tcPr>
                <w:p w14:paraId="34A00A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sz w:val="21"/>
                      <w:szCs w:val="21"/>
                      <w:highlight w:val="none"/>
                      <w:lang w:val="en-US" w:eastAsia="zh-CN"/>
                    </w:rPr>
                  </w:pPr>
                  <w:r>
                    <w:rPr>
                      <w:rFonts w:hint="eastAsia" w:cs="Times New Roman"/>
                      <w:color w:val="000000"/>
                      <w:sz w:val="21"/>
                      <w:szCs w:val="21"/>
                      <w:highlight w:val="none"/>
                      <w:lang w:val="en-US" w:eastAsia="zh-CN"/>
                    </w:rPr>
                    <w:t>2500</w:t>
                  </w:r>
                </w:p>
              </w:tc>
              <w:tc>
                <w:tcPr>
                  <w:tcW w:w="1871" w:type="dxa"/>
                  <w:noWrap w:val="0"/>
                  <w:vAlign w:val="center"/>
                </w:tcPr>
                <w:p w14:paraId="32873A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0.00008</w:t>
                  </w:r>
                </w:p>
              </w:tc>
            </w:tr>
            <w:tr w14:paraId="63716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6709D0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3</w:t>
                  </w:r>
                </w:p>
              </w:tc>
              <w:tc>
                <w:tcPr>
                  <w:tcW w:w="2130" w:type="dxa"/>
                  <w:noWrap w:val="0"/>
                  <w:vAlign w:val="center"/>
                </w:tcPr>
                <w:p w14:paraId="183D3267">
                  <w:pPr>
                    <w:widowControl/>
                    <w:spacing w:line="240" w:lineRule="auto"/>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auto"/>
                      <w:kern w:val="0"/>
                      <w:sz w:val="21"/>
                      <w:szCs w:val="21"/>
                      <w:highlight w:val="none"/>
                      <w:lang w:eastAsia="zh-CN" w:bidi="ar"/>
                    </w:rPr>
                    <w:t>废机油</w:t>
                  </w:r>
                </w:p>
              </w:tc>
              <w:tc>
                <w:tcPr>
                  <w:tcW w:w="1371" w:type="dxa"/>
                  <w:noWrap w:val="0"/>
                  <w:vAlign w:val="center"/>
                </w:tcPr>
                <w:p w14:paraId="65B295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0.2</w:t>
                  </w:r>
                </w:p>
              </w:tc>
              <w:tc>
                <w:tcPr>
                  <w:tcW w:w="1770" w:type="dxa"/>
                  <w:noWrap w:val="0"/>
                  <w:vAlign w:val="center"/>
                </w:tcPr>
                <w:p w14:paraId="4355BD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2500</w:t>
                  </w:r>
                </w:p>
              </w:tc>
              <w:tc>
                <w:tcPr>
                  <w:tcW w:w="1871" w:type="dxa"/>
                  <w:noWrap w:val="0"/>
                  <w:vAlign w:val="center"/>
                </w:tcPr>
                <w:p w14:paraId="5BC69B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0.00008</w:t>
                  </w:r>
                </w:p>
              </w:tc>
            </w:tr>
            <w:tr w14:paraId="248F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noWrap w:val="0"/>
                  <w:vAlign w:val="center"/>
                </w:tcPr>
                <w:p w14:paraId="50755B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sz w:val="21"/>
                      <w:szCs w:val="21"/>
                      <w:highlight w:val="none"/>
                      <w:lang w:val="en-US" w:eastAsia="zh-CN"/>
                    </w:rPr>
                  </w:pPr>
                  <w:r>
                    <w:rPr>
                      <w:rFonts w:hint="eastAsia" w:cs="Times New Roman"/>
                      <w:color w:val="000000"/>
                      <w:sz w:val="21"/>
                      <w:szCs w:val="21"/>
                      <w:highlight w:val="none"/>
                      <w:lang w:val="en-US" w:eastAsia="zh-CN"/>
                    </w:rPr>
                    <w:t>4</w:t>
                  </w:r>
                </w:p>
              </w:tc>
              <w:tc>
                <w:tcPr>
                  <w:tcW w:w="2130" w:type="dxa"/>
                  <w:noWrap w:val="0"/>
                  <w:vAlign w:val="center"/>
                </w:tcPr>
                <w:p w14:paraId="58A8E83B">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酒精</w:t>
                  </w:r>
                </w:p>
              </w:tc>
              <w:tc>
                <w:tcPr>
                  <w:tcW w:w="1371" w:type="dxa"/>
                  <w:noWrap w:val="0"/>
                  <w:vAlign w:val="center"/>
                </w:tcPr>
                <w:p w14:paraId="12EEF8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0.025</w:t>
                  </w:r>
                </w:p>
              </w:tc>
              <w:tc>
                <w:tcPr>
                  <w:tcW w:w="1770" w:type="dxa"/>
                  <w:noWrap w:val="0"/>
                  <w:vAlign w:val="center"/>
                </w:tcPr>
                <w:p w14:paraId="37E280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sz w:val="21"/>
                      <w:szCs w:val="21"/>
                      <w:highlight w:val="none"/>
                      <w:lang w:val="en-US" w:eastAsia="zh-CN"/>
                    </w:rPr>
                  </w:pPr>
                  <w:r>
                    <w:rPr>
                      <w:rFonts w:hint="eastAsia" w:cs="Times New Roman"/>
                      <w:color w:val="000000"/>
                      <w:sz w:val="21"/>
                      <w:szCs w:val="21"/>
                      <w:highlight w:val="none"/>
                      <w:lang w:val="en-US" w:eastAsia="zh-CN"/>
                    </w:rPr>
                    <w:t>500</w:t>
                  </w:r>
                </w:p>
              </w:tc>
              <w:tc>
                <w:tcPr>
                  <w:tcW w:w="1871" w:type="dxa"/>
                  <w:noWrap w:val="0"/>
                  <w:vAlign w:val="center"/>
                </w:tcPr>
                <w:p w14:paraId="44E58B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0.00005</w:t>
                  </w:r>
                </w:p>
              </w:tc>
            </w:tr>
            <w:tr w14:paraId="6EDC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1" w:type="dxa"/>
                  <w:gridSpan w:val="4"/>
                  <w:noWrap w:val="0"/>
                  <w:vAlign w:val="center"/>
                </w:tcPr>
                <w:p w14:paraId="1C4146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项目合计</w:t>
                  </w:r>
                </w:p>
              </w:tc>
              <w:tc>
                <w:tcPr>
                  <w:tcW w:w="1871" w:type="dxa"/>
                  <w:noWrap w:val="0"/>
                  <w:vAlign w:val="center"/>
                </w:tcPr>
                <w:p w14:paraId="2C4F6D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0.02021</w:t>
                  </w:r>
                </w:p>
              </w:tc>
            </w:tr>
          </w:tbl>
          <w:p w14:paraId="0C1A7230">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故此，计算得到Q=</w:t>
            </w:r>
            <w:r>
              <w:rPr>
                <w:rFonts w:hint="eastAsia" w:cs="Times New Roman"/>
                <w:color w:val="000000"/>
                <w:sz w:val="24"/>
                <w:szCs w:val="24"/>
                <w:highlight w:val="none"/>
                <w:lang w:val="en-US" w:eastAsia="zh-CN"/>
              </w:rPr>
              <w:t>0.02021</w:t>
            </w:r>
            <w:r>
              <w:rPr>
                <w:rFonts w:hint="default" w:ascii="Times New Roman" w:hAnsi="Times New Roman" w:cs="Times New Roman"/>
                <w:color w:val="auto"/>
                <w:sz w:val="24"/>
                <w:szCs w:val="24"/>
                <w:highlight w:val="none"/>
              </w:rPr>
              <w:t>&lt;1，因此企业环境风险潜势为I。</w:t>
            </w:r>
          </w:p>
          <w:p w14:paraId="6D07C9C4">
            <w:pPr>
              <w:spacing w:line="360" w:lineRule="auto"/>
              <w:ind w:firstLine="482"/>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3</w:t>
            </w: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评价等级的判定</w:t>
            </w:r>
          </w:p>
          <w:p w14:paraId="40B70A4D">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本项目环境风险潜势为I，根据《建设项目环境风险技术导则》(HJ169-2018)，本项目评价工作等级为</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简单分析</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w:t>
            </w:r>
          </w:p>
          <w:p w14:paraId="2F267741">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表4-</w:t>
            </w:r>
            <w:r>
              <w:rPr>
                <w:rFonts w:hint="eastAsia" w:ascii="Times New Roman" w:hAnsi="Times New Roman" w:eastAsia="宋体" w:cs="Times New Roman"/>
                <w:b/>
                <w:color w:val="auto"/>
                <w:kern w:val="2"/>
                <w:sz w:val="24"/>
                <w:szCs w:val="24"/>
                <w:highlight w:val="none"/>
                <w:lang w:val="en-US" w:eastAsia="zh-CN"/>
              </w:rPr>
              <w:t xml:space="preserve">22  </w:t>
            </w:r>
            <w:r>
              <w:rPr>
                <w:rFonts w:hint="default" w:ascii="Times New Roman" w:hAnsi="Times New Roman" w:eastAsia="宋体" w:cs="Times New Roman"/>
                <w:b/>
                <w:color w:val="auto"/>
                <w:kern w:val="2"/>
                <w:sz w:val="24"/>
                <w:szCs w:val="24"/>
                <w:highlight w:val="none"/>
                <w:lang w:eastAsia="zh-CN"/>
              </w:rPr>
              <w:t>环境风险评价等级划分</w:t>
            </w: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1580"/>
              <w:gridCol w:w="1581"/>
              <w:gridCol w:w="1581"/>
              <w:gridCol w:w="1590"/>
            </w:tblGrid>
            <w:tr w14:paraId="17E1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0" w:hRule="atLeast"/>
                <w:jc w:val="center"/>
              </w:trPr>
              <w:tc>
                <w:tcPr>
                  <w:tcW w:w="999" w:type="pct"/>
                  <w:noWrap w:val="0"/>
                  <w:vAlign w:val="center"/>
                </w:tcPr>
                <w:p w14:paraId="3C85E94E">
                  <w:pPr>
                    <w:pStyle w:val="38"/>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环境风险潜势</w:t>
                  </w:r>
                </w:p>
              </w:tc>
              <w:tc>
                <w:tcPr>
                  <w:tcW w:w="999" w:type="pct"/>
                  <w:noWrap w:val="0"/>
                  <w:vAlign w:val="center"/>
                </w:tcPr>
                <w:p w14:paraId="60587B10">
                  <w:pPr>
                    <w:pStyle w:val="38"/>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Ⅳ、Ⅳ</w:t>
                  </w:r>
                  <w:r>
                    <w:rPr>
                      <w:rFonts w:hint="default" w:ascii="Times New Roman" w:hAnsi="Times New Roman" w:cs="Times New Roman"/>
                      <w:b/>
                      <w:bCs/>
                      <w:color w:val="auto"/>
                      <w:sz w:val="21"/>
                      <w:szCs w:val="21"/>
                      <w:highlight w:val="none"/>
                      <w:vertAlign w:val="superscript"/>
                    </w:rPr>
                    <w:t>+</w:t>
                  </w:r>
                </w:p>
              </w:tc>
              <w:tc>
                <w:tcPr>
                  <w:tcW w:w="999" w:type="pct"/>
                  <w:noWrap w:val="0"/>
                  <w:vAlign w:val="center"/>
                </w:tcPr>
                <w:p w14:paraId="461F8B9D">
                  <w:pPr>
                    <w:pStyle w:val="38"/>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Ⅲ</w:t>
                  </w:r>
                </w:p>
              </w:tc>
              <w:tc>
                <w:tcPr>
                  <w:tcW w:w="999" w:type="pct"/>
                  <w:noWrap w:val="0"/>
                  <w:vAlign w:val="center"/>
                </w:tcPr>
                <w:p w14:paraId="5045CC61">
                  <w:pPr>
                    <w:pStyle w:val="38"/>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Ⅱ</w:t>
                  </w:r>
                </w:p>
              </w:tc>
              <w:tc>
                <w:tcPr>
                  <w:tcW w:w="1002" w:type="pct"/>
                  <w:noWrap w:val="0"/>
                  <w:vAlign w:val="center"/>
                </w:tcPr>
                <w:p w14:paraId="592F27FB">
                  <w:pPr>
                    <w:pStyle w:val="38"/>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I</w:t>
                  </w:r>
                </w:p>
              </w:tc>
            </w:tr>
            <w:tr w14:paraId="5DC92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99" w:type="pct"/>
                  <w:noWrap w:val="0"/>
                  <w:vAlign w:val="center"/>
                </w:tcPr>
                <w:p w14:paraId="03FB2745">
                  <w:pPr>
                    <w:pStyle w:val="38"/>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评价工作等级</w:t>
                  </w:r>
                </w:p>
              </w:tc>
              <w:tc>
                <w:tcPr>
                  <w:tcW w:w="999" w:type="pct"/>
                  <w:noWrap w:val="0"/>
                  <w:vAlign w:val="center"/>
                </w:tcPr>
                <w:p w14:paraId="4F3BB1FD">
                  <w:pPr>
                    <w:pStyle w:val="38"/>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一</w:t>
                  </w:r>
                </w:p>
              </w:tc>
              <w:tc>
                <w:tcPr>
                  <w:tcW w:w="999" w:type="pct"/>
                  <w:noWrap w:val="0"/>
                  <w:vAlign w:val="center"/>
                </w:tcPr>
                <w:p w14:paraId="274F62BE">
                  <w:pPr>
                    <w:pStyle w:val="38"/>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二</w:t>
                  </w:r>
                </w:p>
              </w:tc>
              <w:tc>
                <w:tcPr>
                  <w:tcW w:w="999" w:type="pct"/>
                  <w:noWrap w:val="0"/>
                  <w:vAlign w:val="center"/>
                </w:tcPr>
                <w:p w14:paraId="04BCD38F">
                  <w:pPr>
                    <w:pStyle w:val="38"/>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三</w:t>
                  </w:r>
                </w:p>
              </w:tc>
              <w:tc>
                <w:tcPr>
                  <w:tcW w:w="1002" w:type="pct"/>
                  <w:noWrap w:val="0"/>
                  <w:vAlign w:val="center"/>
                </w:tcPr>
                <w:p w14:paraId="26D0EA56">
                  <w:pPr>
                    <w:pStyle w:val="38"/>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简单分析</w:t>
                  </w:r>
                  <w:r>
                    <w:rPr>
                      <w:rFonts w:hint="default" w:ascii="Times New Roman" w:hAnsi="Times New Roman" w:cs="Times New Roman"/>
                      <w:b w:val="0"/>
                      <w:bCs w:val="0"/>
                      <w:color w:val="auto"/>
                      <w:sz w:val="21"/>
                      <w:szCs w:val="21"/>
                      <w:highlight w:val="none"/>
                      <w:vertAlign w:val="superscript"/>
                    </w:rPr>
                    <w:t>a</w:t>
                  </w:r>
                </w:p>
              </w:tc>
            </w:tr>
            <w:tr w14:paraId="08D4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000" w:type="pct"/>
                  <w:gridSpan w:val="5"/>
                  <w:noWrap w:val="0"/>
                  <w:vAlign w:val="center"/>
                </w:tcPr>
                <w:p w14:paraId="6B7EDCC2">
                  <w:pPr>
                    <w:pStyle w:val="38"/>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a是相对于详细评价工作内容而言，在描述危险物质，环境影响途径，环境危害后果，风险防范措施等方面给出定性说明，见附录A。</w:t>
                  </w:r>
                </w:p>
              </w:tc>
            </w:tr>
          </w:tbl>
          <w:p w14:paraId="36FD81BF">
            <w:pPr>
              <w:spacing w:line="360" w:lineRule="auto"/>
              <w:ind w:firstLine="482"/>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eastAsia="zh-CN"/>
              </w:rPr>
              <w:t>（</w:t>
            </w:r>
            <w:r>
              <w:rPr>
                <w:rFonts w:hint="eastAsia" w:ascii="Times New Roman" w:hAnsi="Times New Roman" w:eastAsia="宋体" w:cs="Times New Roman"/>
                <w:b/>
                <w:color w:val="auto"/>
                <w:sz w:val="24"/>
                <w:szCs w:val="24"/>
                <w:highlight w:val="none"/>
                <w:lang w:val="en-US" w:eastAsia="zh-CN"/>
              </w:rPr>
              <w:t>4</w:t>
            </w:r>
            <w:r>
              <w:rPr>
                <w:rFonts w:hint="eastAsia" w:ascii="Times New Roman" w:hAnsi="Times New Roman" w:eastAsia="宋体" w:cs="Times New Roman"/>
                <w:b/>
                <w:color w:val="auto"/>
                <w:sz w:val="24"/>
                <w:szCs w:val="24"/>
                <w:highlight w:val="none"/>
                <w:lang w:eastAsia="zh-CN"/>
              </w:rPr>
              <w:t>）环境风险</w:t>
            </w:r>
            <w:r>
              <w:rPr>
                <w:rFonts w:hint="eastAsia" w:cs="Times New Roman"/>
                <w:b/>
                <w:color w:val="auto"/>
                <w:sz w:val="24"/>
                <w:szCs w:val="24"/>
                <w:highlight w:val="none"/>
                <w:lang w:eastAsia="zh-CN"/>
              </w:rPr>
              <w:t>分析</w:t>
            </w:r>
          </w:p>
          <w:p w14:paraId="3978E42F">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eastAsia="宋体" w:cs="Times New Roman"/>
                <w:b w:val="0"/>
                <w:bCs/>
                <w:color w:val="auto"/>
                <w:sz w:val="24"/>
                <w:szCs w:val="24"/>
                <w:highlight w:val="none"/>
                <w:lang w:val="en-US" w:eastAsia="zh-CN"/>
              </w:rPr>
              <w:t>生产过程风险识别</w:t>
            </w:r>
          </w:p>
          <w:p w14:paraId="55FD9947">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A.生产使用的锡膏、酒精均为低毒原辅料，使用过程如泄露直接接触人体，对人体产生危害，产生的挥发性气体等直接进入环境，对环境造成污染。</w:t>
            </w:r>
          </w:p>
          <w:p w14:paraId="26A2CCA2">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B.使用的钢网擦拭剂（酒精）为易燃易爆物质，遇火源易发生火灾危险。</w:t>
            </w:r>
          </w:p>
          <w:p w14:paraId="69026111">
            <w:pPr>
              <w:spacing w:line="360" w:lineRule="auto"/>
              <w:ind w:firstLine="482"/>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②储运过程风险识别</w:t>
            </w:r>
          </w:p>
          <w:p w14:paraId="7D2AC449">
            <w:pPr>
              <w:spacing w:line="360" w:lineRule="auto"/>
              <w:ind w:firstLine="482"/>
              <w:rPr>
                <w:rFonts w:hint="eastAsia"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项目所有化学品原料运输均采用汽车陆路运输，潜在风险主要为原料、危险废物存储运输时包装破损产生物料漏撒或泄漏，原辅料仓库防爆柜内储存钢网擦拭剂（酒精）若遇高温、明火引发燃烧爆炸事故；原料及危废在采用汽车运输时，运输人员未严格遵守有关运输管理规定，或发生车祸等导致液体泄漏，危废遗失，污染土壤和水体。</w:t>
            </w:r>
          </w:p>
          <w:p w14:paraId="6BD1C57F">
            <w:pPr>
              <w:spacing w:line="360" w:lineRule="auto"/>
              <w:ind w:firstLine="482"/>
              <w:rPr>
                <w:rFonts w:hint="default" w:ascii="Calibri" w:hAnsi="Calibri" w:cs="Calibri"/>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③</w:t>
            </w:r>
            <w:r>
              <w:rPr>
                <w:rFonts w:hint="default" w:ascii="Calibri" w:hAnsi="Calibri" w:cs="Calibri"/>
                <w:b w:val="0"/>
                <w:bCs/>
                <w:color w:val="auto"/>
                <w:sz w:val="24"/>
                <w:szCs w:val="24"/>
                <w:highlight w:val="none"/>
                <w:lang w:val="en-US" w:eastAsia="zh-CN"/>
              </w:rPr>
              <w:t>环保工程风险性识别</w:t>
            </w:r>
          </w:p>
          <w:p w14:paraId="76CD382A">
            <w:pPr>
              <w:spacing w:line="360" w:lineRule="auto"/>
              <w:ind w:firstLine="482"/>
              <w:rPr>
                <w:rFonts w:hint="default" w:ascii="Calibri" w:hAnsi="Calibri" w:cs="Calibri"/>
                <w:b w:val="0"/>
                <w:bCs/>
                <w:color w:val="auto"/>
                <w:sz w:val="24"/>
                <w:szCs w:val="24"/>
                <w:highlight w:val="none"/>
                <w:lang w:val="en-US" w:eastAsia="zh-CN"/>
              </w:rPr>
            </w:pPr>
            <w:r>
              <w:rPr>
                <w:rFonts w:hint="default" w:ascii="Calibri" w:hAnsi="Calibri" w:cs="Calibri"/>
                <w:b w:val="0"/>
                <w:bCs/>
                <w:color w:val="auto"/>
                <w:sz w:val="24"/>
                <w:szCs w:val="24"/>
                <w:highlight w:val="none"/>
                <w:lang w:val="en-US" w:eastAsia="zh-CN"/>
              </w:rPr>
              <w:t>废气处理装置若发生设备故障，可能导致处理效率无法达到设计要求或者废气处理措施失效，会造成废气直接或未处理达标即经排气筒排放，对周围大气环境产生影响。</w:t>
            </w:r>
          </w:p>
          <w:p w14:paraId="69DC823F">
            <w:pPr>
              <w:spacing w:line="360" w:lineRule="auto"/>
              <w:ind w:firstLine="482"/>
              <w:rPr>
                <w:rFonts w:hint="eastAsia" w:ascii="Calibri" w:hAnsi="Calibri" w:cs="Calibri"/>
                <w:b w:val="0"/>
                <w:bCs/>
                <w:color w:val="auto"/>
                <w:sz w:val="24"/>
                <w:szCs w:val="24"/>
                <w:highlight w:val="none"/>
                <w:lang w:val="en-US" w:eastAsia="zh-CN"/>
              </w:rPr>
            </w:pPr>
            <w:r>
              <w:rPr>
                <w:rFonts w:hint="eastAsia" w:ascii="Calibri" w:hAnsi="Calibri" w:cs="Calibri"/>
                <w:b w:val="0"/>
                <w:bCs/>
                <w:color w:val="auto"/>
                <w:sz w:val="24"/>
                <w:szCs w:val="24"/>
                <w:highlight w:val="none"/>
                <w:lang w:val="en-US" w:eastAsia="zh-CN"/>
              </w:rPr>
              <w:t>根据本项目生产过程中的潜在危险，总结出本项目可能发生的事故情形：①化学品、危险废物在生产、贮存、运送过程中发生泄漏；②废气处理设施事故状态下的排污；③</w:t>
            </w:r>
            <w:r>
              <w:rPr>
                <w:rFonts w:hint="eastAsia" w:ascii="Calibri" w:hAnsi="Calibri" w:cs="Calibri"/>
                <w:b w:val="0"/>
                <w:bCs/>
                <w:color w:val="auto"/>
                <w:sz w:val="24"/>
                <w:szCs w:val="24"/>
                <w:highlight w:val="cyan"/>
                <w:lang w:val="en-US" w:eastAsia="zh-CN"/>
              </w:rPr>
              <w:t>生产车间、</w:t>
            </w:r>
            <w:r>
              <w:rPr>
                <w:rFonts w:hint="eastAsia" w:cs="Times New Roman"/>
                <w:b w:val="0"/>
                <w:bCs/>
                <w:color w:val="auto"/>
                <w:sz w:val="24"/>
                <w:szCs w:val="24"/>
                <w:highlight w:val="cyan"/>
                <w:lang w:val="en-US" w:eastAsia="zh-CN"/>
              </w:rPr>
              <w:t>3</w:t>
            </w:r>
            <w:r>
              <w:rPr>
                <w:rFonts w:hint="eastAsia" w:ascii="Calibri" w:hAnsi="Calibri" w:cs="Calibri"/>
                <w:b w:val="0"/>
                <w:bCs/>
                <w:color w:val="auto"/>
                <w:sz w:val="24"/>
                <w:szCs w:val="24"/>
                <w:highlight w:val="cyan"/>
                <w:lang w:val="en-US" w:eastAsia="zh-CN"/>
              </w:rPr>
              <w:t>层原辅料仓库</w:t>
            </w:r>
            <w:r>
              <w:rPr>
                <w:rFonts w:hint="eastAsia" w:ascii="Calibri" w:hAnsi="Calibri" w:cs="Calibri"/>
                <w:b w:val="0"/>
                <w:bCs/>
                <w:color w:val="auto"/>
                <w:sz w:val="24"/>
                <w:szCs w:val="24"/>
                <w:highlight w:val="none"/>
                <w:lang w:val="en-US" w:eastAsia="zh-CN"/>
              </w:rPr>
              <w:t>和危废库等发生火灾。</w:t>
            </w:r>
          </w:p>
          <w:p w14:paraId="6BE0C1D7">
            <w:pPr>
              <w:numPr>
                <w:ilvl w:val="0"/>
                <w:numId w:val="0"/>
              </w:numPr>
              <w:spacing w:line="360" w:lineRule="auto"/>
              <w:ind w:leftChars="200"/>
              <w:jc w:val="left"/>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）风险防范措施</w:t>
            </w:r>
          </w:p>
          <w:p w14:paraId="676F4C8A">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全厂风险事故防范措施包括以下几个方面：</w:t>
            </w:r>
          </w:p>
          <w:p w14:paraId="20F91E7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（1）风险物质贮存风险事故防范措施</w:t>
            </w:r>
          </w:p>
          <w:p w14:paraId="7DEFC1C4">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①严格按照规定进行作业，相关操作均在规定操作台上进行；原料分类储存；大型设备均设置电源接地，避免产生静电；</w:t>
            </w:r>
          </w:p>
          <w:p w14:paraId="7DB96210">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②企业设有完善的消防系统，设有自动灭火器。一旦发生火灾可借助产业园和其他企业的泡沫灭火器和本项目的灭火器同时灭火；</w:t>
            </w:r>
          </w:p>
          <w:p w14:paraId="1BBE32B6">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③室内危废</w:t>
            </w:r>
            <w:r>
              <w:rPr>
                <w:rFonts w:hint="eastAsia" w:cs="Times New Roman"/>
                <w:color w:val="auto"/>
                <w:sz w:val="24"/>
                <w:szCs w:val="24"/>
                <w:highlight w:val="none"/>
                <w:lang w:val="en-US" w:eastAsia="zh-CN"/>
              </w:rPr>
              <w:t>库</w:t>
            </w:r>
            <w:r>
              <w:rPr>
                <w:rFonts w:hint="default" w:ascii="Times New Roman" w:hAnsi="Times New Roman" w:eastAsia="宋体" w:cs="Times New Roman"/>
                <w:color w:val="auto"/>
                <w:sz w:val="24"/>
                <w:szCs w:val="24"/>
                <w:highlight w:val="none"/>
                <w:lang w:eastAsia="zh-CN"/>
              </w:rPr>
              <w:t>应严格按照《危险废物贮存污染控制标准》（GB18597-2023）执行。废液收集桶下方设有防泄漏托盘，泄漏液体可有效收集于内，不会直接进入外环境。</w:t>
            </w:r>
          </w:p>
          <w:p w14:paraId="5EA1AEFD">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④严格按《危险化学品安全管理条例》的要求，制定危险化学品安全操作规程，操作人员严格按操作规程作业；经常性对危险化学品作业场所进行安全检查。运行过程中企业应制定管理制度、操作规程，加强管理，妥善处置废液等危废，不随意丢弃，加强室内通风等，将环境风险控制到最低。</w:t>
            </w:r>
          </w:p>
          <w:p w14:paraId="78928E5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⑤建立应急预案机制：一旦发生事故，立即启动应急预案，有效控制事态的发展，并对工作人员定期进行应急预警培训，不断提高工作人员处置安全事故的能力和水平。</w:t>
            </w:r>
          </w:p>
          <w:p w14:paraId="46DEF20E">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（2）废气事故排放风险防范措施</w:t>
            </w:r>
          </w:p>
          <w:p w14:paraId="5A6F36B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为避免出现废气事故排放，建设单位应建立健全环保管理机制和各项环保规章制度，落实岗位环保责任制，加强环境风险防范工作，防止事故排放导致环境问题，避免出现废气处理事故排放，防止废气处理设施事故性失效，要求加强对废气处理设施的日常运行管理，加强对操作人员的岗位培训，确保废气稳定达标排放，杜绝事故性排放。</w:t>
            </w:r>
          </w:p>
          <w:p w14:paraId="1AE6B99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（3）火灾泄漏事故风险防范措施</w:t>
            </w:r>
          </w:p>
          <w:p w14:paraId="70CC423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加强通风，规范操作规程</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严格控制火源的产生，加强易燃易爆物的管理，将其放置于专门的贮存设施中，仓库的建设和管理按照消防要求严格进行。在可能发生火灾的作业点设置火灾监测器，在可燃或易燃物旁设置“禁止火源”等警告标志，安排专人进行巡回检查，制定专门的操作规范。严格按照国家有关规定配备使用的消防器材，定期检查消防器材的性能完好程度。如若发现起火，应立即报警，并紧急疏散人群，启动相关应急预案。</w:t>
            </w:r>
          </w:p>
          <w:p w14:paraId="2E5840F6">
            <w:pPr>
              <w:pStyle w:val="48"/>
              <w:spacing w:line="360" w:lineRule="auto"/>
              <w:ind w:firstLine="482" w:firstLineChars="200"/>
              <w:rPr>
                <w:rFonts w:hint="default"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（6）</w:t>
            </w:r>
            <w:r>
              <w:rPr>
                <w:rFonts w:hint="default" w:ascii="Times New Roman" w:hAnsi="Times New Roman" w:eastAsia="宋体" w:cs="Times New Roman"/>
                <w:b/>
                <w:bCs/>
                <w:color w:val="auto"/>
                <w:kern w:val="0"/>
                <w:sz w:val="24"/>
                <w:szCs w:val="24"/>
                <w:highlight w:val="none"/>
              </w:rPr>
              <w:t>应急预案编制要求</w:t>
            </w:r>
          </w:p>
          <w:p w14:paraId="02A79C2F">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为防止突发性重大事故发生，并能在事故发生后迅速有效控制处理，本着“预防为主、自救为主、统一指挥、分工负责”的原则，企业应在项目建成后及时编制突发环境事件应急预案，并报主管部门备案。</w:t>
            </w:r>
          </w:p>
          <w:p w14:paraId="0DEBC620">
            <w:pPr>
              <w:pStyle w:val="34"/>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表4-23  应急预案主要编制内容及要求</w:t>
            </w:r>
          </w:p>
          <w:tbl>
            <w:tblPr>
              <w:tblStyle w:val="22"/>
              <w:tblW w:w="8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1268"/>
              <w:gridCol w:w="6236"/>
            </w:tblGrid>
            <w:tr w14:paraId="568C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503" w:type="dxa"/>
                  <w:noWrap w:val="0"/>
                  <w:vAlign w:val="center"/>
                </w:tcPr>
                <w:p w14:paraId="44D6782D">
                  <w:pPr>
                    <w:adjustRightInd w:val="0"/>
                    <w:snapToGrid w:val="0"/>
                    <w:jc w:val="center"/>
                    <w:rPr>
                      <w:rFonts w:hint="eastAsia" w:ascii="Times New Roman" w:hAnsi="Times New Roman" w:cs="Times New Roman"/>
                      <w:b/>
                      <w:bCs/>
                      <w:color w:val="000000"/>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序号</w:t>
                  </w:r>
                </w:p>
              </w:tc>
              <w:tc>
                <w:tcPr>
                  <w:tcW w:w="1268" w:type="dxa"/>
                  <w:noWrap w:val="0"/>
                  <w:vAlign w:val="center"/>
                </w:tcPr>
                <w:p w14:paraId="1879C5AF">
                  <w:pPr>
                    <w:adjustRightInd w:val="0"/>
                    <w:snapToGrid w:val="0"/>
                    <w:jc w:val="center"/>
                    <w:rPr>
                      <w:rFonts w:hint="eastAsia" w:ascii="Times New Roman" w:hAnsi="Times New Roman" w:cs="Times New Roman"/>
                      <w:b/>
                      <w:bCs/>
                      <w:color w:val="000000"/>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项目</w:t>
                  </w:r>
                </w:p>
              </w:tc>
              <w:tc>
                <w:tcPr>
                  <w:tcW w:w="6236" w:type="dxa"/>
                  <w:noWrap w:val="0"/>
                  <w:vAlign w:val="center"/>
                </w:tcPr>
                <w:p w14:paraId="45BDA7B7">
                  <w:pPr>
                    <w:adjustRightInd w:val="0"/>
                    <w:snapToGrid w:val="0"/>
                    <w:jc w:val="center"/>
                    <w:rPr>
                      <w:rFonts w:hint="eastAsia" w:ascii="Times New Roman" w:hAnsi="Times New Roman" w:cs="Times New Roman"/>
                      <w:b/>
                      <w:bCs/>
                      <w:color w:val="000000"/>
                      <w:sz w:val="21"/>
                      <w:szCs w:val="21"/>
                      <w:highlight w:val="none"/>
                      <w:lang w:val="en-US" w:eastAsia="zh-CN"/>
                    </w:rPr>
                  </w:pPr>
                  <w:r>
                    <w:rPr>
                      <w:rFonts w:hint="eastAsia" w:ascii="Times New Roman" w:hAnsi="Times New Roman" w:cs="Times New Roman"/>
                      <w:b/>
                      <w:bCs/>
                      <w:color w:val="000000"/>
                      <w:sz w:val="21"/>
                      <w:szCs w:val="21"/>
                      <w:highlight w:val="none"/>
                      <w:lang w:val="en-US" w:eastAsia="zh-CN"/>
                    </w:rPr>
                    <w:t>内容及要求</w:t>
                  </w:r>
                </w:p>
              </w:tc>
            </w:tr>
            <w:tr w14:paraId="112F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503" w:type="dxa"/>
                  <w:noWrap w:val="0"/>
                  <w:vAlign w:val="center"/>
                </w:tcPr>
                <w:p w14:paraId="5F5422BE">
                  <w:pPr>
                    <w:adjustRightInd w:val="0"/>
                    <w:jc w:val="center"/>
                    <w:textAlignment w:val="baseline"/>
                    <w:rPr>
                      <w:bCs/>
                      <w:sz w:val="21"/>
                      <w:szCs w:val="21"/>
                      <w:highlight w:val="none"/>
                    </w:rPr>
                  </w:pPr>
                  <w:r>
                    <w:rPr>
                      <w:bCs/>
                      <w:sz w:val="21"/>
                      <w:szCs w:val="21"/>
                      <w:highlight w:val="none"/>
                    </w:rPr>
                    <w:t>1</w:t>
                  </w:r>
                </w:p>
              </w:tc>
              <w:tc>
                <w:tcPr>
                  <w:tcW w:w="1268" w:type="dxa"/>
                  <w:noWrap w:val="0"/>
                  <w:vAlign w:val="center"/>
                </w:tcPr>
                <w:p w14:paraId="622848DE">
                  <w:pPr>
                    <w:adjustRightInd w:val="0"/>
                    <w:jc w:val="center"/>
                    <w:textAlignment w:val="baseline"/>
                    <w:rPr>
                      <w:bCs/>
                      <w:sz w:val="21"/>
                      <w:szCs w:val="21"/>
                      <w:highlight w:val="none"/>
                    </w:rPr>
                  </w:pPr>
                  <w:r>
                    <w:rPr>
                      <w:bCs/>
                      <w:sz w:val="21"/>
                      <w:szCs w:val="21"/>
                      <w:highlight w:val="none"/>
                    </w:rPr>
                    <w:t>编制原则</w:t>
                  </w:r>
                </w:p>
              </w:tc>
              <w:tc>
                <w:tcPr>
                  <w:tcW w:w="6236" w:type="dxa"/>
                  <w:noWrap w:val="0"/>
                  <w:vAlign w:val="center"/>
                </w:tcPr>
                <w:p w14:paraId="5482DC56">
                  <w:pPr>
                    <w:adjustRightInd w:val="0"/>
                    <w:textAlignment w:val="baseline"/>
                    <w:rPr>
                      <w:bCs/>
                      <w:sz w:val="21"/>
                      <w:szCs w:val="21"/>
                      <w:highlight w:val="none"/>
                    </w:rPr>
                  </w:pPr>
                  <w:r>
                    <w:rPr>
                      <w:bCs/>
                      <w:sz w:val="21"/>
                      <w:szCs w:val="21"/>
                      <w:highlight w:val="none"/>
                    </w:rPr>
                    <w:t>符合国家有关规定和要求，结合本单位实际；救人第一、环境优先；先期处置、防止危害扩大；快速响应、科学应对；应急工作与岗位职责相结合等。</w:t>
                  </w:r>
                </w:p>
              </w:tc>
            </w:tr>
            <w:tr w14:paraId="1834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503" w:type="dxa"/>
                  <w:noWrap w:val="0"/>
                  <w:vAlign w:val="center"/>
                </w:tcPr>
                <w:p w14:paraId="2384BAE4">
                  <w:pPr>
                    <w:adjustRightInd w:val="0"/>
                    <w:jc w:val="center"/>
                    <w:textAlignment w:val="baseline"/>
                    <w:rPr>
                      <w:bCs/>
                      <w:sz w:val="21"/>
                      <w:szCs w:val="21"/>
                      <w:highlight w:val="none"/>
                    </w:rPr>
                  </w:pPr>
                  <w:r>
                    <w:rPr>
                      <w:bCs/>
                      <w:sz w:val="21"/>
                      <w:szCs w:val="21"/>
                      <w:highlight w:val="none"/>
                    </w:rPr>
                    <w:t>2</w:t>
                  </w:r>
                </w:p>
              </w:tc>
              <w:tc>
                <w:tcPr>
                  <w:tcW w:w="1268" w:type="dxa"/>
                  <w:noWrap w:val="0"/>
                  <w:vAlign w:val="center"/>
                </w:tcPr>
                <w:p w14:paraId="0BFD8E4B">
                  <w:pPr>
                    <w:adjustRightInd w:val="0"/>
                    <w:jc w:val="center"/>
                    <w:textAlignment w:val="baseline"/>
                    <w:rPr>
                      <w:bCs/>
                      <w:sz w:val="21"/>
                      <w:szCs w:val="21"/>
                      <w:highlight w:val="none"/>
                    </w:rPr>
                  </w:pPr>
                  <w:r>
                    <w:rPr>
                      <w:bCs/>
                      <w:sz w:val="21"/>
                      <w:szCs w:val="21"/>
                      <w:highlight w:val="none"/>
                    </w:rPr>
                    <w:t>适用范围</w:t>
                  </w:r>
                </w:p>
              </w:tc>
              <w:tc>
                <w:tcPr>
                  <w:tcW w:w="6236" w:type="dxa"/>
                  <w:noWrap w:val="0"/>
                  <w:vAlign w:val="center"/>
                </w:tcPr>
                <w:p w14:paraId="0A262604">
                  <w:pPr>
                    <w:adjustRightInd w:val="0"/>
                    <w:jc w:val="center"/>
                    <w:textAlignment w:val="baseline"/>
                    <w:rPr>
                      <w:bCs/>
                      <w:sz w:val="21"/>
                      <w:szCs w:val="21"/>
                      <w:highlight w:val="none"/>
                    </w:rPr>
                  </w:pPr>
                  <w:r>
                    <w:rPr>
                      <w:bCs/>
                      <w:sz w:val="21"/>
                      <w:szCs w:val="21"/>
                      <w:highlight w:val="none"/>
                    </w:rPr>
                    <w:t>明确预案适用的主体、地理或管理范围、事件类别、工作内容等。</w:t>
                  </w:r>
                </w:p>
              </w:tc>
            </w:tr>
            <w:tr w14:paraId="2302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3" w:type="dxa"/>
                  <w:noWrap w:val="0"/>
                  <w:vAlign w:val="center"/>
                </w:tcPr>
                <w:p w14:paraId="0F670F19">
                  <w:pPr>
                    <w:adjustRightInd w:val="0"/>
                    <w:jc w:val="center"/>
                    <w:textAlignment w:val="baseline"/>
                    <w:rPr>
                      <w:bCs/>
                      <w:sz w:val="21"/>
                      <w:szCs w:val="21"/>
                      <w:highlight w:val="none"/>
                    </w:rPr>
                  </w:pPr>
                  <w:r>
                    <w:rPr>
                      <w:bCs/>
                      <w:sz w:val="21"/>
                      <w:szCs w:val="21"/>
                      <w:highlight w:val="none"/>
                    </w:rPr>
                    <w:t>3</w:t>
                  </w:r>
                </w:p>
              </w:tc>
              <w:tc>
                <w:tcPr>
                  <w:tcW w:w="1268" w:type="dxa"/>
                  <w:noWrap w:val="0"/>
                  <w:vAlign w:val="center"/>
                </w:tcPr>
                <w:p w14:paraId="2C078E0B">
                  <w:pPr>
                    <w:adjustRightInd w:val="0"/>
                    <w:jc w:val="center"/>
                    <w:textAlignment w:val="baseline"/>
                    <w:rPr>
                      <w:bCs/>
                      <w:sz w:val="21"/>
                      <w:szCs w:val="21"/>
                      <w:highlight w:val="none"/>
                    </w:rPr>
                  </w:pPr>
                  <w:r>
                    <w:rPr>
                      <w:bCs/>
                      <w:sz w:val="21"/>
                      <w:szCs w:val="21"/>
                      <w:highlight w:val="none"/>
                    </w:rPr>
                    <w:t>环境事件分类与分级</w:t>
                  </w:r>
                </w:p>
              </w:tc>
              <w:tc>
                <w:tcPr>
                  <w:tcW w:w="6236" w:type="dxa"/>
                  <w:noWrap w:val="0"/>
                  <w:vAlign w:val="center"/>
                </w:tcPr>
                <w:p w14:paraId="23528384">
                  <w:pPr>
                    <w:adjustRightInd w:val="0"/>
                    <w:textAlignment w:val="baseline"/>
                    <w:rPr>
                      <w:bCs/>
                      <w:sz w:val="21"/>
                      <w:szCs w:val="21"/>
                      <w:highlight w:val="none"/>
                    </w:rPr>
                  </w:pPr>
                  <w:r>
                    <w:rPr>
                      <w:bCs/>
                      <w:sz w:val="21"/>
                      <w:szCs w:val="21"/>
                      <w:highlight w:val="none"/>
                    </w:rPr>
                    <w:t>根据《企业突发环境事件风险分级</w:t>
                  </w:r>
                  <w:r>
                    <w:rPr>
                      <w:rFonts w:hint="eastAsia"/>
                      <w:bCs/>
                      <w:sz w:val="21"/>
                      <w:szCs w:val="21"/>
                      <w:highlight w:val="none"/>
                      <w:lang w:val="en-US" w:eastAsia="zh-CN"/>
                    </w:rPr>
                    <w:t>方法</w:t>
                  </w:r>
                  <w:r>
                    <w:rPr>
                      <w:bCs/>
                      <w:sz w:val="21"/>
                      <w:szCs w:val="21"/>
                      <w:highlight w:val="none"/>
                    </w:rPr>
                    <w:t>》（HJ941-2018）进行环境风险分级判定。</w:t>
                  </w:r>
                </w:p>
              </w:tc>
            </w:tr>
            <w:tr w14:paraId="44D3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4" w:hRule="atLeast"/>
                <w:jc w:val="center"/>
              </w:trPr>
              <w:tc>
                <w:tcPr>
                  <w:tcW w:w="503" w:type="dxa"/>
                  <w:noWrap w:val="0"/>
                  <w:vAlign w:val="center"/>
                </w:tcPr>
                <w:p w14:paraId="585465AC">
                  <w:pPr>
                    <w:adjustRightInd w:val="0"/>
                    <w:jc w:val="center"/>
                    <w:textAlignment w:val="baseline"/>
                    <w:rPr>
                      <w:bCs/>
                      <w:sz w:val="21"/>
                      <w:szCs w:val="21"/>
                      <w:highlight w:val="none"/>
                    </w:rPr>
                  </w:pPr>
                  <w:r>
                    <w:rPr>
                      <w:bCs/>
                      <w:sz w:val="21"/>
                      <w:szCs w:val="21"/>
                      <w:highlight w:val="none"/>
                    </w:rPr>
                    <w:t>4</w:t>
                  </w:r>
                </w:p>
              </w:tc>
              <w:tc>
                <w:tcPr>
                  <w:tcW w:w="1268" w:type="dxa"/>
                  <w:noWrap w:val="0"/>
                  <w:vAlign w:val="center"/>
                </w:tcPr>
                <w:p w14:paraId="245ACDEC">
                  <w:pPr>
                    <w:adjustRightInd w:val="0"/>
                    <w:jc w:val="center"/>
                    <w:textAlignment w:val="baseline"/>
                    <w:rPr>
                      <w:bCs/>
                      <w:sz w:val="21"/>
                      <w:szCs w:val="21"/>
                      <w:highlight w:val="none"/>
                    </w:rPr>
                  </w:pPr>
                  <w:r>
                    <w:rPr>
                      <w:bCs/>
                      <w:sz w:val="21"/>
                      <w:szCs w:val="21"/>
                      <w:highlight w:val="none"/>
                    </w:rPr>
                    <w:t>组织机构与职责</w:t>
                  </w:r>
                </w:p>
              </w:tc>
              <w:tc>
                <w:tcPr>
                  <w:tcW w:w="6236" w:type="dxa"/>
                  <w:noWrap w:val="0"/>
                  <w:vAlign w:val="center"/>
                </w:tcPr>
                <w:p w14:paraId="354ED67A">
                  <w:pPr>
                    <w:adjustRightInd w:val="0"/>
                    <w:textAlignment w:val="baseline"/>
                    <w:rPr>
                      <w:bCs/>
                      <w:sz w:val="21"/>
                      <w:szCs w:val="21"/>
                      <w:highlight w:val="none"/>
                    </w:rPr>
                  </w:pPr>
                  <w:r>
                    <w:rPr>
                      <w:bCs/>
                      <w:sz w:val="21"/>
                      <w:szCs w:val="21"/>
                      <w:highlight w:val="none"/>
                    </w:rPr>
                    <w:t>以应急组织体系结构图、应急响应流程图的形式，说明组织体系构成、应急指挥运行机制，配有应急队伍成员名单和联系方式表；明确组织体系的构成及其职责；明确应急状态下指挥运行机制，建立统一的应急指挥、协调和决策程序；根据突发环境事件的危害程度、影响范围、周边环境敏感点、企业应急响应能力等，建立分级应急响应机制，明确不同应急响应级别对应的指挥权限；说明企业与政府及其有关部门之间的关系。</w:t>
                  </w:r>
                </w:p>
              </w:tc>
            </w:tr>
            <w:tr w14:paraId="5BE3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503" w:type="dxa"/>
                  <w:noWrap w:val="0"/>
                  <w:vAlign w:val="center"/>
                </w:tcPr>
                <w:p w14:paraId="0F720E62">
                  <w:pPr>
                    <w:adjustRightInd w:val="0"/>
                    <w:jc w:val="center"/>
                    <w:textAlignment w:val="baseline"/>
                    <w:rPr>
                      <w:bCs/>
                      <w:sz w:val="21"/>
                      <w:szCs w:val="21"/>
                      <w:highlight w:val="none"/>
                    </w:rPr>
                  </w:pPr>
                  <w:r>
                    <w:rPr>
                      <w:bCs/>
                      <w:sz w:val="21"/>
                      <w:szCs w:val="21"/>
                      <w:highlight w:val="none"/>
                    </w:rPr>
                    <w:t>5</w:t>
                  </w:r>
                </w:p>
              </w:tc>
              <w:tc>
                <w:tcPr>
                  <w:tcW w:w="1268" w:type="dxa"/>
                  <w:noWrap w:val="0"/>
                  <w:vAlign w:val="center"/>
                </w:tcPr>
                <w:p w14:paraId="0F2744FD">
                  <w:pPr>
                    <w:adjustRightInd w:val="0"/>
                    <w:jc w:val="center"/>
                    <w:textAlignment w:val="baseline"/>
                    <w:rPr>
                      <w:bCs/>
                      <w:sz w:val="21"/>
                      <w:szCs w:val="21"/>
                      <w:highlight w:val="none"/>
                    </w:rPr>
                  </w:pPr>
                  <w:r>
                    <w:rPr>
                      <w:bCs/>
                      <w:sz w:val="21"/>
                      <w:szCs w:val="21"/>
                      <w:highlight w:val="none"/>
                    </w:rPr>
                    <w:t>监控和预警</w:t>
                  </w:r>
                </w:p>
              </w:tc>
              <w:tc>
                <w:tcPr>
                  <w:tcW w:w="6236" w:type="dxa"/>
                  <w:noWrap w:val="0"/>
                  <w:vAlign w:val="center"/>
                </w:tcPr>
                <w:p w14:paraId="35A06493">
                  <w:pPr>
                    <w:adjustRightInd w:val="0"/>
                    <w:textAlignment w:val="baseline"/>
                    <w:rPr>
                      <w:bCs/>
                      <w:sz w:val="21"/>
                      <w:szCs w:val="21"/>
                      <w:highlight w:val="none"/>
                    </w:rPr>
                  </w:pPr>
                  <w:r>
                    <w:rPr>
                      <w:bCs/>
                      <w:sz w:val="21"/>
                      <w:szCs w:val="21"/>
                      <w:highlight w:val="none"/>
                    </w:rPr>
                    <w:t>建立企业内部监控预警方案；明确监控信息的获得途径和分析研判的方式方法；明确企业内部预警条件，预警等级，预警信息发布、接收、调整、解除程序、发布内容、责任人。</w:t>
                  </w:r>
                </w:p>
              </w:tc>
            </w:tr>
            <w:tr w14:paraId="2AE3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03" w:type="dxa"/>
                  <w:noWrap w:val="0"/>
                  <w:vAlign w:val="center"/>
                </w:tcPr>
                <w:p w14:paraId="4B9F585B">
                  <w:pPr>
                    <w:adjustRightInd w:val="0"/>
                    <w:jc w:val="center"/>
                    <w:textAlignment w:val="baseline"/>
                    <w:rPr>
                      <w:bCs/>
                      <w:sz w:val="21"/>
                      <w:szCs w:val="21"/>
                      <w:highlight w:val="none"/>
                    </w:rPr>
                  </w:pPr>
                  <w:r>
                    <w:rPr>
                      <w:bCs/>
                      <w:sz w:val="21"/>
                      <w:szCs w:val="21"/>
                      <w:highlight w:val="none"/>
                    </w:rPr>
                    <w:t>6</w:t>
                  </w:r>
                </w:p>
              </w:tc>
              <w:tc>
                <w:tcPr>
                  <w:tcW w:w="1268" w:type="dxa"/>
                  <w:noWrap w:val="0"/>
                  <w:vAlign w:val="center"/>
                </w:tcPr>
                <w:p w14:paraId="2B8F52CC">
                  <w:pPr>
                    <w:adjustRightInd w:val="0"/>
                    <w:jc w:val="center"/>
                    <w:textAlignment w:val="baseline"/>
                    <w:rPr>
                      <w:bCs/>
                      <w:sz w:val="21"/>
                      <w:szCs w:val="21"/>
                      <w:highlight w:val="none"/>
                    </w:rPr>
                  </w:pPr>
                  <w:r>
                    <w:rPr>
                      <w:bCs/>
                      <w:sz w:val="21"/>
                      <w:szCs w:val="21"/>
                      <w:highlight w:val="none"/>
                    </w:rPr>
                    <w:t>应急响应</w:t>
                  </w:r>
                </w:p>
              </w:tc>
              <w:tc>
                <w:tcPr>
                  <w:tcW w:w="6236" w:type="dxa"/>
                  <w:noWrap w:val="0"/>
                  <w:vAlign w:val="center"/>
                </w:tcPr>
                <w:p w14:paraId="44644D6C">
                  <w:pPr>
                    <w:adjustRightInd w:val="0"/>
                    <w:textAlignment w:val="baseline"/>
                    <w:rPr>
                      <w:bCs/>
                      <w:sz w:val="21"/>
                      <w:szCs w:val="21"/>
                      <w:highlight w:val="none"/>
                    </w:rPr>
                  </w:pPr>
                  <w:r>
                    <w:rPr>
                      <w:bCs/>
                      <w:sz w:val="21"/>
                      <w:szCs w:val="21"/>
                      <w:highlight w:val="none"/>
                    </w:rPr>
                    <w:t>根据企业突发环境事件分类与分级结果，制定相应应急响应程序。</w:t>
                  </w:r>
                </w:p>
              </w:tc>
            </w:tr>
            <w:tr w14:paraId="524B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503" w:type="dxa"/>
                  <w:noWrap w:val="0"/>
                  <w:vAlign w:val="center"/>
                </w:tcPr>
                <w:p w14:paraId="4AE5C335">
                  <w:pPr>
                    <w:adjustRightInd w:val="0"/>
                    <w:jc w:val="center"/>
                    <w:textAlignment w:val="baseline"/>
                    <w:rPr>
                      <w:bCs/>
                      <w:sz w:val="21"/>
                      <w:szCs w:val="21"/>
                      <w:highlight w:val="none"/>
                    </w:rPr>
                  </w:pPr>
                  <w:r>
                    <w:rPr>
                      <w:bCs/>
                      <w:sz w:val="21"/>
                      <w:szCs w:val="21"/>
                      <w:highlight w:val="none"/>
                    </w:rPr>
                    <w:t>7</w:t>
                  </w:r>
                </w:p>
              </w:tc>
              <w:tc>
                <w:tcPr>
                  <w:tcW w:w="1268" w:type="dxa"/>
                  <w:noWrap w:val="0"/>
                  <w:vAlign w:val="center"/>
                </w:tcPr>
                <w:p w14:paraId="3B11149A">
                  <w:pPr>
                    <w:adjustRightInd w:val="0"/>
                    <w:jc w:val="center"/>
                    <w:textAlignment w:val="baseline"/>
                    <w:rPr>
                      <w:bCs/>
                      <w:sz w:val="21"/>
                      <w:szCs w:val="21"/>
                      <w:highlight w:val="none"/>
                    </w:rPr>
                  </w:pPr>
                  <w:r>
                    <w:rPr>
                      <w:bCs/>
                      <w:sz w:val="21"/>
                      <w:szCs w:val="21"/>
                      <w:highlight w:val="none"/>
                    </w:rPr>
                    <w:t>应急保障</w:t>
                  </w:r>
                </w:p>
              </w:tc>
              <w:tc>
                <w:tcPr>
                  <w:tcW w:w="6236" w:type="dxa"/>
                  <w:noWrap w:val="0"/>
                  <w:vAlign w:val="center"/>
                </w:tcPr>
                <w:p w14:paraId="0D807A61">
                  <w:pPr>
                    <w:adjustRightInd w:val="0"/>
                    <w:textAlignment w:val="baseline"/>
                    <w:rPr>
                      <w:bCs/>
                      <w:sz w:val="21"/>
                      <w:szCs w:val="21"/>
                      <w:highlight w:val="none"/>
                    </w:rPr>
                  </w:pPr>
                  <w:r>
                    <w:rPr>
                      <w:bCs/>
                      <w:sz w:val="21"/>
                      <w:szCs w:val="21"/>
                      <w:highlight w:val="none"/>
                    </w:rPr>
                    <w:t>说明环境应急预案涉及的人力资源、财力、物资以及其他技术、重要设施的保障。</w:t>
                  </w:r>
                </w:p>
              </w:tc>
            </w:tr>
            <w:tr w14:paraId="29BD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503" w:type="dxa"/>
                  <w:noWrap w:val="0"/>
                  <w:vAlign w:val="center"/>
                </w:tcPr>
                <w:p w14:paraId="3D76F463">
                  <w:pPr>
                    <w:adjustRightInd w:val="0"/>
                    <w:jc w:val="center"/>
                    <w:textAlignment w:val="baseline"/>
                    <w:rPr>
                      <w:bCs/>
                      <w:sz w:val="21"/>
                      <w:szCs w:val="21"/>
                      <w:highlight w:val="none"/>
                    </w:rPr>
                  </w:pPr>
                  <w:r>
                    <w:rPr>
                      <w:bCs/>
                      <w:sz w:val="21"/>
                      <w:szCs w:val="21"/>
                      <w:highlight w:val="none"/>
                    </w:rPr>
                    <w:t>8</w:t>
                  </w:r>
                </w:p>
              </w:tc>
              <w:tc>
                <w:tcPr>
                  <w:tcW w:w="1268" w:type="dxa"/>
                  <w:noWrap w:val="0"/>
                  <w:vAlign w:val="center"/>
                </w:tcPr>
                <w:p w14:paraId="0558605C">
                  <w:pPr>
                    <w:adjustRightInd w:val="0"/>
                    <w:jc w:val="center"/>
                    <w:textAlignment w:val="baseline"/>
                    <w:rPr>
                      <w:bCs/>
                      <w:sz w:val="21"/>
                      <w:szCs w:val="21"/>
                      <w:highlight w:val="none"/>
                    </w:rPr>
                  </w:pPr>
                  <w:r>
                    <w:rPr>
                      <w:bCs/>
                      <w:sz w:val="21"/>
                      <w:szCs w:val="21"/>
                      <w:highlight w:val="none"/>
                    </w:rPr>
                    <w:t>善后处理</w:t>
                  </w:r>
                </w:p>
              </w:tc>
              <w:tc>
                <w:tcPr>
                  <w:tcW w:w="6236" w:type="dxa"/>
                  <w:noWrap w:val="0"/>
                  <w:vAlign w:val="center"/>
                </w:tcPr>
                <w:p w14:paraId="764219BB">
                  <w:pPr>
                    <w:adjustRightInd w:val="0"/>
                    <w:textAlignment w:val="baseline"/>
                    <w:rPr>
                      <w:bCs/>
                      <w:sz w:val="21"/>
                      <w:szCs w:val="21"/>
                      <w:highlight w:val="none"/>
                    </w:rPr>
                  </w:pPr>
                  <w:r>
                    <w:rPr>
                      <w:bCs/>
                      <w:sz w:val="21"/>
                      <w:szCs w:val="21"/>
                      <w:highlight w:val="none"/>
                    </w:rPr>
                    <w:t>结合本单位实际，说明应急终止的条件和发布程序；说明事后恢复的工作内容和责任人，一般包括：现场污染物的后续处理；环境应急相关设施、设备、场所的维护；配合开展环境损害评估、赔偿、事件调查处理等。</w:t>
                  </w:r>
                </w:p>
              </w:tc>
            </w:tr>
            <w:tr w14:paraId="5DF1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03" w:type="dxa"/>
                  <w:noWrap w:val="0"/>
                  <w:vAlign w:val="center"/>
                </w:tcPr>
                <w:p w14:paraId="3FF2006C">
                  <w:pPr>
                    <w:adjustRightInd w:val="0"/>
                    <w:jc w:val="center"/>
                    <w:textAlignment w:val="baseline"/>
                    <w:rPr>
                      <w:bCs/>
                      <w:sz w:val="21"/>
                      <w:szCs w:val="21"/>
                      <w:highlight w:val="none"/>
                    </w:rPr>
                  </w:pPr>
                  <w:r>
                    <w:rPr>
                      <w:bCs/>
                      <w:sz w:val="21"/>
                      <w:szCs w:val="21"/>
                      <w:highlight w:val="none"/>
                    </w:rPr>
                    <w:t>9</w:t>
                  </w:r>
                </w:p>
              </w:tc>
              <w:tc>
                <w:tcPr>
                  <w:tcW w:w="1268" w:type="dxa"/>
                  <w:noWrap w:val="0"/>
                  <w:vAlign w:val="center"/>
                </w:tcPr>
                <w:p w14:paraId="26982858">
                  <w:pPr>
                    <w:adjustRightInd w:val="0"/>
                    <w:jc w:val="center"/>
                    <w:textAlignment w:val="baseline"/>
                    <w:rPr>
                      <w:bCs/>
                      <w:sz w:val="21"/>
                      <w:szCs w:val="21"/>
                      <w:highlight w:val="none"/>
                    </w:rPr>
                  </w:pPr>
                  <w:r>
                    <w:rPr>
                      <w:bCs/>
                      <w:sz w:val="21"/>
                      <w:szCs w:val="21"/>
                      <w:highlight w:val="none"/>
                    </w:rPr>
                    <w:t>预案管理与演练</w:t>
                  </w:r>
                </w:p>
              </w:tc>
              <w:tc>
                <w:tcPr>
                  <w:tcW w:w="6236" w:type="dxa"/>
                  <w:noWrap w:val="0"/>
                  <w:vAlign w:val="center"/>
                </w:tcPr>
                <w:p w14:paraId="00577831">
                  <w:pPr>
                    <w:adjustRightInd w:val="0"/>
                    <w:textAlignment w:val="baseline"/>
                    <w:rPr>
                      <w:bCs/>
                      <w:sz w:val="21"/>
                      <w:szCs w:val="21"/>
                      <w:highlight w:val="none"/>
                    </w:rPr>
                  </w:pPr>
                  <w:r>
                    <w:rPr>
                      <w:bCs/>
                      <w:sz w:val="21"/>
                      <w:szCs w:val="21"/>
                      <w:highlight w:val="none"/>
                    </w:rPr>
                    <w:t>明确环境应急预案的评估修订要求；安排有关环境应急预案的培训和演练。</w:t>
                  </w:r>
                </w:p>
              </w:tc>
            </w:tr>
          </w:tbl>
          <w:p w14:paraId="3AA6D3FE">
            <w:pPr>
              <w:pStyle w:val="38"/>
              <w:numPr>
                <w:ilvl w:val="0"/>
                <w:numId w:val="0"/>
              </w:numPr>
              <w:spacing w:line="360" w:lineRule="auto"/>
              <w:ind w:left="420" w:leftChars="20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7</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分析结论</w:t>
            </w:r>
          </w:p>
          <w:p w14:paraId="26685EA0">
            <w:pPr>
              <w:pStyle w:val="49"/>
              <w:ind w:left="0" w:firstLine="480" w:firstLineChars="200"/>
              <w:jc w:val="left"/>
              <w:outlineLvl w:val="9"/>
              <w:rPr>
                <w:rStyle w:val="50"/>
                <w:rFonts w:hint="default" w:ascii="Times New Roman" w:hAnsi="Times New Roman" w:eastAsia="宋体" w:cs="Times New Roman"/>
                <w:b w:val="0"/>
                <w:color w:val="auto"/>
                <w:sz w:val="24"/>
                <w:szCs w:val="24"/>
                <w:highlight w:val="none"/>
              </w:rPr>
            </w:pPr>
            <w:r>
              <w:rPr>
                <w:rStyle w:val="50"/>
                <w:rFonts w:hint="default" w:ascii="Times New Roman" w:hAnsi="Times New Roman" w:eastAsia="宋体" w:cs="Times New Roman"/>
                <w:b w:val="0"/>
                <w:color w:val="auto"/>
                <w:sz w:val="24"/>
                <w:szCs w:val="24"/>
                <w:highlight w:val="none"/>
              </w:rPr>
              <w:t>本项目符合国家产业政策，生产技术可靠，不在国家明令淘汰之列，选择的生产设施与设备安全、可靠，总平面布置方案基本合理。该项目虽存在危险有害因素及危险有害物质，但在采取拟选用和本报告提出的对策、措施建议后，项目存在的危险、有害因素可以得到有效控制，其风险程度可以接受。</w:t>
            </w:r>
          </w:p>
          <w:p w14:paraId="5CFCE854">
            <w:pPr>
              <w:pStyle w:val="49"/>
              <w:ind w:left="0" w:firstLine="482" w:firstLineChars="200"/>
              <w:jc w:val="left"/>
              <w:outlineLvl w:val="9"/>
              <w:rPr>
                <w:rStyle w:val="50"/>
                <w:rFonts w:hint="default" w:ascii="Times New Roman" w:hAnsi="Times New Roman" w:eastAsia="宋体" w:cs="Times New Roman"/>
                <w:b/>
                <w:color w:val="auto"/>
                <w:sz w:val="24"/>
                <w:szCs w:val="24"/>
                <w:highlight w:val="none"/>
              </w:rPr>
            </w:pPr>
          </w:p>
          <w:p w14:paraId="27A12FD3">
            <w:pPr>
              <w:pStyle w:val="49"/>
              <w:ind w:left="0" w:firstLine="482" w:firstLineChars="200"/>
              <w:jc w:val="left"/>
              <w:outlineLvl w:val="9"/>
              <w:rPr>
                <w:rStyle w:val="50"/>
                <w:rFonts w:hint="default" w:ascii="Times New Roman" w:hAnsi="Times New Roman" w:eastAsia="宋体" w:cs="Times New Roman"/>
                <w:b/>
                <w:color w:val="auto"/>
                <w:sz w:val="24"/>
                <w:szCs w:val="24"/>
                <w:highlight w:val="none"/>
              </w:rPr>
            </w:pPr>
          </w:p>
          <w:p w14:paraId="61460E0E">
            <w:pPr>
              <w:pStyle w:val="49"/>
              <w:ind w:left="0" w:firstLine="482" w:firstLineChars="200"/>
              <w:jc w:val="left"/>
              <w:outlineLvl w:val="9"/>
              <w:rPr>
                <w:rStyle w:val="50"/>
                <w:rFonts w:hint="default" w:ascii="Times New Roman" w:hAnsi="Times New Roman" w:eastAsia="宋体" w:cs="Times New Roman"/>
                <w:b/>
                <w:color w:val="auto"/>
                <w:sz w:val="24"/>
                <w:szCs w:val="24"/>
                <w:highlight w:val="none"/>
              </w:rPr>
            </w:pPr>
          </w:p>
          <w:p w14:paraId="1D4BE4BB">
            <w:pPr>
              <w:pStyle w:val="49"/>
              <w:ind w:left="0" w:firstLine="482" w:firstLineChars="200"/>
              <w:jc w:val="left"/>
              <w:outlineLvl w:val="9"/>
              <w:rPr>
                <w:rStyle w:val="50"/>
                <w:rFonts w:hint="default" w:ascii="Times New Roman" w:hAnsi="Times New Roman" w:eastAsia="宋体" w:cs="Times New Roman"/>
                <w:b/>
                <w:color w:val="auto"/>
                <w:sz w:val="24"/>
                <w:szCs w:val="24"/>
                <w:highlight w:val="none"/>
              </w:rPr>
            </w:pPr>
          </w:p>
          <w:p w14:paraId="063780B5">
            <w:pPr>
              <w:pStyle w:val="49"/>
              <w:ind w:left="0" w:firstLine="482" w:firstLineChars="200"/>
              <w:jc w:val="left"/>
              <w:outlineLvl w:val="9"/>
              <w:rPr>
                <w:rFonts w:hint="default" w:ascii="Times New Roman" w:hAnsi="Times New Roman" w:cs="Times New Roman"/>
                <w:color w:val="auto"/>
                <w:sz w:val="24"/>
                <w:szCs w:val="24"/>
                <w:highlight w:val="none"/>
              </w:rPr>
            </w:pPr>
          </w:p>
        </w:tc>
      </w:tr>
    </w:tbl>
    <w:p w14:paraId="0D0AD971">
      <w:pPr>
        <w:pStyle w:val="20"/>
        <w:jc w:val="center"/>
        <w:outlineLvl w:val="0"/>
        <w:rPr>
          <w:rFonts w:hint="default" w:ascii="Times New Roman" w:hAnsi="Times New Roman" w:eastAsia="黑体" w:cs="Times New Roman"/>
          <w:snapToGrid w:val="0"/>
          <w:color w:val="auto"/>
          <w:sz w:val="30"/>
          <w:szCs w:val="30"/>
          <w:highlight w:val="none"/>
        </w:rPr>
        <w:sectPr>
          <w:type w:val="continuous"/>
          <w:pgSz w:w="11906" w:h="16838"/>
          <w:pgMar w:top="1701" w:right="1531" w:bottom="1701" w:left="1531" w:header="851" w:footer="851" w:gutter="0"/>
          <w:cols w:space="720" w:num="1"/>
          <w:docGrid w:linePitch="312" w:charSpace="0"/>
        </w:sectPr>
      </w:pPr>
    </w:p>
    <w:p w14:paraId="32FCD7B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五、</w:t>
      </w:r>
      <w:bookmarkStart w:id="5" w:name="_Hlk54167917"/>
      <w:r>
        <w:rPr>
          <w:rFonts w:hint="default" w:ascii="Times New Roman" w:hAnsi="Times New Roman" w:eastAsia="黑体" w:cs="Times New Roman"/>
          <w:snapToGrid w:val="0"/>
          <w:color w:val="auto"/>
          <w:sz w:val="30"/>
          <w:szCs w:val="30"/>
          <w:highlight w:val="none"/>
        </w:rPr>
        <w:t>环境保护措施监督检查清单</w:t>
      </w:r>
      <w:bookmarkEnd w:id="5"/>
    </w:p>
    <w:tbl>
      <w:tblPr>
        <w:tblStyle w:val="22"/>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449"/>
        <w:gridCol w:w="1584"/>
        <w:gridCol w:w="1255"/>
        <w:gridCol w:w="1255"/>
        <w:gridCol w:w="2266"/>
      </w:tblGrid>
      <w:tr w14:paraId="0D5773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51" w:type="dxa"/>
            <w:tcBorders>
              <w:tl2br w:val="single" w:color="auto" w:sz="4" w:space="0"/>
            </w:tcBorders>
            <w:noWrap w:val="0"/>
            <w:vAlign w:val="top"/>
          </w:tcPr>
          <w:p w14:paraId="276A6072">
            <w:pPr>
              <w:adjustRightInd w:val="0"/>
              <w:snapToGrid w:val="0"/>
              <w:spacing w:line="240" w:lineRule="auto"/>
              <w:ind w:firstLine="630" w:firstLineChars="3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内容</w:t>
            </w:r>
          </w:p>
          <w:p w14:paraId="4D68759B">
            <w:pPr>
              <w:adjustRightInd w:val="0"/>
              <w:snapToGrid w:val="0"/>
              <w:spacing w:line="24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要素</w:t>
            </w:r>
          </w:p>
        </w:tc>
        <w:tc>
          <w:tcPr>
            <w:tcW w:w="1449" w:type="dxa"/>
            <w:noWrap w:val="0"/>
            <w:vAlign w:val="center"/>
          </w:tcPr>
          <w:p w14:paraId="7E7A096B">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排放口(编号、名称)/污染源</w:t>
            </w:r>
          </w:p>
        </w:tc>
        <w:tc>
          <w:tcPr>
            <w:tcW w:w="1584" w:type="dxa"/>
            <w:noWrap w:val="0"/>
            <w:vAlign w:val="center"/>
          </w:tcPr>
          <w:p w14:paraId="3785996D">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污染物项目</w:t>
            </w:r>
          </w:p>
        </w:tc>
        <w:tc>
          <w:tcPr>
            <w:tcW w:w="2510" w:type="dxa"/>
            <w:gridSpan w:val="2"/>
            <w:noWrap w:val="0"/>
            <w:vAlign w:val="center"/>
          </w:tcPr>
          <w:p w14:paraId="44A62A0D">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环境保护措施</w:t>
            </w:r>
          </w:p>
        </w:tc>
        <w:tc>
          <w:tcPr>
            <w:tcW w:w="2266" w:type="dxa"/>
            <w:noWrap w:val="0"/>
            <w:vAlign w:val="center"/>
          </w:tcPr>
          <w:p w14:paraId="32A08EB5">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执行标准</w:t>
            </w:r>
          </w:p>
        </w:tc>
      </w:tr>
      <w:tr w14:paraId="26D190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51" w:type="dxa"/>
            <w:vMerge w:val="restart"/>
            <w:noWrap w:val="0"/>
            <w:vAlign w:val="center"/>
          </w:tcPr>
          <w:p w14:paraId="507F16FC">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大气环境</w:t>
            </w:r>
          </w:p>
        </w:tc>
        <w:tc>
          <w:tcPr>
            <w:tcW w:w="1449" w:type="dxa"/>
            <w:noWrap w:val="0"/>
            <w:vAlign w:val="center"/>
          </w:tcPr>
          <w:p w14:paraId="55C027C1">
            <w:pPr>
              <w:adjustRightInd w:val="0"/>
              <w:snapToGrid w:val="0"/>
              <w:spacing w:line="240" w:lineRule="auto"/>
              <w:jc w:val="center"/>
              <w:textAlignment w:val="baseline"/>
              <w:rPr>
                <w:rFonts w:hint="default" w:ascii="Times New Roman" w:hAnsi="Times New Roman" w:cs="Times New Roman"/>
                <w:color w:val="auto"/>
                <w:szCs w:val="21"/>
                <w:highlight w:val="none"/>
                <w:lang w:val="en-US" w:eastAsia="zh-CN"/>
              </w:rPr>
            </w:pPr>
            <w:r>
              <w:rPr>
                <w:rFonts w:hint="eastAsia" w:cs="Times New Roman"/>
                <w:b w:val="0"/>
                <w:bCs w:val="0"/>
                <w:color w:val="auto"/>
                <w:kern w:val="0"/>
                <w:szCs w:val="21"/>
                <w:highlight w:val="none"/>
                <w:lang w:eastAsia="zh-CN"/>
              </w:rPr>
              <w:t>印刷废气</w:t>
            </w:r>
          </w:p>
        </w:tc>
        <w:tc>
          <w:tcPr>
            <w:tcW w:w="1584" w:type="dxa"/>
            <w:noWrap w:val="0"/>
            <w:vAlign w:val="center"/>
          </w:tcPr>
          <w:p w14:paraId="3760A0E6">
            <w:pPr>
              <w:adjustRightInd w:val="0"/>
              <w:snapToGrid w:val="0"/>
              <w:spacing w:line="240" w:lineRule="auto"/>
              <w:jc w:val="center"/>
              <w:textAlignment w:val="baseline"/>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非甲烷总烃</w:t>
            </w:r>
          </w:p>
        </w:tc>
        <w:tc>
          <w:tcPr>
            <w:tcW w:w="1255" w:type="dxa"/>
            <w:vMerge w:val="restart"/>
            <w:noWrap w:val="0"/>
            <w:vAlign w:val="center"/>
          </w:tcPr>
          <w:p w14:paraId="22A0877A">
            <w:pPr>
              <w:adjustRightInd w:val="0"/>
              <w:snapToGrid w:val="0"/>
              <w:spacing w:line="240" w:lineRule="auto"/>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集气罩收集</w:t>
            </w:r>
          </w:p>
        </w:tc>
        <w:tc>
          <w:tcPr>
            <w:tcW w:w="1255" w:type="dxa"/>
            <w:vMerge w:val="restart"/>
            <w:noWrap w:val="0"/>
            <w:vAlign w:val="center"/>
          </w:tcPr>
          <w:p w14:paraId="40CB0989">
            <w:pPr>
              <w:adjustRightInd w:val="0"/>
              <w:snapToGrid w:val="0"/>
              <w:spacing w:line="240" w:lineRule="auto"/>
              <w:jc w:val="center"/>
              <w:rPr>
                <w:rFonts w:hint="eastAsia" w:cs="Times New Roman"/>
                <w:color w:val="auto"/>
                <w:szCs w:val="21"/>
                <w:highlight w:val="none"/>
                <w:lang w:val="en-US" w:eastAsia="zh-CN"/>
              </w:rPr>
            </w:pPr>
            <w:r>
              <w:rPr>
                <w:rFonts w:hint="eastAsia" w:cs="Times New Roman"/>
                <w:color w:val="auto"/>
                <w:kern w:val="2"/>
                <w:sz w:val="21"/>
                <w:szCs w:val="21"/>
                <w:highlight w:val="none"/>
                <w:lang w:val="en-US" w:eastAsia="zh-CN"/>
              </w:rPr>
              <w:t>干式过滤器+</w:t>
            </w:r>
            <w:r>
              <w:rPr>
                <w:rFonts w:hint="eastAsia" w:cs="Times New Roman"/>
                <w:color w:val="auto"/>
                <w:szCs w:val="21"/>
                <w:highlight w:val="none"/>
                <w:lang w:val="en-US" w:eastAsia="zh-CN"/>
              </w:rPr>
              <w:t>二级活性炭吸附装置+20m高排气筒（DA001）</w:t>
            </w:r>
          </w:p>
        </w:tc>
        <w:tc>
          <w:tcPr>
            <w:tcW w:w="2266" w:type="dxa"/>
            <w:vMerge w:val="restart"/>
            <w:noWrap w:val="0"/>
            <w:vAlign w:val="center"/>
          </w:tcPr>
          <w:p w14:paraId="4C043295">
            <w:pPr>
              <w:adjustRightInd w:val="0"/>
              <w:snapToGrid w:val="0"/>
              <w:spacing w:line="240" w:lineRule="auto"/>
              <w:jc w:val="center"/>
              <w:rPr>
                <w:rFonts w:hint="eastAsia" w:ascii="Times New Roman" w:hAnsi="Times New Roman" w:eastAsia="宋体" w:cs="Times New Roman"/>
                <w:color w:val="auto"/>
                <w:szCs w:val="21"/>
                <w:highlight w:val="none"/>
                <w:lang w:eastAsia="zh-CN"/>
              </w:rPr>
            </w:pPr>
            <w:r>
              <w:rPr>
                <w:rFonts w:hint="default" w:ascii="Times New Roman" w:hAnsi="Times New Roman" w:cs="Times New Roman"/>
                <w:b w:val="0"/>
                <w:bCs/>
                <w:color w:val="auto"/>
                <w:szCs w:val="21"/>
                <w:highlight w:val="none"/>
              </w:rPr>
              <w:t>营运期产生的</w:t>
            </w:r>
            <w:r>
              <w:rPr>
                <w:rFonts w:hint="eastAsia" w:cs="Times New Roman"/>
                <w:color w:val="auto"/>
                <w:szCs w:val="21"/>
                <w:highlight w:val="none"/>
                <w:lang w:val="en-US" w:eastAsia="zh-CN"/>
              </w:rPr>
              <w:t>颗粒物、</w:t>
            </w:r>
            <w:r>
              <w:rPr>
                <w:rFonts w:hint="default" w:ascii="Times New Roman" w:hAnsi="Times New Roman" w:cs="Times New Roman"/>
                <w:b w:val="0"/>
                <w:bCs/>
                <w:color w:val="auto"/>
                <w:szCs w:val="21"/>
                <w:highlight w:val="none"/>
              </w:rPr>
              <w:t>锡及其化合物排放执行《大气污染物综合排放标准》（GB16297-1996）中二级标准及无组织排放监控限值要求</w:t>
            </w:r>
            <w:r>
              <w:rPr>
                <w:rFonts w:hint="eastAsia" w:cs="Times New Roman"/>
                <w:b w:val="0"/>
                <w:bCs/>
                <w:color w:val="auto"/>
                <w:szCs w:val="21"/>
                <w:highlight w:val="none"/>
                <w:lang w:eastAsia="zh-CN"/>
              </w:rPr>
              <w:t>；</w:t>
            </w:r>
            <w:r>
              <w:rPr>
                <w:rFonts w:hint="default" w:ascii="Times New Roman" w:hAnsi="Times New Roman" w:cs="Times New Roman"/>
                <w:b w:val="0"/>
                <w:bCs/>
                <w:color w:val="auto"/>
                <w:szCs w:val="21"/>
                <w:highlight w:val="none"/>
              </w:rPr>
              <w:t>产生的非甲烷总烃</w:t>
            </w:r>
            <w:r>
              <w:rPr>
                <w:rFonts w:hint="eastAsia" w:cs="Times New Roman"/>
                <w:b w:val="0"/>
                <w:bCs/>
                <w:color w:val="auto"/>
                <w:szCs w:val="21"/>
                <w:highlight w:val="none"/>
                <w:lang w:eastAsia="zh-CN"/>
              </w:rPr>
              <w:t>排放执行《固定源挥发性有机物综合排放标准第 5 部分：电子工业》（DB 34/ 4812.5—2024）标准限值</w:t>
            </w:r>
            <w:r>
              <w:rPr>
                <w:rFonts w:hint="eastAsia" w:cs="Times New Roman"/>
                <w:b w:val="0"/>
                <w:bCs/>
                <w:color w:val="auto"/>
                <w:szCs w:val="21"/>
                <w:highlight w:val="none"/>
                <w:lang w:val="en-US" w:eastAsia="zh-CN"/>
              </w:rPr>
              <w:t>及</w:t>
            </w:r>
            <w:r>
              <w:rPr>
                <w:rFonts w:hint="eastAsia" w:cs="Times New Roman"/>
                <w:b w:val="0"/>
                <w:bCs/>
                <w:color w:val="auto"/>
                <w:szCs w:val="21"/>
                <w:highlight w:val="none"/>
                <w:lang w:eastAsia="zh-CN"/>
              </w:rPr>
              <w:t>《大气污染物综合排放标准》（GB16297-1996）中无组织排放监控限值要求</w:t>
            </w:r>
          </w:p>
        </w:tc>
      </w:tr>
      <w:tr w14:paraId="7BCAAE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51" w:type="dxa"/>
            <w:vMerge w:val="continue"/>
            <w:noWrap w:val="0"/>
            <w:vAlign w:val="center"/>
          </w:tcPr>
          <w:p w14:paraId="6DECA8BD">
            <w:pPr>
              <w:adjustRightInd w:val="0"/>
              <w:snapToGrid w:val="0"/>
              <w:spacing w:line="240" w:lineRule="auto"/>
              <w:jc w:val="center"/>
              <w:rPr>
                <w:rFonts w:hint="default" w:ascii="Times New Roman" w:hAnsi="Times New Roman" w:cs="Times New Roman"/>
                <w:color w:val="auto"/>
                <w:szCs w:val="21"/>
                <w:highlight w:val="none"/>
              </w:rPr>
            </w:pPr>
          </w:p>
        </w:tc>
        <w:tc>
          <w:tcPr>
            <w:tcW w:w="1449" w:type="dxa"/>
            <w:noWrap w:val="0"/>
            <w:vAlign w:val="center"/>
          </w:tcPr>
          <w:p w14:paraId="43FEC636">
            <w:pPr>
              <w:adjustRightInd w:val="0"/>
              <w:snapToGrid w:val="0"/>
              <w:spacing w:line="240" w:lineRule="auto"/>
              <w:jc w:val="center"/>
              <w:textAlignment w:val="baseline"/>
              <w:rPr>
                <w:rFonts w:hint="default" w:ascii="Times New Roman" w:hAnsi="Times New Roman" w:cs="Times New Roman"/>
                <w:color w:val="auto"/>
                <w:szCs w:val="21"/>
                <w:highlight w:val="none"/>
                <w:lang w:val="en-US" w:eastAsia="zh-CN"/>
              </w:rPr>
            </w:pPr>
            <w:r>
              <w:rPr>
                <w:rFonts w:hint="eastAsia" w:cs="Times New Roman"/>
                <w:color w:val="auto"/>
                <w:kern w:val="0"/>
                <w:szCs w:val="21"/>
                <w:highlight w:val="none"/>
                <w:lang w:val="en-US" w:eastAsia="zh-CN"/>
              </w:rPr>
              <w:t>钢网擦拭</w:t>
            </w:r>
            <w:r>
              <w:rPr>
                <w:rFonts w:hint="default" w:ascii="Times New Roman" w:hAnsi="Times New Roman" w:cs="Times New Roman"/>
                <w:color w:val="auto"/>
                <w:kern w:val="0"/>
                <w:szCs w:val="21"/>
                <w:highlight w:val="none"/>
              </w:rPr>
              <w:t>废气</w:t>
            </w:r>
          </w:p>
        </w:tc>
        <w:tc>
          <w:tcPr>
            <w:tcW w:w="1584" w:type="dxa"/>
            <w:noWrap w:val="0"/>
            <w:vAlign w:val="center"/>
          </w:tcPr>
          <w:p w14:paraId="3B59D3DE">
            <w:pPr>
              <w:adjustRightInd w:val="0"/>
              <w:snapToGrid w:val="0"/>
              <w:spacing w:line="240" w:lineRule="auto"/>
              <w:jc w:val="center"/>
              <w:textAlignment w:val="baseline"/>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非甲烷总烃</w:t>
            </w:r>
          </w:p>
        </w:tc>
        <w:tc>
          <w:tcPr>
            <w:tcW w:w="1255" w:type="dxa"/>
            <w:vMerge w:val="continue"/>
            <w:noWrap w:val="0"/>
            <w:vAlign w:val="center"/>
          </w:tcPr>
          <w:p w14:paraId="70D7C970">
            <w:pPr>
              <w:adjustRightInd w:val="0"/>
              <w:snapToGrid w:val="0"/>
              <w:spacing w:line="240" w:lineRule="auto"/>
              <w:jc w:val="center"/>
              <w:textAlignment w:val="baseline"/>
              <w:rPr>
                <w:rFonts w:hint="default" w:ascii="Times New Roman" w:hAnsi="Times New Roman" w:cs="Times New Roman"/>
                <w:color w:val="auto"/>
                <w:szCs w:val="21"/>
                <w:highlight w:val="none"/>
              </w:rPr>
            </w:pPr>
          </w:p>
        </w:tc>
        <w:tc>
          <w:tcPr>
            <w:tcW w:w="1255" w:type="dxa"/>
            <w:vMerge w:val="continue"/>
            <w:noWrap w:val="0"/>
            <w:vAlign w:val="center"/>
          </w:tcPr>
          <w:p w14:paraId="68DE9FC7">
            <w:pPr>
              <w:adjustRightInd w:val="0"/>
              <w:snapToGrid w:val="0"/>
              <w:spacing w:line="240" w:lineRule="auto"/>
              <w:jc w:val="center"/>
              <w:textAlignment w:val="baseline"/>
              <w:rPr>
                <w:rFonts w:hint="default" w:ascii="Times New Roman" w:hAnsi="Times New Roman" w:cs="Times New Roman"/>
                <w:color w:val="auto"/>
                <w:szCs w:val="21"/>
                <w:highlight w:val="none"/>
              </w:rPr>
            </w:pPr>
          </w:p>
        </w:tc>
        <w:tc>
          <w:tcPr>
            <w:tcW w:w="2266" w:type="dxa"/>
            <w:vMerge w:val="continue"/>
            <w:noWrap w:val="0"/>
            <w:vAlign w:val="center"/>
          </w:tcPr>
          <w:p w14:paraId="12D05934">
            <w:pPr>
              <w:adjustRightInd w:val="0"/>
              <w:snapToGrid w:val="0"/>
              <w:spacing w:line="240" w:lineRule="auto"/>
              <w:jc w:val="center"/>
              <w:rPr>
                <w:rFonts w:hint="default" w:ascii="Times New Roman" w:hAnsi="Times New Roman" w:cs="Times New Roman"/>
                <w:color w:val="auto"/>
                <w:szCs w:val="21"/>
                <w:highlight w:val="none"/>
              </w:rPr>
            </w:pPr>
          </w:p>
        </w:tc>
      </w:tr>
      <w:tr w14:paraId="0B4B97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251" w:type="dxa"/>
            <w:vMerge w:val="continue"/>
            <w:noWrap w:val="0"/>
            <w:vAlign w:val="center"/>
          </w:tcPr>
          <w:p w14:paraId="7E122C71">
            <w:pPr>
              <w:adjustRightInd w:val="0"/>
              <w:snapToGrid w:val="0"/>
              <w:spacing w:line="240" w:lineRule="auto"/>
              <w:jc w:val="center"/>
              <w:rPr>
                <w:rFonts w:hint="default" w:ascii="Times New Roman" w:hAnsi="Times New Roman" w:cs="Times New Roman"/>
                <w:color w:val="auto"/>
                <w:szCs w:val="21"/>
                <w:highlight w:val="none"/>
              </w:rPr>
            </w:pPr>
          </w:p>
        </w:tc>
        <w:tc>
          <w:tcPr>
            <w:tcW w:w="1449" w:type="dxa"/>
            <w:noWrap w:val="0"/>
            <w:vAlign w:val="center"/>
          </w:tcPr>
          <w:p w14:paraId="0ED2B763">
            <w:pPr>
              <w:adjustRightInd w:val="0"/>
              <w:snapToGrid w:val="0"/>
              <w:spacing w:line="240" w:lineRule="auto"/>
              <w:jc w:val="center"/>
              <w:textAlignment w:val="baseline"/>
              <w:rPr>
                <w:rFonts w:hint="default" w:ascii="Times New Roman" w:hAnsi="Times New Roman" w:cs="Times New Roman"/>
                <w:color w:val="auto"/>
                <w:szCs w:val="21"/>
                <w:highlight w:val="none"/>
                <w:lang w:val="en-US" w:eastAsia="zh-CN"/>
              </w:rPr>
            </w:pPr>
            <w:r>
              <w:rPr>
                <w:rFonts w:hint="eastAsia" w:cs="Times New Roman"/>
                <w:color w:val="auto"/>
                <w:kern w:val="0"/>
                <w:szCs w:val="21"/>
                <w:highlight w:val="none"/>
                <w:lang w:eastAsia="zh-CN"/>
              </w:rPr>
              <w:t>回流焊</w:t>
            </w:r>
            <w:r>
              <w:rPr>
                <w:rFonts w:hint="default" w:ascii="Times New Roman" w:hAnsi="Times New Roman" w:cs="Times New Roman"/>
                <w:color w:val="auto"/>
                <w:kern w:val="0"/>
                <w:szCs w:val="21"/>
                <w:highlight w:val="none"/>
              </w:rPr>
              <w:t>废气</w:t>
            </w:r>
          </w:p>
        </w:tc>
        <w:tc>
          <w:tcPr>
            <w:tcW w:w="1584" w:type="dxa"/>
            <w:noWrap w:val="0"/>
            <w:vAlign w:val="center"/>
          </w:tcPr>
          <w:p w14:paraId="0055F548">
            <w:pPr>
              <w:adjustRightInd w:val="0"/>
              <w:snapToGrid w:val="0"/>
              <w:spacing w:line="240" w:lineRule="auto"/>
              <w:jc w:val="center"/>
              <w:textAlignment w:val="baseline"/>
              <w:rPr>
                <w:rFonts w:hint="eastAsia"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非甲烷总烃、颗粒物、锡及其化合物</w:t>
            </w:r>
          </w:p>
        </w:tc>
        <w:tc>
          <w:tcPr>
            <w:tcW w:w="1255" w:type="dxa"/>
            <w:noWrap w:val="0"/>
            <w:vAlign w:val="center"/>
          </w:tcPr>
          <w:p w14:paraId="086C5DE2">
            <w:pPr>
              <w:adjustRightInd w:val="0"/>
              <w:snapToGrid w:val="0"/>
              <w:spacing w:line="240" w:lineRule="auto"/>
              <w:jc w:val="center"/>
              <w:textAlignment w:val="baseline"/>
              <w:rPr>
                <w:rFonts w:hint="default" w:ascii="Times New Roman" w:hAnsi="Times New Roman" w:cs="Times New Roman"/>
                <w:color w:val="auto"/>
                <w:szCs w:val="21"/>
                <w:highlight w:val="none"/>
              </w:rPr>
            </w:pPr>
            <w:r>
              <w:rPr>
                <w:rFonts w:hint="eastAsia" w:cs="Times New Roman"/>
                <w:color w:val="auto"/>
                <w:szCs w:val="21"/>
                <w:highlight w:val="none"/>
                <w:lang w:val="en-US" w:eastAsia="zh-CN"/>
              </w:rPr>
              <w:t>负压管道收集</w:t>
            </w:r>
          </w:p>
        </w:tc>
        <w:tc>
          <w:tcPr>
            <w:tcW w:w="1255" w:type="dxa"/>
            <w:vMerge w:val="continue"/>
            <w:noWrap w:val="0"/>
            <w:vAlign w:val="center"/>
          </w:tcPr>
          <w:p w14:paraId="50D96226">
            <w:pPr>
              <w:adjustRightInd w:val="0"/>
              <w:snapToGrid w:val="0"/>
              <w:spacing w:line="240" w:lineRule="auto"/>
              <w:jc w:val="center"/>
              <w:textAlignment w:val="baseline"/>
              <w:rPr>
                <w:rFonts w:hint="eastAsia" w:cs="Times New Roman"/>
                <w:color w:val="auto"/>
                <w:szCs w:val="21"/>
                <w:highlight w:val="none"/>
                <w:lang w:val="en-US" w:eastAsia="zh-CN"/>
              </w:rPr>
            </w:pPr>
          </w:p>
        </w:tc>
        <w:tc>
          <w:tcPr>
            <w:tcW w:w="2266" w:type="dxa"/>
            <w:vMerge w:val="continue"/>
            <w:noWrap w:val="0"/>
            <w:vAlign w:val="center"/>
          </w:tcPr>
          <w:p w14:paraId="2E7241A7">
            <w:pPr>
              <w:adjustRightInd w:val="0"/>
              <w:snapToGrid w:val="0"/>
              <w:spacing w:line="240" w:lineRule="auto"/>
              <w:jc w:val="center"/>
              <w:rPr>
                <w:rFonts w:hint="default" w:ascii="Times New Roman" w:hAnsi="Times New Roman" w:cs="Times New Roman"/>
                <w:color w:val="auto"/>
                <w:szCs w:val="21"/>
                <w:highlight w:val="none"/>
              </w:rPr>
            </w:pPr>
          </w:p>
        </w:tc>
      </w:tr>
      <w:tr w14:paraId="6F0856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51" w:type="dxa"/>
            <w:vMerge w:val="continue"/>
            <w:noWrap w:val="0"/>
            <w:vAlign w:val="center"/>
          </w:tcPr>
          <w:p w14:paraId="79D6C12A">
            <w:pPr>
              <w:adjustRightInd w:val="0"/>
              <w:snapToGrid w:val="0"/>
              <w:spacing w:line="240" w:lineRule="auto"/>
              <w:jc w:val="center"/>
              <w:rPr>
                <w:rFonts w:hint="default" w:ascii="Times New Roman" w:hAnsi="Times New Roman" w:cs="Times New Roman"/>
                <w:color w:val="auto"/>
                <w:szCs w:val="21"/>
                <w:highlight w:val="none"/>
              </w:rPr>
            </w:pPr>
          </w:p>
        </w:tc>
        <w:tc>
          <w:tcPr>
            <w:tcW w:w="1449" w:type="dxa"/>
            <w:noWrap w:val="0"/>
            <w:vAlign w:val="center"/>
          </w:tcPr>
          <w:p w14:paraId="6EDAD0DB">
            <w:pPr>
              <w:adjustRightInd w:val="0"/>
              <w:snapToGrid w:val="0"/>
              <w:spacing w:line="240" w:lineRule="auto"/>
              <w:jc w:val="center"/>
              <w:textAlignment w:val="baseline"/>
              <w:rPr>
                <w:rFonts w:hint="default" w:ascii="Times New Roman" w:hAnsi="Times New Roman" w:cs="Times New Roman"/>
                <w:color w:val="auto"/>
                <w:szCs w:val="21"/>
                <w:highlight w:val="none"/>
                <w:lang w:val="en-US" w:eastAsia="zh-CN"/>
              </w:rPr>
            </w:pPr>
            <w:r>
              <w:rPr>
                <w:rFonts w:hint="eastAsia" w:cs="Times New Roman"/>
                <w:color w:val="auto"/>
                <w:kern w:val="0"/>
                <w:szCs w:val="21"/>
                <w:highlight w:val="none"/>
                <w:lang w:eastAsia="zh-CN"/>
              </w:rPr>
              <w:t>手工焊</w:t>
            </w:r>
            <w:r>
              <w:rPr>
                <w:rFonts w:hint="default" w:ascii="Times New Roman" w:hAnsi="Times New Roman" w:cs="Times New Roman"/>
                <w:color w:val="auto"/>
                <w:kern w:val="0"/>
                <w:szCs w:val="21"/>
                <w:highlight w:val="none"/>
              </w:rPr>
              <w:t>废气</w:t>
            </w:r>
          </w:p>
        </w:tc>
        <w:tc>
          <w:tcPr>
            <w:tcW w:w="1584" w:type="dxa"/>
            <w:noWrap w:val="0"/>
            <w:vAlign w:val="center"/>
          </w:tcPr>
          <w:p w14:paraId="57EBAE1A">
            <w:pPr>
              <w:adjustRightInd w:val="0"/>
              <w:snapToGrid w:val="0"/>
              <w:spacing w:line="240" w:lineRule="auto"/>
              <w:jc w:val="center"/>
              <w:textAlignment w:val="baseline"/>
              <w:rPr>
                <w:rFonts w:hint="eastAsia"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非甲烷总烃、颗粒物、锡及其化合物</w:t>
            </w:r>
          </w:p>
        </w:tc>
        <w:tc>
          <w:tcPr>
            <w:tcW w:w="1255" w:type="dxa"/>
            <w:noWrap w:val="0"/>
            <w:vAlign w:val="center"/>
          </w:tcPr>
          <w:p w14:paraId="55353D5B">
            <w:pPr>
              <w:adjustRightInd w:val="0"/>
              <w:snapToGrid w:val="0"/>
              <w:spacing w:line="240" w:lineRule="auto"/>
              <w:jc w:val="center"/>
              <w:textAlignment w:val="baseline"/>
              <w:rPr>
                <w:rFonts w:hint="default" w:ascii="Times New Roman" w:hAnsi="Times New Roman" w:cs="Times New Roman"/>
                <w:color w:val="auto"/>
                <w:szCs w:val="21"/>
                <w:highlight w:val="none"/>
              </w:rPr>
            </w:pPr>
            <w:r>
              <w:rPr>
                <w:rFonts w:hint="eastAsia" w:cs="Times New Roman"/>
                <w:color w:val="auto"/>
                <w:szCs w:val="21"/>
                <w:highlight w:val="none"/>
                <w:lang w:val="en-US" w:eastAsia="zh-CN"/>
              </w:rPr>
              <w:t>集气罩收集</w:t>
            </w:r>
          </w:p>
        </w:tc>
        <w:tc>
          <w:tcPr>
            <w:tcW w:w="1255" w:type="dxa"/>
            <w:vMerge w:val="continue"/>
            <w:noWrap w:val="0"/>
            <w:vAlign w:val="center"/>
          </w:tcPr>
          <w:p w14:paraId="2B80F3CB">
            <w:pPr>
              <w:adjustRightInd w:val="0"/>
              <w:snapToGrid w:val="0"/>
              <w:spacing w:line="240" w:lineRule="auto"/>
              <w:jc w:val="center"/>
              <w:textAlignment w:val="baseline"/>
              <w:rPr>
                <w:rFonts w:hint="eastAsia" w:cs="Times New Roman"/>
                <w:color w:val="auto"/>
                <w:szCs w:val="21"/>
                <w:highlight w:val="none"/>
                <w:lang w:val="en-US" w:eastAsia="zh-CN"/>
              </w:rPr>
            </w:pPr>
          </w:p>
        </w:tc>
        <w:tc>
          <w:tcPr>
            <w:tcW w:w="2266" w:type="dxa"/>
            <w:vMerge w:val="continue"/>
            <w:noWrap w:val="0"/>
            <w:vAlign w:val="center"/>
          </w:tcPr>
          <w:p w14:paraId="776B4DAA">
            <w:pPr>
              <w:adjustRightInd w:val="0"/>
              <w:snapToGrid w:val="0"/>
              <w:spacing w:line="240" w:lineRule="auto"/>
              <w:jc w:val="center"/>
              <w:rPr>
                <w:rFonts w:hint="default" w:ascii="Times New Roman" w:hAnsi="Times New Roman" w:cs="Times New Roman"/>
                <w:color w:val="auto"/>
                <w:szCs w:val="21"/>
                <w:highlight w:val="none"/>
              </w:rPr>
            </w:pPr>
          </w:p>
        </w:tc>
      </w:tr>
      <w:tr w14:paraId="274225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1251" w:type="dxa"/>
            <w:noWrap w:val="0"/>
            <w:vAlign w:val="center"/>
          </w:tcPr>
          <w:p w14:paraId="7B8E5D26">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地表水环境</w:t>
            </w:r>
          </w:p>
        </w:tc>
        <w:tc>
          <w:tcPr>
            <w:tcW w:w="1449" w:type="dxa"/>
            <w:noWrap w:val="0"/>
            <w:vAlign w:val="center"/>
          </w:tcPr>
          <w:p w14:paraId="7E27C0E3">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DW001</w:t>
            </w:r>
          </w:p>
        </w:tc>
        <w:tc>
          <w:tcPr>
            <w:tcW w:w="1584" w:type="dxa"/>
            <w:noWrap w:val="0"/>
            <w:vAlign w:val="center"/>
          </w:tcPr>
          <w:p w14:paraId="23A682B8">
            <w:pPr>
              <w:widowControl/>
              <w:spacing w:line="240" w:lineRule="auto"/>
              <w:jc w:val="center"/>
              <w:textAlignment w:val="center"/>
              <w:rPr>
                <w:rFonts w:hint="default" w:ascii="Times New Roman" w:hAnsi="Times New Roman" w:cs="Times New Roman"/>
                <w:color w:val="auto"/>
                <w:szCs w:val="21"/>
                <w:highlight w:val="none"/>
              </w:rPr>
            </w:pPr>
            <w:r>
              <w:rPr>
                <w:rFonts w:hint="eastAsia" w:cs="Times New Roman"/>
                <w:b w:val="0"/>
                <w:bCs w:val="0"/>
                <w:color w:val="auto"/>
                <w:kern w:val="2"/>
                <w:sz w:val="21"/>
                <w:szCs w:val="21"/>
                <w:highlight w:val="none"/>
                <w:lang w:val="en-US" w:eastAsia="zh-CN" w:bidi="ar-SA"/>
              </w:rPr>
              <w:t>pH、</w:t>
            </w:r>
            <w:r>
              <w:rPr>
                <w:rFonts w:hint="eastAsia" w:ascii="Times New Roman" w:hAnsi="Times New Roman" w:eastAsia="宋体" w:cs="Times New Roman"/>
                <w:b w:val="0"/>
                <w:bCs w:val="0"/>
                <w:color w:val="auto"/>
                <w:kern w:val="2"/>
                <w:sz w:val="21"/>
                <w:szCs w:val="21"/>
                <w:highlight w:val="none"/>
                <w:lang w:val="en-US" w:eastAsia="zh-CN" w:bidi="ar-SA"/>
              </w:rPr>
              <w:t>COD、BOD</w:t>
            </w:r>
            <w:r>
              <w:rPr>
                <w:rFonts w:hint="eastAsia" w:ascii="Times New Roman" w:hAnsi="Times New Roman" w:eastAsia="宋体" w:cs="Times New Roman"/>
                <w:b w:val="0"/>
                <w:bCs w:val="0"/>
                <w:color w:val="auto"/>
                <w:kern w:val="2"/>
                <w:sz w:val="21"/>
                <w:szCs w:val="21"/>
                <w:highlight w:val="none"/>
                <w:vertAlign w:val="subscript"/>
                <w:lang w:val="en-US" w:eastAsia="zh-CN" w:bidi="ar-SA"/>
              </w:rPr>
              <w:t>5</w:t>
            </w:r>
            <w:r>
              <w:rPr>
                <w:rFonts w:hint="eastAsia" w:ascii="Times New Roman" w:hAnsi="Times New Roman" w:eastAsia="宋体" w:cs="Times New Roman"/>
                <w:b w:val="0"/>
                <w:bCs w:val="0"/>
                <w:color w:val="auto"/>
                <w:kern w:val="2"/>
                <w:sz w:val="21"/>
                <w:szCs w:val="21"/>
                <w:highlight w:val="none"/>
                <w:lang w:val="en-US" w:eastAsia="zh-CN" w:bidi="ar-SA"/>
              </w:rPr>
              <w:t>、SS、NH</w:t>
            </w:r>
            <w:r>
              <w:rPr>
                <w:rFonts w:hint="eastAsia" w:ascii="Times New Roman" w:hAnsi="Times New Roman" w:eastAsia="宋体" w:cs="Times New Roman"/>
                <w:b w:val="0"/>
                <w:bCs w:val="0"/>
                <w:color w:val="auto"/>
                <w:kern w:val="2"/>
                <w:sz w:val="21"/>
                <w:szCs w:val="21"/>
                <w:highlight w:val="none"/>
                <w:vertAlign w:val="subscript"/>
                <w:lang w:val="en-US" w:eastAsia="zh-CN" w:bidi="ar-SA"/>
              </w:rPr>
              <w:t>3</w:t>
            </w:r>
            <w:r>
              <w:rPr>
                <w:rFonts w:hint="eastAsia" w:ascii="Times New Roman" w:hAnsi="Times New Roman" w:eastAsia="宋体" w:cs="Times New Roman"/>
                <w:b w:val="0"/>
                <w:bCs w:val="0"/>
                <w:color w:val="auto"/>
                <w:kern w:val="2"/>
                <w:sz w:val="21"/>
                <w:szCs w:val="21"/>
                <w:highlight w:val="none"/>
                <w:lang w:val="en-US" w:eastAsia="zh-CN" w:bidi="ar-SA"/>
              </w:rPr>
              <w:t>-N、TP</w:t>
            </w:r>
          </w:p>
        </w:tc>
        <w:tc>
          <w:tcPr>
            <w:tcW w:w="2510" w:type="dxa"/>
            <w:gridSpan w:val="2"/>
            <w:noWrap w:val="0"/>
            <w:vAlign w:val="center"/>
          </w:tcPr>
          <w:p w14:paraId="19F94B66">
            <w:pPr>
              <w:spacing w:line="240" w:lineRule="auto"/>
              <w:jc w:val="center"/>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eastAsia="zh-CN"/>
              </w:rPr>
              <w:t>生活污水经</w:t>
            </w:r>
            <w:r>
              <w:rPr>
                <w:rFonts w:hint="eastAsia" w:cs="Times New Roman"/>
                <w:color w:val="auto"/>
                <w:szCs w:val="21"/>
                <w:highlight w:val="none"/>
                <w:lang w:val="en-US" w:eastAsia="zh-CN"/>
              </w:rPr>
              <w:t>科技孵化园</w:t>
            </w:r>
            <w:r>
              <w:rPr>
                <w:rFonts w:hint="eastAsia" w:ascii="Times New Roman" w:hAnsi="Times New Roman" w:cs="Times New Roman"/>
                <w:color w:val="auto"/>
                <w:szCs w:val="21"/>
                <w:highlight w:val="none"/>
                <w:lang w:eastAsia="zh-CN"/>
              </w:rPr>
              <w:t>园区化粪预处理后排入江南产业集中区第一污水处理厂，处理达标后经九华河排入长江</w:t>
            </w:r>
          </w:p>
        </w:tc>
        <w:tc>
          <w:tcPr>
            <w:tcW w:w="2266" w:type="dxa"/>
            <w:noWrap w:val="0"/>
            <w:vAlign w:val="center"/>
          </w:tcPr>
          <w:p w14:paraId="3745311D">
            <w:pPr>
              <w:spacing w:line="240" w:lineRule="auto"/>
              <w:jc w:val="center"/>
              <w:rPr>
                <w:rFonts w:hint="default" w:ascii="Times New Roman" w:hAnsi="Times New Roman" w:cs="Times New Roman"/>
                <w:color w:val="auto"/>
                <w:szCs w:val="21"/>
                <w:highlight w:val="none"/>
              </w:rPr>
            </w:pPr>
            <w:r>
              <w:rPr>
                <w:rFonts w:hint="eastAsia"/>
                <w:highlight w:val="none"/>
                <w:lang w:eastAsia="zh-CN"/>
              </w:rPr>
              <w:t>《</w:t>
            </w:r>
            <w:r>
              <w:rPr>
                <w:rFonts w:hint="eastAsia"/>
                <w:highlight w:val="none"/>
                <w:lang w:val="en-US" w:eastAsia="zh-CN"/>
              </w:rPr>
              <w:t>电子工业水污染</w:t>
            </w:r>
            <w:r>
              <w:rPr>
                <w:rFonts w:hint="eastAsia"/>
                <w:highlight w:val="none"/>
                <w:lang w:eastAsia="zh-CN"/>
              </w:rPr>
              <w:t>排放</w:t>
            </w:r>
            <w:r>
              <w:rPr>
                <w:rFonts w:hint="eastAsia"/>
                <w:highlight w:val="none"/>
                <w:lang w:val="en-US" w:eastAsia="zh-CN"/>
              </w:rPr>
              <w:t>标准</w:t>
            </w:r>
            <w:r>
              <w:rPr>
                <w:rFonts w:hint="eastAsia"/>
                <w:highlight w:val="none"/>
                <w:lang w:eastAsia="zh-CN"/>
              </w:rPr>
              <w:t>》（GB</w:t>
            </w:r>
            <w:r>
              <w:rPr>
                <w:rFonts w:hint="eastAsia"/>
                <w:highlight w:val="none"/>
                <w:lang w:val="en-US" w:eastAsia="zh-CN"/>
              </w:rPr>
              <w:t>39731</w:t>
            </w:r>
            <w:r>
              <w:rPr>
                <w:rFonts w:hint="eastAsia"/>
                <w:highlight w:val="none"/>
                <w:lang w:eastAsia="zh-CN"/>
              </w:rPr>
              <w:t>-</w:t>
            </w:r>
            <w:r>
              <w:rPr>
                <w:rFonts w:hint="eastAsia"/>
                <w:highlight w:val="none"/>
                <w:lang w:val="en-US" w:eastAsia="zh-CN"/>
              </w:rPr>
              <w:t>2020</w:t>
            </w:r>
            <w:r>
              <w:rPr>
                <w:rFonts w:hint="eastAsia"/>
                <w:highlight w:val="none"/>
                <w:lang w:eastAsia="zh-CN"/>
              </w:rPr>
              <w:t xml:space="preserve">）表 </w:t>
            </w:r>
            <w:r>
              <w:rPr>
                <w:rFonts w:hint="eastAsia"/>
                <w:highlight w:val="none"/>
                <w:lang w:val="en-US" w:eastAsia="zh-CN"/>
              </w:rPr>
              <w:t>1</w:t>
            </w:r>
            <w:r>
              <w:rPr>
                <w:rFonts w:hint="eastAsia"/>
                <w:highlight w:val="none"/>
                <w:lang w:eastAsia="zh-CN"/>
              </w:rPr>
              <w:t xml:space="preserve"> </w:t>
            </w:r>
            <w:r>
              <w:rPr>
                <w:rFonts w:hint="eastAsia"/>
                <w:highlight w:val="none"/>
                <w:lang w:val="en-US" w:eastAsia="zh-CN"/>
              </w:rPr>
              <w:t>间接排放限值及</w:t>
            </w:r>
            <w:r>
              <w:rPr>
                <w:rFonts w:hint="eastAsia" w:ascii="Times New Roman" w:hAnsi="Times New Roman" w:cs="Times New Roman"/>
                <w:color w:val="auto"/>
                <w:szCs w:val="21"/>
                <w:highlight w:val="none"/>
                <w:lang w:eastAsia="zh-CN"/>
              </w:rPr>
              <w:t>江南产业集中区第一污水处理厂</w:t>
            </w:r>
            <w:r>
              <w:rPr>
                <w:highlight w:val="none"/>
              </w:rPr>
              <w:t>接管限值</w:t>
            </w:r>
            <w:r>
              <w:rPr>
                <w:rFonts w:hint="eastAsia"/>
                <w:highlight w:val="none"/>
                <w:lang w:val="en-US" w:eastAsia="zh-CN"/>
              </w:rPr>
              <w:t>要求</w:t>
            </w:r>
          </w:p>
        </w:tc>
      </w:tr>
      <w:tr w14:paraId="1AF3D6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51" w:type="dxa"/>
            <w:noWrap w:val="0"/>
            <w:vAlign w:val="center"/>
          </w:tcPr>
          <w:p w14:paraId="19ADF6E9">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声环境</w:t>
            </w:r>
          </w:p>
        </w:tc>
        <w:tc>
          <w:tcPr>
            <w:tcW w:w="1449" w:type="dxa"/>
            <w:noWrap w:val="0"/>
            <w:vAlign w:val="center"/>
          </w:tcPr>
          <w:p w14:paraId="0286C537">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厂界</w:t>
            </w:r>
          </w:p>
        </w:tc>
        <w:tc>
          <w:tcPr>
            <w:tcW w:w="1584" w:type="dxa"/>
            <w:noWrap w:val="0"/>
            <w:vAlign w:val="center"/>
          </w:tcPr>
          <w:p w14:paraId="48B61B1D">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噪声</w:t>
            </w:r>
          </w:p>
        </w:tc>
        <w:tc>
          <w:tcPr>
            <w:tcW w:w="2510" w:type="dxa"/>
            <w:gridSpan w:val="2"/>
            <w:noWrap w:val="0"/>
            <w:vAlign w:val="center"/>
          </w:tcPr>
          <w:p w14:paraId="3A089934">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建筑隔声、设备减振</w:t>
            </w:r>
          </w:p>
        </w:tc>
        <w:tc>
          <w:tcPr>
            <w:tcW w:w="2266" w:type="dxa"/>
            <w:noWrap w:val="0"/>
            <w:vAlign w:val="center"/>
          </w:tcPr>
          <w:p w14:paraId="75AB1016">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《工业企业厂界环境噪声排放标准》(GB12348-2008)中的3类标准</w:t>
            </w:r>
          </w:p>
        </w:tc>
      </w:tr>
      <w:tr w14:paraId="503962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51" w:type="dxa"/>
            <w:noWrap w:val="0"/>
            <w:vAlign w:val="center"/>
          </w:tcPr>
          <w:p w14:paraId="2EA5DCAB">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电磁辐射</w:t>
            </w:r>
          </w:p>
        </w:tc>
        <w:tc>
          <w:tcPr>
            <w:tcW w:w="1449" w:type="dxa"/>
            <w:noWrap w:val="0"/>
            <w:vAlign w:val="center"/>
          </w:tcPr>
          <w:p w14:paraId="18089502">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584" w:type="dxa"/>
            <w:noWrap w:val="0"/>
            <w:vAlign w:val="center"/>
          </w:tcPr>
          <w:p w14:paraId="7158351A">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2510" w:type="dxa"/>
            <w:gridSpan w:val="2"/>
            <w:noWrap w:val="0"/>
            <w:vAlign w:val="center"/>
          </w:tcPr>
          <w:p w14:paraId="3248D058">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2266" w:type="dxa"/>
            <w:noWrap w:val="0"/>
            <w:vAlign w:val="center"/>
          </w:tcPr>
          <w:p w14:paraId="7BDFBA2C">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r>
      <w:tr w14:paraId="2161C0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51" w:type="dxa"/>
            <w:noWrap w:val="0"/>
            <w:vAlign w:val="center"/>
          </w:tcPr>
          <w:p w14:paraId="68C3F335">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固体废物</w:t>
            </w:r>
          </w:p>
        </w:tc>
        <w:tc>
          <w:tcPr>
            <w:tcW w:w="7809" w:type="dxa"/>
            <w:gridSpan w:val="5"/>
            <w:noWrap w:val="0"/>
            <w:vAlign w:val="center"/>
          </w:tcPr>
          <w:p w14:paraId="3F3FD5E9">
            <w:pPr>
              <w:spacing w:line="240" w:lineRule="auto"/>
              <w:ind w:firstLine="420" w:firstLineChars="200"/>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本项目产生的生活垃圾分类收集后委托</w:t>
            </w:r>
            <w:r>
              <w:rPr>
                <w:rFonts w:hint="eastAsia" w:ascii="Times New Roman" w:hAnsi="Times New Roman" w:eastAsia="宋体"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w:t>
            </w:r>
            <w:r>
              <w:rPr>
                <w:rFonts w:hint="eastAsia" w:ascii="Times New Roman" w:hAnsi="Times New Roman" w:eastAsia="宋体" w:cs="Times New Roman"/>
                <w:color w:val="auto"/>
                <w:sz w:val="21"/>
                <w:szCs w:val="21"/>
                <w:highlight w:val="none"/>
                <w:lang w:eastAsia="zh-CN"/>
              </w:rPr>
              <w:t>清运</w:t>
            </w:r>
            <w:r>
              <w:rPr>
                <w:rFonts w:hint="default" w:ascii="Times New Roman" w:hAnsi="Times New Roman" w:cs="Times New Roman"/>
                <w:color w:val="auto"/>
                <w:sz w:val="21"/>
                <w:szCs w:val="21"/>
                <w:highlight w:val="none"/>
              </w:rPr>
              <w:t>；一般固废中</w:t>
            </w:r>
            <w:r>
              <w:rPr>
                <w:rFonts w:hint="default" w:ascii="Calibri" w:hAnsi="Calibri" w:cs="Calibri"/>
                <w:color w:val="auto"/>
                <w:szCs w:val="21"/>
                <w:highlight w:val="none"/>
              </w:rPr>
              <w:t>废包装箱</w:t>
            </w:r>
            <w:r>
              <w:rPr>
                <w:rFonts w:hint="eastAsia" w:ascii="Times New Roman" w:hAnsi="Times New Roman" w:eastAsia="宋体" w:cs="Times New Roman"/>
                <w:color w:val="auto"/>
                <w:sz w:val="21"/>
                <w:szCs w:val="21"/>
                <w:highlight w:val="none"/>
                <w:lang w:val="en-US" w:eastAsia="zh-CN"/>
              </w:rPr>
              <w:t>、</w:t>
            </w:r>
            <w:r>
              <w:rPr>
                <w:rFonts w:hint="eastAsia" w:ascii="Calibri" w:hAnsi="Calibri" w:cs="Calibri"/>
                <w:color w:val="auto"/>
                <w:szCs w:val="21"/>
                <w:highlight w:val="none"/>
                <w:lang w:eastAsia="zh-CN"/>
              </w:rPr>
              <w:t>焊锡锡渣</w:t>
            </w:r>
            <w:r>
              <w:rPr>
                <w:rFonts w:hint="eastAsia" w:cs="Times New Roman"/>
                <w:color w:val="auto"/>
                <w:szCs w:val="21"/>
                <w:highlight w:val="none"/>
                <w:lang w:eastAsia="zh-CN"/>
              </w:rPr>
              <w:t>纸</w:t>
            </w:r>
            <w:r>
              <w:rPr>
                <w:rFonts w:hint="default" w:ascii="Times New Roman" w:hAnsi="Times New Roman" w:eastAsia="宋体" w:cs="Times New Roman"/>
                <w:color w:val="auto"/>
                <w:sz w:val="21"/>
                <w:szCs w:val="21"/>
                <w:highlight w:val="none"/>
              </w:rPr>
              <w:t>中收集后</w:t>
            </w:r>
            <w:r>
              <w:rPr>
                <w:rFonts w:hint="default" w:ascii="Times New Roman" w:hAnsi="Times New Roman" w:cs="Times New Roman"/>
                <w:color w:val="auto"/>
                <w:szCs w:val="21"/>
                <w:highlight w:val="none"/>
              </w:rPr>
              <w:t>外</w:t>
            </w:r>
            <w:r>
              <w:rPr>
                <w:rFonts w:hint="eastAsia" w:cs="Times New Roman"/>
                <w:color w:val="auto"/>
                <w:szCs w:val="21"/>
                <w:highlight w:val="none"/>
                <w:lang w:val="en-US" w:eastAsia="zh-CN"/>
              </w:rPr>
              <w:t>售</w:t>
            </w:r>
            <w:r>
              <w:rPr>
                <w:rFonts w:hint="default" w:ascii="Times New Roman" w:hAnsi="Times New Roman" w:cs="Times New Roman"/>
                <w:color w:val="auto"/>
                <w:szCs w:val="21"/>
                <w:highlight w:val="none"/>
              </w:rPr>
              <w:t>综合利用</w:t>
            </w:r>
            <w:r>
              <w:rPr>
                <w:rFonts w:hint="default" w:ascii="Times New Roman" w:hAnsi="Times New Roman" w:eastAsia="宋体" w:cs="Times New Roman"/>
                <w:color w:val="auto"/>
                <w:sz w:val="21"/>
                <w:szCs w:val="21"/>
                <w:highlight w:val="none"/>
              </w:rPr>
              <w:t>；危险废物中</w:t>
            </w:r>
            <w:r>
              <w:rPr>
                <w:rFonts w:hint="eastAsia" w:cs="Times New Roman"/>
                <w:color w:val="auto"/>
                <w:sz w:val="21"/>
                <w:szCs w:val="21"/>
                <w:highlight w:val="none"/>
                <w:lang w:val="en-US" w:eastAsia="zh-CN"/>
              </w:rPr>
              <w:t>废</w:t>
            </w:r>
            <w:r>
              <w:rPr>
                <w:rFonts w:hint="eastAsia" w:ascii="Calibri" w:hAnsi="Calibri" w:cs="Calibri"/>
                <w:color w:val="auto"/>
                <w:szCs w:val="21"/>
                <w:highlight w:val="none"/>
                <w:lang w:eastAsia="zh-CN"/>
              </w:rPr>
              <w:t>包装罐、</w:t>
            </w:r>
            <w:r>
              <w:rPr>
                <w:rFonts w:hint="eastAsia" w:cs="Times New Roman"/>
                <w:color w:val="auto"/>
                <w:szCs w:val="21"/>
                <w:highlight w:val="none"/>
                <w:lang w:eastAsia="zh-CN"/>
              </w:rPr>
              <w:t>擦拭废纸、</w:t>
            </w:r>
            <w:r>
              <w:rPr>
                <w:rFonts w:hint="eastAsia" w:cs="Times New Roman"/>
                <w:color w:val="auto"/>
                <w:szCs w:val="21"/>
                <w:highlight w:val="none"/>
                <w:lang w:val="en-US" w:eastAsia="zh-CN"/>
              </w:rPr>
              <w:t>不合格品、</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活性炭</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废滤料、</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机</w:t>
            </w:r>
            <w:r>
              <w:rPr>
                <w:rFonts w:hint="eastAsia" w:ascii="宋体" w:hAnsi="宋体" w:eastAsia="宋体" w:cs="宋体"/>
                <w:color w:val="auto"/>
                <w:szCs w:val="21"/>
                <w:highlight w:val="none"/>
                <w:lang w:eastAsia="zh-CN"/>
              </w:rPr>
              <w:t>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废机油桶、</w:t>
            </w:r>
            <w:r>
              <w:rPr>
                <w:rFonts w:hint="eastAsia" w:cs="Times New Roman"/>
                <w:color w:val="auto"/>
                <w:sz w:val="21"/>
                <w:szCs w:val="21"/>
                <w:highlight w:val="none"/>
                <w:lang w:eastAsia="zh-CN"/>
              </w:rPr>
              <w:t>废</w:t>
            </w:r>
            <w:r>
              <w:rPr>
                <w:rFonts w:hint="default" w:ascii="Times New Roman" w:hAnsi="Times New Roman" w:cs="Times New Roman"/>
                <w:color w:val="000000"/>
                <w:sz w:val="21"/>
                <w:szCs w:val="21"/>
                <w:highlight w:val="none"/>
                <w:lang w:val="en-US" w:eastAsia="zh-CN"/>
              </w:rPr>
              <w:t>含油抹布</w:t>
            </w:r>
            <w:r>
              <w:rPr>
                <w:rFonts w:hint="default" w:ascii="Times New Roman" w:hAnsi="Times New Roman" w:eastAsia="宋体" w:cs="Times New Roman"/>
                <w:color w:val="auto"/>
                <w:sz w:val="21"/>
                <w:szCs w:val="21"/>
                <w:highlight w:val="none"/>
              </w:rPr>
              <w:t>集中收集后暂存于危废库，定期送资质单位安全处置</w:t>
            </w:r>
            <w:r>
              <w:rPr>
                <w:rFonts w:hint="eastAsia" w:cs="Times New Roman"/>
                <w:color w:val="auto"/>
                <w:sz w:val="21"/>
                <w:szCs w:val="21"/>
                <w:highlight w:val="none"/>
                <w:lang w:eastAsia="zh-CN"/>
              </w:rPr>
              <w:t>。</w:t>
            </w:r>
          </w:p>
        </w:tc>
      </w:tr>
      <w:tr w14:paraId="156C62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51" w:type="dxa"/>
            <w:noWrap w:val="0"/>
            <w:vAlign w:val="center"/>
          </w:tcPr>
          <w:p w14:paraId="4AADD5EE">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土壤及地下水污染防治措施</w:t>
            </w:r>
          </w:p>
        </w:tc>
        <w:tc>
          <w:tcPr>
            <w:tcW w:w="7809" w:type="dxa"/>
            <w:gridSpan w:val="5"/>
            <w:noWrap w:val="0"/>
            <w:vAlign w:val="center"/>
          </w:tcPr>
          <w:p w14:paraId="37213067">
            <w:pPr>
              <w:adjustRightInd w:val="0"/>
              <w:snapToGrid w:val="0"/>
              <w:spacing w:line="24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项目危废库进行重点防渗；</w:t>
            </w:r>
            <w:r>
              <w:rPr>
                <w:rFonts w:hint="default" w:ascii="Times New Roman" w:hAnsi="Times New Roman" w:cs="Times New Roman"/>
                <w:color w:val="auto"/>
                <w:kern w:val="0"/>
                <w:szCs w:val="21"/>
                <w:highlight w:val="none"/>
                <w:lang w:bidi="ar"/>
              </w:rPr>
              <w:t>生产车间</w:t>
            </w:r>
            <w:r>
              <w:rPr>
                <w:rFonts w:hint="eastAsia" w:cs="Times New Roman"/>
                <w:color w:val="auto"/>
                <w:kern w:val="0"/>
                <w:szCs w:val="21"/>
                <w:highlight w:val="none"/>
                <w:lang w:val="en-US" w:eastAsia="zh-CN" w:bidi="ar"/>
              </w:rPr>
              <w:t>及原辅料仓库</w:t>
            </w:r>
            <w:r>
              <w:rPr>
                <w:rFonts w:hint="default" w:ascii="Times New Roman" w:hAnsi="Times New Roman" w:cs="Times New Roman"/>
                <w:color w:val="auto"/>
                <w:kern w:val="0"/>
                <w:szCs w:val="21"/>
                <w:highlight w:val="none"/>
                <w:lang w:bidi="ar"/>
              </w:rPr>
              <w:t>进行一般防渗</w:t>
            </w:r>
            <w:r>
              <w:rPr>
                <w:rFonts w:hint="default" w:ascii="Times New Roman" w:hAnsi="Times New Roman" w:cs="Times New Roman"/>
                <w:color w:val="auto"/>
                <w:szCs w:val="21"/>
                <w:highlight w:val="none"/>
              </w:rPr>
              <w:t>。</w:t>
            </w:r>
          </w:p>
        </w:tc>
      </w:tr>
      <w:tr w14:paraId="3333FF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51" w:type="dxa"/>
            <w:noWrap w:val="0"/>
            <w:vAlign w:val="center"/>
          </w:tcPr>
          <w:p w14:paraId="3BA0938B">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生态保护</w:t>
            </w:r>
          </w:p>
          <w:p w14:paraId="5CC4BE93">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措施</w:t>
            </w:r>
          </w:p>
        </w:tc>
        <w:tc>
          <w:tcPr>
            <w:tcW w:w="7809" w:type="dxa"/>
            <w:gridSpan w:val="5"/>
            <w:noWrap w:val="0"/>
            <w:vAlign w:val="center"/>
          </w:tcPr>
          <w:p w14:paraId="62CDB5D0">
            <w:pPr>
              <w:pStyle w:val="30"/>
              <w:adjustRightInd w:val="0"/>
              <w:snapToGrid w:val="0"/>
              <w:spacing w:line="240" w:lineRule="auto"/>
              <w:ind w:firstLine="42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w:t>
            </w:r>
          </w:p>
        </w:tc>
      </w:tr>
      <w:tr w14:paraId="11D016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51" w:type="dxa"/>
            <w:noWrap w:val="0"/>
            <w:vAlign w:val="center"/>
          </w:tcPr>
          <w:p w14:paraId="6EED70B8">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Cs w:val="21"/>
                <w:highlight w:val="none"/>
              </w:rPr>
              <w:t>环境风险</w:t>
            </w:r>
          </w:p>
          <w:p w14:paraId="27031BB9">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Cs w:val="21"/>
                <w:highlight w:val="none"/>
              </w:rPr>
              <w:t>防范措施</w:t>
            </w:r>
          </w:p>
        </w:tc>
        <w:tc>
          <w:tcPr>
            <w:tcW w:w="7809" w:type="dxa"/>
            <w:gridSpan w:val="5"/>
            <w:noWrap w:val="0"/>
            <w:vAlign w:val="center"/>
          </w:tcPr>
          <w:p w14:paraId="12125F25">
            <w:pPr>
              <w:spacing w:line="240" w:lineRule="auto"/>
              <w:ind w:firstLine="444" w:firstLineChars="200"/>
              <w:rPr>
                <w:rFonts w:hint="default" w:ascii="Times New Roman" w:hAnsi="Times New Roman" w:cs="Times New Roman"/>
                <w:color w:val="auto"/>
                <w:szCs w:val="21"/>
                <w:highlight w:val="none"/>
              </w:rPr>
            </w:pPr>
            <w:r>
              <w:rPr>
                <w:rFonts w:hint="eastAsia"/>
                <w:spacing w:val="6"/>
                <w:highlight w:val="none"/>
                <w:lang w:eastAsia="zh-CN"/>
              </w:rPr>
              <w:t>配备必要的应急救援器材、设备，对消防措施定期检查，保证消防措施的有效性，并定期组织演练；</w:t>
            </w:r>
            <w:r>
              <w:rPr>
                <w:rFonts w:hint="default" w:ascii="Times New Roman" w:hAnsi="Times New Roman" w:cs="Times New Roman"/>
                <w:color w:val="auto"/>
                <w:szCs w:val="21"/>
                <w:highlight w:val="none"/>
              </w:rPr>
              <w:t>危废库进行重点防渗</w:t>
            </w: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kern w:val="0"/>
                <w:szCs w:val="21"/>
                <w:highlight w:val="none"/>
                <w:lang w:bidi="ar"/>
              </w:rPr>
              <w:t>生产车间进行一般防渗</w:t>
            </w:r>
            <w:r>
              <w:rPr>
                <w:rFonts w:hint="eastAsia" w:ascii="Times New Roman" w:hAnsi="Times New Roman" w:cs="Times New Roman"/>
                <w:color w:val="auto"/>
                <w:kern w:val="0"/>
                <w:szCs w:val="21"/>
                <w:highlight w:val="none"/>
                <w:lang w:eastAsia="zh-CN" w:bidi="ar"/>
              </w:rPr>
              <w:t>；</w:t>
            </w:r>
            <w:r>
              <w:rPr>
                <w:rFonts w:hint="default" w:ascii="Times New Roman" w:hAnsi="Times New Roman" w:eastAsia="宋体" w:cs="Times New Roman"/>
                <w:color w:val="auto"/>
                <w:highlight w:val="none"/>
                <w:lang w:eastAsia="zh-CN"/>
              </w:rPr>
              <w:t>走道出口等部位要保持畅通，设置疏散标志和安全指示</w:t>
            </w:r>
            <w:r>
              <w:rPr>
                <w:rFonts w:hint="eastAsia" w:ascii="Times New Roman" w:hAnsi="Times New Roman" w:eastAsia="宋体" w:cs="Times New Roman"/>
                <w:color w:val="auto"/>
                <w:highlight w:val="none"/>
                <w:lang w:eastAsia="zh-CN"/>
              </w:rPr>
              <w:t>；</w:t>
            </w:r>
            <w:r>
              <w:rPr>
                <w:rFonts w:hint="eastAsia"/>
                <w:spacing w:val="6"/>
                <w:highlight w:val="none"/>
                <w:lang w:eastAsia="zh-CN"/>
              </w:rPr>
              <w:t>仓库内原辅料及产品按性质进行分类</w:t>
            </w:r>
            <w:r>
              <w:rPr>
                <w:rFonts w:hint="default" w:ascii="Times New Roman" w:hAnsi="Times New Roman" w:eastAsia="宋体" w:cs="Times New Roman"/>
                <w:color w:val="auto"/>
                <w:highlight w:val="none"/>
                <w:lang w:eastAsia="zh-CN"/>
              </w:rPr>
              <w:t>储放</w:t>
            </w:r>
            <w:r>
              <w:rPr>
                <w:rFonts w:hint="eastAsia" w:ascii="Times New Roman" w:hAnsi="Times New Roman" w:eastAsia="宋体" w:cs="Times New Roman"/>
                <w:color w:val="auto"/>
                <w:highlight w:val="none"/>
                <w:lang w:eastAsia="zh-CN"/>
              </w:rPr>
              <w:t>。</w:t>
            </w:r>
          </w:p>
        </w:tc>
      </w:tr>
      <w:tr w14:paraId="28A369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51" w:type="dxa"/>
            <w:noWrap w:val="0"/>
            <w:vAlign w:val="center"/>
          </w:tcPr>
          <w:p w14:paraId="7EBBD14A">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Cs w:val="21"/>
                <w:highlight w:val="none"/>
              </w:rPr>
              <w:t>其他环境</w:t>
            </w:r>
          </w:p>
          <w:p w14:paraId="476F675D">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Cs w:val="21"/>
                <w:highlight w:val="none"/>
              </w:rPr>
              <w:t>管理要求</w:t>
            </w:r>
          </w:p>
        </w:tc>
        <w:tc>
          <w:tcPr>
            <w:tcW w:w="7809" w:type="dxa"/>
            <w:gridSpan w:val="5"/>
            <w:noWrap w:val="0"/>
            <w:vAlign w:val="center"/>
          </w:tcPr>
          <w:p w14:paraId="0224B16C">
            <w:pPr>
              <w:adjustRightInd w:val="0"/>
              <w:snapToGrid w:val="0"/>
              <w:spacing w:line="240" w:lineRule="auto"/>
              <w:ind w:firstLine="422" w:firstLineChars="200"/>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1、环境管理</w:t>
            </w:r>
          </w:p>
          <w:p w14:paraId="2C1AC2FB">
            <w:pPr>
              <w:adjustRightInd w:val="0"/>
              <w:snapToGrid w:val="0"/>
              <w:spacing w:line="24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为了更好贯彻执行国家环境保护法律、法规、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14:paraId="1CCB106C">
            <w:pPr>
              <w:adjustRightInd w:val="0"/>
              <w:snapToGrid w:val="0"/>
              <w:spacing w:line="240" w:lineRule="auto"/>
              <w:ind w:firstLine="422" w:firstLineChars="200"/>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2、排污口规范化管理</w:t>
            </w:r>
          </w:p>
          <w:p w14:paraId="07A7F9CE">
            <w:pPr>
              <w:adjustRightInd w:val="0"/>
              <w:snapToGrid w:val="0"/>
              <w:spacing w:line="24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根据国家、地方颁布的有关环境保护规定，厂区</w:t>
            </w:r>
            <w:r>
              <w:rPr>
                <w:rFonts w:hint="eastAsia" w:cs="Times New Roman"/>
                <w:bCs/>
                <w:color w:val="auto"/>
                <w:szCs w:val="21"/>
                <w:highlight w:val="none"/>
                <w:lang w:eastAsia="zh-CN"/>
              </w:rPr>
              <w:t>废气总排放口、</w:t>
            </w:r>
            <w:r>
              <w:rPr>
                <w:rFonts w:hint="default" w:ascii="Times New Roman" w:hAnsi="Times New Roman" w:cs="Times New Roman"/>
                <w:bCs/>
                <w:color w:val="auto"/>
                <w:szCs w:val="21"/>
                <w:highlight w:val="none"/>
              </w:rPr>
              <w:t>废水总排放口、噪声排放源和固废贮存处置场所均应按《环境保护图形标志--排放口(源)》要求设立明显标志，本项目需设置的具体标识见下表，标志牌应设在与之功能相应的醒目处，并保持清晰、完整。</w:t>
            </w:r>
          </w:p>
          <w:p w14:paraId="61DD83E5">
            <w:pPr>
              <w:adjustRightInd w:val="0"/>
              <w:snapToGrid w:val="0"/>
              <w:spacing w:line="360" w:lineRule="auto"/>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表5-1环境保护图形标志一览表</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70"/>
              <w:gridCol w:w="1778"/>
              <w:gridCol w:w="1540"/>
              <w:gridCol w:w="1544"/>
              <w:gridCol w:w="2248"/>
            </w:tblGrid>
            <w:tr w14:paraId="306F5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310" w:type="pct"/>
                  <w:noWrap w:val="0"/>
                  <w:vAlign w:val="center"/>
                </w:tcPr>
                <w:p w14:paraId="1CEFB77E">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序号</w:t>
                  </w:r>
                </w:p>
              </w:tc>
              <w:tc>
                <w:tcPr>
                  <w:tcW w:w="1172" w:type="pct"/>
                  <w:noWrap w:val="0"/>
                  <w:vAlign w:val="center"/>
                </w:tcPr>
                <w:p w14:paraId="707F4028">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提示图形符号</w:t>
                  </w:r>
                </w:p>
              </w:tc>
              <w:tc>
                <w:tcPr>
                  <w:tcW w:w="1015" w:type="pct"/>
                  <w:noWrap w:val="0"/>
                  <w:vAlign w:val="center"/>
                </w:tcPr>
                <w:p w14:paraId="250EF942">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警示图形符号</w:t>
                  </w:r>
                </w:p>
              </w:tc>
              <w:tc>
                <w:tcPr>
                  <w:tcW w:w="1018" w:type="pct"/>
                  <w:noWrap w:val="0"/>
                  <w:vAlign w:val="center"/>
                </w:tcPr>
                <w:p w14:paraId="36798F85">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名称</w:t>
                  </w:r>
                </w:p>
              </w:tc>
              <w:tc>
                <w:tcPr>
                  <w:tcW w:w="1482" w:type="pct"/>
                  <w:noWrap w:val="0"/>
                  <w:vAlign w:val="center"/>
                </w:tcPr>
                <w:p w14:paraId="5B678D29">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功能</w:t>
                  </w:r>
                </w:p>
              </w:tc>
            </w:tr>
            <w:tr w14:paraId="524A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310" w:type="pct"/>
                  <w:noWrap w:val="0"/>
                  <w:vAlign w:val="center"/>
                </w:tcPr>
                <w:p w14:paraId="42DD0CCA">
                  <w:pPr>
                    <w:pStyle w:val="51"/>
                    <w:spacing w:line="240" w:lineRule="auto"/>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1</w:t>
                  </w:r>
                </w:p>
              </w:tc>
              <w:tc>
                <w:tcPr>
                  <w:tcW w:w="1172" w:type="pct"/>
                  <w:noWrap w:val="0"/>
                  <w:vAlign w:val="center"/>
                </w:tcPr>
                <w:p w14:paraId="6A2824CE">
                  <w:pPr>
                    <w:pStyle w:val="51"/>
                    <w:spacing w:line="240" w:lineRule="auto"/>
                    <w:rPr>
                      <w:rFonts w:hint="default" w:ascii="Times New Roman" w:hAnsi="Times New Roman" w:cs="Times New Roman"/>
                      <w:color w:val="auto"/>
                      <w:sz w:val="18"/>
                      <w:szCs w:val="18"/>
                      <w:highlight w:val="none"/>
                    </w:rPr>
                  </w:pPr>
                  <w:r>
                    <w:rPr>
                      <w:position w:val="-13"/>
                      <w:highlight w:val="none"/>
                    </w:rPr>
                    <w:drawing>
                      <wp:inline distT="0" distB="0" distL="0" distR="0">
                        <wp:extent cx="771525" cy="635000"/>
                        <wp:effectExtent l="0" t="0" r="9525" b="1270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22"/>
                                <a:stretch>
                                  <a:fillRect/>
                                </a:stretch>
                              </pic:blipFill>
                              <pic:spPr>
                                <a:xfrm>
                                  <a:off x="0" y="0"/>
                                  <a:ext cx="771525" cy="635000"/>
                                </a:xfrm>
                                <a:prstGeom prst="rect">
                                  <a:avLst/>
                                </a:prstGeom>
                              </pic:spPr>
                            </pic:pic>
                          </a:graphicData>
                        </a:graphic>
                      </wp:inline>
                    </w:drawing>
                  </w:r>
                </w:p>
              </w:tc>
              <w:tc>
                <w:tcPr>
                  <w:tcW w:w="1015" w:type="pct"/>
                  <w:noWrap w:val="0"/>
                  <w:vAlign w:val="center"/>
                </w:tcPr>
                <w:p w14:paraId="0A395863">
                  <w:pPr>
                    <w:pStyle w:val="51"/>
                    <w:spacing w:line="240" w:lineRule="auto"/>
                    <w:rPr>
                      <w:rFonts w:hint="default" w:ascii="Times New Roman" w:hAnsi="Times New Roman" w:cs="Times New Roman"/>
                      <w:color w:val="auto"/>
                      <w:sz w:val="18"/>
                      <w:szCs w:val="18"/>
                      <w:highlight w:val="none"/>
                    </w:rPr>
                  </w:pPr>
                  <w:r>
                    <w:rPr>
                      <w:highlight w:val="none"/>
                    </w:rPr>
                    <w:drawing>
                      <wp:inline distT="0" distB="0" distL="114300" distR="114300">
                        <wp:extent cx="648970" cy="631190"/>
                        <wp:effectExtent l="0" t="0" r="1778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3"/>
                                <a:srcRect b="21701"/>
                                <a:stretch>
                                  <a:fillRect/>
                                </a:stretch>
                              </pic:blipFill>
                              <pic:spPr>
                                <a:xfrm>
                                  <a:off x="0" y="0"/>
                                  <a:ext cx="648970" cy="631190"/>
                                </a:xfrm>
                                <a:prstGeom prst="rect">
                                  <a:avLst/>
                                </a:prstGeom>
                                <a:noFill/>
                                <a:ln>
                                  <a:noFill/>
                                </a:ln>
                              </pic:spPr>
                            </pic:pic>
                          </a:graphicData>
                        </a:graphic>
                      </wp:inline>
                    </w:drawing>
                  </w:r>
                </w:p>
              </w:tc>
              <w:tc>
                <w:tcPr>
                  <w:tcW w:w="1018" w:type="pct"/>
                  <w:noWrap w:val="0"/>
                  <w:vAlign w:val="center"/>
                </w:tcPr>
                <w:p w14:paraId="3CB28322">
                  <w:pPr>
                    <w:pStyle w:val="52"/>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排放口</w:t>
                  </w:r>
                </w:p>
              </w:tc>
              <w:tc>
                <w:tcPr>
                  <w:tcW w:w="1482" w:type="pct"/>
                  <w:noWrap w:val="0"/>
                  <w:vAlign w:val="center"/>
                </w:tcPr>
                <w:p w14:paraId="5D6B12C0">
                  <w:pPr>
                    <w:pStyle w:val="52"/>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表示废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向</w:t>
                  </w:r>
                  <w:r>
                    <w:rPr>
                      <w:rFonts w:hint="eastAsia" w:cs="Times New Roman"/>
                      <w:bCs/>
                      <w:color w:val="auto"/>
                      <w:kern w:val="0"/>
                      <w:sz w:val="21"/>
                      <w:szCs w:val="21"/>
                      <w:highlight w:val="none"/>
                      <w:lang w:eastAsia="zh-CN"/>
                    </w:rPr>
                    <w:t>大气</w:t>
                  </w:r>
                  <w:r>
                    <w:rPr>
                      <w:rFonts w:hint="default" w:ascii="Times New Roman" w:hAnsi="Times New Roman" w:eastAsia="宋体" w:cs="Times New Roman"/>
                      <w:bCs/>
                      <w:color w:val="auto"/>
                      <w:kern w:val="0"/>
                      <w:sz w:val="21"/>
                      <w:szCs w:val="21"/>
                      <w:highlight w:val="none"/>
                    </w:rPr>
                    <w:t>排放</w:t>
                  </w:r>
                </w:p>
              </w:tc>
            </w:tr>
            <w:tr w14:paraId="765C8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310" w:type="pct"/>
                  <w:noWrap w:val="0"/>
                  <w:vAlign w:val="center"/>
                </w:tcPr>
                <w:p w14:paraId="02B8DC3D">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2</w:t>
                  </w:r>
                </w:p>
              </w:tc>
              <w:tc>
                <w:tcPr>
                  <w:tcW w:w="1172" w:type="pct"/>
                  <w:noWrap w:val="0"/>
                  <w:vAlign w:val="center"/>
                </w:tcPr>
                <w:p w14:paraId="41401C69">
                  <w:pPr>
                    <w:pStyle w:val="51"/>
                    <w:spacing w:line="240" w:lineRule="auto"/>
                    <w:rPr>
                      <w:rFonts w:hint="default" w:ascii="Times New Roman" w:hAnsi="Times New Roman" w:eastAsia="宋体" w:cs="Times New Roman"/>
                      <w:color w:val="auto"/>
                      <w:kern w:val="18"/>
                      <w:sz w:val="18"/>
                      <w:szCs w:val="18"/>
                      <w:highlight w:val="none"/>
                      <w:lang w:val="en-US" w:eastAsia="zh-CN" w:bidi="ar-SA"/>
                    </w:rPr>
                  </w:pPr>
                  <w:r>
                    <w:rPr>
                      <w:rFonts w:hAnsi="Times New Roman"/>
                      <w:color w:val="auto"/>
                      <w:sz w:val="21"/>
                      <w:szCs w:val="21"/>
                      <w:highlight w:val="none"/>
                    </w:rPr>
                    <w:drawing>
                      <wp:inline distT="0" distB="0" distL="114300" distR="114300">
                        <wp:extent cx="770255" cy="622935"/>
                        <wp:effectExtent l="0" t="0" r="10795" b="5715"/>
                        <wp:docPr id="30" name="图片 14" descr="1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13001"/>
                                <pic:cNvPicPr>
                                  <a:picLocks noChangeAspect="1"/>
                                </pic:cNvPicPr>
                              </pic:nvPicPr>
                              <pic:blipFill>
                                <a:blip r:embed="rId24"/>
                                <a:stretch>
                                  <a:fillRect/>
                                </a:stretch>
                              </pic:blipFill>
                              <pic:spPr>
                                <a:xfrm>
                                  <a:off x="0" y="0"/>
                                  <a:ext cx="770255" cy="622935"/>
                                </a:xfrm>
                                <a:prstGeom prst="rect">
                                  <a:avLst/>
                                </a:prstGeom>
                                <a:noFill/>
                                <a:ln>
                                  <a:noFill/>
                                </a:ln>
                              </pic:spPr>
                            </pic:pic>
                          </a:graphicData>
                        </a:graphic>
                      </wp:inline>
                    </w:drawing>
                  </w:r>
                </w:p>
              </w:tc>
              <w:tc>
                <w:tcPr>
                  <w:tcW w:w="1015" w:type="pct"/>
                  <w:noWrap w:val="0"/>
                  <w:vAlign w:val="center"/>
                </w:tcPr>
                <w:p w14:paraId="224302FE">
                  <w:pPr>
                    <w:pStyle w:val="51"/>
                    <w:spacing w:line="240" w:lineRule="auto"/>
                    <w:rPr>
                      <w:rFonts w:hint="default" w:ascii="Times New Roman" w:hAnsi="Times New Roman" w:eastAsia="宋体" w:cs="Times New Roman"/>
                      <w:color w:val="auto"/>
                      <w:kern w:val="18"/>
                      <w:sz w:val="18"/>
                      <w:szCs w:val="18"/>
                      <w:highlight w:val="none"/>
                      <w:lang w:val="en-US" w:eastAsia="zh-CN" w:bidi="ar-SA"/>
                    </w:rPr>
                  </w:pPr>
                  <w:r>
                    <w:rPr>
                      <w:rFonts w:hint="default" w:ascii="Times New Roman" w:hAnsi="Times New Roman" w:cs="Times New Roman"/>
                      <w:color w:val="auto"/>
                      <w:sz w:val="18"/>
                      <w:szCs w:val="18"/>
                      <w:highlight w:val="none"/>
                    </w:rPr>
                    <w:drawing>
                      <wp:inline distT="0" distB="0" distL="114300" distR="114300">
                        <wp:extent cx="666115" cy="632460"/>
                        <wp:effectExtent l="0" t="0" r="635" b="15240"/>
                        <wp:docPr id="32" name="图片 15" descr="1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13002"/>
                                <pic:cNvPicPr>
                                  <a:picLocks noChangeAspect="1"/>
                                </pic:cNvPicPr>
                              </pic:nvPicPr>
                              <pic:blipFill>
                                <a:blip r:embed="rId25"/>
                                <a:stretch>
                                  <a:fillRect/>
                                </a:stretch>
                              </pic:blipFill>
                              <pic:spPr>
                                <a:xfrm>
                                  <a:off x="0" y="0"/>
                                  <a:ext cx="666115" cy="632460"/>
                                </a:xfrm>
                                <a:prstGeom prst="rect">
                                  <a:avLst/>
                                </a:prstGeom>
                                <a:noFill/>
                                <a:ln>
                                  <a:noFill/>
                                </a:ln>
                              </pic:spPr>
                            </pic:pic>
                          </a:graphicData>
                        </a:graphic>
                      </wp:inline>
                    </w:drawing>
                  </w:r>
                </w:p>
              </w:tc>
              <w:tc>
                <w:tcPr>
                  <w:tcW w:w="1018" w:type="pct"/>
                  <w:noWrap w:val="0"/>
                  <w:vAlign w:val="center"/>
                </w:tcPr>
                <w:p w14:paraId="76DB19FB">
                  <w:pPr>
                    <w:pStyle w:val="52"/>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废水排放口</w:t>
                  </w:r>
                </w:p>
              </w:tc>
              <w:tc>
                <w:tcPr>
                  <w:tcW w:w="1482" w:type="pct"/>
                  <w:noWrap w:val="0"/>
                  <w:vAlign w:val="center"/>
                </w:tcPr>
                <w:p w14:paraId="7B3A9F8D">
                  <w:pPr>
                    <w:pStyle w:val="52"/>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表示废水向水体排放</w:t>
                  </w:r>
                </w:p>
              </w:tc>
            </w:tr>
            <w:tr w14:paraId="016C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310" w:type="pct"/>
                  <w:noWrap w:val="0"/>
                  <w:vAlign w:val="center"/>
                </w:tcPr>
                <w:p w14:paraId="3996563A">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3</w:t>
                  </w:r>
                </w:p>
              </w:tc>
              <w:tc>
                <w:tcPr>
                  <w:tcW w:w="1172" w:type="pct"/>
                  <w:noWrap w:val="0"/>
                  <w:vAlign w:val="center"/>
                </w:tcPr>
                <w:p w14:paraId="5B91FC62">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4540" cy="648335"/>
                        <wp:effectExtent l="0" t="0" r="16510" b="18415"/>
                        <wp:docPr id="33" name="图片 16" descr="20060220151804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200602201518049853"/>
                                <pic:cNvPicPr>
                                  <a:picLocks noChangeAspect="1"/>
                                </pic:cNvPicPr>
                              </pic:nvPicPr>
                              <pic:blipFill>
                                <a:blip r:embed="rId26"/>
                                <a:stretch>
                                  <a:fillRect/>
                                </a:stretch>
                              </pic:blipFill>
                              <pic:spPr>
                                <a:xfrm>
                                  <a:off x="0" y="0"/>
                                  <a:ext cx="764540" cy="648335"/>
                                </a:xfrm>
                                <a:prstGeom prst="rect">
                                  <a:avLst/>
                                </a:prstGeom>
                                <a:noFill/>
                                <a:ln>
                                  <a:noFill/>
                                </a:ln>
                              </pic:spPr>
                            </pic:pic>
                          </a:graphicData>
                        </a:graphic>
                      </wp:inline>
                    </w:drawing>
                  </w:r>
                </w:p>
              </w:tc>
              <w:tc>
                <w:tcPr>
                  <w:tcW w:w="1015" w:type="pct"/>
                  <w:noWrap w:val="0"/>
                  <w:vAlign w:val="center"/>
                </w:tcPr>
                <w:p w14:paraId="2A6C05DD">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691515" cy="640715"/>
                        <wp:effectExtent l="0" t="0" r="13335" b="6985"/>
                        <wp:docPr id="34" name="图片 17" descr="2006022015190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descr="200602201519018631"/>
                                <pic:cNvPicPr>
                                  <a:picLocks noChangeAspect="1"/>
                                </pic:cNvPicPr>
                              </pic:nvPicPr>
                              <pic:blipFill>
                                <a:blip r:embed="rId27"/>
                                <a:stretch>
                                  <a:fillRect/>
                                </a:stretch>
                              </pic:blipFill>
                              <pic:spPr>
                                <a:xfrm>
                                  <a:off x="0" y="0"/>
                                  <a:ext cx="691515" cy="640715"/>
                                </a:xfrm>
                                <a:prstGeom prst="rect">
                                  <a:avLst/>
                                </a:prstGeom>
                                <a:noFill/>
                                <a:ln>
                                  <a:noFill/>
                                </a:ln>
                              </pic:spPr>
                            </pic:pic>
                          </a:graphicData>
                        </a:graphic>
                      </wp:inline>
                    </w:drawing>
                  </w:r>
                </w:p>
              </w:tc>
              <w:tc>
                <w:tcPr>
                  <w:tcW w:w="1018" w:type="pct"/>
                  <w:noWrap w:val="0"/>
                  <w:vAlign w:val="center"/>
                </w:tcPr>
                <w:p w14:paraId="2C20A273">
                  <w:pPr>
                    <w:pStyle w:val="52"/>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噪声排放源</w:t>
                  </w:r>
                </w:p>
              </w:tc>
              <w:tc>
                <w:tcPr>
                  <w:tcW w:w="1482" w:type="pct"/>
                  <w:noWrap w:val="0"/>
                  <w:vAlign w:val="center"/>
                </w:tcPr>
                <w:p w14:paraId="6F48635C">
                  <w:pPr>
                    <w:pStyle w:val="52"/>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表示噪声向外环境排放</w:t>
                  </w:r>
                </w:p>
              </w:tc>
            </w:tr>
            <w:tr w14:paraId="457BC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310" w:type="pct"/>
                  <w:noWrap w:val="0"/>
                  <w:vAlign w:val="center"/>
                </w:tcPr>
                <w:p w14:paraId="036E05F2">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4</w:t>
                  </w:r>
                </w:p>
              </w:tc>
              <w:tc>
                <w:tcPr>
                  <w:tcW w:w="1172" w:type="pct"/>
                  <w:noWrap w:val="0"/>
                  <w:vAlign w:val="center"/>
                </w:tcPr>
                <w:p w14:paraId="0FC902A9">
                  <w:pPr>
                    <w:adjustRightInd w:val="0"/>
                    <w:snapToGrid w:val="0"/>
                    <w:spacing w:line="240" w:lineRule="auto"/>
                    <w:jc w:val="center"/>
                    <w:rPr>
                      <w:rFonts w:hint="default" w:ascii="Times New Roman" w:hAnsi="Times New Roman" w:eastAsia="宋体" w:cs="Times New Roman"/>
                      <w:b/>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3270" cy="642620"/>
                        <wp:effectExtent l="0" t="0" r="17780" b="5080"/>
                        <wp:docPr id="35" name="图片 18"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descr="14001"/>
                                <pic:cNvPicPr>
                                  <a:picLocks noChangeAspect="1"/>
                                </pic:cNvPicPr>
                              </pic:nvPicPr>
                              <pic:blipFill>
                                <a:blip r:embed="rId28"/>
                                <a:stretch>
                                  <a:fillRect/>
                                </a:stretch>
                              </pic:blipFill>
                              <pic:spPr>
                                <a:xfrm>
                                  <a:off x="0" y="0"/>
                                  <a:ext cx="763270" cy="642620"/>
                                </a:xfrm>
                                <a:prstGeom prst="rect">
                                  <a:avLst/>
                                </a:prstGeom>
                                <a:noFill/>
                                <a:ln>
                                  <a:noFill/>
                                </a:ln>
                              </pic:spPr>
                            </pic:pic>
                          </a:graphicData>
                        </a:graphic>
                      </wp:inline>
                    </w:drawing>
                  </w:r>
                </w:p>
              </w:tc>
              <w:tc>
                <w:tcPr>
                  <w:tcW w:w="1015" w:type="pct"/>
                  <w:noWrap w:val="0"/>
                  <w:vAlign w:val="center"/>
                </w:tcPr>
                <w:p w14:paraId="3E5DC508">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715645" cy="671195"/>
                        <wp:effectExtent l="0" t="0" r="8255" b="14605"/>
                        <wp:docPr id="36" name="图片 19" descr="1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14002"/>
                                <pic:cNvPicPr>
                                  <a:picLocks noChangeAspect="1"/>
                                </pic:cNvPicPr>
                              </pic:nvPicPr>
                              <pic:blipFill>
                                <a:blip r:embed="rId29"/>
                                <a:stretch>
                                  <a:fillRect/>
                                </a:stretch>
                              </pic:blipFill>
                              <pic:spPr>
                                <a:xfrm>
                                  <a:off x="0" y="0"/>
                                  <a:ext cx="715645" cy="671195"/>
                                </a:xfrm>
                                <a:prstGeom prst="rect">
                                  <a:avLst/>
                                </a:prstGeom>
                                <a:noFill/>
                                <a:ln>
                                  <a:noFill/>
                                </a:ln>
                              </pic:spPr>
                            </pic:pic>
                          </a:graphicData>
                        </a:graphic>
                      </wp:inline>
                    </w:drawing>
                  </w:r>
                </w:p>
              </w:tc>
              <w:tc>
                <w:tcPr>
                  <w:tcW w:w="1018" w:type="pct"/>
                  <w:noWrap w:val="0"/>
                  <w:vAlign w:val="center"/>
                </w:tcPr>
                <w:p w14:paraId="1121C205">
                  <w:pPr>
                    <w:pStyle w:val="52"/>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一般固体废物</w:t>
                  </w:r>
                </w:p>
              </w:tc>
              <w:tc>
                <w:tcPr>
                  <w:tcW w:w="1482" w:type="pct"/>
                  <w:noWrap w:val="0"/>
                  <w:vAlign w:val="center"/>
                </w:tcPr>
                <w:p w14:paraId="4F35C4E9">
                  <w:pPr>
                    <w:pStyle w:val="52"/>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一般固体废物贮存、处置场</w:t>
                  </w:r>
                </w:p>
              </w:tc>
            </w:tr>
            <w:tr w14:paraId="0EF4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310" w:type="pct"/>
                  <w:noWrap w:val="0"/>
                  <w:vAlign w:val="center"/>
                </w:tcPr>
                <w:p w14:paraId="5AF54B17">
                  <w:pPr>
                    <w:adjustRightInd w:val="0"/>
                    <w:snapToGrid w:val="0"/>
                    <w:spacing w:line="240" w:lineRule="auto"/>
                    <w:jc w:val="center"/>
                    <w:rPr>
                      <w:rFonts w:hint="default" w:ascii="Times New Roman" w:hAnsi="Times New Roman" w:cs="Times New Roman"/>
                      <w:color w:val="auto"/>
                      <w:spacing w:val="3"/>
                      <w:szCs w:val="21"/>
                      <w:highlight w:val="none"/>
                    </w:rPr>
                  </w:pPr>
                </w:p>
              </w:tc>
              <w:tc>
                <w:tcPr>
                  <w:tcW w:w="1172" w:type="pct"/>
                  <w:noWrap w:val="0"/>
                  <w:vAlign w:val="center"/>
                </w:tcPr>
                <w:p w14:paraId="455BF4D3">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p>
              </w:tc>
              <w:tc>
                <w:tcPr>
                  <w:tcW w:w="1015" w:type="pct"/>
                  <w:noWrap w:val="0"/>
                  <w:vAlign w:val="center"/>
                </w:tcPr>
                <w:p w14:paraId="6C6AE3BC">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color w:val="auto"/>
                      <w:highlight w:val="none"/>
                    </w:rPr>
                    <w:drawing>
                      <wp:inline distT="0" distB="0" distL="114300" distR="114300">
                        <wp:extent cx="741680" cy="668020"/>
                        <wp:effectExtent l="0" t="0" r="1270" b="1778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30"/>
                                <a:stretch>
                                  <a:fillRect/>
                                </a:stretch>
                              </pic:blipFill>
                              <pic:spPr>
                                <a:xfrm>
                                  <a:off x="0" y="0"/>
                                  <a:ext cx="741680" cy="668020"/>
                                </a:xfrm>
                                <a:prstGeom prst="rect">
                                  <a:avLst/>
                                </a:prstGeom>
                                <a:noFill/>
                                <a:ln>
                                  <a:noFill/>
                                </a:ln>
                              </pic:spPr>
                            </pic:pic>
                          </a:graphicData>
                        </a:graphic>
                      </wp:inline>
                    </w:drawing>
                  </w:r>
                </w:p>
              </w:tc>
              <w:tc>
                <w:tcPr>
                  <w:tcW w:w="1018" w:type="pct"/>
                  <w:noWrap w:val="0"/>
                  <w:vAlign w:val="center"/>
                </w:tcPr>
                <w:p w14:paraId="45BC698D">
                  <w:pPr>
                    <w:pStyle w:val="52"/>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危险固体废物</w:t>
                  </w:r>
                </w:p>
              </w:tc>
              <w:tc>
                <w:tcPr>
                  <w:tcW w:w="1482" w:type="pct"/>
                  <w:noWrap w:val="0"/>
                  <w:vAlign w:val="center"/>
                </w:tcPr>
                <w:p w14:paraId="20685876">
                  <w:pPr>
                    <w:pStyle w:val="52"/>
                    <w:snapToGrid w:val="0"/>
                    <w:spacing w:line="240" w:lineRule="auto"/>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危险固体废物贮存、处置场</w:t>
                  </w:r>
                </w:p>
              </w:tc>
            </w:tr>
          </w:tbl>
          <w:p w14:paraId="43CABE42">
            <w:pPr>
              <w:adjustRightInd w:val="0"/>
              <w:snapToGrid w:val="0"/>
              <w:spacing w:line="240" w:lineRule="auto"/>
              <w:ind w:firstLine="422" w:firstLineChars="200"/>
              <w:rPr>
                <w:rFonts w:hint="eastAsia" w:ascii="Times New Roman" w:hAnsi="Times New Roman" w:eastAsia="宋体" w:cs="Times New Roman"/>
                <w:b/>
                <w:color w:val="auto"/>
                <w:szCs w:val="21"/>
                <w:highlight w:val="none"/>
                <w:lang w:val="en-US" w:eastAsia="zh-CN"/>
              </w:rPr>
            </w:pPr>
            <w:r>
              <w:rPr>
                <w:rFonts w:hint="eastAsia" w:ascii="Times New Roman" w:hAnsi="Times New Roman" w:eastAsia="宋体" w:cs="Times New Roman"/>
                <w:b/>
                <w:color w:val="auto"/>
                <w:szCs w:val="21"/>
                <w:highlight w:val="none"/>
                <w:lang w:val="en-US" w:eastAsia="zh-CN"/>
              </w:rPr>
              <w:t>3、项目“三同时”要求</w:t>
            </w:r>
          </w:p>
          <w:p w14:paraId="7AE627BE">
            <w:pPr>
              <w:adjustRightInd w:val="0"/>
              <w:snapToGrid w:val="0"/>
              <w:spacing w:line="240" w:lineRule="auto"/>
              <w:ind w:firstLine="420" w:firstLineChars="200"/>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（1）污染防治措施必须与主体工程同时设计、同时施工、同时投产使用。</w:t>
            </w:r>
          </w:p>
          <w:p w14:paraId="402BC495">
            <w:pPr>
              <w:adjustRightInd w:val="0"/>
              <w:snapToGrid w:val="0"/>
              <w:spacing w:line="240" w:lineRule="auto"/>
              <w:ind w:firstLine="420" w:firstLineChars="200"/>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（2）完成排污口规范化建设，应在排污口设置统一标志。</w:t>
            </w:r>
          </w:p>
          <w:p w14:paraId="4EE782F8">
            <w:pPr>
              <w:adjustRightInd w:val="0"/>
              <w:snapToGrid w:val="0"/>
              <w:spacing w:line="240" w:lineRule="auto"/>
              <w:ind w:firstLine="420" w:firstLineChars="200"/>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（3）防治污染设施必须经验收合格后，建设项目方可正式投入生产。</w:t>
            </w:r>
          </w:p>
          <w:p w14:paraId="28FFA35F">
            <w:pPr>
              <w:adjustRightInd w:val="0"/>
              <w:snapToGrid w:val="0"/>
              <w:spacing w:line="240" w:lineRule="auto"/>
              <w:ind w:firstLine="422" w:firstLineChars="200"/>
              <w:rPr>
                <w:rFonts w:hint="eastAsia" w:ascii="Times New Roman" w:hAnsi="Times New Roman" w:eastAsia="宋体" w:cs="Times New Roman"/>
                <w:b/>
                <w:color w:val="auto"/>
                <w:szCs w:val="21"/>
                <w:highlight w:val="none"/>
                <w:lang w:val="en-US" w:eastAsia="zh-CN"/>
              </w:rPr>
            </w:pPr>
            <w:r>
              <w:rPr>
                <w:rFonts w:hint="eastAsia" w:ascii="Times New Roman" w:hAnsi="Times New Roman" w:eastAsia="宋体" w:cs="Times New Roman"/>
                <w:b/>
                <w:color w:val="auto"/>
                <w:szCs w:val="21"/>
                <w:highlight w:val="none"/>
                <w:lang w:val="en-US" w:eastAsia="zh-CN"/>
              </w:rPr>
              <w:t>4、排污许可登记</w:t>
            </w:r>
          </w:p>
          <w:p w14:paraId="21D745CC">
            <w:pPr>
              <w:adjustRightInd w:val="0"/>
              <w:snapToGrid w:val="0"/>
              <w:spacing w:line="240" w:lineRule="auto"/>
              <w:ind w:firstLine="420" w:firstLineChars="200"/>
              <w:rPr>
                <w:rFonts w:hint="eastAsia"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rPr>
              <w:t>根据《排污许可管理条例》（国务院令第736号），排污单位应当按照条例规定申请取得排 污许可证，未取得排污许可证的，不得排放污染物。</w:t>
            </w:r>
            <w:r>
              <w:rPr>
                <w:rFonts w:hint="eastAsia" w:ascii="Times New Roman" w:hAnsi="Times New Roman" w:eastAsia="宋体" w:cs="Times New Roman"/>
                <w:bCs/>
                <w:color w:val="auto"/>
                <w:szCs w:val="21"/>
                <w:highlight w:val="none"/>
                <w:lang w:eastAsia="zh-CN"/>
              </w:rPr>
              <w:t>对照</w:t>
            </w:r>
            <w:r>
              <w:rPr>
                <w:rFonts w:hint="default" w:ascii="Times New Roman" w:hAnsi="Times New Roman" w:eastAsia="宋体" w:cs="Times New Roman"/>
                <w:bCs/>
                <w:color w:val="auto"/>
                <w:szCs w:val="21"/>
                <w:highlight w:val="none"/>
              </w:rPr>
              <w:t>《</w:t>
            </w:r>
            <w:bookmarkStart w:id="6" w:name="OLE_LINK3"/>
            <w:r>
              <w:rPr>
                <w:rFonts w:hint="default" w:ascii="Times New Roman" w:hAnsi="Times New Roman" w:eastAsia="宋体" w:cs="Times New Roman"/>
                <w:bCs/>
                <w:color w:val="auto"/>
                <w:szCs w:val="21"/>
                <w:highlight w:val="none"/>
              </w:rPr>
              <w:t>固定污染源排污许可证分类管理名录（2019版）</w:t>
            </w:r>
            <w:bookmarkEnd w:id="6"/>
            <w:r>
              <w:rPr>
                <w:rFonts w:hint="default" w:ascii="Times New Roman" w:hAnsi="Times New Roman" w:eastAsia="宋体" w:cs="Times New Roman"/>
                <w:bCs/>
                <w:color w:val="auto"/>
                <w:szCs w:val="21"/>
                <w:highlight w:val="none"/>
              </w:rPr>
              <w:t>》，本项目属于固定污染源排污许可分类管理名录表中的</w:t>
            </w:r>
            <w:r>
              <w:rPr>
                <w:rFonts w:hint="eastAsia" w:cs="Times New Roman"/>
                <w:bCs/>
                <w:color w:val="auto"/>
                <w:szCs w:val="21"/>
                <w:highlight w:val="none"/>
                <w:lang w:eastAsia="zh-CN"/>
              </w:rPr>
              <w:t>“</w:t>
            </w:r>
            <w:r>
              <w:rPr>
                <w:rFonts w:hint="default" w:ascii="Times New Roman" w:hAnsi="Times New Roman" w:eastAsia="宋体" w:cs="Times New Roman"/>
                <w:bCs/>
                <w:color w:val="auto"/>
                <w:szCs w:val="21"/>
                <w:highlight w:val="none"/>
              </w:rPr>
              <w:t>三十四、计算机、通信和其他电子设备制造业39</w:t>
            </w:r>
            <w:r>
              <w:rPr>
                <w:rFonts w:hint="eastAsia" w:ascii="Times New Roman" w:hAnsi="Times New Roman" w:eastAsia="宋体" w:cs="Times New Roman"/>
                <w:bCs/>
                <w:color w:val="auto"/>
                <w:szCs w:val="21"/>
                <w:highlight w:val="none"/>
                <w:lang w:val="en-US" w:eastAsia="zh-CN"/>
              </w:rPr>
              <w:t>-</w:t>
            </w:r>
            <w:r>
              <w:rPr>
                <w:rFonts w:hint="default" w:ascii="Times New Roman" w:hAnsi="Times New Roman" w:eastAsia="宋体" w:cs="Times New Roman"/>
                <w:bCs/>
                <w:color w:val="auto"/>
                <w:szCs w:val="21"/>
                <w:highlight w:val="none"/>
              </w:rPr>
              <w:t>89电子器件制造397</w:t>
            </w:r>
            <w:r>
              <w:rPr>
                <w:rFonts w:hint="eastAsia" w:ascii="Times New Roman" w:hAnsi="Times New Roman" w:eastAsia="宋体" w:cs="Times New Roman"/>
                <w:bCs/>
                <w:color w:val="auto"/>
                <w:szCs w:val="21"/>
                <w:highlight w:val="none"/>
                <w:lang w:val="en-US" w:eastAsia="zh-CN"/>
              </w:rPr>
              <w:t>-</w:t>
            </w:r>
            <w:r>
              <w:rPr>
                <w:rFonts w:hint="default" w:ascii="Times New Roman" w:hAnsi="Times New Roman" w:eastAsia="宋体" w:cs="Times New Roman"/>
                <w:bCs/>
                <w:color w:val="auto"/>
                <w:szCs w:val="21"/>
                <w:highlight w:val="none"/>
              </w:rPr>
              <w:t>其他</w:t>
            </w:r>
            <w:r>
              <w:rPr>
                <w:rFonts w:hint="eastAsia" w:ascii="Times New Roman" w:hAnsi="Times New Roman" w:eastAsia="宋体" w:cs="Times New Roman"/>
                <w:bCs/>
                <w:color w:val="auto"/>
                <w:szCs w:val="21"/>
                <w:highlight w:val="none"/>
                <w:lang w:eastAsia="zh-CN"/>
              </w:rPr>
              <w:t>，</w:t>
            </w:r>
            <w:r>
              <w:rPr>
                <w:rFonts w:hint="eastAsia" w:cs="Times New Roman"/>
                <w:bCs/>
                <w:color w:val="auto"/>
                <w:szCs w:val="21"/>
                <w:highlight w:val="none"/>
                <w:lang w:eastAsia="zh-CN"/>
              </w:rPr>
              <w:t>”</w:t>
            </w:r>
            <w:r>
              <w:rPr>
                <w:rFonts w:hint="default" w:ascii="Times New Roman" w:hAnsi="Times New Roman" w:eastAsia="宋体" w:cs="Times New Roman"/>
                <w:bCs/>
                <w:color w:val="auto"/>
                <w:szCs w:val="21"/>
                <w:highlight w:val="none"/>
              </w:rPr>
              <w:t>属于登记管理</w:t>
            </w:r>
            <w:r>
              <w:rPr>
                <w:rFonts w:hint="eastAsia" w:ascii="Times New Roman" w:hAnsi="Times New Roman" w:eastAsia="宋体" w:cs="Times New Roman"/>
                <w:bCs/>
                <w:color w:val="auto"/>
                <w:szCs w:val="21"/>
                <w:highlight w:val="none"/>
                <w:lang w:eastAsia="zh-CN"/>
              </w:rPr>
              <w:t>，</w:t>
            </w:r>
            <w:r>
              <w:rPr>
                <w:rFonts w:hint="default" w:ascii="Times New Roman" w:hAnsi="Times New Roman" w:cs="Times New Roman"/>
                <w:bCs/>
                <w:color w:val="000000"/>
                <w:spacing w:val="0"/>
                <w:szCs w:val="21"/>
                <w:highlight w:val="none"/>
              </w:rPr>
              <w:t>建设单位在实际排污行为发生前</w:t>
            </w:r>
            <w:r>
              <w:rPr>
                <w:rFonts w:hint="eastAsia" w:ascii="Times New Roman" w:hAnsi="Times New Roman" w:cs="Times New Roman"/>
                <w:bCs/>
                <w:color w:val="000000"/>
                <w:spacing w:val="0"/>
                <w:szCs w:val="21"/>
                <w:highlight w:val="none"/>
                <w:lang w:eastAsia="zh-CN"/>
              </w:rPr>
              <w:t>，应</w:t>
            </w:r>
            <w:r>
              <w:rPr>
                <w:rFonts w:hint="eastAsia" w:cs="Times New Roman"/>
                <w:bCs/>
                <w:color w:val="000000"/>
                <w:spacing w:val="0"/>
                <w:szCs w:val="21"/>
                <w:highlight w:val="none"/>
                <w:lang w:val="en-US" w:eastAsia="zh-CN"/>
              </w:rPr>
              <w:t>进行</w:t>
            </w:r>
            <w:r>
              <w:rPr>
                <w:rFonts w:hint="default" w:ascii="Times New Roman" w:hAnsi="Times New Roman" w:cs="Times New Roman"/>
                <w:bCs/>
                <w:color w:val="000000"/>
                <w:spacing w:val="0"/>
                <w:szCs w:val="21"/>
                <w:highlight w:val="none"/>
              </w:rPr>
              <w:t>排污许可</w:t>
            </w:r>
            <w:r>
              <w:rPr>
                <w:rFonts w:hint="eastAsia" w:ascii="Times New Roman" w:hAnsi="Times New Roman" w:cs="Times New Roman"/>
                <w:bCs/>
                <w:color w:val="000000"/>
                <w:spacing w:val="0"/>
                <w:szCs w:val="21"/>
                <w:highlight w:val="none"/>
                <w:lang w:eastAsia="zh-CN"/>
              </w:rPr>
              <w:t>登记。</w:t>
            </w:r>
          </w:p>
          <w:p w14:paraId="7583FA2A">
            <w:pPr>
              <w:numPr>
                <w:ilvl w:val="0"/>
                <w:numId w:val="7"/>
              </w:numPr>
              <w:adjustRightInd w:val="0"/>
              <w:snapToGrid w:val="0"/>
              <w:spacing w:line="240" w:lineRule="auto"/>
              <w:ind w:left="0" w:leftChars="0" w:firstLine="422" w:firstLineChars="200"/>
              <w:rPr>
                <w:rFonts w:hint="eastAsia" w:ascii="Times New Roman" w:hAnsi="Times New Roman" w:eastAsia="宋体" w:cs="Times New Roman"/>
                <w:b/>
                <w:bCs w:val="0"/>
                <w:color w:val="auto"/>
                <w:szCs w:val="21"/>
                <w:highlight w:val="none"/>
                <w:lang w:val="en-US" w:eastAsia="zh-CN"/>
              </w:rPr>
            </w:pPr>
            <w:r>
              <w:rPr>
                <w:rFonts w:hint="eastAsia" w:ascii="Times New Roman" w:hAnsi="Times New Roman" w:eastAsia="宋体" w:cs="Times New Roman"/>
                <w:b/>
                <w:bCs w:val="0"/>
                <w:color w:val="auto"/>
                <w:szCs w:val="21"/>
                <w:highlight w:val="none"/>
                <w:lang w:val="en-US" w:eastAsia="zh-CN"/>
              </w:rPr>
              <w:t>环保投资预估</w:t>
            </w:r>
          </w:p>
          <w:p w14:paraId="3D8BCA65">
            <w:pPr>
              <w:numPr>
                <w:ilvl w:val="0"/>
                <w:numId w:val="0"/>
              </w:numPr>
              <w:adjustRightInd w:val="0"/>
              <w:snapToGrid w:val="0"/>
              <w:spacing w:line="360" w:lineRule="auto"/>
              <w:ind w:leftChars="200"/>
              <w:jc w:val="center"/>
              <w:rPr>
                <w:rFonts w:hint="eastAsia" w:ascii="Times New Roman" w:hAnsi="Times New Roman" w:eastAsia="宋体" w:cs="Times New Roman"/>
                <w:b/>
                <w:bCs w:val="0"/>
                <w:color w:val="auto"/>
                <w:szCs w:val="21"/>
                <w:highlight w:val="none"/>
                <w:lang w:val="en-US" w:eastAsia="zh-CN"/>
              </w:rPr>
            </w:pPr>
          </w:p>
          <w:p w14:paraId="64CBC5BB">
            <w:pPr>
              <w:numPr>
                <w:ilvl w:val="0"/>
                <w:numId w:val="0"/>
              </w:numPr>
              <w:adjustRightInd w:val="0"/>
              <w:snapToGrid w:val="0"/>
              <w:spacing w:line="360" w:lineRule="auto"/>
              <w:ind w:leftChars="200"/>
              <w:jc w:val="center"/>
              <w:rPr>
                <w:rFonts w:hint="eastAsia" w:ascii="Times New Roman" w:hAnsi="Times New Roman" w:eastAsia="宋体" w:cs="Times New Roman"/>
                <w:b/>
                <w:bCs w:val="0"/>
                <w:color w:val="auto"/>
                <w:szCs w:val="21"/>
                <w:highlight w:val="none"/>
                <w:lang w:val="en-US" w:eastAsia="zh-CN"/>
              </w:rPr>
            </w:pPr>
          </w:p>
          <w:p w14:paraId="1C4E1895">
            <w:pPr>
              <w:numPr>
                <w:ilvl w:val="0"/>
                <w:numId w:val="0"/>
              </w:numPr>
              <w:adjustRightInd w:val="0"/>
              <w:snapToGrid w:val="0"/>
              <w:spacing w:line="360" w:lineRule="auto"/>
              <w:ind w:leftChars="200"/>
              <w:jc w:val="center"/>
              <w:rPr>
                <w:rFonts w:hint="eastAsia" w:ascii="Times New Roman" w:hAnsi="Times New Roman" w:eastAsia="宋体" w:cs="Times New Roman"/>
                <w:b/>
                <w:bCs w:val="0"/>
                <w:color w:val="auto"/>
                <w:szCs w:val="21"/>
                <w:highlight w:val="none"/>
                <w:lang w:val="en-US" w:eastAsia="zh-CN"/>
              </w:rPr>
            </w:pPr>
          </w:p>
          <w:p w14:paraId="0F3E7DC8">
            <w:pPr>
              <w:numPr>
                <w:ilvl w:val="0"/>
                <w:numId w:val="0"/>
              </w:numPr>
              <w:adjustRightInd w:val="0"/>
              <w:snapToGrid w:val="0"/>
              <w:spacing w:line="360" w:lineRule="auto"/>
              <w:ind w:leftChars="200"/>
              <w:jc w:val="center"/>
              <w:rPr>
                <w:rFonts w:hint="eastAsia" w:ascii="Times New Roman" w:hAnsi="Times New Roman" w:eastAsia="宋体" w:cs="Times New Roman"/>
                <w:b/>
                <w:bCs w:val="0"/>
                <w:color w:val="auto"/>
                <w:szCs w:val="21"/>
                <w:highlight w:val="none"/>
                <w:lang w:val="en-US" w:eastAsia="zh-CN"/>
              </w:rPr>
            </w:pPr>
          </w:p>
          <w:p w14:paraId="0DE73402">
            <w:pPr>
              <w:numPr>
                <w:ilvl w:val="0"/>
                <w:numId w:val="0"/>
              </w:numPr>
              <w:adjustRightInd w:val="0"/>
              <w:snapToGrid w:val="0"/>
              <w:spacing w:line="360" w:lineRule="auto"/>
              <w:ind w:leftChars="200"/>
              <w:jc w:val="center"/>
              <w:rPr>
                <w:rFonts w:hint="eastAsia" w:ascii="Times New Roman" w:hAnsi="Times New Roman" w:eastAsia="宋体" w:cs="Times New Roman"/>
                <w:b/>
                <w:bCs w:val="0"/>
                <w:color w:val="auto"/>
                <w:szCs w:val="21"/>
                <w:highlight w:val="none"/>
                <w:lang w:val="en-US" w:eastAsia="zh-CN"/>
              </w:rPr>
            </w:pPr>
          </w:p>
          <w:p w14:paraId="02D2CC96">
            <w:pPr>
              <w:numPr>
                <w:ilvl w:val="0"/>
                <w:numId w:val="0"/>
              </w:numPr>
              <w:adjustRightInd w:val="0"/>
              <w:snapToGrid w:val="0"/>
              <w:spacing w:line="360" w:lineRule="auto"/>
              <w:ind w:leftChars="200"/>
              <w:jc w:val="center"/>
              <w:rPr>
                <w:rFonts w:hint="eastAsia" w:ascii="Times New Roman" w:hAnsi="Times New Roman" w:eastAsia="宋体" w:cs="Times New Roman"/>
                <w:b/>
                <w:bCs w:val="0"/>
                <w:color w:val="auto"/>
                <w:szCs w:val="21"/>
                <w:highlight w:val="none"/>
                <w:lang w:val="en-US" w:eastAsia="zh-CN"/>
              </w:rPr>
            </w:pPr>
          </w:p>
          <w:p w14:paraId="416B6E44">
            <w:pPr>
              <w:numPr>
                <w:ilvl w:val="0"/>
                <w:numId w:val="0"/>
              </w:numPr>
              <w:adjustRightInd w:val="0"/>
              <w:snapToGrid w:val="0"/>
              <w:spacing w:line="360" w:lineRule="auto"/>
              <w:ind w:leftChars="200"/>
              <w:jc w:val="center"/>
              <w:rPr>
                <w:rFonts w:hint="eastAsia" w:ascii="Times New Roman" w:hAnsi="Times New Roman" w:eastAsia="宋体" w:cs="Times New Roman"/>
                <w:b/>
                <w:bCs w:val="0"/>
                <w:color w:val="auto"/>
                <w:szCs w:val="21"/>
                <w:highlight w:val="none"/>
                <w:lang w:val="en-US" w:eastAsia="zh-CN"/>
              </w:rPr>
            </w:pPr>
          </w:p>
          <w:p w14:paraId="5429DB77">
            <w:pPr>
              <w:numPr>
                <w:ilvl w:val="0"/>
                <w:numId w:val="0"/>
              </w:numPr>
              <w:adjustRightInd w:val="0"/>
              <w:snapToGrid w:val="0"/>
              <w:spacing w:line="360" w:lineRule="auto"/>
              <w:ind w:leftChars="200"/>
              <w:jc w:val="center"/>
              <w:rPr>
                <w:rFonts w:hint="default" w:ascii="Times New Roman" w:hAnsi="Times New Roman" w:eastAsia="宋体" w:cs="Times New Roman"/>
                <w:b/>
                <w:bCs w:val="0"/>
                <w:color w:val="auto"/>
                <w:szCs w:val="21"/>
                <w:highlight w:val="none"/>
                <w:lang w:val="en-US" w:eastAsia="zh-CN"/>
              </w:rPr>
            </w:pPr>
            <w:r>
              <w:rPr>
                <w:rFonts w:hint="eastAsia" w:ascii="Times New Roman" w:hAnsi="Times New Roman" w:eastAsia="宋体" w:cs="Times New Roman"/>
                <w:b/>
                <w:bCs w:val="0"/>
                <w:color w:val="auto"/>
                <w:szCs w:val="21"/>
                <w:highlight w:val="none"/>
                <w:lang w:val="en-US" w:eastAsia="zh-CN"/>
              </w:rPr>
              <w:t>表5-2  环保设施及其估算一览表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710"/>
              <w:gridCol w:w="4290"/>
              <w:gridCol w:w="786"/>
            </w:tblGrid>
            <w:tr w14:paraId="03601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noWrap w:val="0"/>
                  <w:vAlign w:val="center"/>
                </w:tcPr>
                <w:p w14:paraId="26DB21F8">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污染类别</w:t>
                  </w:r>
                </w:p>
              </w:tc>
              <w:tc>
                <w:tcPr>
                  <w:tcW w:w="1710" w:type="dxa"/>
                  <w:noWrap w:val="0"/>
                  <w:vAlign w:val="center"/>
                </w:tcPr>
                <w:p w14:paraId="37B87B74">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污染物</w:t>
                  </w:r>
                </w:p>
              </w:tc>
              <w:tc>
                <w:tcPr>
                  <w:tcW w:w="4290" w:type="dxa"/>
                  <w:noWrap w:val="0"/>
                  <w:vAlign w:val="center"/>
                </w:tcPr>
                <w:p w14:paraId="13CB34C2">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环保措施</w:t>
                  </w:r>
                </w:p>
              </w:tc>
              <w:tc>
                <w:tcPr>
                  <w:tcW w:w="786" w:type="dxa"/>
                  <w:noWrap w:val="0"/>
                  <w:vAlign w:val="center"/>
                </w:tcPr>
                <w:p w14:paraId="1949729A">
                  <w:pPr>
                    <w:adjustRightInd w:val="0"/>
                    <w:snapToGrid w:val="0"/>
                    <w:spacing w:line="240" w:lineRule="auto"/>
                    <w:jc w:val="center"/>
                    <w:rPr>
                      <w:rFonts w:hint="default"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val="0"/>
                      <w:color w:val="auto"/>
                      <w:szCs w:val="21"/>
                      <w:highlight w:val="none"/>
                      <w:vertAlign w:val="baseline"/>
                      <w:lang w:eastAsia="zh-CN"/>
                    </w:rPr>
                    <w:t>投资</w:t>
                  </w:r>
                  <w:r>
                    <w:rPr>
                      <w:rFonts w:hint="eastAsia" w:ascii="Times New Roman" w:hAnsi="Times New Roman" w:eastAsia="宋体" w:cs="Times New Roman"/>
                      <w:b/>
                      <w:bCs w:val="0"/>
                      <w:color w:val="auto"/>
                      <w:szCs w:val="21"/>
                      <w:highlight w:val="none"/>
                      <w:vertAlign w:val="baseline"/>
                      <w:lang w:val="en-US" w:eastAsia="zh-CN"/>
                    </w:rPr>
                    <w:t>/万元</w:t>
                  </w:r>
                </w:p>
              </w:tc>
            </w:tr>
            <w:tr w14:paraId="73DD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noWrap w:val="0"/>
                  <w:vAlign w:val="center"/>
                </w:tcPr>
                <w:p w14:paraId="259AF71C">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废气</w:t>
                  </w:r>
                </w:p>
              </w:tc>
              <w:tc>
                <w:tcPr>
                  <w:tcW w:w="1710" w:type="dxa"/>
                  <w:noWrap w:val="0"/>
                  <w:vAlign w:val="center"/>
                </w:tcPr>
                <w:p w14:paraId="6AB83B33">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非甲烷总烃、</w:t>
                  </w:r>
                  <w:r>
                    <w:rPr>
                      <w:rFonts w:hint="eastAsia" w:cs="Times New Roman"/>
                      <w:color w:val="auto"/>
                      <w:szCs w:val="21"/>
                      <w:highlight w:val="none"/>
                      <w:lang w:val="en-US" w:eastAsia="zh-CN"/>
                    </w:rPr>
                    <w:t>颗粒物、</w:t>
                  </w:r>
                  <w:r>
                    <w:rPr>
                      <w:rFonts w:hint="eastAsia" w:ascii="Times New Roman" w:hAnsi="Times New Roman" w:eastAsia="宋体" w:cs="Times New Roman"/>
                      <w:bCs/>
                      <w:color w:val="auto"/>
                      <w:szCs w:val="21"/>
                      <w:highlight w:val="none"/>
                      <w:vertAlign w:val="baseline"/>
                      <w:lang w:eastAsia="zh-CN"/>
                    </w:rPr>
                    <w:t>锡及其化合物</w:t>
                  </w:r>
                </w:p>
              </w:tc>
              <w:tc>
                <w:tcPr>
                  <w:tcW w:w="4290" w:type="dxa"/>
                  <w:noWrap w:val="0"/>
                  <w:vAlign w:val="center"/>
                </w:tcPr>
                <w:p w14:paraId="4C882F6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集气</w:t>
                  </w:r>
                  <w:r>
                    <w:rPr>
                      <w:rFonts w:hint="eastAsia" w:cs="Times New Roman"/>
                      <w:bCs/>
                      <w:color w:val="auto"/>
                      <w:szCs w:val="21"/>
                      <w:highlight w:val="none"/>
                      <w:vertAlign w:val="baseline"/>
                      <w:lang w:val="en-US" w:eastAsia="zh-CN"/>
                    </w:rPr>
                    <w:t>罩/负压管道收集</w:t>
                  </w:r>
                  <w:r>
                    <w:rPr>
                      <w:rFonts w:hint="eastAsia" w:cs="Times New Roman"/>
                      <w:color w:val="auto"/>
                      <w:szCs w:val="21"/>
                      <w:highlight w:val="no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lang w:val="en-US" w:eastAsia="zh-CN"/>
                    </w:rPr>
                    <w:t>二级活性炭吸附装置+20m高排气筒</w:t>
                  </w:r>
                </w:p>
              </w:tc>
              <w:tc>
                <w:tcPr>
                  <w:tcW w:w="786" w:type="dxa"/>
                  <w:noWrap w:val="0"/>
                  <w:vAlign w:val="center"/>
                </w:tcPr>
                <w:p w14:paraId="209E2A98">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8</w:t>
                  </w:r>
                  <w:r>
                    <w:rPr>
                      <w:rFonts w:hint="eastAsia" w:ascii="Times New Roman" w:hAnsi="Times New Roman" w:eastAsia="宋体" w:cs="Times New Roman"/>
                      <w:bCs/>
                      <w:color w:val="auto"/>
                      <w:szCs w:val="21"/>
                      <w:highlight w:val="none"/>
                      <w:vertAlign w:val="baseline"/>
                      <w:lang w:val="en-US" w:eastAsia="zh-CN"/>
                    </w:rPr>
                    <w:t>0</w:t>
                  </w:r>
                </w:p>
              </w:tc>
            </w:tr>
            <w:tr w14:paraId="3B4E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noWrap w:val="0"/>
                  <w:vAlign w:val="center"/>
                </w:tcPr>
                <w:p w14:paraId="6A96F359">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eastAsia" w:ascii="Times New Roman" w:hAnsi="Times New Roman" w:eastAsia="宋体" w:cs="Times New Roman"/>
                      <w:bCs/>
                      <w:color w:val="auto"/>
                      <w:szCs w:val="21"/>
                      <w:highlight w:val="none"/>
                      <w:vertAlign w:val="baseline"/>
                      <w:lang w:eastAsia="zh-CN"/>
                    </w:rPr>
                    <w:t>噪声</w:t>
                  </w:r>
                </w:p>
              </w:tc>
              <w:tc>
                <w:tcPr>
                  <w:tcW w:w="1710" w:type="dxa"/>
                  <w:noWrap w:val="0"/>
                  <w:vAlign w:val="center"/>
                </w:tcPr>
                <w:p w14:paraId="696890D5">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设备噪声</w:t>
                  </w:r>
                </w:p>
              </w:tc>
              <w:tc>
                <w:tcPr>
                  <w:tcW w:w="4290" w:type="dxa"/>
                  <w:noWrap w:val="0"/>
                  <w:vAlign w:val="center"/>
                </w:tcPr>
                <w:p w14:paraId="77E84E7F">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eastAsia="宋体" w:cs="Times New Roman"/>
                      <w:bCs/>
                      <w:color w:val="auto"/>
                      <w:szCs w:val="21"/>
                      <w:highlight w:val="none"/>
                      <w:vertAlign w:val="baseline"/>
                    </w:rPr>
                    <w:t>基础减振、车间封闭、隔声门</w:t>
                  </w:r>
                  <w:r>
                    <w:rPr>
                      <w:rFonts w:hint="eastAsia" w:ascii="Times New Roman" w:hAnsi="Times New Roman" w:eastAsia="宋体" w:cs="Times New Roman"/>
                      <w:bCs/>
                      <w:color w:val="auto"/>
                      <w:szCs w:val="21"/>
                      <w:highlight w:val="none"/>
                      <w:vertAlign w:val="baseline"/>
                      <w:lang w:eastAsia="zh-CN"/>
                    </w:rPr>
                    <w:t>窗</w:t>
                  </w:r>
                </w:p>
              </w:tc>
              <w:tc>
                <w:tcPr>
                  <w:tcW w:w="786" w:type="dxa"/>
                  <w:noWrap w:val="0"/>
                  <w:vAlign w:val="center"/>
                </w:tcPr>
                <w:p w14:paraId="617443D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30</w:t>
                  </w:r>
                </w:p>
              </w:tc>
            </w:tr>
            <w:tr w14:paraId="49FA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noWrap w:val="0"/>
                  <w:vAlign w:val="center"/>
                </w:tcPr>
                <w:p w14:paraId="4EC161FA">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一般固废</w:t>
                  </w:r>
                </w:p>
              </w:tc>
              <w:tc>
                <w:tcPr>
                  <w:tcW w:w="1710" w:type="dxa"/>
                  <w:noWrap w:val="0"/>
                  <w:vAlign w:val="center"/>
                </w:tcPr>
                <w:p w14:paraId="626E618D">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cs="Times New Roman"/>
                      <w:color w:val="auto"/>
                      <w:sz w:val="21"/>
                      <w:szCs w:val="21"/>
                      <w:highlight w:val="none"/>
                    </w:rPr>
                    <w:t>生活垃圾</w:t>
                  </w:r>
                  <w:r>
                    <w:rPr>
                      <w:rFonts w:hint="eastAsia" w:ascii="Times New Roman" w:hAnsi="Times New Roman" w:cs="Times New Roman"/>
                      <w:color w:val="auto"/>
                      <w:sz w:val="21"/>
                      <w:szCs w:val="21"/>
                      <w:highlight w:val="none"/>
                      <w:lang w:eastAsia="zh-CN"/>
                    </w:rPr>
                    <w:t>、废包装箱、</w:t>
                  </w:r>
                  <w:r>
                    <w:rPr>
                      <w:rFonts w:hint="eastAsia" w:ascii="Calibri" w:hAnsi="Calibri" w:cs="Calibri"/>
                      <w:color w:val="auto"/>
                      <w:szCs w:val="21"/>
                      <w:highlight w:val="none"/>
                      <w:lang w:eastAsia="zh-CN"/>
                    </w:rPr>
                    <w:t>焊锡锡渣</w:t>
                  </w:r>
                </w:p>
              </w:tc>
              <w:tc>
                <w:tcPr>
                  <w:tcW w:w="4290" w:type="dxa"/>
                  <w:noWrap w:val="0"/>
                  <w:vAlign w:val="center"/>
                </w:tcPr>
                <w:p w14:paraId="216A8110">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 w:val="21"/>
                      <w:szCs w:val="21"/>
                      <w:highlight w:val="none"/>
                    </w:rPr>
                    <w:t>生活垃圾分类收集后委托</w:t>
                  </w:r>
                  <w:r>
                    <w:rPr>
                      <w:rFonts w:hint="eastAsia" w:ascii="Times New Roman" w:hAnsi="Times New Roman" w:eastAsia="宋体"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w:t>
                  </w:r>
                  <w:r>
                    <w:rPr>
                      <w:rFonts w:hint="eastAsia" w:ascii="Times New Roman" w:hAnsi="Times New Roman" w:eastAsia="宋体" w:cs="Times New Roman"/>
                      <w:color w:val="auto"/>
                      <w:sz w:val="21"/>
                      <w:szCs w:val="21"/>
                      <w:highlight w:val="none"/>
                      <w:lang w:eastAsia="zh-CN"/>
                    </w:rPr>
                    <w:t>清运</w:t>
                  </w:r>
                  <w:r>
                    <w:rPr>
                      <w:rFonts w:hint="default" w:ascii="Times New Roman" w:hAnsi="Times New Roman" w:cs="Times New Roman"/>
                      <w:color w:val="auto"/>
                      <w:sz w:val="21"/>
                      <w:szCs w:val="21"/>
                      <w:highlight w:val="none"/>
                    </w:rPr>
                    <w:t>；一般固废中</w:t>
                  </w:r>
                  <w:r>
                    <w:rPr>
                      <w:rFonts w:hint="default" w:ascii="Calibri" w:hAnsi="Calibri" w:cs="Calibri"/>
                      <w:color w:val="auto"/>
                      <w:szCs w:val="21"/>
                      <w:highlight w:val="none"/>
                    </w:rPr>
                    <w:t>废包装箱</w:t>
                  </w:r>
                  <w:r>
                    <w:rPr>
                      <w:rFonts w:hint="eastAsia" w:ascii="Times New Roman" w:hAnsi="Times New Roman" w:eastAsia="宋体" w:cs="Times New Roman"/>
                      <w:color w:val="auto"/>
                      <w:sz w:val="21"/>
                      <w:szCs w:val="21"/>
                      <w:highlight w:val="none"/>
                      <w:lang w:val="en-US" w:eastAsia="zh-CN"/>
                    </w:rPr>
                    <w:t>、</w:t>
                  </w:r>
                  <w:r>
                    <w:rPr>
                      <w:rFonts w:hint="eastAsia" w:ascii="Calibri" w:hAnsi="Calibri" w:cs="Calibri"/>
                      <w:color w:val="auto"/>
                      <w:szCs w:val="21"/>
                      <w:highlight w:val="none"/>
                      <w:lang w:eastAsia="zh-CN"/>
                    </w:rPr>
                    <w:t>焊锡锡渣</w:t>
                  </w:r>
                  <w:r>
                    <w:rPr>
                      <w:rFonts w:hint="eastAsia" w:cs="Times New Roman"/>
                      <w:color w:val="auto"/>
                      <w:szCs w:val="21"/>
                      <w:highlight w:val="none"/>
                      <w:lang w:eastAsia="zh-CN"/>
                    </w:rPr>
                    <w:t>纸</w:t>
                  </w:r>
                  <w:r>
                    <w:rPr>
                      <w:rFonts w:hint="default" w:ascii="Times New Roman" w:hAnsi="Times New Roman" w:eastAsia="宋体" w:cs="Times New Roman"/>
                      <w:color w:val="auto"/>
                      <w:sz w:val="21"/>
                      <w:szCs w:val="21"/>
                      <w:highlight w:val="none"/>
                    </w:rPr>
                    <w:t>集中收集后</w:t>
                  </w:r>
                  <w:r>
                    <w:rPr>
                      <w:rFonts w:hint="default" w:ascii="Times New Roman" w:hAnsi="Times New Roman" w:cs="Times New Roman"/>
                      <w:color w:val="auto"/>
                      <w:szCs w:val="21"/>
                      <w:highlight w:val="none"/>
                    </w:rPr>
                    <w:t>外</w:t>
                  </w:r>
                  <w:r>
                    <w:rPr>
                      <w:rFonts w:hint="eastAsia" w:cs="Times New Roman"/>
                      <w:color w:val="auto"/>
                      <w:szCs w:val="21"/>
                      <w:highlight w:val="none"/>
                      <w:lang w:val="en-US" w:eastAsia="zh-CN"/>
                    </w:rPr>
                    <w:t>售</w:t>
                  </w:r>
                  <w:r>
                    <w:rPr>
                      <w:rFonts w:hint="default" w:ascii="Times New Roman" w:hAnsi="Times New Roman" w:cs="Times New Roman"/>
                      <w:color w:val="auto"/>
                      <w:szCs w:val="21"/>
                      <w:highlight w:val="none"/>
                    </w:rPr>
                    <w:t>综合利用</w:t>
                  </w:r>
                </w:p>
              </w:tc>
              <w:tc>
                <w:tcPr>
                  <w:tcW w:w="786" w:type="dxa"/>
                  <w:noWrap w:val="0"/>
                  <w:vAlign w:val="center"/>
                </w:tcPr>
                <w:p w14:paraId="2098EE97">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5</w:t>
                  </w:r>
                </w:p>
              </w:tc>
            </w:tr>
            <w:tr w14:paraId="529F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noWrap w:val="0"/>
                  <w:vAlign w:val="center"/>
                </w:tcPr>
                <w:p w14:paraId="008B9B62">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危废</w:t>
                  </w:r>
                </w:p>
              </w:tc>
              <w:tc>
                <w:tcPr>
                  <w:tcW w:w="1710" w:type="dxa"/>
                  <w:noWrap w:val="0"/>
                  <w:vAlign w:val="center"/>
                </w:tcPr>
                <w:p w14:paraId="2C4B0BCB">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rPr>
                  </w:pPr>
                  <w:r>
                    <w:rPr>
                      <w:rFonts w:hint="eastAsia" w:cs="Times New Roman"/>
                      <w:color w:val="auto"/>
                      <w:sz w:val="21"/>
                      <w:szCs w:val="21"/>
                      <w:highlight w:val="none"/>
                      <w:lang w:val="en-US" w:eastAsia="zh-CN"/>
                    </w:rPr>
                    <w:t>废</w:t>
                  </w:r>
                  <w:r>
                    <w:rPr>
                      <w:rFonts w:hint="eastAsia" w:ascii="Calibri" w:hAnsi="Calibri" w:cs="Calibri"/>
                      <w:color w:val="auto"/>
                      <w:szCs w:val="21"/>
                      <w:highlight w:val="none"/>
                      <w:lang w:eastAsia="zh-CN"/>
                    </w:rPr>
                    <w:t>包装罐</w:t>
                  </w:r>
                  <w:r>
                    <w:rPr>
                      <w:rFonts w:hint="default" w:ascii="Calibri" w:hAnsi="Calibri" w:cs="Calibri"/>
                      <w:color w:val="auto"/>
                      <w:szCs w:val="21"/>
                      <w:highlight w:val="none"/>
                    </w:rPr>
                    <w:t>、</w:t>
                  </w:r>
                  <w:r>
                    <w:rPr>
                      <w:rFonts w:hint="eastAsia" w:cs="Times New Roman"/>
                      <w:color w:val="auto"/>
                      <w:szCs w:val="21"/>
                      <w:highlight w:val="none"/>
                      <w:lang w:eastAsia="zh-CN"/>
                    </w:rPr>
                    <w:t>擦拭废纸、</w:t>
                  </w:r>
                  <w:r>
                    <w:rPr>
                      <w:rFonts w:hint="eastAsia" w:cs="Times New Roman"/>
                      <w:color w:val="auto"/>
                      <w:szCs w:val="21"/>
                      <w:highlight w:val="none"/>
                      <w:lang w:val="en-US" w:eastAsia="zh-CN"/>
                    </w:rPr>
                    <w:t>不合格品、</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活性炭</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废滤料、</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机</w:t>
                  </w:r>
                  <w:r>
                    <w:rPr>
                      <w:rFonts w:hint="eastAsia" w:ascii="宋体" w:hAnsi="宋体" w:eastAsia="宋体" w:cs="宋体"/>
                      <w:color w:val="auto"/>
                      <w:szCs w:val="21"/>
                      <w:highlight w:val="none"/>
                      <w:lang w:eastAsia="zh-CN"/>
                    </w:rPr>
                    <w:t>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废机油桶、</w:t>
                  </w:r>
                  <w:r>
                    <w:rPr>
                      <w:rFonts w:hint="eastAsia" w:cs="Times New Roman"/>
                      <w:color w:val="auto"/>
                      <w:sz w:val="21"/>
                      <w:szCs w:val="21"/>
                      <w:highlight w:val="none"/>
                      <w:lang w:eastAsia="zh-CN"/>
                    </w:rPr>
                    <w:t>废</w:t>
                  </w:r>
                  <w:r>
                    <w:rPr>
                      <w:rFonts w:hint="default" w:ascii="Times New Roman" w:hAnsi="Times New Roman" w:cs="Times New Roman"/>
                      <w:color w:val="000000"/>
                      <w:sz w:val="21"/>
                      <w:szCs w:val="21"/>
                      <w:highlight w:val="none"/>
                      <w:lang w:val="en-US" w:eastAsia="zh-CN"/>
                    </w:rPr>
                    <w:t>含油抹布</w:t>
                  </w:r>
                </w:p>
              </w:tc>
              <w:tc>
                <w:tcPr>
                  <w:tcW w:w="4290" w:type="dxa"/>
                  <w:noWrap w:val="0"/>
                  <w:vAlign w:val="center"/>
                </w:tcPr>
                <w:p w14:paraId="5C210E8A">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eastAsia="zh-CN"/>
                    </w:rPr>
                    <w:t>厂区内设置</w:t>
                  </w:r>
                  <w:r>
                    <w:rPr>
                      <w:rFonts w:hint="eastAsia" w:cs="Times New Roman"/>
                      <w:bCs/>
                      <w:color w:val="auto"/>
                      <w:szCs w:val="21"/>
                      <w:highlight w:val="cyan"/>
                      <w:vertAlign w:val="baseline"/>
                      <w:lang w:val="en-US" w:eastAsia="zh-CN"/>
                    </w:rPr>
                    <w:t>40</w:t>
                  </w:r>
                  <w:r>
                    <w:rPr>
                      <w:rFonts w:hint="eastAsia" w:ascii="Times New Roman" w:hAnsi="Times New Roman" w:eastAsia="宋体" w:cs="Times New Roman"/>
                      <w:bCs/>
                      <w:color w:val="auto"/>
                      <w:szCs w:val="21"/>
                      <w:highlight w:val="cyan"/>
                      <w:vertAlign w:val="baseline"/>
                      <w:lang w:val="en-US" w:eastAsia="zh-CN"/>
                    </w:rPr>
                    <w:t>m</w:t>
                  </w:r>
                  <w:r>
                    <w:rPr>
                      <w:rFonts w:hint="eastAsia" w:ascii="Times New Roman" w:hAnsi="Times New Roman" w:eastAsia="宋体" w:cs="Times New Roman"/>
                      <w:bCs/>
                      <w:color w:val="auto"/>
                      <w:szCs w:val="21"/>
                      <w:highlight w:val="cyan"/>
                      <w:vertAlign w:val="superscript"/>
                      <w:lang w:val="en-US" w:eastAsia="zh-CN"/>
                    </w:rPr>
                    <w:t>2</w:t>
                  </w:r>
                  <w:r>
                    <w:rPr>
                      <w:rFonts w:hint="eastAsia" w:ascii="Times New Roman" w:hAnsi="Times New Roman" w:eastAsia="宋体" w:cs="Times New Roman"/>
                      <w:bCs/>
                      <w:color w:val="auto"/>
                      <w:szCs w:val="21"/>
                      <w:highlight w:val="none"/>
                      <w:vertAlign w:val="baseline"/>
                      <w:lang w:val="en-US" w:eastAsia="zh-CN"/>
                    </w:rPr>
                    <w:t>危废库，</w:t>
                  </w:r>
                  <w:r>
                    <w:rPr>
                      <w:rFonts w:hint="default" w:ascii="Times New Roman" w:hAnsi="Times New Roman" w:eastAsia="宋体" w:cs="Times New Roman"/>
                      <w:color w:val="auto"/>
                      <w:sz w:val="21"/>
                      <w:szCs w:val="21"/>
                      <w:highlight w:val="none"/>
                    </w:rPr>
                    <w:t>定期送资质单位安全处置</w:t>
                  </w:r>
                </w:p>
              </w:tc>
              <w:tc>
                <w:tcPr>
                  <w:tcW w:w="786" w:type="dxa"/>
                  <w:noWrap w:val="0"/>
                  <w:vAlign w:val="center"/>
                </w:tcPr>
                <w:p w14:paraId="62A2CC01">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15</w:t>
                  </w:r>
                </w:p>
              </w:tc>
            </w:tr>
            <w:tr w14:paraId="27E1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noWrap w:val="0"/>
                  <w:vAlign w:val="center"/>
                </w:tcPr>
                <w:p w14:paraId="28679B4B">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土壤、地下水</w:t>
                  </w:r>
                </w:p>
              </w:tc>
              <w:tc>
                <w:tcPr>
                  <w:tcW w:w="1710" w:type="dxa"/>
                  <w:noWrap w:val="0"/>
                  <w:vAlign w:val="center"/>
                </w:tcPr>
                <w:p w14:paraId="61F955C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防渗</w:t>
                  </w:r>
                </w:p>
              </w:tc>
              <w:tc>
                <w:tcPr>
                  <w:tcW w:w="4290" w:type="dxa"/>
                  <w:noWrap w:val="0"/>
                  <w:vAlign w:val="center"/>
                </w:tcPr>
                <w:p w14:paraId="72D889EF">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Cs w:val="21"/>
                      <w:highlight w:val="none"/>
                    </w:rPr>
                    <w:t>项目危废库进行重点防渗；</w:t>
                  </w:r>
                  <w:r>
                    <w:rPr>
                      <w:rFonts w:hint="default" w:ascii="Times New Roman" w:hAnsi="Times New Roman" w:cs="Times New Roman"/>
                      <w:color w:val="auto"/>
                      <w:kern w:val="0"/>
                      <w:szCs w:val="21"/>
                      <w:highlight w:val="none"/>
                      <w:lang w:bidi="ar"/>
                    </w:rPr>
                    <w:t>生产车间进行一般防渗</w:t>
                  </w:r>
                </w:p>
              </w:tc>
              <w:tc>
                <w:tcPr>
                  <w:tcW w:w="786" w:type="dxa"/>
                  <w:noWrap w:val="0"/>
                  <w:vAlign w:val="center"/>
                </w:tcPr>
                <w:p w14:paraId="22504030">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10</w:t>
                  </w:r>
                </w:p>
              </w:tc>
            </w:tr>
            <w:tr w14:paraId="6601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3" w:type="dxa"/>
                  <w:gridSpan w:val="3"/>
                  <w:noWrap w:val="0"/>
                  <w:vAlign w:val="center"/>
                </w:tcPr>
                <w:p w14:paraId="7571D395">
                  <w:pPr>
                    <w:adjustRightInd w:val="0"/>
                    <w:snapToGrid w:val="0"/>
                    <w:spacing w:line="24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合计</w:t>
                  </w:r>
                </w:p>
              </w:tc>
              <w:tc>
                <w:tcPr>
                  <w:tcW w:w="786" w:type="dxa"/>
                  <w:noWrap w:val="0"/>
                  <w:vAlign w:val="center"/>
                </w:tcPr>
                <w:p w14:paraId="6978BA1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140</w:t>
                  </w:r>
                </w:p>
              </w:tc>
            </w:tr>
          </w:tbl>
          <w:p w14:paraId="6C233134">
            <w:pPr>
              <w:adjustRightInd w:val="0"/>
              <w:snapToGrid w:val="0"/>
              <w:spacing w:line="240" w:lineRule="auto"/>
              <w:rPr>
                <w:rFonts w:hint="default" w:ascii="Times New Roman" w:hAnsi="Times New Roman" w:cs="Times New Roman"/>
                <w:bCs/>
                <w:color w:val="auto"/>
                <w:szCs w:val="21"/>
                <w:highlight w:val="none"/>
              </w:rPr>
            </w:pPr>
          </w:p>
          <w:p w14:paraId="5A905F1D">
            <w:pPr>
              <w:adjustRightInd w:val="0"/>
              <w:snapToGrid w:val="0"/>
              <w:spacing w:line="240" w:lineRule="auto"/>
              <w:ind w:firstLine="420" w:firstLineChars="200"/>
              <w:rPr>
                <w:rFonts w:hint="default" w:ascii="Times New Roman" w:hAnsi="Times New Roman" w:cs="Times New Roman"/>
                <w:bCs/>
                <w:color w:val="auto"/>
                <w:szCs w:val="21"/>
                <w:highlight w:val="none"/>
              </w:rPr>
            </w:pPr>
          </w:p>
          <w:p w14:paraId="67F93112">
            <w:pPr>
              <w:adjustRightInd w:val="0"/>
              <w:snapToGrid w:val="0"/>
              <w:spacing w:line="240" w:lineRule="auto"/>
              <w:rPr>
                <w:rFonts w:hint="default" w:ascii="Times New Roman" w:hAnsi="Times New Roman" w:cs="Times New Roman"/>
                <w:color w:val="auto"/>
                <w:szCs w:val="21"/>
                <w:highlight w:val="none"/>
              </w:rPr>
            </w:pPr>
          </w:p>
        </w:tc>
      </w:tr>
    </w:tbl>
    <w:p w14:paraId="49685F17">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cs="Times New Roman"/>
          <w:snapToGrid w:val="0"/>
          <w:color w:val="auto"/>
          <w:highlight w:val="none"/>
        </w:rPr>
        <w:br w:type="page"/>
      </w:r>
      <w:r>
        <w:rPr>
          <w:rFonts w:hint="default" w:ascii="Times New Roman" w:hAnsi="Times New Roman" w:eastAsia="黑体" w:cs="Times New Roman"/>
          <w:snapToGrid w:val="0"/>
          <w:color w:val="auto"/>
          <w:sz w:val="30"/>
          <w:szCs w:val="30"/>
          <w:highlight w:val="none"/>
        </w:rPr>
        <w:t>六、结论</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3BB203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52DAAD14">
            <w:pPr>
              <w:spacing w:line="360" w:lineRule="auto"/>
              <w:ind w:firstLine="480" w:firstLineChars="200"/>
              <w:rPr>
                <w:rFonts w:hint="default" w:ascii="Times New Roman" w:hAnsi="Times New Roman" w:cs="Times New Roman"/>
                <w:snapToGrid w:val="0"/>
                <w:color w:val="auto"/>
                <w:sz w:val="24"/>
                <w:szCs w:val="24"/>
                <w:highlight w:val="none"/>
              </w:rPr>
            </w:pPr>
            <w:r>
              <w:rPr>
                <w:rFonts w:hint="default" w:ascii="Times New Roman" w:hAnsi="Times New Roman" w:cs="Times New Roman"/>
                <w:snapToGrid w:val="0"/>
                <w:color w:val="auto"/>
                <w:sz w:val="24"/>
                <w:szCs w:val="24"/>
                <w:highlight w:val="none"/>
              </w:rPr>
              <w:t>项目符合国家产业政策，厂址选址合理可行。项目在营运后将产生废气、废水、噪声及固体废物等污染。在严格采取本报告表所提出的各项环境保护措施后，项目对周围环境的影响可以控制在允许的范围以内。因此，在保证污染防治措施有效实施的基础上，从环境保护的角度分析，本评价认为该项目的建设是可行的。</w:t>
            </w:r>
          </w:p>
          <w:p w14:paraId="0EB90A18">
            <w:pPr>
              <w:spacing w:line="360" w:lineRule="auto"/>
              <w:ind w:firstLine="480" w:firstLineChars="200"/>
              <w:jc w:val="center"/>
              <w:rPr>
                <w:rFonts w:hint="default" w:ascii="Times New Roman" w:hAnsi="Times New Roman" w:cs="Times New Roman"/>
                <w:color w:val="auto"/>
                <w:sz w:val="24"/>
                <w:highlight w:val="none"/>
              </w:rPr>
            </w:pPr>
          </w:p>
        </w:tc>
      </w:tr>
    </w:tbl>
    <w:p w14:paraId="1D0E9582">
      <w:pPr>
        <w:rPr>
          <w:rFonts w:hint="default" w:ascii="Times New Roman" w:hAnsi="Times New Roman" w:cs="Times New Roman"/>
          <w:color w:val="auto"/>
          <w:highlight w:val="none"/>
        </w:rPr>
        <w:sectPr>
          <w:pgSz w:w="11906" w:h="16838"/>
          <w:pgMar w:top="1701" w:right="1531" w:bottom="1701" w:left="1531" w:header="851" w:footer="851" w:gutter="0"/>
          <w:cols w:space="720" w:num="1"/>
          <w:docGrid w:linePitch="312" w:charSpace="0"/>
        </w:sectPr>
      </w:pPr>
    </w:p>
    <w:p w14:paraId="638B7EC1">
      <w:pPr>
        <w:pStyle w:val="20"/>
        <w:adjustRightInd w:val="0"/>
        <w:snapToGrid w:val="0"/>
        <w:spacing w:before="0" w:beforeAutospacing="0" w:after="0" w:afterAutospacing="0" w:line="360" w:lineRule="auto"/>
        <w:outlineLvl w:val="0"/>
        <w:rPr>
          <w:rFonts w:hint="default" w:ascii="Times New Roman" w:hAnsi="Times New Roman" w:eastAsia="黑体" w:cs="Times New Roman"/>
          <w:snapToGrid w:val="0"/>
          <w:color w:val="auto"/>
          <w:sz w:val="32"/>
          <w:szCs w:val="32"/>
          <w:highlight w:val="none"/>
        </w:rPr>
      </w:pPr>
      <w:r>
        <w:rPr>
          <w:rFonts w:hint="default" w:ascii="Times New Roman" w:hAnsi="Times New Roman" w:eastAsia="黑体" w:cs="Times New Roman"/>
          <w:snapToGrid w:val="0"/>
          <w:color w:val="auto"/>
          <w:sz w:val="32"/>
          <w:szCs w:val="32"/>
          <w:highlight w:val="none"/>
        </w:rPr>
        <w:t>附表</w:t>
      </w:r>
    </w:p>
    <w:p w14:paraId="199EC53D">
      <w:pPr>
        <w:pStyle w:val="20"/>
        <w:adjustRightInd w:val="0"/>
        <w:snapToGrid w:val="0"/>
        <w:spacing w:before="0" w:beforeAutospacing="0" w:after="0" w:afterAutospacing="0"/>
        <w:jc w:val="center"/>
        <w:outlineLvl w:val="0"/>
        <w:rPr>
          <w:rFonts w:hint="default" w:ascii="Times New Roman" w:hAnsi="Times New Roman" w:eastAsia="方正小标宋_GBK" w:cs="Times New Roman"/>
          <w:snapToGrid w:val="0"/>
          <w:color w:val="auto"/>
          <w:sz w:val="38"/>
          <w:szCs w:val="38"/>
          <w:highlight w:val="none"/>
        </w:rPr>
      </w:pPr>
      <w:r>
        <w:rPr>
          <w:rFonts w:hint="default" w:ascii="Times New Roman" w:hAnsi="Times New Roman" w:eastAsia="方正小标宋_GBK" w:cs="Times New Roman"/>
          <w:snapToGrid w:val="0"/>
          <w:color w:val="auto"/>
          <w:sz w:val="38"/>
          <w:szCs w:val="38"/>
          <w:highlight w:val="none"/>
        </w:rPr>
        <w:t>建设项目污染物排放量汇总表</w:t>
      </w:r>
    </w:p>
    <w:tbl>
      <w:tblPr>
        <w:tblStyle w:val="22"/>
        <w:tblW w:w="137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805"/>
        <w:gridCol w:w="1360"/>
        <w:gridCol w:w="989"/>
        <w:gridCol w:w="1399"/>
        <w:gridCol w:w="1753"/>
        <w:gridCol w:w="1179"/>
        <w:gridCol w:w="1854"/>
        <w:gridCol w:w="1773"/>
      </w:tblGrid>
      <w:tr w14:paraId="3CFCF3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tcBorders>
              <w:tl2br w:val="single" w:color="auto" w:sz="4" w:space="0"/>
            </w:tcBorders>
            <w:noWrap w:val="0"/>
            <w:tcMar>
              <w:left w:w="28" w:type="dxa"/>
              <w:right w:w="28" w:type="dxa"/>
            </w:tcMar>
            <w:vAlign w:val="center"/>
          </w:tcPr>
          <w:p w14:paraId="08939BB0">
            <w:pPr>
              <w:pStyle w:val="43"/>
              <w:spacing w:beforeLines="0" w:afterLines="0" w:line="240" w:lineRule="auto"/>
              <w:jc w:val="righ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项目</w:t>
            </w:r>
          </w:p>
          <w:p w14:paraId="6A7E983F">
            <w:pPr>
              <w:pStyle w:val="43"/>
              <w:spacing w:beforeLines="0" w:afterLines="0" w:line="240" w:lineRule="auto"/>
              <w:jc w:val="lef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分类</w:t>
            </w:r>
          </w:p>
        </w:tc>
        <w:tc>
          <w:tcPr>
            <w:tcW w:w="2805" w:type="dxa"/>
            <w:noWrap w:val="0"/>
            <w:tcMar>
              <w:left w:w="28" w:type="dxa"/>
              <w:right w:w="28" w:type="dxa"/>
            </w:tcMar>
            <w:vAlign w:val="center"/>
          </w:tcPr>
          <w:p w14:paraId="66F6C386">
            <w:pPr>
              <w:pStyle w:val="43"/>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污染物名称</w:t>
            </w:r>
          </w:p>
        </w:tc>
        <w:tc>
          <w:tcPr>
            <w:tcW w:w="1360" w:type="dxa"/>
            <w:noWrap w:val="0"/>
            <w:tcMar>
              <w:left w:w="28" w:type="dxa"/>
              <w:right w:w="28" w:type="dxa"/>
            </w:tcMar>
            <w:vAlign w:val="center"/>
          </w:tcPr>
          <w:p w14:paraId="2EC54234">
            <w:pPr>
              <w:pStyle w:val="43"/>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w:t>
            </w:r>
          </w:p>
          <w:p w14:paraId="4F9C399E">
            <w:pPr>
              <w:pStyle w:val="43"/>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①</w:t>
            </w:r>
            <w:r>
              <w:rPr>
                <w:rFonts w:hint="default" w:ascii="Times New Roman" w:hAnsi="Times New Roman" w:cs="Times New Roman"/>
                <w:snapToGrid w:val="0"/>
                <w:color w:val="auto"/>
                <w:spacing w:val="-6"/>
                <w:kern w:val="21"/>
                <w:szCs w:val="21"/>
                <w:highlight w:val="none"/>
              </w:rPr>
              <w:fldChar w:fldCharType="end"/>
            </w:r>
          </w:p>
        </w:tc>
        <w:tc>
          <w:tcPr>
            <w:tcW w:w="989" w:type="dxa"/>
            <w:noWrap w:val="0"/>
            <w:tcMar>
              <w:left w:w="28" w:type="dxa"/>
              <w:right w:w="28" w:type="dxa"/>
            </w:tcMar>
            <w:vAlign w:val="center"/>
          </w:tcPr>
          <w:p w14:paraId="40D64241">
            <w:pPr>
              <w:pStyle w:val="43"/>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现有工程许可排放量②</w:t>
            </w:r>
          </w:p>
        </w:tc>
        <w:tc>
          <w:tcPr>
            <w:tcW w:w="1399" w:type="dxa"/>
            <w:noWrap w:val="0"/>
            <w:tcMar>
              <w:left w:w="28" w:type="dxa"/>
              <w:right w:w="28" w:type="dxa"/>
            </w:tcMar>
            <w:vAlign w:val="center"/>
          </w:tcPr>
          <w:p w14:paraId="3A203F76">
            <w:pPr>
              <w:pStyle w:val="43"/>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在建工程排放量（固体废物产生量）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③</w:t>
            </w:r>
            <w:r>
              <w:rPr>
                <w:rFonts w:hint="default" w:ascii="Times New Roman" w:hAnsi="Times New Roman" w:cs="Times New Roman"/>
                <w:snapToGrid w:val="0"/>
                <w:color w:val="auto"/>
                <w:spacing w:val="-6"/>
                <w:kern w:val="21"/>
                <w:szCs w:val="21"/>
                <w:highlight w:val="none"/>
              </w:rPr>
              <w:fldChar w:fldCharType="end"/>
            </w:r>
          </w:p>
        </w:tc>
        <w:tc>
          <w:tcPr>
            <w:tcW w:w="1753" w:type="dxa"/>
            <w:noWrap w:val="0"/>
            <w:tcMar>
              <w:left w:w="28" w:type="dxa"/>
              <w:right w:w="28" w:type="dxa"/>
            </w:tcMar>
            <w:vAlign w:val="center"/>
          </w:tcPr>
          <w:p w14:paraId="5EFB3653">
            <w:pPr>
              <w:pStyle w:val="43"/>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本项目排放量（固体废物产生量）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④</w:t>
            </w:r>
            <w:r>
              <w:rPr>
                <w:rFonts w:hint="default" w:ascii="Times New Roman" w:hAnsi="Times New Roman" w:cs="Times New Roman"/>
                <w:snapToGrid w:val="0"/>
                <w:color w:val="auto"/>
                <w:spacing w:val="-6"/>
                <w:kern w:val="21"/>
                <w:szCs w:val="21"/>
                <w:highlight w:val="none"/>
              </w:rPr>
              <w:fldChar w:fldCharType="end"/>
            </w:r>
          </w:p>
        </w:tc>
        <w:tc>
          <w:tcPr>
            <w:tcW w:w="1179" w:type="dxa"/>
            <w:noWrap w:val="0"/>
            <w:tcMar>
              <w:left w:w="28" w:type="dxa"/>
              <w:right w:w="28" w:type="dxa"/>
            </w:tcMar>
            <w:vAlign w:val="center"/>
          </w:tcPr>
          <w:p w14:paraId="778CC35C">
            <w:pPr>
              <w:pStyle w:val="43"/>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以新带老削减量（新建项目不填）</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⑤</w:t>
            </w:r>
            <w:r>
              <w:rPr>
                <w:rFonts w:hint="default" w:ascii="Times New Roman" w:hAnsi="Times New Roman" w:cs="Times New Roman"/>
                <w:snapToGrid w:val="0"/>
                <w:color w:val="auto"/>
                <w:spacing w:val="-16"/>
                <w:kern w:val="21"/>
                <w:szCs w:val="21"/>
                <w:highlight w:val="none"/>
              </w:rPr>
              <w:fldChar w:fldCharType="end"/>
            </w:r>
          </w:p>
        </w:tc>
        <w:tc>
          <w:tcPr>
            <w:tcW w:w="1854" w:type="dxa"/>
            <w:noWrap w:val="0"/>
            <w:tcMar>
              <w:left w:w="28" w:type="dxa"/>
              <w:right w:w="28" w:type="dxa"/>
            </w:tcMar>
            <w:vAlign w:val="center"/>
          </w:tcPr>
          <w:p w14:paraId="6CADBDEE">
            <w:pPr>
              <w:pStyle w:val="43"/>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本项目建成后全厂排放量（固体废物产生量）</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⑥</w:t>
            </w:r>
            <w:r>
              <w:rPr>
                <w:rFonts w:hint="default" w:ascii="Times New Roman" w:hAnsi="Times New Roman" w:cs="Times New Roman"/>
                <w:snapToGrid w:val="0"/>
                <w:color w:val="auto"/>
                <w:spacing w:val="-16"/>
                <w:kern w:val="21"/>
                <w:szCs w:val="21"/>
                <w:highlight w:val="none"/>
              </w:rPr>
              <w:fldChar w:fldCharType="end"/>
            </w:r>
          </w:p>
        </w:tc>
        <w:tc>
          <w:tcPr>
            <w:tcW w:w="1773" w:type="dxa"/>
            <w:noWrap w:val="0"/>
            <w:tcMar>
              <w:left w:w="28" w:type="dxa"/>
              <w:right w:w="28" w:type="dxa"/>
            </w:tcMar>
            <w:vAlign w:val="center"/>
          </w:tcPr>
          <w:p w14:paraId="3D9B7317">
            <w:pPr>
              <w:pStyle w:val="43"/>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变化量</w:t>
            </w:r>
          </w:p>
          <w:p w14:paraId="1C1F79D2">
            <w:pPr>
              <w:pStyle w:val="43"/>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⑦</w:t>
            </w:r>
            <w:r>
              <w:rPr>
                <w:rFonts w:hint="default" w:ascii="Times New Roman" w:hAnsi="Times New Roman" w:cs="Times New Roman"/>
                <w:snapToGrid w:val="0"/>
                <w:color w:val="auto"/>
                <w:spacing w:val="-6"/>
                <w:kern w:val="21"/>
                <w:szCs w:val="21"/>
                <w:highlight w:val="none"/>
              </w:rPr>
              <w:fldChar w:fldCharType="end"/>
            </w:r>
          </w:p>
        </w:tc>
      </w:tr>
      <w:tr w14:paraId="1BB9A9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C9A26D9">
            <w:pPr>
              <w:pStyle w:val="43"/>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废气</w:t>
            </w:r>
          </w:p>
        </w:tc>
        <w:tc>
          <w:tcPr>
            <w:tcW w:w="2805" w:type="dxa"/>
            <w:noWrap w:val="0"/>
            <w:vAlign w:val="center"/>
          </w:tcPr>
          <w:p w14:paraId="501F2F7A">
            <w:pPr>
              <w:pStyle w:val="43"/>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非甲烷总烃</w:t>
            </w:r>
          </w:p>
        </w:tc>
        <w:tc>
          <w:tcPr>
            <w:tcW w:w="1360" w:type="dxa"/>
            <w:noWrap w:val="0"/>
            <w:vAlign w:val="center"/>
          </w:tcPr>
          <w:p w14:paraId="30AC9899">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6C4DC3C">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B33432">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66511CB3">
            <w:pPr>
              <w:pStyle w:val="43"/>
              <w:spacing w:beforeLines="0" w:afterLines="0" w:line="240" w:lineRule="auto"/>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0.2302</w:t>
            </w:r>
          </w:p>
        </w:tc>
        <w:tc>
          <w:tcPr>
            <w:tcW w:w="1179" w:type="dxa"/>
            <w:noWrap w:val="0"/>
            <w:vAlign w:val="center"/>
          </w:tcPr>
          <w:p w14:paraId="4EF2DCF3">
            <w:pPr>
              <w:pStyle w:val="43"/>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60252EC">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0.2302</w:t>
            </w:r>
          </w:p>
        </w:tc>
        <w:tc>
          <w:tcPr>
            <w:tcW w:w="1773" w:type="dxa"/>
            <w:shd w:val="clear" w:color="auto" w:fill="auto"/>
            <w:noWrap w:val="0"/>
            <w:vAlign w:val="center"/>
          </w:tcPr>
          <w:p w14:paraId="3176FBA3">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+0.2302</w:t>
            </w:r>
          </w:p>
        </w:tc>
      </w:tr>
      <w:tr w14:paraId="2F0D73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1CCB52E0">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050F16A9">
            <w:pPr>
              <w:pStyle w:val="43"/>
              <w:spacing w:beforeLines="0" w:afterLines="0" w:line="240" w:lineRule="auto"/>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颗粒物</w:t>
            </w:r>
          </w:p>
        </w:tc>
        <w:tc>
          <w:tcPr>
            <w:tcW w:w="1360" w:type="dxa"/>
            <w:shd w:val="clear" w:color="auto" w:fill="auto"/>
            <w:noWrap w:val="0"/>
            <w:vAlign w:val="center"/>
          </w:tcPr>
          <w:p w14:paraId="02F1E757">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170E0C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3181620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6B7C40A">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0.0004</w:t>
            </w:r>
          </w:p>
        </w:tc>
        <w:tc>
          <w:tcPr>
            <w:tcW w:w="1179" w:type="dxa"/>
            <w:shd w:val="clear" w:color="auto" w:fill="auto"/>
            <w:noWrap w:val="0"/>
            <w:vAlign w:val="center"/>
          </w:tcPr>
          <w:p w14:paraId="052F505C">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08A6CB9F">
            <w:pPr>
              <w:pStyle w:val="43"/>
              <w:spacing w:beforeLines="0" w:afterLines="0" w:line="240" w:lineRule="auto"/>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0.0004</w:t>
            </w:r>
          </w:p>
        </w:tc>
        <w:tc>
          <w:tcPr>
            <w:tcW w:w="1773" w:type="dxa"/>
            <w:shd w:val="clear" w:color="auto" w:fill="auto"/>
            <w:noWrap w:val="0"/>
            <w:vAlign w:val="center"/>
          </w:tcPr>
          <w:p w14:paraId="3D7D083D">
            <w:pPr>
              <w:pStyle w:val="43"/>
              <w:spacing w:beforeLines="0" w:afterLines="0" w:line="240" w:lineRule="auto"/>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+0.0004</w:t>
            </w:r>
          </w:p>
        </w:tc>
      </w:tr>
      <w:tr w14:paraId="60909B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4BFAE30A">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6320E781">
            <w:pPr>
              <w:pStyle w:val="43"/>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锡及其化合物</w:t>
            </w:r>
          </w:p>
        </w:tc>
        <w:tc>
          <w:tcPr>
            <w:tcW w:w="1360" w:type="dxa"/>
            <w:noWrap w:val="0"/>
            <w:vAlign w:val="center"/>
          </w:tcPr>
          <w:p w14:paraId="24A0D45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A4A41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78E3D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054C410B">
            <w:pPr>
              <w:pStyle w:val="43"/>
              <w:spacing w:beforeLines="0" w:afterLines="0" w:line="240" w:lineRule="auto"/>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0.0004</w:t>
            </w:r>
          </w:p>
        </w:tc>
        <w:tc>
          <w:tcPr>
            <w:tcW w:w="1179" w:type="dxa"/>
            <w:noWrap w:val="0"/>
            <w:vAlign w:val="center"/>
          </w:tcPr>
          <w:p w14:paraId="77F3B9C0">
            <w:pPr>
              <w:pStyle w:val="43"/>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8C36C2">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0.0004</w:t>
            </w:r>
          </w:p>
        </w:tc>
        <w:tc>
          <w:tcPr>
            <w:tcW w:w="1773" w:type="dxa"/>
            <w:shd w:val="clear" w:color="auto" w:fill="auto"/>
            <w:noWrap w:val="0"/>
            <w:vAlign w:val="center"/>
          </w:tcPr>
          <w:p w14:paraId="176FA95E">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+0.0004</w:t>
            </w:r>
          </w:p>
        </w:tc>
      </w:tr>
      <w:tr w14:paraId="3AC71C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07E735C">
            <w:pPr>
              <w:pStyle w:val="43"/>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废水</w:t>
            </w:r>
          </w:p>
        </w:tc>
        <w:tc>
          <w:tcPr>
            <w:tcW w:w="2805" w:type="dxa"/>
            <w:noWrap w:val="0"/>
            <w:vAlign w:val="center"/>
          </w:tcPr>
          <w:p w14:paraId="5D9E2C3B">
            <w:pPr>
              <w:pStyle w:val="43"/>
              <w:spacing w:beforeLines="0" w:afterLines="0" w:line="240" w:lineRule="auto"/>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COD</w:t>
            </w:r>
          </w:p>
        </w:tc>
        <w:tc>
          <w:tcPr>
            <w:tcW w:w="1360" w:type="dxa"/>
            <w:noWrap w:val="0"/>
            <w:vAlign w:val="center"/>
          </w:tcPr>
          <w:p w14:paraId="389C8F55">
            <w:pPr>
              <w:spacing w:beforeLines="0" w:afterLines="0" w:line="240" w:lineRule="auto"/>
              <w:jc w:val="center"/>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4E59C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162B33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049071F6">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0.257</w:t>
            </w:r>
          </w:p>
        </w:tc>
        <w:tc>
          <w:tcPr>
            <w:tcW w:w="1179" w:type="dxa"/>
            <w:shd w:val="clear" w:color="auto" w:fill="auto"/>
            <w:noWrap w:val="0"/>
            <w:vAlign w:val="center"/>
          </w:tcPr>
          <w:p w14:paraId="31C1AF02">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5569A499">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0.257</w:t>
            </w:r>
          </w:p>
        </w:tc>
        <w:tc>
          <w:tcPr>
            <w:tcW w:w="1773" w:type="dxa"/>
            <w:shd w:val="clear" w:color="auto" w:fill="auto"/>
            <w:noWrap w:val="0"/>
            <w:vAlign w:val="center"/>
          </w:tcPr>
          <w:p w14:paraId="69E14658">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ascii="Times New Roman" w:hAnsi="Times New Roman" w:cs="Times New Roman"/>
                <w:snapToGrid w:val="0"/>
                <w:color w:val="auto"/>
                <w:kern w:val="21"/>
                <w:sz w:val="21"/>
                <w:szCs w:val="21"/>
                <w:highlight w:val="none"/>
                <w:lang w:val="en-US" w:eastAsia="zh-CN" w:bidi="ar-SA"/>
              </w:rPr>
              <w:t>0.257</w:t>
            </w:r>
          </w:p>
        </w:tc>
      </w:tr>
      <w:tr w14:paraId="7E1F45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F54DFD3">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C850660">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BOD</w:t>
            </w:r>
            <w:r>
              <w:rPr>
                <w:rFonts w:hint="default" w:ascii="Times New Roman" w:hAnsi="Times New Roman" w:cs="Times New Roman"/>
                <w:color w:val="auto"/>
                <w:szCs w:val="21"/>
                <w:highlight w:val="none"/>
                <w:vertAlign w:val="subscript"/>
              </w:rPr>
              <w:t>5</w:t>
            </w:r>
          </w:p>
        </w:tc>
        <w:tc>
          <w:tcPr>
            <w:tcW w:w="1360" w:type="dxa"/>
            <w:noWrap w:val="0"/>
            <w:vAlign w:val="center"/>
          </w:tcPr>
          <w:p w14:paraId="2D10254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D575322">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A5996D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BF21DA1">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0.171</w:t>
            </w:r>
          </w:p>
        </w:tc>
        <w:tc>
          <w:tcPr>
            <w:tcW w:w="1179" w:type="dxa"/>
            <w:shd w:val="clear" w:color="auto" w:fill="auto"/>
            <w:noWrap w:val="0"/>
            <w:vAlign w:val="center"/>
          </w:tcPr>
          <w:p w14:paraId="54A3A2E2">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550013">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0.171</w:t>
            </w:r>
          </w:p>
        </w:tc>
        <w:tc>
          <w:tcPr>
            <w:tcW w:w="1773" w:type="dxa"/>
            <w:shd w:val="clear" w:color="auto" w:fill="auto"/>
            <w:noWrap w:val="0"/>
            <w:vAlign w:val="center"/>
          </w:tcPr>
          <w:p w14:paraId="6B8AA821">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ascii="Times New Roman" w:hAnsi="Times New Roman" w:cs="Times New Roman"/>
                <w:snapToGrid w:val="0"/>
                <w:color w:val="auto"/>
                <w:kern w:val="21"/>
                <w:sz w:val="21"/>
                <w:szCs w:val="21"/>
                <w:highlight w:val="none"/>
                <w:lang w:val="en-US" w:eastAsia="zh-CN" w:bidi="ar-SA"/>
              </w:rPr>
              <w:t>0.171</w:t>
            </w:r>
          </w:p>
        </w:tc>
      </w:tr>
      <w:tr w14:paraId="0C37E8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6A31206">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FD5621E">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SS</w:t>
            </w:r>
          </w:p>
        </w:tc>
        <w:tc>
          <w:tcPr>
            <w:tcW w:w="1360" w:type="dxa"/>
            <w:noWrap w:val="0"/>
            <w:vAlign w:val="center"/>
          </w:tcPr>
          <w:p w14:paraId="202B725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02673E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ABD6D8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532EE6D">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0.147</w:t>
            </w:r>
          </w:p>
        </w:tc>
        <w:tc>
          <w:tcPr>
            <w:tcW w:w="1179" w:type="dxa"/>
            <w:shd w:val="clear" w:color="auto" w:fill="auto"/>
            <w:noWrap w:val="0"/>
            <w:vAlign w:val="center"/>
          </w:tcPr>
          <w:p w14:paraId="0FAF73B5">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E1C18EC">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0.147</w:t>
            </w:r>
          </w:p>
        </w:tc>
        <w:tc>
          <w:tcPr>
            <w:tcW w:w="1773" w:type="dxa"/>
            <w:shd w:val="clear" w:color="auto" w:fill="auto"/>
            <w:noWrap w:val="0"/>
            <w:vAlign w:val="center"/>
          </w:tcPr>
          <w:p w14:paraId="1FECB43D">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ascii="Times New Roman" w:hAnsi="Times New Roman" w:cs="Times New Roman"/>
                <w:snapToGrid w:val="0"/>
                <w:color w:val="auto"/>
                <w:kern w:val="21"/>
                <w:sz w:val="21"/>
                <w:szCs w:val="21"/>
                <w:highlight w:val="none"/>
                <w:lang w:val="en-US" w:eastAsia="zh-CN" w:bidi="ar-SA"/>
              </w:rPr>
              <w:t>0.147</w:t>
            </w:r>
          </w:p>
        </w:tc>
      </w:tr>
      <w:tr w14:paraId="7DFD8F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7B572C9B">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7DF22A9">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NH</w:t>
            </w:r>
            <w:r>
              <w:rPr>
                <w:rFonts w:hint="default" w:ascii="Times New Roman" w:hAnsi="Times New Roman" w:cs="Times New Roman"/>
                <w:color w:val="auto"/>
                <w:szCs w:val="21"/>
                <w:highlight w:val="none"/>
                <w:vertAlign w:val="subscript"/>
              </w:rPr>
              <w:t>3</w:t>
            </w:r>
            <w:r>
              <w:rPr>
                <w:rFonts w:hint="default" w:ascii="Times New Roman" w:hAnsi="Times New Roman" w:cs="Times New Roman"/>
                <w:color w:val="auto"/>
                <w:szCs w:val="21"/>
                <w:highlight w:val="none"/>
              </w:rPr>
              <w:t>-N</w:t>
            </w:r>
          </w:p>
        </w:tc>
        <w:tc>
          <w:tcPr>
            <w:tcW w:w="1360" w:type="dxa"/>
            <w:noWrap w:val="0"/>
            <w:vAlign w:val="center"/>
          </w:tcPr>
          <w:p w14:paraId="70FF2D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D7DC0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15C90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2E4837BF">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0.033</w:t>
            </w:r>
          </w:p>
        </w:tc>
        <w:tc>
          <w:tcPr>
            <w:tcW w:w="1179" w:type="dxa"/>
            <w:shd w:val="clear" w:color="auto" w:fill="auto"/>
            <w:noWrap w:val="0"/>
            <w:vAlign w:val="center"/>
          </w:tcPr>
          <w:p w14:paraId="545F5953">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434F0F4">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0.033</w:t>
            </w:r>
          </w:p>
        </w:tc>
        <w:tc>
          <w:tcPr>
            <w:tcW w:w="1773" w:type="dxa"/>
            <w:shd w:val="clear" w:color="auto" w:fill="auto"/>
            <w:noWrap w:val="0"/>
            <w:vAlign w:val="center"/>
          </w:tcPr>
          <w:p w14:paraId="594175C2">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ascii="Times New Roman" w:hAnsi="Times New Roman" w:cs="Times New Roman"/>
                <w:snapToGrid w:val="0"/>
                <w:color w:val="auto"/>
                <w:kern w:val="21"/>
                <w:sz w:val="21"/>
                <w:szCs w:val="21"/>
                <w:highlight w:val="none"/>
                <w:lang w:val="en-US" w:eastAsia="zh-CN" w:bidi="ar-SA"/>
              </w:rPr>
              <w:t>0.033</w:t>
            </w:r>
          </w:p>
        </w:tc>
      </w:tr>
      <w:tr w14:paraId="0234F5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6C444779">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A2C9C9D">
            <w:pPr>
              <w:widowControl/>
              <w:jc w:val="center"/>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color w:val="auto"/>
                <w:szCs w:val="21"/>
                <w:highlight w:val="none"/>
                <w:lang w:val="en-US" w:eastAsia="zh-CN"/>
              </w:rPr>
              <w:t>TP</w:t>
            </w:r>
          </w:p>
        </w:tc>
        <w:tc>
          <w:tcPr>
            <w:tcW w:w="1360" w:type="dxa"/>
            <w:noWrap w:val="0"/>
            <w:vAlign w:val="center"/>
          </w:tcPr>
          <w:p w14:paraId="32743B20">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67AE257">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7621FC4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640C0BF0">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0.0033</w:t>
            </w:r>
          </w:p>
        </w:tc>
        <w:tc>
          <w:tcPr>
            <w:tcW w:w="1179" w:type="dxa"/>
            <w:shd w:val="clear" w:color="auto" w:fill="auto"/>
            <w:noWrap w:val="0"/>
            <w:vAlign w:val="center"/>
          </w:tcPr>
          <w:p w14:paraId="4B0876F7">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0152F30C">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0.0033</w:t>
            </w:r>
          </w:p>
        </w:tc>
        <w:tc>
          <w:tcPr>
            <w:tcW w:w="1773" w:type="dxa"/>
            <w:shd w:val="clear" w:color="auto" w:fill="auto"/>
            <w:noWrap w:val="0"/>
            <w:vAlign w:val="center"/>
          </w:tcPr>
          <w:p w14:paraId="0CFBB1B3">
            <w:pPr>
              <w:pStyle w:val="43"/>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ascii="Times New Roman" w:hAnsi="Times New Roman" w:cs="Times New Roman"/>
                <w:snapToGrid w:val="0"/>
                <w:color w:val="auto"/>
                <w:kern w:val="21"/>
                <w:sz w:val="21"/>
                <w:szCs w:val="21"/>
                <w:highlight w:val="none"/>
                <w:lang w:val="en-US" w:eastAsia="zh-CN" w:bidi="ar-SA"/>
              </w:rPr>
              <w:t>0.0033</w:t>
            </w:r>
          </w:p>
        </w:tc>
      </w:tr>
      <w:tr w14:paraId="2A599A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shd w:val="clear" w:color="auto" w:fill="auto"/>
            <w:noWrap w:val="0"/>
            <w:vAlign w:val="center"/>
          </w:tcPr>
          <w:p w14:paraId="51EAE4A0">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2805" w:type="dxa"/>
            <w:shd w:val="clear" w:color="auto" w:fill="auto"/>
            <w:noWrap w:val="0"/>
            <w:vAlign w:val="center"/>
          </w:tcPr>
          <w:p w14:paraId="3BD63E2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1360" w:type="dxa"/>
            <w:shd w:val="clear" w:color="auto" w:fill="auto"/>
            <w:noWrap w:val="0"/>
            <w:vAlign w:val="center"/>
          </w:tcPr>
          <w:p w14:paraId="54B5A54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9F7785">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68A8781">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6A63715">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12</w:t>
            </w:r>
          </w:p>
        </w:tc>
        <w:tc>
          <w:tcPr>
            <w:tcW w:w="1179" w:type="dxa"/>
            <w:noWrap w:val="0"/>
            <w:vAlign w:val="center"/>
          </w:tcPr>
          <w:p w14:paraId="0547F9CB">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372772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12</w:t>
            </w:r>
          </w:p>
        </w:tc>
        <w:tc>
          <w:tcPr>
            <w:tcW w:w="1773" w:type="dxa"/>
            <w:shd w:val="clear" w:color="auto" w:fill="auto"/>
            <w:noWrap w:val="0"/>
            <w:vAlign w:val="center"/>
          </w:tcPr>
          <w:p w14:paraId="3A292FAC">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kern w:val="0"/>
                <w:szCs w:val="21"/>
                <w:highlight w:val="none"/>
                <w:lang w:val="en-US" w:eastAsia="zh-CN" w:bidi="ar"/>
              </w:rPr>
              <w:t>12</w:t>
            </w:r>
          </w:p>
        </w:tc>
      </w:tr>
      <w:tr w14:paraId="448FEC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171D60BD">
            <w:pPr>
              <w:pStyle w:val="43"/>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一般固废</w:t>
            </w:r>
          </w:p>
        </w:tc>
        <w:tc>
          <w:tcPr>
            <w:tcW w:w="2805" w:type="dxa"/>
            <w:noWrap w:val="0"/>
            <w:vAlign w:val="center"/>
          </w:tcPr>
          <w:p w14:paraId="5E3E3C47">
            <w:pPr>
              <w:pStyle w:val="53"/>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废包装箱</w:t>
            </w:r>
          </w:p>
        </w:tc>
        <w:tc>
          <w:tcPr>
            <w:tcW w:w="1360" w:type="dxa"/>
            <w:noWrap w:val="0"/>
            <w:vAlign w:val="center"/>
          </w:tcPr>
          <w:p w14:paraId="4505FE32">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5BF5A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6D9CDB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ABBB20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0.75</w:t>
            </w:r>
          </w:p>
        </w:tc>
        <w:tc>
          <w:tcPr>
            <w:tcW w:w="1179" w:type="dxa"/>
            <w:noWrap w:val="0"/>
            <w:vAlign w:val="center"/>
          </w:tcPr>
          <w:p w14:paraId="1C7D75E9">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A038D6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0.75</w:t>
            </w:r>
          </w:p>
        </w:tc>
        <w:tc>
          <w:tcPr>
            <w:tcW w:w="1773" w:type="dxa"/>
            <w:shd w:val="clear" w:color="auto" w:fill="auto"/>
            <w:noWrap w:val="0"/>
            <w:vAlign w:val="center"/>
          </w:tcPr>
          <w:p w14:paraId="0599357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kern w:val="2"/>
                <w:sz w:val="21"/>
                <w:szCs w:val="21"/>
                <w:highlight w:val="none"/>
                <w:lang w:val="en-US" w:eastAsia="zh-CN" w:bidi="ar-SA"/>
              </w:rPr>
              <w:t>0.75</w:t>
            </w:r>
          </w:p>
        </w:tc>
      </w:tr>
      <w:tr w14:paraId="5A2ADF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2B0C8">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2DCAED0">
            <w:pPr>
              <w:pStyle w:val="53"/>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焊锡锡渣</w:t>
            </w:r>
          </w:p>
        </w:tc>
        <w:tc>
          <w:tcPr>
            <w:tcW w:w="1360" w:type="dxa"/>
            <w:noWrap w:val="0"/>
            <w:vAlign w:val="center"/>
          </w:tcPr>
          <w:p w14:paraId="66DC6507">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71AA53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773CC5D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24460DB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0.0972</w:t>
            </w:r>
          </w:p>
        </w:tc>
        <w:tc>
          <w:tcPr>
            <w:tcW w:w="1179" w:type="dxa"/>
            <w:noWrap w:val="0"/>
            <w:vAlign w:val="center"/>
          </w:tcPr>
          <w:p w14:paraId="107AB4AD">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A185F7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0.0972</w:t>
            </w:r>
          </w:p>
        </w:tc>
        <w:tc>
          <w:tcPr>
            <w:tcW w:w="1773" w:type="dxa"/>
            <w:shd w:val="clear" w:color="auto" w:fill="auto"/>
            <w:noWrap w:val="0"/>
            <w:vAlign w:val="center"/>
          </w:tcPr>
          <w:p w14:paraId="6D7EB7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kern w:val="2"/>
                <w:sz w:val="21"/>
                <w:szCs w:val="21"/>
                <w:highlight w:val="none"/>
                <w:lang w:val="en-US" w:eastAsia="zh-CN" w:bidi="ar-SA"/>
              </w:rPr>
              <w:t>0.0972</w:t>
            </w:r>
          </w:p>
        </w:tc>
      </w:tr>
      <w:tr w14:paraId="6678F8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6F271292">
            <w:pPr>
              <w:pStyle w:val="43"/>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危险废物</w:t>
            </w:r>
          </w:p>
        </w:tc>
        <w:tc>
          <w:tcPr>
            <w:tcW w:w="2805" w:type="dxa"/>
            <w:noWrap w:val="0"/>
            <w:vAlign w:val="center"/>
          </w:tcPr>
          <w:p w14:paraId="30258CCE">
            <w:pPr>
              <w:pStyle w:val="53"/>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废包装罐</w:t>
            </w:r>
          </w:p>
        </w:tc>
        <w:tc>
          <w:tcPr>
            <w:tcW w:w="1360" w:type="dxa"/>
            <w:noWrap w:val="0"/>
            <w:vAlign w:val="center"/>
          </w:tcPr>
          <w:p w14:paraId="1F46956A">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989" w:type="dxa"/>
            <w:noWrap w:val="0"/>
            <w:vAlign w:val="center"/>
          </w:tcPr>
          <w:p w14:paraId="2B54596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399" w:type="dxa"/>
            <w:noWrap w:val="0"/>
            <w:vAlign w:val="center"/>
          </w:tcPr>
          <w:p w14:paraId="0A63648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753" w:type="dxa"/>
            <w:noWrap w:val="0"/>
            <w:vAlign w:val="center"/>
          </w:tcPr>
          <w:p w14:paraId="303C6A96">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0.6336</w:t>
            </w:r>
          </w:p>
        </w:tc>
        <w:tc>
          <w:tcPr>
            <w:tcW w:w="1179" w:type="dxa"/>
            <w:noWrap w:val="0"/>
            <w:vAlign w:val="center"/>
          </w:tcPr>
          <w:p w14:paraId="49005F89">
            <w:pPr>
              <w:jc w:val="center"/>
              <w:rPr>
                <w:rFonts w:hint="default" w:ascii="Times New Roman" w:hAnsi="Times New Roman" w:cs="Times New Roman"/>
                <w:snapToGrid w:val="0"/>
                <w:color w:val="auto"/>
                <w:kern w:val="21"/>
                <w:szCs w:val="21"/>
                <w:highlight w:val="none"/>
              </w:rPr>
            </w:pPr>
          </w:p>
        </w:tc>
        <w:tc>
          <w:tcPr>
            <w:tcW w:w="1854" w:type="dxa"/>
            <w:shd w:val="clear" w:color="auto" w:fill="auto"/>
            <w:noWrap w:val="0"/>
            <w:vAlign w:val="center"/>
          </w:tcPr>
          <w:p w14:paraId="672A2F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0.6336</w:t>
            </w:r>
          </w:p>
        </w:tc>
        <w:tc>
          <w:tcPr>
            <w:tcW w:w="1773" w:type="dxa"/>
            <w:shd w:val="clear" w:color="auto" w:fill="auto"/>
            <w:noWrap w:val="0"/>
            <w:vAlign w:val="center"/>
          </w:tcPr>
          <w:p w14:paraId="303FCF8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kern w:val="0"/>
                <w:szCs w:val="21"/>
                <w:highlight w:val="none"/>
                <w:lang w:val="en-US" w:eastAsia="zh-CN" w:bidi="ar"/>
              </w:rPr>
              <w:t>0.6336</w:t>
            </w:r>
          </w:p>
        </w:tc>
      </w:tr>
      <w:tr w14:paraId="68D5A4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255AA9F9">
            <w:pPr>
              <w:pStyle w:val="43"/>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8891387">
            <w:pPr>
              <w:pStyle w:val="53"/>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不合格品</w:t>
            </w:r>
          </w:p>
        </w:tc>
        <w:tc>
          <w:tcPr>
            <w:tcW w:w="1360" w:type="dxa"/>
            <w:noWrap w:val="0"/>
            <w:vAlign w:val="center"/>
          </w:tcPr>
          <w:p w14:paraId="7A4692A1">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0A133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2A87AC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4654D9D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0.36</w:t>
            </w:r>
          </w:p>
        </w:tc>
        <w:tc>
          <w:tcPr>
            <w:tcW w:w="1179" w:type="dxa"/>
            <w:noWrap w:val="0"/>
            <w:vAlign w:val="center"/>
          </w:tcPr>
          <w:p w14:paraId="07DDA718">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DB8B51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0.36</w:t>
            </w:r>
          </w:p>
        </w:tc>
        <w:tc>
          <w:tcPr>
            <w:tcW w:w="1773" w:type="dxa"/>
            <w:shd w:val="clear" w:color="auto" w:fill="auto"/>
            <w:noWrap w:val="0"/>
            <w:vAlign w:val="center"/>
          </w:tcPr>
          <w:p w14:paraId="353884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sz w:val="21"/>
                <w:szCs w:val="21"/>
                <w:highlight w:val="none"/>
                <w:lang w:val="en-US" w:eastAsia="zh-CN"/>
              </w:rPr>
              <w:t>0.36</w:t>
            </w:r>
          </w:p>
        </w:tc>
      </w:tr>
      <w:tr w14:paraId="5B84BF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E4C75">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A1E1FED">
            <w:pPr>
              <w:pStyle w:val="53"/>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擦拭废纸</w:t>
            </w:r>
          </w:p>
        </w:tc>
        <w:tc>
          <w:tcPr>
            <w:tcW w:w="1360" w:type="dxa"/>
            <w:noWrap w:val="0"/>
            <w:vAlign w:val="center"/>
          </w:tcPr>
          <w:p w14:paraId="2CD65C5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C82C83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7C2D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11D49C7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0.0756</w:t>
            </w:r>
          </w:p>
        </w:tc>
        <w:tc>
          <w:tcPr>
            <w:tcW w:w="1179" w:type="dxa"/>
            <w:noWrap w:val="0"/>
            <w:vAlign w:val="center"/>
          </w:tcPr>
          <w:p w14:paraId="7805AD21">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DB34BA2">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0.0756</w:t>
            </w:r>
          </w:p>
        </w:tc>
        <w:tc>
          <w:tcPr>
            <w:tcW w:w="1773" w:type="dxa"/>
            <w:shd w:val="clear" w:color="auto" w:fill="auto"/>
            <w:noWrap w:val="0"/>
            <w:vAlign w:val="center"/>
          </w:tcPr>
          <w:p w14:paraId="6462327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sz w:val="21"/>
                <w:szCs w:val="21"/>
                <w:highlight w:val="none"/>
                <w:lang w:val="en-US" w:eastAsia="zh-CN"/>
              </w:rPr>
              <w:t>0.0756</w:t>
            </w:r>
          </w:p>
        </w:tc>
      </w:tr>
      <w:tr w14:paraId="116264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000B9942">
            <w:pPr>
              <w:pStyle w:val="43"/>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578713E">
            <w:pPr>
              <w:pStyle w:val="53"/>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废活性炭</w:t>
            </w:r>
          </w:p>
        </w:tc>
        <w:tc>
          <w:tcPr>
            <w:tcW w:w="1360" w:type="dxa"/>
            <w:noWrap w:val="0"/>
            <w:vAlign w:val="center"/>
          </w:tcPr>
          <w:p w14:paraId="20F31FE1">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CDB87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20E6679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B92E2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6.29</w:t>
            </w:r>
          </w:p>
        </w:tc>
        <w:tc>
          <w:tcPr>
            <w:tcW w:w="1179" w:type="dxa"/>
            <w:noWrap w:val="0"/>
            <w:vAlign w:val="center"/>
          </w:tcPr>
          <w:p w14:paraId="776D466A">
            <w:pPr>
              <w:pStyle w:val="53"/>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5040B36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6.29</w:t>
            </w:r>
          </w:p>
        </w:tc>
        <w:tc>
          <w:tcPr>
            <w:tcW w:w="1773" w:type="dxa"/>
            <w:shd w:val="clear" w:color="auto" w:fill="auto"/>
            <w:noWrap w:val="0"/>
            <w:vAlign w:val="center"/>
          </w:tcPr>
          <w:p w14:paraId="5382E5C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sz w:val="21"/>
                <w:szCs w:val="21"/>
                <w:highlight w:val="none"/>
                <w:lang w:val="en-US" w:eastAsia="zh-CN"/>
              </w:rPr>
              <w:t>6.29</w:t>
            </w:r>
          </w:p>
        </w:tc>
      </w:tr>
      <w:tr w14:paraId="1B450B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25908F0">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DF17887">
            <w:pPr>
              <w:pStyle w:val="53"/>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废滤料</w:t>
            </w:r>
          </w:p>
        </w:tc>
        <w:tc>
          <w:tcPr>
            <w:tcW w:w="1360" w:type="dxa"/>
            <w:noWrap w:val="0"/>
            <w:vAlign w:val="center"/>
          </w:tcPr>
          <w:p w14:paraId="2512417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39B1D7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552392C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706CE3C3">
            <w:pPr>
              <w:keepNext w:val="0"/>
              <w:keepLines w:val="0"/>
              <w:pageBreakBefore w:val="0"/>
              <w:widowControl/>
              <w:kinsoku/>
              <w:wordWrap/>
              <w:overflowPunct/>
              <w:topLinePunct w:val="0"/>
              <w:autoSpaceDE/>
              <w:autoSpaceDN/>
              <w:bidi w:val="0"/>
              <w:spacing w:line="240" w:lineRule="auto"/>
              <w:jc w:val="center"/>
              <w:textAlignment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0.2032</w:t>
            </w:r>
          </w:p>
        </w:tc>
        <w:tc>
          <w:tcPr>
            <w:tcW w:w="1179" w:type="dxa"/>
            <w:noWrap w:val="0"/>
            <w:vAlign w:val="center"/>
          </w:tcPr>
          <w:p w14:paraId="748FFD7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325AF8E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0.2032</w:t>
            </w:r>
          </w:p>
        </w:tc>
        <w:tc>
          <w:tcPr>
            <w:tcW w:w="1773" w:type="dxa"/>
            <w:shd w:val="clear" w:color="auto" w:fill="auto"/>
            <w:noWrap w:val="0"/>
            <w:vAlign w:val="center"/>
          </w:tcPr>
          <w:p w14:paraId="731861D1">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sz w:val="21"/>
                <w:szCs w:val="21"/>
                <w:highlight w:val="none"/>
                <w:lang w:val="en-US" w:eastAsia="zh-CN"/>
              </w:rPr>
              <w:t>0.2032</w:t>
            </w:r>
          </w:p>
        </w:tc>
      </w:tr>
      <w:tr w14:paraId="09B655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638981CC">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7AC626D">
            <w:pPr>
              <w:pStyle w:val="53"/>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w:t>
            </w:r>
            <w:r>
              <w:rPr>
                <w:rFonts w:hint="eastAsia" w:eastAsia="宋体" w:cs="Times New Roman"/>
                <w:color w:val="auto"/>
                <w:sz w:val="21"/>
                <w:szCs w:val="21"/>
                <w:highlight w:val="none"/>
                <w:lang w:val="en-US" w:eastAsia="zh-CN"/>
              </w:rPr>
              <w:t>机</w:t>
            </w:r>
            <w:r>
              <w:rPr>
                <w:rFonts w:hint="eastAsia" w:ascii="Times New Roman" w:hAnsi="Times New Roman" w:eastAsia="宋体" w:cs="Times New Roman"/>
                <w:color w:val="auto"/>
                <w:sz w:val="21"/>
                <w:szCs w:val="21"/>
                <w:highlight w:val="none"/>
                <w:lang w:val="en-US" w:eastAsia="zh-CN"/>
              </w:rPr>
              <w:t>油</w:t>
            </w:r>
          </w:p>
        </w:tc>
        <w:tc>
          <w:tcPr>
            <w:tcW w:w="1360" w:type="dxa"/>
            <w:noWrap w:val="0"/>
            <w:vAlign w:val="center"/>
          </w:tcPr>
          <w:p w14:paraId="49ED4EF8">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02765BA0">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403FCC3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C6BFA4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0.2</w:t>
            </w:r>
          </w:p>
        </w:tc>
        <w:tc>
          <w:tcPr>
            <w:tcW w:w="1179" w:type="dxa"/>
            <w:noWrap w:val="0"/>
            <w:vAlign w:val="center"/>
          </w:tcPr>
          <w:p w14:paraId="4A3F28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68EBCF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0.2</w:t>
            </w:r>
          </w:p>
        </w:tc>
        <w:tc>
          <w:tcPr>
            <w:tcW w:w="1773" w:type="dxa"/>
            <w:shd w:val="clear" w:color="auto" w:fill="auto"/>
            <w:noWrap w:val="0"/>
            <w:vAlign w:val="center"/>
          </w:tcPr>
          <w:p w14:paraId="17A8562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sz w:val="21"/>
                <w:szCs w:val="21"/>
                <w:highlight w:val="none"/>
                <w:lang w:val="en-US" w:eastAsia="zh-CN"/>
              </w:rPr>
              <w:t>0.2</w:t>
            </w:r>
          </w:p>
        </w:tc>
      </w:tr>
      <w:tr w14:paraId="136D01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676" w:type="dxa"/>
            <w:vMerge w:val="continue"/>
            <w:noWrap w:val="0"/>
            <w:vAlign w:val="center"/>
          </w:tcPr>
          <w:p w14:paraId="1913DA3D">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1F99B69A">
            <w:pPr>
              <w:pStyle w:val="53"/>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废机油桶</w:t>
            </w:r>
          </w:p>
        </w:tc>
        <w:tc>
          <w:tcPr>
            <w:tcW w:w="1360" w:type="dxa"/>
            <w:noWrap w:val="0"/>
            <w:vAlign w:val="center"/>
          </w:tcPr>
          <w:p w14:paraId="1CF292E9">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6754F9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CE1776A">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9BFA0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0.02</w:t>
            </w:r>
          </w:p>
        </w:tc>
        <w:tc>
          <w:tcPr>
            <w:tcW w:w="1179" w:type="dxa"/>
            <w:noWrap w:val="0"/>
            <w:vAlign w:val="center"/>
          </w:tcPr>
          <w:p w14:paraId="6BDE99D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14C49D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0.02</w:t>
            </w:r>
          </w:p>
        </w:tc>
        <w:tc>
          <w:tcPr>
            <w:tcW w:w="1773" w:type="dxa"/>
            <w:shd w:val="clear" w:color="auto" w:fill="auto"/>
            <w:noWrap w:val="0"/>
            <w:vAlign w:val="center"/>
          </w:tcPr>
          <w:p w14:paraId="39EEF9C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sz w:val="21"/>
                <w:szCs w:val="21"/>
                <w:highlight w:val="none"/>
                <w:lang w:val="en-US" w:eastAsia="zh-CN"/>
              </w:rPr>
              <w:t>0.02</w:t>
            </w:r>
          </w:p>
        </w:tc>
      </w:tr>
      <w:tr w14:paraId="79B743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76" w:type="dxa"/>
            <w:vMerge w:val="continue"/>
            <w:noWrap w:val="0"/>
            <w:vAlign w:val="center"/>
          </w:tcPr>
          <w:p w14:paraId="195230CC">
            <w:pPr>
              <w:pStyle w:val="43"/>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690F018D">
            <w:pPr>
              <w:pStyle w:val="53"/>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废含油抹布</w:t>
            </w:r>
          </w:p>
        </w:tc>
        <w:tc>
          <w:tcPr>
            <w:tcW w:w="1360" w:type="dxa"/>
            <w:shd w:val="clear" w:color="auto" w:fill="auto"/>
            <w:noWrap w:val="0"/>
            <w:vAlign w:val="center"/>
          </w:tcPr>
          <w:p w14:paraId="422051B4">
            <w:pPr>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71E6D9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17825B1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75EFDC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0.01</w:t>
            </w:r>
          </w:p>
        </w:tc>
        <w:tc>
          <w:tcPr>
            <w:tcW w:w="1179" w:type="dxa"/>
            <w:shd w:val="clear" w:color="auto" w:fill="auto"/>
            <w:noWrap w:val="0"/>
            <w:vAlign w:val="center"/>
          </w:tcPr>
          <w:p w14:paraId="2D602078">
            <w:pPr>
              <w:spacing w:beforeLines="0" w:afterLines="0" w:line="240" w:lineRule="auto"/>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AAE46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0.01</w:t>
            </w:r>
          </w:p>
        </w:tc>
        <w:tc>
          <w:tcPr>
            <w:tcW w:w="1773" w:type="dxa"/>
            <w:shd w:val="clear" w:color="auto" w:fill="auto"/>
            <w:noWrap w:val="0"/>
            <w:vAlign w:val="center"/>
          </w:tcPr>
          <w:p w14:paraId="3F636E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r>
              <w:rPr>
                <w:rFonts w:hint="eastAsia" w:cs="Times New Roman"/>
                <w:color w:val="auto"/>
                <w:kern w:val="2"/>
                <w:sz w:val="21"/>
                <w:szCs w:val="21"/>
                <w:highlight w:val="none"/>
                <w:lang w:val="en-US" w:eastAsia="zh-CN" w:bidi="ar-SA"/>
              </w:rPr>
              <w:t>0.01</w:t>
            </w:r>
          </w:p>
        </w:tc>
      </w:tr>
    </w:tbl>
    <w:p w14:paraId="3453E4CD">
      <w:pPr>
        <w:widowControl w:val="0"/>
        <w:spacing w:line="360" w:lineRule="auto"/>
        <w:ind w:firstLine="420" w:firstLineChars="200"/>
        <w:jc w:val="both"/>
        <w:rPr>
          <w:rFonts w:hint="default" w:ascii="Times New Roman" w:hAnsi="Times New Roman" w:cs="Times New Roman"/>
          <w:color w:val="auto"/>
          <w:highlight w:val="none"/>
        </w:rPr>
      </w:pPr>
      <w:r>
        <w:rPr>
          <w:rFonts w:hint="default" w:ascii="Times New Roman" w:hAnsi="Times New Roman" w:cs="Times New Roman"/>
          <w:snapToGrid w:val="0"/>
          <w:color w:val="auto"/>
          <w:kern w:val="21"/>
          <w:szCs w:val="21"/>
          <w:highlight w:val="none"/>
        </w:rPr>
        <w:t>注：</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⑥</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①</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③</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④</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⑤</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⑦</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⑥</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①</w:t>
      </w:r>
      <w:r>
        <w:rPr>
          <w:rFonts w:hint="default" w:ascii="Times New Roman" w:hAnsi="Times New Roman" w:cs="Times New Roman"/>
          <w:snapToGrid w:val="0"/>
          <w:color w:val="auto"/>
          <w:spacing w:val="-6"/>
          <w:kern w:val="21"/>
          <w:szCs w:val="21"/>
          <w:highlight w:val="none"/>
        </w:rPr>
        <w:fldChar w:fldCharType="end"/>
      </w:r>
      <w:r>
        <w:rPr>
          <w:rFonts w:hint="eastAsia" w:ascii="Times New Roman" w:hAnsi="Times New Roman" w:cs="Times New Roman"/>
          <w:snapToGrid w:val="0"/>
          <w:color w:val="auto"/>
          <w:spacing w:val="-6"/>
          <w:kern w:val="21"/>
          <w:szCs w:val="21"/>
          <w:highlight w:val="none"/>
          <w:lang w:eastAsia="zh-CN"/>
        </w:rPr>
        <w:t>，</w:t>
      </w:r>
      <w:r>
        <w:rPr>
          <w:rFonts w:hint="default" w:ascii="Times New Roman" w:hAnsi="Times New Roman" w:eastAsia="宋体" w:cs="Times New Roman"/>
          <w:snapToGrid w:val="0"/>
          <w:color w:val="000000"/>
          <w:spacing w:val="-6"/>
          <w:kern w:val="21"/>
          <w:sz w:val="24"/>
          <w:szCs w:val="24"/>
          <w:highlight w:val="none"/>
          <w:lang w:val="en-US" w:eastAsia="zh-CN" w:bidi="ar-SA"/>
        </w:rPr>
        <w:t>单位：t/a</w:t>
      </w:r>
    </w:p>
    <w:p w14:paraId="364C4283">
      <w:pPr>
        <w:rPr>
          <w:highlight w:val="none"/>
        </w:rPr>
      </w:pPr>
    </w:p>
    <w:sectPr>
      <w:footerReference r:id="rId6" w:type="default"/>
      <w:pgSz w:w="16838" w:h="11906" w:orient="landscape"/>
      <w:pgMar w:top="1531" w:right="1701" w:bottom="1531" w:left="1701"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A00002AF" w:usb1="400078FB" w:usb2="00000000" w:usb3="00000000" w:csb0="6000009F" w:csb1="DFD7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0681A">
    <w:pPr>
      <w:pStyle w:val="17"/>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87E5F">
    <w:pPr>
      <w:pStyle w:val="17"/>
      <w:framePr w:wrap="around" w:vAnchor="text" w:hAnchor="margin" w:xAlign="center" w:y="1"/>
      <w:rPr>
        <w:rStyle w:val="25"/>
      </w:rPr>
    </w:pPr>
    <w:r>
      <w:fldChar w:fldCharType="begin"/>
    </w:r>
    <w:r>
      <w:rPr>
        <w:rStyle w:val="25"/>
      </w:rPr>
      <w:instrText xml:space="preserve">PAGE  </w:instrText>
    </w:r>
    <w:r>
      <w:fldChar w:fldCharType="end"/>
    </w:r>
  </w:p>
  <w:p w14:paraId="17BB29CE">
    <w:pPr>
      <w:pStyle w:val="1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02707">
    <w:pPr>
      <w:pStyle w:val="17"/>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m7Fqco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FtQ5dvKXH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m7FqcoBAACbAwAADgAAAAAAAAABACAAAAAeAQAAZHJzL2Uyb0Rv&#10;Yy54bWxQSwUGAAAAAAYABgBZAQAAWgUAAAAA&#10;">
              <v:fill on="f" focussize="0,0"/>
              <v:stroke on="f"/>
              <v:imagedata o:title=""/>
              <o:lock v:ext="edit" aspectratio="f"/>
              <v:textbox inset="0mm,0mm,0mm,0mm" style="mso-fit-shape-to-text:t;">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C429D">
    <w:pPr>
      <w:pStyle w:val="17"/>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8AB83D"/>
    <w:multiLevelType w:val="singleLevel"/>
    <w:tmpl w:val="D48AB83D"/>
    <w:lvl w:ilvl="0" w:tentative="0">
      <w:start w:val="2"/>
      <w:numFmt w:val="decimal"/>
      <w:suff w:val="nothing"/>
      <w:lvlText w:val="%1、"/>
      <w:lvlJc w:val="left"/>
    </w:lvl>
  </w:abstractNum>
  <w:abstractNum w:abstractNumId="1">
    <w:nsid w:val="D75B625F"/>
    <w:multiLevelType w:val="singleLevel"/>
    <w:tmpl w:val="D75B625F"/>
    <w:lvl w:ilvl="0" w:tentative="0">
      <w:start w:val="11"/>
      <w:numFmt w:val="upperLetter"/>
      <w:suff w:val="nothing"/>
      <w:lvlText w:val="%1-"/>
      <w:lvlJc w:val="left"/>
    </w:lvl>
  </w:abstractNum>
  <w:abstractNum w:abstractNumId="2">
    <w:nsid w:val="FFE5B16A"/>
    <w:multiLevelType w:val="singleLevel"/>
    <w:tmpl w:val="FFE5B16A"/>
    <w:lvl w:ilvl="0" w:tentative="0">
      <w:start w:val="8"/>
      <w:numFmt w:val="decimal"/>
      <w:suff w:val="nothing"/>
      <w:lvlText w:val="%1、"/>
      <w:lvlJc w:val="left"/>
    </w:lvl>
  </w:abstractNum>
  <w:abstractNum w:abstractNumId="3">
    <w:nsid w:val="29067519"/>
    <w:multiLevelType w:val="multilevel"/>
    <w:tmpl w:val="29067519"/>
    <w:lvl w:ilvl="0" w:tentative="0">
      <w:start w:val="1"/>
      <w:numFmt w:val="decimal"/>
      <w:lvlText w:val="%1"/>
      <w:lvlJc w:val="left"/>
      <w:pPr>
        <w:tabs>
          <w:tab w:val="left" w:pos="567"/>
        </w:tabs>
        <w:ind w:left="0" w:firstLine="0"/>
      </w:pPr>
      <w:rPr>
        <w:rFonts w:hint="eastAsia"/>
      </w:rPr>
    </w:lvl>
    <w:lvl w:ilvl="1" w:tentative="0">
      <w:start w:val="1"/>
      <w:numFmt w:val="decimal"/>
      <w:lvlText w:val="%1.%2"/>
      <w:lvlJc w:val="left"/>
      <w:pPr>
        <w:tabs>
          <w:tab w:val="left" w:pos="652"/>
        </w:tabs>
        <w:ind w:left="0" w:firstLine="0"/>
      </w:pPr>
      <w:rPr>
        <w:rFonts w:hint="eastAsia"/>
      </w:rPr>
    </w:lvl>
    <w:lvl w:ilvl="2" w:tentative="0">
      <w:start w:val="1"/>
      <w:numFmt w:val="decimal"/>
      <w:pStyle w:val="4"/>
      <w:lvlText w:val="%1.%2.%3"/>
      <w:lvlJc w:val="left"/>
      <w:pPr>
        <w:tabs>
          <w:tab w:val="left" w:pos="794"/>
        </w:tabs>
        <w:ind w:left="0" w:firstLine="0"/>
      </w:pPr>
      <w:rPr>
        <w:rFonts w:hint="eastAsia"/>
      </w:rPr>
    </w:lvl>
    <w:lvl w:ilvl="3" w:tentative="0">
      <w:start w:val="1"/>
      <w:numFmt w:val="decimal"/>
      <w:pStyle w:val="5"/>
      <w:lvlText w:val="%1.%2.%3.%4"/>
      <w:lvlJc w:val="left"/>
      <w:pPr>
        <w:tabs>
          <w:tab w:val="left" w:pos="907"/>
        </w:tabs>
        <w:ind w:left="0" w:firstLine="0"/>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31AD8BF0"/>
    <w:multiLevelType w:val="singleLevel"/>
    <w:tmpl w:val="31AD8BF0"/>
    <w:lvl w:ilvl="0" w:tentative="0">
      <w:start w:val="1"/>
      <w:numFmt w:val="bullet"/>
      <w:pStyle w:val="7"/>
      <w:lvlText w:val=""/>
      <w:lvlJc w:val="left"/>
      <w:pPr>
        <w:tabs>
          <w:tab w:val="left" w:pos="1620"/>
        </w:tabs>
        <w:ind w:left="1620" w:hanging="360"/>
      </w:pPr>
      <w:rPr>
        <w:rFonts w:hint="default" w:ascii="Wingdings" w:hAnsi="Wingdings"/>
      </w:rPr>
    </w:lvl>
  </w:abstractNum>
  <w:abstractNum w:abstractNumId="5">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39"/>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5A036EB"/>
    <w:multiLevelType w:val="singleLevel"/>
    <w:tmpl w:val="45A036EB"/>
    <w:lvl w:ilvl="0" w:tentative="0">
      <w:start w:val="4"/>
      <w:numFmt w:val="decimal"/>
      <w:suff w:val="nothing"/>
      <w:lvlText w:val="%1、"/>
      <w:lvlJc w:val="left"/>
    </w:lvl>
  </w:abstractNum>
  <w:abstractNum w:abstractNumId="7">
    <w:nsid w:val="7B95B769"/>
    <w:multiLevelType w:val="singleLevel"/>
    <w:tmpl w:val="7B95B769"/>
    <w:lvl w:ilvl="0" w:tentative="0">
      <w:start w:val="3"/>
      <w:numFmt w:val="decimal"/>
      <w:suff w:val="nothing"/>
      <w:lvlText w:val="（%1）"/>
      <w:lvlJc w:val="left"/>
    </w:lvl>
  </w:abstractNum>
  <w:num w:numId="1">
    <w:abstractNumId w:val="3"/>
  </w:num>
  <w:num w:numId="2">
    <w:abstractNumId w:val="4"/>
  </w:num>
  <w:num w:numId="3">
    <w:abstractNumId w:val="5"/>
  </w:num>
  <w:num w:numId="4">
    <w:abstractNumId w:val="0"/>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0OWNjZGI1YTU4YWRjOThjN2VhZDk5MGU4NjU5YTAifQ=="/>
  </w:docVars>
  <w:rsids>
    <w:rsidRoot w:val="00000000"/>
    <w:rsid w:val="0015704A"/>
    <w:rsid w:val="027564A5"/>
    <w:rsid w:val="029E1A2D"/>
    <w:rsid w:val="0569542A"/>
    <w:rsid w:val="05E13E96"/>
    <w:rsid w:val="07E43564"/>
    <w:rsid w:val="08B25AF0"/>
    <w:rsid w:val="0A0122E3"/>
    <w:rsid w:val="0A1373CD"/>
    <w:rsid w:val="0AD6133E"/>
    <w:rsid w:val="0AEC2A51"/>
    <w:rsid w:val="0E1A6245"/>
    <w:rsid w:val="0E6D33D3"/>
    <w:rsid w:val="0EAE100A"/>
    <w:rsid w:val="0EBF65D3"/>
    <w:rsid w:val="143F1538"/>
    <w:rsid w:val="144B713C"/>
    <w:rsid w:val="14BE55E5"/>
    <w:rsid w:val="18990C62"/>
    <w:rsid w:val="1B076FF4"/>
    <w:rsid w:val="1BB40DCD"/>
    <w:rsid w:val="1F9C76EA"/>
    <w:rsid w:val="1FC801A6"/>
    <w:rsid w:val="202B3762"/>
    <w:rsid w:val="21675F06"/>
    <w:rsid w:val="233452EB"/>
    <w:rsid w:val="23680273"/>
    <w:rsid w:val="23B116FA"/>
    <w:rsid w:val="23EC7CB0"/>
    <w:rsid w:val="24E1559D"/>
    <w:rsid w:val="2ACB1EB6"/>
    <w:rsid w:val="2B137238"/>
    <w:rsid w:val="2BF93498"/>
    <w:rsid w:val="2D341935"/>
    <w:rsid w:val="2EBA0502"/>
    <w:rsid w:val="2F0E2FFF"/>
    <w:rsid w:val="2F5322AE"/>
    <w:rsid w:val="2FB2195F"/>
    <w:rsid w:val="308D07F9"/>
    <w:rsid w:val="31BB049D"/>
    <w:rsid w:val="323D5AF9"/>
    <w:rsid w:val="32CD6F8B"/>
    <w:rsid w:val="33145172"/>
    <w:rsid w:val="33D5178A"/>
    <w:rsid w:val="34663018"/>
    <w:rsid w:val="34E640EB"/>
    <w:rsid w:val="36C5130F"/>
    <w:rsid w:val="377E425D"/>
    <w:rsid w:val="3870288D"/>
    <w:rsid w:val="39963687"/>
    <w:rsid w:val="3A185B96"/>
    <w:rsid w:val="3BA36074"/>
    <w:rsid w:val="3C624743"/>
    <w:rsid w:val="3D7C3203"/>
    <w:rsid w:val="3DB101DB"/>
    <w:rsid w:val="3E241CE0"/>
    <w:rsid w:val="3F6F7EC4"/>
    <w:rsid w:val="3FE7502A"/>
    <w:rsid w:val="4091030E"/>
    <w:rsid w:val="40E61B4B"/>
    <w:rsid w:val="42C85330"/>
    <w:rsid w:val="42DD535D"/>
    <w:rsid w:val="433C2869"/>
    <w:rsid w:val="43807330"/>
    <w:rsid w:val="43B13EE0"/>
    <w:rsid w:val="44F06541"/>
    <w:rsid w:val="45282D3D"/>
    <w:rsid w:val="45895209"/>
    <w:rsid w:val="47CE3DFB"/>
    <w:rsid w:val="48493F5F"/>
    <w:rsid w:val="4898493C"/>
    <w:rsid w:val="498D25AC"/>
    <w:rsid w:val="49B03F3C"/>
    <w:rsid w:val="4A6B01BA"/>
    <w:rsid w:val="4B185DFB"/>
    <w:rsid w:val="4C976290"/>
    <w:rsid w:val="4EDB5DA5"/>
    <w:rsid w:val="51507FF3"/>
    <w:rsid w:val="530B2EF1"/>
    <w:rsid w:val="534F2B8A"/>
    <w:rsid w:val="53610C21"/>
    <w:rsid w:val="54100030"/>
    <w:rsid w:val="5485155F"/>
    <w:rsid w:val="55357FF4"/>
    <w:rsid w:val="55FA6576"/>
    <w:rsid w:val="56395B43"/>
    <w:rsid w:val="572C3D72"/>
    <w:rsid w:val="58DC12A0"/>
    <w:rsid w:val="5B263367"/>
    <w:rsid w:val="5C1817BB"/>
    <w:rsid w:val="5DC9505C"/>
    <w:rsid w:val="5E066927"/>
    <w:rsid w:val="5EFE7BE7"/>
    <w:rsid w:val="61665A53"/>
    <w:rsid w:val="61CE3B8D"/>
    <w:rsid w:val="62C70A97"/>
    <w:rsid w:val="62E96ED1"/>
    <w:rsid w:val="63216D53"/>
    <w:rsid w:val="63A5278D"/>
    <w:rsid w:val="63A90EE2"/>
    <w:rsid w:val="669A7E67"/>
    <w:rsid w:val="69E06F90"/>
    <w:rsid w:val="6B6553CA"/>
    <w:rsid w:val="6CC15498"/>
    <w:rsid w:val="6D89633A"/>
    <w:rsid w:val="6D8D25A0"/>
    <w:rsid w:val="6DFD5327"/>
    <w:rsid w:val="6EAE0D97"/>
    <w:rsid w:val="6FB47B94"/>
    <w:rsid w:val="71BE1A0F"/>
    <w:rsid w:val="72124A18"/>
    <w:rsid w:val="72201471"/>
    <w:rsid w:val="723028F4"/>
    <w:rsid w:val="72F40693"/>
    <w:rsid w:val="73CB6B47"/>
    <w:rsid w:val="73D12B96"/>
    <w:rsid w:val="745D4373"/>
    <w:rsid w:val="79732F45"/>
    <w:rsid w:val="7A951BDF"/>
    <w:rsid w:val="7ADA3756"/>
    <w:rsid w:val="7B7443BA"/>
    <w:rsid w:val="7E867872"/>
    <w:rsid w:val="7F176D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qFormat="1"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qFormat/>
    <w:uiPriority w:val="0"/>
    <w:pPr>
      <w:numPr>
        <w:ilvl w:val="2"/>
        <w:numId w:val="1"/>
      </w:numPr>
      <w:spacing w:before="120" w:beforeLines="50" w:after="120" w:afterLines="50"/>
      <w:outlineLvl w:val="2"/>
    </w:pPr>
    <w:rPr>
      <w:rFonts w:eastAsia="华文中宋"/>
      <w:b/>
      <w:bCs/>
      <w:sz w:val="28"/>
      <w:szCs w:val="32"/>
    </w:rPr>
  </w:style>
  <w:style w:type="paragraph" w:styleId="5">
    <w:name w:val="heading 4"/>
    <w:basedOn w:val="1"/>
    <w:next w:val="1"/>
    <w:qFormat/>
    <w:uiPriority w:val="0"/>
    <w:pPr>
      <w:numPr>
        <w:ilvl w:val="3"/>
        <w:numId w:val="1"/>
      </w:numPr>
      <w:spacing w:before="120" w:beforeLines="50" w:after="120" w:afterLines="50"/>
      <w:outlineLvl w:val="3"/>
    </w:pPr>
    <w:rPr>
      <w:rFonts w:eastAsia="华文中宋"/>
      <w:b/>
      <w:bCs/>
      <w:sz w:val="24"/>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te Heading"/>
    <w:basedOn w:val="1"/>
    <w:next w:val="1"/>
    <w:unhideWhenUsed/>
    <w:qFormat/>
    <w:uiPriority w:val="0"/>
    <w:pPr>
      <w:jc w:val="center"/>
    </w:pPr>
  </w:style>
  <w:style w:type="paragraph" w:styleId="7">
    <w:name w:val="List Bullet 4"/>
    <w:basedOn w:val="1"/>
    <w:qFormat/>
    <w:uiPriority w:val="0"/>
    <w:pPr>
      <w:numPr>
        <w:ilvl w:val="0"/>
        <w:numId w:val="2"/>
      </w:numPr>
    </w:pPr>
  </w:style>
  <w:style w:type="paragraph" w:styleId="8">
    <w:name w:val="Normal Indent"/>
    <w:basedOn w:val="1"/>
    <w:next w:val="9"/>
    <w:qFormat/>
    <w:uiPriority w:val="0"/>
    <w:pPr>
      <w:ind w:firstLine="420"/>
    </w:pPr>
    <w:rPr>
      <w:rFonts w:ascii="宋体"/>
      <w:kern w:val="0"/>
      <w:sz w:val="24"/>
      <w:szCs w:val="20"/>
    </w:rPr>
  </w:style>
  <w:style w:type="paragraph" w:styleId="9">
    <w:name w:val="Body Text First Indent 2"/>
    <w:basedOn w:val="10"/>
    <w:next w:val="1"/>
    <w:qFormat/>
    <w:uiPriority w:val="0"/>
    <w:pPr>
      <w:ind w:firstLine="420" w:firstLineChars="200"/>
    </w:pPr>
    <w:rPr>
      <w:kern w:val="0"/>
    </w:rPr>
  </w:style>
  <w:style w:type="paragraph" w:styleId="10">
    <w:name w:val="Body Text Indent"/>
    <w:basedOn w:val="1"/>
    <w:next w:val="11"/>
    <w:qFormat/>
    <w:uiPriority w:val="0"/>
    <w:pPr>
      <w:spacing w:after="120"/>
      <w:ind w:left="420" w:leftChars="200"/>
    </w:pPr>
    <w:rPr>
      <w:kern w:val="0"/>
      <w:sz w:val="24"/>
      <w:szCs w:val="20"/>
    </w:rPr>
  </w:style>
  <w:style w:type="paragraph" w:styleId="11">
    <w:name w:val="envelope return"/>
    <w:basedOn w:val="1"/>
    <w:qFormat/>
    <w:uiPriority w:val="0"/>
    <w:pPr>
      <w:snapToGrid w:val="0"/>
      <w:spacing w:line="480" w:lineRule="exact"/>
    </w:pPr>
    <w:rPr>
      <w:rFonts w:ascii="Arial" w:hAnsi="Arial" w:cs="Arial"/>
      <w:szCs w:val="24"/>
    </w:rPr>
  </w:style>
  <w:style w:type="paragraph" w:styleId="12">
    <w:name w:val="annotation text"/>
    <w:basedOn w:val="1"/>
    <w:qFormat/>
    <w:uiPriority w:val="0"/>
    <w:pPr>
      <w:jc w:val="left"/>
    </w:pPr>
  </w:style>
  <w:style w:type="paragraph" w:styleId="13">
    <w:name w:val="Salutation"/>
    <w:basedOn w:val="1"/>
    <w:next w:val="1"/>
    <w:qFormat/>
    <w:uiPriority w:val="0"/>
  </w:style>
  <w:style w:type="paragraph" w:styleId="14">
    <w:name w:val="Body Text"/>
    <w:basedOn w:val="1"/>
    <w:next w:val="1"/>
    <w:qFormat/>
    <w:uiPriority w:val="0"/>
    <w:pPr>
      <w:ind w:left="2327"/>
    </w:pPr>
    <w:rPr>
      <w:rFonts w:hint="eastAsia" w:ascii="宋体" w:hAnsi="宋体"/>
      <w:sz w:val="32"/>
    </w:rPr>
  </w:style>
  <w:style w:type="paragraph" w:styleId="15">
    <w:name w:val="Plain Text"/>
    <w:basedOn w:val="1"/>
    <w:next w:val="13"/>
    <w:qFormat/>
    <w:uiPriority w:val="0"/>
    <w:rPr>
      <w:rFonts w:ascii="宋体" w:hAnsi="Courier New"/>
      <w:szCs w:val="21"/>
    </w:rPr>
  </w:style>
  <w:style w:type="paragraph" w:styleId="16">
    <w:name w:val="Body Text Indent 2"/>
    <w:basedOn w:val="1"/>
    <w:next w:val="9"/>
    <w:qFormat/>
    <w:uiPriority w:val="0"/>
    <w:pPr>
      <w:spacing w:after="120" w:afterLines="0" w:line="480" w:lineRule="auto"/>
      <w:ind w:left="420" w:leftChars="200"/>
    </w:pPr>
    <w:rPr>
      <w:rFonts w:ascii="Times New Roman" w:hAnsi="Times New Roman"/>
      <w:szCs w:val="24"/>
    </w:rPr>
  </w:style>
  <w:style w:type="paragraph" w:styleId="17">
    <w:name w:val="footer"/>
    <w:basedOn w:val="1"/>
    <w:qFormat/>
    <w:uiPriority w:val="99"/>
    <w:pPr>
      <w:tabs>
        <w:tab w:val="center" w:pos="4153"/>
        <w:tab w:val="right" w:pos="8306"/>
      </w:tabs>
      <w:snapToGrid w:val="0"/>
      <w:jc w:val="left"/>
    </w:pPr>
    <w:rPr>
      <w:kern w:val="0"/>
      <w:sz w:val="18"/>
      <w:szCs w:val="20"/>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Body Text 2"/>
    <w:basedOn w:val="1"/>
    <w:next w:val="1"/>
    <w:unhideWhenUsed/>
    <w:qFormat/>
    <w:uiPriority w:val="99"/>
    <w:pPr>
      <w:spacing w:after="120" w:line="480" w:lineRule="auto"/>
    </w:pPr>
    <w:rPr>
      <w:kern w:val="0"/>
      <w:sz w:val="20"/>
    </w:rPr>
  </w:style>
  <w:style w:type="paragraph" w:styleId="20">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1">
    <w:name w:val="Body Text First Indent"/>
    <w:basedOn w:val="14"/>
    <w:unhideWhenUsed/>
    <w:qFormat/>
    <w:uiPriority w:val="0"/>
    <w:pPr>
      <w:ind w:firstLine="420" w:firstLineChars="100"/>
    </w:pPr>
  </w:style>
  <w:style w:type="table" w:styleId="23">
    <w:name w:val="Table Grid"/>
    <w:basedOn w:val="22"/>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style>
  <w:style w:type="paragraph" w:customStyle="1" w:styleId="26">
    <w:name w:val="环评表头"/>
    <w:basedOn w:val="1"/>
    <w:next w:val="27"/>
    <w:qFormat/>
    <w:uiPriority w:val="0"/>
    <w:pPr>
      <w:wordWrap w:val="0"/>
      <w:adjustRightInd w:val="0"/>
      <w:spacing w:line="360" w:lineRule="auto"/>
      <w:ind w:left="0"/>
      <w:jc w:val="center"/>
    </w:pPr>
    <w:rPr>
      <w:rFonts w:ascii="Times New Roman" w:hAnsi="Times New Roman" w:eastAsia="宋体" w:cs="Times New Roman"/>
      <w:b/>
      <w:sz w:val="24"/>
      <w:szCs w:val="22"/>
    </w:rPr>
  </w:style>
  <w:style w:type="paragraph" w:customStyle="1" w:styleId="27">
    <w:name w:val="表格题目"/>
    <w:basedOn w:val="1"/>
    <w:qFormat/>
    <w:uiPriority w:val="0"/>
    <w:pPr>
      <w:spacing w:line="240" w:lineRule="atLeast"/>
      <w:jc w:val="center"/>
    </w:pPr>
    <w:rPr>
      <w:rFonts w:ascii="黑体" w:hAnsi="宋体" w:eastAsia="黑体"/>
      <w:sz w:val="24"/>
      <w:szCs w:val="24"/>
    </w:rPr>
  </w:style>
  <w:style w:type="paragraph" w:customStyle="1" w:styleId="28">
    <w:name w:val="环评表表格内容"/>
    <w:basedOn w:val="1"/>
    <w:next w:val="29"/>
    <w:qFormat/>
    <w:uiPriority w:val="0"/>
    <w:pPr>
      <w:snapToGrid w:val="0"/>
      <w:spacing w:line="240" w:lineRule="auto"/>
      <w:jc w:val="center"/>
    </w:pPr>
    <w:rPr>
      <w:rFonts w:hint="default" w:ascii="Times New Roman" w:hAnsi="Times New Roman"/>
      <w:bCs/>
      <w:sz w:val="21"/>
      <w:szCs w:val="18"/>
    </w:rPr>
  </w:style>
  <w:style w:type="paragraph" w:customStyle="1" w:styleId="29">
    <w:name w:val="表格文字"/>
    <w:basedOn w:val="1"/>
    <w:qFormat/>
    <w:uiPriority w:val="0"/>
    <w:pPr>
      <w:jc w:val="center"/>
    </w:pPr>
    <w:rPr>
      <w:rFonts w:ascii="方正仿宋_GB2312" w:hAnsi="Arial Black" w:eastAsia="方正仿宋_GB2312"/>
      <w:kern w:val="44"/>
      <w:sz w:val="24"/>
    </w:rPr>
  </w:style>
  <w:style w:type="paragraph" w:customStyle="1" w:styleId="30">
    <w:name w:val="正文格式"/>
    <w:basedOn w:val="1"/>
    <w:qFormat/>
    <w:uiPriority w:val="0"/>
    <w:pPr>
      <w:spacing w:line="360" w:lineRule="auto"/>
      <w:ind w:firstLine="544" w:firstLineChars="200"/>
    </w:pPr>
    <w:rPr>
      <w:sz w:val="24"/>
      <w:szCs w:val="20"/>
    </w:rPr>
  </w:style>
  <w:style w:type="paragraph" w:customStyle="1" w:styleId="31">
    <w:name w:val="样式35"/>
    <w:basedOn w:val="1"/>
    <w:qFormat/>
    <w:uiPriority w:val="0"/>
    <w:pPr>
      <w:adjustRightInd w:val="0"/>
      <w:spacing w:line="312" w:lineRule="auto"/>
      <w:ind w:firstLine="567"/>
    </w:pPr>
    <w:rPr>
      <w:rFonts w:ascii="宋体"/>
      <w:kern w:val="0"/>
      <w:sz w:val="28"/>
      <w:szCs w:val="20"/>
    </w:rPr>
  </w:style>
  <w:style w:type="table" w:customStyle="1" w:styleId="32">
    <w:name w:val="Table Normal"/>
    <w:unhideWhenUsed/>
    <w:qFormat/>
    <w:uiPriority w:val="0"/>
    <w:tblPr>
      <w:tblCellMar>
        <w:top w:w="0" w:type="dxa"/>
        <w:left w:w="0" w:type="dxa"/>
        <w:bottom w:w="0" w:type="dxa"/>
        <w:right w:w="0" w:type="dxa"/>
      </w:tblCellMar>
    </w:tblPr>
  </w:style>
  <w:style w:type="paragraph" w:customStyle="1" w:styleId="33">
    <w:name w:val="正文修改"/>
    <w:basedOn w:val="1"/>
    <w:qFormat/>
    <w:uiPriority w:val="0"/>
    <w:pPr>
      <w:spacing w:line="360" w:lineRule="auto"/>
      <w:ind w:firstLine="200" w:firstLineChars="200"/>
    </w:pPr>
    <w:rPr>
      <w:rFonts w:cs="宋体"/>
      <w:kern w:val="0"/>
      <w:sz w:val="24"/>
      <w:szCs w:val="20"/>
    </w:rPr>
  </w:style>
  <w:style w:type="paragraph" w:customStyle="1" w:styleId="34">
    <w:name w:val="5级表头"/>
    <w:basedOn w:val="35"/>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styleId="35">
    <w:name w:val="List Paragraph"/>
    <w:basedOn w:val="1"/>
    <w:qFormat/>
    <w:uiPriority w:val="34"/>
    <w:pPr>
      <w:ind w:firstLine="420" w:firstLineChars="200"/>
    </w:pPr>
  </w:style>
  <w:style w:type="paragraph" w:customStyle="1" w:styleId="36">
    <w:name w:val="市环科院正文"/>
    <w:basedOn w:val="1"/>
    <w:qFormat/>
    <w:uiPriority w:val="0"/>
    <w:pPr>
      <w:spacing w:line="300" w:lineRule="auto"/>
      <w:ind w:firstLine="480" w:firstLineChars="200"/>
    </w:pPr>
    <w:rPr>
      <w:sz w:val="24"/>
    </w:rPr>
  </w:style>
  <w:style w:type="paragraph" w:customStyle="1" w:styleId="37">
    <w:name w:val="标题4"/>
    <w:basedOn w:val="1"/>
    <w:qFormat/>
    <w:uiPriority w:val="0"/>
    <w:pPr>
      <w:autoSpaceDE w:val="0"/>
      <w:autoSpaceDN w:val="0"/>
      <w:adjustRightInd w:val="0"/>
      <w:spacing w:line="360" w:lineRule="auto"/>
      <w:jc w:val="left"/>
      <w:textAlignment w:val="baseline"/>
    </w:pPr>
    <w:rPr>
      <w:b/>
      <w:snapToGrid w:val="0"/>
      <w:kern w:val="0"/>
      <w:szCs w:val="20"/>
    </w:rPr>
  </w:style>
  <w:style w:type="paragraph" w:customStyle="1" w:styleId="38">
    <w:name w:val="Default"/>
    <w:basedOn w:val="39"/>
    <w:next w:val="40"/>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9">
    <w:name w:val="标题2"/>
    <w:basedOn w:val="3"/>
    <w:next w:val="1"/>
    <w:qFormat/>
    <w:uiPriority w:val="0"/>
    <w:pPr>
      <w:numPr>
        <w:ilvl w:val="1"/>
        <w:numId w:val="3"/>
      </w:numPr>
      <w:spacing w:before="0" w:after="0" w:line="440" w:lineRule="exact"/>
    </w:pPr>
    <w:rPr>
      <w:kern w:val="0"/>
      <w:sz w:val="28"/>
    </w:rPr>
  </w:style>
  <w:style w:type="paragraph" w:customStyle="1" w:styleId="40">
    <w:name w:val="1正文段落"/>
    <w:basedOn w:val="1"/>
    <w:qFormat/>
    <w:uiPriority w:val="0"/>
    <w:pPr>
      <w:spacing w:line="360" w:lineRule="auto"/>
      <w:ind w:firstLine="480" w:firstLineChars="200"/>
      <w:jc w:val="left"/>
    </w:pPr>
    <w:rPr>
      <w:snapToGrid w:val="0"/>
      <w:kern w:val="0"/>
      <w:sz w:val="24"/>
      <w:szCs w:val="24"/>
    </w:rPr>
  </w:style>
  <w:style w:type="paragraph" w:customStyle="1" w:styleId="41">
    <w:name w:val="Table Text"/>
    <w:basedOn w:val="1"/>
    <w:semiHidden/>
    <w:qFormat/>
    <w:uiPriority w:val="0"/>
    <w:rPr>
      <w:rFonts w:ascii="宋体" w:hAnsi="宋体" w:eastAsia="宋体" w:cs="宋体"/>
      <w:sz w:val="24"/>
      <w:szCs w:val="24"/>
      <w:lang w:val="en-US" w:eastAsia="en-US" w:bidi="ar-SA"/>
    </w:rPr>
  </w:style>
  <w:style w:type="paragraph" w:customStyle="1" w:styleId="42">
    <w:name w:val="表头"/>
    <w:basedOn w:val="8"/>
    <w:next w:val="6"/>
    <w:qFormat/>
    <w:uiPriority w:val="0"/>
    <w:pPr>
      <w:spacing w:before="120" w:beforeLines="50" w:after="120" w:afterLines="50"/>
      <w:jc w:val="center"/>
    </w:pPr>
    <w:rPr>
      <w:rFonts w:eastAsia="黑体"/>
    </w:rPr>
  </w:style>
  <w:style w:type="paragraph" w:customStyle="1" w:styleId="43">
    <w:name w:val="表格"/>
    <w:basedOn w:val="15"/>
    <w:next w:val="1"/>
    <w:qFormat/>
    <w:uiPriority w:val="0"/>
    <w:pPr>
      <w:adjustRightInd w:val="0"/>
      <w:snapToGrid w:val="0"/>
      <w:spacing w:beforeLines="10" w:afterLines="10" w:line="259" w:lineRule="auto"/>
      <w:jc w:val="center"/>
    </w:pPr>
    <w:rPr>
      <w:rFonts w:ascii="宋体"/>
      <w:kern w:val="0"/>
      <w:szCs w:val="20"/>
    </w:rPr>
  </w:style>
  <w:style w:type="paragraph" w:customStyle="1" w:styleId="44">
    <w:name w:val="报告表正文"/>
    <w:basedOn w:val="1"/>
    <w:qFormat/>
    <w:uiPriority w:val="0"/>
    <w:pPr>
      <w:adjustRightInd w:val="0"/>
      <w:spacing w:line="312" w:lineRule="auto"/>
      <w:ind w:left="113" w:right="113" w:firstLine="482"/>
      <w:jc w:val="left"/>
      <w:textAlignment w:val="baseline"/>
    </w:pPr>
    <w:rPr>
      <w:kern w:val="0"/>
      <w:sz w:val="24"/>
      <w:szCs w:val="20"/>
    </w:rPr>
  </w:style>
  <w:style w:type="paragraph" w:customStyle="1" w:styleId="45">
    <w:name w:val="环评报告正文"/>
    <w:basedOn w:val="1"/>
    <w:qFormat/>
    <w:uiPriority w:val="0"/>
    <w:pPr>
      <w:spacing w:line="360" w:lineRule="auto"/>
      <w:ind w:firstLine="480" w:firstLineChars="200"/>
      <w:jc w:val="left"/>
    </w:pPr>
    <w:rPr>
      <w:color w:val="000000"/>
      <w:sz w:val="24"/>
      <w:szCs w:val="20"/>
    </w:rPr>
  </w:style>
  <w:style w:type="paragraph" w:customStyle="1" w:styleId="46">
    <w:name w:val="正文lcc"/>
    <w:basedOn w:val="1"/>
    <w:qFormat/>
    <w:uiPriority w:val="0"/>
    <w:pPr>
      <w:snapToGrid w:val="0"/>
      <w:spacing w:line="360" w:lineRule="auto"/>
      <w:ind w:firstLine="480" w:firstLineChars="200"/>
    </w:pPr>
    <w:rPr>
      <w:color w:val="000000"/>
      <w:sz w:val="24"/>
      <w:szCs w:val="20"/>
    </w:rPr>
  </w:style>
  <w:style w:type="paragraph" w:customStyle="1" w:styleId="47">
    <w:name w:val="列出段落1"/>
    <w:basedOn w:val="1"/>
    <w:qFormat/>
    <w:uiPriority w:val="34"/>
    <w:pPr>
      <w:widowControl/>
      <w:spacing w:line="360" w:lineRule="auto"/>
      <w:ind w:firstLine="420" w:firstLineChars="200"/>
    </w:pPr>
    <w:rPr>
      <w:kern w:val="0"/>
      <w:sz w:val="24"/>
      <w:szCs w:val="20"/>
    </w:rPr>
  </w:style>
  <w:style w:type="paragraph" w:customStyle="1" w:styleId="48">
    <w:name w:val="_正文格式"/>
    <w:basedOn w:val="1"/>
    <w:qFormat/>
    <w:uiPriority w:val="0"/>
    <w:pPr>
      <w:spacing w:line="480" w:lineRule="exact"/>
      <w:ind w:firstLine="567"/>
    </w:pPr>
    <w:rPr>
      <w:rFonts w:eastAsia="方正仿宋_GB2312"/>
      <w:sz w:val="28"/>
    </w:rPr>
  </w:style>
  <w:style w:type="paragraph" w:customStyle="1" w:styleId="49">
    <w:name w:val="1级标题"/>
    <w:basedOn w:val="2"/>
    <w:qFormat/>
    <w:uiPriority w:val="0"/>
    <w:pPr>
      <w:keepNext w:val="0"/>
      <w:keepLines w:val="0"/>
      <w:tabs>
        <w:tab w:val="left" w:pos="360"/>
      </w:tabs>
      <w:spacing w:before="0" w:after="0" w:line="360" w:lineRule="auto"/>
    </w:pPr>
    <w:rPr>
      <w:rFonts w:ascii="黑体" w:eastAsia="黑体"/>
      <w:sz w:val="30"/>
      <w:szCs w:val="30"/>
    </w:rPr>
  </w:style>
  <w:style w:type="character" w:customStyle="1" w:styleId="50">
    <w:name w:val="hxtj3"/>
    <w:qFormat/>
    <w:uiPriority w:val="0"/>
    <w:rPr>
      <w:color w:val="000000"/>
      <w:sz w:val="18"/>
      <w:szCs w:val="18"/>
      <w:u w:val="none"/>
    </w:rPr>
  </w:style>
  <w:style w:type="paragraph" w:customStyle="1" w:styleId="51">
    <w:name w:val="表格中文字"/>
    <w:qFormat/>
    <w:uiPriority w:val="0"/>
    <w:pPr>
      <w:jc w:val="center"/>
    </w:pPr>
    <w:rPr>
      <w:rFonts w:ascii="Times New Roman" w:hAnsi="宋体" w:eastAsia="宋体" w:cs="Times New Roman"/>
      <w:kern w:val="18"/>
      <w:sz w:val="24"/>
      <w:szCs w:val="24"/>
      <w:lang w:val="en-US" w:eastAsia="zh-CN" w:bidi="ar-SA"/>
    </w:rPr>
  </w:style>
  <w:style w:type="paragraph" w:customStyle="1" w:styleId="52">
    <w:name w:val="正文文本 21"/>
    <w:basedOn w:val="1"/>
    <w:qFormat/>
    <w:uiPriority w:val="0"/>
    <w:pPr>
      <w:adjustRightInd w:val="0"/>
      <w:jc w:val="center"/>
      <w:textAlignment w:val="baseline"/>
    </w:pPr>
    <w:rPr>
      <w:sz w:val="24"/>
      <w:szCs w:val="20"/>
    </w:rPr>
  </w:style>
  <w:style w:type="paragraph" w:customStyle="1" w:styleId="53">
    <w:name w:val="正文4号"/>
    <w:qFormat/>
    <w:uiPriority w:val="0"/>
    <w:pPr>
      <w:widowControl w:val="0"/>
      <w:adjustRightInd w:val="0"/>
      <w:snapToGrid w:val="0"/>
      <w:spacing w:line="360" w:lineRule="auto"/>
      <w:ind w:firstLine="200" w:firstLineChars="200"/>
      <w:jc w:val="both"/>
    </w:pPr>
    <w:rPr>
      <w:rFonts w:ascii="Times New Roman" w:hAnsi="Times New Roman" w:eastAsia="Times New Roman" w:cs="Times New Roman"/>
      <w:kern w:val="2"/>
      <w:sz w:val="24"/>
      <w:szCs w:val="24"/>
      <w:lang w:val="en-US" w:eastAsia="zh-CN" w:bidi="ar-SA"/>
    </w:rPr>
  </w:style>
  <w:style w:type="paragraph" w:customStyle="1" w:styleId="54">
    <w:name w:val="文本"/>
    <w:basedOn w:val="1"/>
    <w:qFormat/>
    <w:uiPriority w:val="0"/>
    <w:pPr>
      <w:autoSpaceDE w:val="0"/>
      <w:autoSpaceDN w:val="0"/>
      <w:adjustRightInd w:val="0"/>
      <w:snapToGrid w:val="0"/>
      <w:spacing w:line="360" w:lineRule="auto"/>
      <w:ind w:firstLine="720" w:firstLineChars="200"/>
      <w:jc w:val="both"/>
    </w:pPr>
    <w:rPr>
      <w:rFonts w:ascii="Times New Roman" w:hAnsi="Times New Roman" w:eastAsia="宋体" w:cs="Times New Roman"/>
      <w:kern w:val="0"/>
      <w:sz w:val="24"/>
      <w:szCs w:val="21"/>
    </w:rPr>
  </w:style>
  <w:style w:type="paragraph" w:customStyle="1" w:styleId="55">
    <w:name w:val="表格标题"/>
    <w:basedOn w:val="1"/>
    <w:next w:val="56"/>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paragraph" w:customStyle="1" w:styleId="56">
    <w:name w:val="表格内容"/>
    <w:basedOn w:val="55"/>
    <w:next w:val="1"/>
    <w:qFormat/>
    <w:uiPriority w:val="0"/>
    <w:pPr>
      <w:adjustRightInd w:val="0"/>
      <w:snapToGrid w:val="0"/>
      <w:jc w:val="center"/>
    </w:pPr>
    <w:rPr>
      <w:rFonts w:ascii="Times New Roman" w:hAnsi="Times New Roman" w:eastAsia="宋体" w:cs="Times New Roman"/>
      <w:b w:val="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23.png"/><Relationship Id="rId3" Type="http://schemas.openxmlformats.org/officeDocument/2006/relationships/footer" Target="footer1.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jpe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19840</Words>
  <Characters>21324</Characters>
  <Lines>0</Lines>
  <Paragraphs>0</Paragraphs>
  <TotalTime>2</TotalTime>
  <ScaleCrop>false</ScaleCrop>
  <LinksUpToDate>false</LinksUpToDate>
  <CharactersWithSpaces>21421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2024-08-22T09:01:00Z</dcterms:created>
  <dc:creator>Administrator</dc:creator>
  <cp:lastModifiedBy>心明</cp:lastModifiedBy>
  <dcterms:modified xsi:type="dcterms:W3CDTF">2025-09-04T01:30:17Z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4A3BD9CCBAFD4D57B34DE85DC3703385_12</vt:lpwstr>
  </property>
  <property fmtid="{D5CDD505-2E9C-101B-9397-08002B2CF9AE}" pid="4" name="KSOTemplateDocerSaveRecord">
    <vt:lpwstr>eyJoZGlkIjoiZjUxYjI3MTgzZjdhZmY0ODA5ODY3ODQ0OTBhYWI2OTciLCJ1c2VySWQiOiIxOTg2MTAzMjQifQ==</vt:lpwstr>
  </property>
</Properties>
</file>