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70D1">
      <w:pPr>
        <w:rPr>
          <w:rFonts w:hint="default" w:ascii="Times New Roman" w:hAnsi="Times New Roman" w:eastAsia="仿宋_GB2312" w:cs="Times New Roman"/>
          <w:color w:val="000000" w:themeColor="text1"/>
          <w:sz w:val="36"/>
          <w:szCs w:val="36"/>
          <w:lang w:val="en-US" w:eastAsia="zh-CN"/>
          <w14:textFill>
            <w14:solidFill>
              <w14:schemeClr w14:val="tx1"/>
            </w14:solidFill>
          </w14:textFill>
        </w:rPr>
      </w:pPr>
      <w:r>
        <w:rPr>
          <w:rFonts w:hint="eastAsia" w:eastAsia="仿宋_GB2312" w:cs="Times New Roman"/>
          <w:color w:val="000000" w:themeColor="text1"/>
          <w:sz w:val="36"/>
          <w:szCs w:val="36"/>
          <w:lang w:val="en-US" w:eastAsia="zh-CN"/>
          <w14:textFill>
            <w14:solidFill>
              <w14:schemeClr w14:val="tx1"/>
            </w14:solidFill>
          </w14:textFill>
        </w:rPr>
        <w:t xml:space="preserve">  </w:t>
      </w:r>
    </w:p>
    <w:p w14:paraId="36AD0FC5">
      <w:pPr>
        <w:rPr>
          <w:rFonts w:hint="default" w:ascii="Times New Roman" w:hAnsi="Times New Roman" w:eastAsia="仿宋_GB2312" w:cs="Times New Roman"/>
          <w:color w:val="000000" w:themeColor="text1"/>
          <w:sz w:val="36"/>
          <w:szCs w:val="36"/>
          <w14:textFill>
            <w14:solidFill>
              <w14:schemeClr w14:val="tx1"/>
            </w14:solidFill>
          </w14:textFill>
        </w:rPr>
      </w:pPr>
    </w:p>
    <w:p w14:paraId="1B72409F">
      <w:pPr>
        <w:adjustRightInd w:val="0"/>
        <w:snapToGrid w:val="0"/>
        <w:jc w:val="center"/>
        <w:outlineLvl w:val="0"/>
        <w:rPr>
          <w:rFonts w:hint="eastAsia" w:ascii="宋体" w:hAnsi="宋体" w:eastAsia="宋体" w:cs="宋体"/>
          <w:b w:val="0"/>
          <w:bCs/>
          <w:color w:val="000000" w:themeColor="text1"/>
          <w:sz w:val="72"/>
          <w:szCs w:val="72"/>
          <w14:textFill>
            <w14:solidFill>
              <w14:schemeClr w14:val="tx1"/>
            </w14:solidFill>
          </w14:textFill>
        </w:rPr>
      </w:pPr>
      <w:bookmarkStart w:id="0" w:name="_Toc15902"/>
      <w:bookmarkStart w:id="1" w:name="_Toc17669"/>
      <w:bookmarkStart w:id="2" w:name="_Toc28210"/>
      <w:r>
        <w:rPr>
          <w:rFonts w:hint="eastAsia" w:ascii="宋体" w:hAnsi="宋体" w:eastAsia="宋体" w:cs="宋体"/>
          <w:b w:val="0"/>
          <w:bCs/>
          <w:color w:val="000000" w:themeColor="text1"/>
          <w:sz w:val="72"/>
          <w:szCs w:val="72"/>
          <w14:textFill>
            <w14:solidFill>
              <w14:schemeClr w14:val="tx1"/>
            </w14:solidFill>
          </w14:textFill>
        </w:rPr>
        <w:t>建设项目环境影响报告表</w:t>
      </w:r>
      <w:bookmarkEnd w:id="0"/>
      <w:bookmarkEnd w:id="1"/>
      <w:bookmarkEnd w:id="2"/>
    </w:p>
    <w:p w14:paraId="709251F2">
      <w:pPr>
        <w:adjustRightInd w:val="0"/>
        <w:snapToGrid w:val="0"/>
        <w:spacing w:before="192" w:beforeLines="80"/>
        <w:jc w:val="center"/>
        <w:rPr>
          <w:rFonts w:hint="default" w:ascii="Times New Roman" w:hAnsi="Times New Roman" w:eastAsia="楷体_GB2312" w:cs="Times New Roman"/>
          <w:bCs/>
          <w:color w:val="000000" w:themeColor="text1"/>
          <w:sz w:val="48"/>
          <w:szCs w:val="48"/>
          <w14:textFill>
            <w14:solidFill>
              <w14:schemeClr w14:val="tx1"/>
            </w14:solidFill>
          </w14:textFill>
        </w:rPr>
      </w:pPr>
      <w:r>
        <w:rPr>
          <w:rFonts w:hint="default" w:ascii="Times New Roman" w:hAnsi="Times New Roman" w:eastAsia="楷体_GB2312" w:cs="Times New Roman"/>
          <w:bCs/>
          <w:color w:val="000000" w:themeColor="text1"/>
          <w:sz w:val="48"/>
          <w:szCs w:val="48"/>
          <w14:textFill>
            <w14:solidFill>
              <w14:schemeClr w14:val="tx1"/>
            </w14:solidFill>
          </w14:textFill>
        </w:rPr>
        <w:t>（污染影响类）</w:t>
      </w:r>
    </w:p>
    <w:p w14:paraId="451C82F2">
      <w:pPr>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39146250">
      <w:pPr>
        <w:bidi w:val="0"/>
        <w:rPr>
          <w:rFonts w:hint="default"/>
        </w:rPr>
      </w:pPr>
    </w:p>
    <w:p w14:paraId="29E1B570">
      <w:pPr>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10F5A05F">
      <w:pPr>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12CE9939">
      <w:pPr>
        <w:ind w:firstLine="1040"/>
        <w:rPr>
          <w:rFonts w:hint="default" w:ascii="Times New Roman" w:hAnsi="Times New Roman" w:eastAsia="仿宋" w:cs="Times New Roman"/>
          <w:color w:val="000000" w:themeColor="text1"/>
          <w:sz w:val="44"/>
          <w:szCs w:val="44"/>
          <w14:textFill>
            <w14:solidFill>
              <w14:schemeClr w14:val="tx1"/>
            </w14:solidFill>
          </w14:textFill>
        </w:rPr>
      </w:pPr>
    </w:p>
    <w:p w14:paraId="657B3F4B">
      <w:pPr>
        <w:rPr>
          <w:rFonts w:hint="default" w:ascii="Times New Roman" w:hAnsi="Times New Roman" w:eastAsia="仿宋" w:cs="Times New Roman"/>
          <w:color w:val="000000" w:themeColor="text1"/>
          <w:sz w:val="44"/>
          <w:szCs w:val="44"/>
          <w14:textFill>
            <w14:solidFill>
              <w14:schemeClr w14:val="tx1"/>
            </w14:solidFill>
          </w14:textFill>
        </w:rPr>
      </w:pPr>
    </w:p>
    <w:p w14:paraId="6AC35DE2">
      <w:pPr>
        <w:rPr>
          <w:rFonts w:hint="default" w:ascii="Times New Roman" w:hAnsi="Times New Roman" w:eastAsia="仿宋" w:cs="Times New Roman"/>
          <w:color w:val="000000" w:themeColor="text1"/>
          <w:sz w:val="44"/>
          <w:szCs w:val="44"/>
          <w14:textFill>
            <w14:solidFill>
              <w14:schemeClr w14:val="tx1"/>
            </w14:solidFill>
          </w14:textFill>
        </w:rPr>
      </w:pPr>
    </w:p>
    <w:p w14:paraId="507CD2B5">
      <w:pPr>
        <w:rPr>
          <w:rFonts w:hint="default" w:ascii="Times New Roman" w:hAnsi="Times New Roman" w:eastAsia="仿宋" w:cs="Times New Roman"/>
          <w:color w:val="000000" w:themeColor="text1"/>
          <w:sz w:val="44"/>
          <w:szCs w:val="44"/>
          <w14:textFill>
            <w14:solidFill>
              <w14:schemeClr w14:val="tx1"/>
            </w14:solidFill>
          </w14:textFill>
        </w:rPr>
      </w:pPr>
    </w:p>
    <w:p w14:paraId="6EF7283C">
      <w:pPr>
        <w:keepNext w:val="0"/>
        <w:keepLines w:val="0"/>
        <w:pageBreakBefore w:val="0"/>
        <w:widowControl w:val="0"/>
        <w:kinsoku/>
        <w:wordWrap/>
        <w:overflowPunct/>
        <w:topLinePunct w:val="0"/>
        <w:autoSpaceDE/>
        <w:autoSpaceDN/>
        <w:bidi w:val="0"/>
        <w:adjustRightInd w:val="0"/>
        <w:snapToGrid w:val="0"/>
        <w:spacing w:line="312" w:lineRule="auto"/>
        <w:ind w:firstLine="283"/>
        <w:jc w:val="center"/>
        <w:textAlignment w:val="auto"/>
        <w:rPr>
          <w:rFonts w:hint="eastAsia" w:eastAsia="仿宋_GB2312" w:cs="Times New Roman"/>
          <w:color w:val="000000" w:themeColor="text1"/>
          <w:sz w:val="36"/>
          <w:szCs w:val="36"/>
          <w:u w:val="single"/>
          <w:lang w:val="en-US" w:eastAsia="zh-CN"/>
          <w14:textFill>
            <w14:solidFill>
              <w14:schemeClr w14:val="tx1"/>
            </w14:solidFill>
          </w14:textFill>
        </w:rPr>
      </w:pPr>
      <w:r>
        <w:rPr>
          <w:rFonts w:hint="default" w:ascii="Times New Roman" w:hAnsi="Times New Roman" w:eastAsia="仿宋_GB2312" w:cs="Times New Roman"/>
          <w:color w:val="000000" w:themeColor="text1"/>
          <w:sz w:val="36"/>
          <w:szCs w:val="36"/>
          <w14:textFill>
            <w14:solidFill>
              <w14:schemeClr w14:val="tx1"/>
            </w14:solidFill>
          </w14:textFill>
        </w:rPr>
        <w:t>项目名称：</w:t>
      </w:r>
      <w:r>
        <w:rPr>
          <w:rFonts w:hint="eastAsia" w:eastAsia="仿宋_GB2312" w:cs="Times New Roman"/>
          <w:color w:val="000000" w:themeColor="text1"/>
          <w:sz w:val="36"/>
          <w:szCs w:val="36"/>
          <w:u w:val="single"/>
          <w:lang w:val="en-US" w:eastAsia="zh-CN"/>
          <w14:textFill>
            <w14:solidFill>
              <w14:schemeClr w14:val="tx1"/>
            </w14:solidFill>
          </w14:textFill>
        </w:rPr>
        <w:t xml:space="preserve"> 年产10万吨电子、汽车、智能机器人等科技行业用铝型材项目（一期）</w:t>
      </w:r>
    </w:p>
    <w:p w14:paraId="68E2E9BA">
      <w:pPr>
        <w:keepNext w:val="0"/>
        <w:keepLines w:val="0"/>
        <w:pageBreakBefore w:val="0"/>
        <w:widowControl w:val="0"/>
        <w:kinsoku/>
        <w:wordWrap/>
        <w:overflowPunct/>
        <w:topLinePunct w:val="0"/>
        <w:autoSpaceDE/>
        <w:autoSpaceDN/>
        <w:bidi w:val="0"/>
        <w:adjustRightInd w:val="0"/>
        <w:snapToGrid w:val="0"/>
        <w:spacing w:line="312" w:lineRule="auto"/>
        <w:ind w:firstLine="283"/>
        <w:jc w:val="left"/>
        <w:textAlignment w:val="auto"/>
        <w:rPr>
          <w:rFonts w:hint="default" w:ascii="Times New Roman" w:hAnsi="Times New Roman" w:eastAsia="仿宋_GB2312" w:cs="Times New Roman"/>
          <w:color w:val="000000" w:themeColor="text1"/>
          <w:sz w:val="36"/>
          <w:szCs w:val="36"/>
          <w:u w:val="single"/>
          <w:lang w:val="en-US"/>
          <w14:textFill>
            <w14:solidFill>
              <w14:schemeClr w14:val="tx1"/>
            </w14:solidFill>
          </w14:textFill>
        </w:rPr>
      </w:pPr>
      <w:r>
        <w:rPr>
          <w:rFonts w:hint="default" w:ascii="Times New Roman" w:hAnsi="Times New Roman" w:eastAsia="仿宋_GB2312" w:cs="Times New Roman"/>
          <w:color w:val="000000" w:themeColor="text1"/>
          <w:sz w:val="36"/>
          <w:szCs w:val="36"/>
          <w14:textFill>
            <w14:solidFill>
              <w14:schemeClr w14:val="tx1"/>
            </w14:solidFill>
          </w14:textFill>
        </w:rPr>
        <w:t>建设单位（盖章）：</w:t>
      </w:r>
      <w:r>
        <w:rPr>
          <w:rFonts w:hint="eastAsia" w:eastAsia="仿宋_GB2312" w:cs="Times New Roman"/>
          <w:color w:val="000000" w:themeColor="text1"/>
          <w:sz w:val="36"/>
          <w:szCs w:val="36"/>
          <w:u w:val="single"/>
          <w:lang w:val="en-US" w:eastAsia="zh-CN"/>
          <w14:textFill>
            <w14:solidFill>
              <w14:schemeClr w14:val="tx1"/>
            </w14:solidFill>
          </w14:textFill>
        </w:rPr>
        <w:t>池州市金升铝业科技有限责任公司</w:t>
      </w:r>
      <w:r>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t xml:space="preserve">  </w:t>
      </w:r>
    </w:p>
    <w:p w14:paraId="3A5D80CE">
      <w:pPr>
        <w:keepNext w:val="0"/>
        <w:keepLines w:val="0"/>
        <w:pageBreakBefore w:val="0"/>
        <w:widowControl w:val="0"/>
        <w:kinsoku/>
        <w:wordWrap/>
        <w:overflowPunct/>
        <w:topLinePunct w:val="0"/>
        <w:autoSpaceDE/>
        <w:autoSpaceDN/>
        <w:bidi w:val="0"/>
        <w:adjustRightInd w:val="0"/>
        <w:snapToGrid w:val="0"/>
        <w:spacing w:line="312" w:lineRule="auto"/>
        <w:ind w:firstLine="283"/>
        <w:jc w:val="left"/>
        <w:textAlignment w:val="auto"/>
        <w:rPr>
          <w:rFonts w:hint="default" w:ascii="Times New Roman" w:hAnsi="Times New Roman" w:eastAsia="仿宋_GB2312" w:cs="Times New Roman"/>
          <w:color w:val="000000" w:themeColor="text1"/>
          <w:sz w:val="36"/>
          <w:szCs w:val="36"/>
          <w:u w:val="single"/>
          <w:lang w:val="en-US" w:eastAsia="zh-CN"/>
          <w14:textFill>
            <w14:solidFill>
              <w14:schemeClr w14:val="tx1"/>
            </w14:solidFill>
          </w14:textFill>
        </w:rPr>
      </w:pPr>
      <w:r>
        <w:rPr>
          <w:rFonts w:hint="default" w:ascii="Times New Roman" w:hAnsi="Times New Roman" w:eastAsia="仿宋_GB2312" w:cs="Times New Roman"/>
          <w:color w:val="000000" w:themeColor="text1"/>
          <w:sz w:val="36"/>
          <w:szCs w:val="36"/>
          <w14:textFill>
            <w14:solidFill>
              <w14:schemeClr w14:val="tx1"/>
            </w14:solidFill>
          </w14:textFill>
        </w:rPr>
        <w:t>编制日期：</w:t>
      </w:r>
      <w:r>
        <w:rPr>
          <w:rFonts w:hint="default" w:ascii="Times New Roman" w:hAnsi="Times New Roman" w:eastAsia="仿宋_GB2312" w:cs="Times New Roman"/>
          <w:color w:val="000000" w:themeColor="text1"/>
          <w:sz w:val="36"/>
          <w:szCs w:val="36"/>
          <w:u w:val="single"/>
          <w14:textFill>
            <w14:solidFill>
              <w14:schemeClr w14:val="tx1"/>
            </w14:solidFill>
          </w14:textFill>
        </w:rPr>
        <w:t xml:space="preserve">    </w:t>
      </w:r>
      <w:r>
        <w:rPr>
          <w:rFonts w:hint="eastAsia" w:eastAsia="仿宋_GB2312" w:cs="Times New Roman"/>
          <w:color w:val="000000" w:themeColor="text1"/>
          <w:sz w:val="36"/>
          <w:szCs w:val="36"/>
          <w:u w:val="single"/>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z w:val="36"/>
          <w:szCs w:val="36"/>
          <w:u w:val="single"/>
          <w14:textFill>
            <w14:solidFill>
              <w14:schemeClr w14:val="tx1"/>
            </w14:solidFill>
          </w14:textFill>
        </w:rPr>
        <w:t>202</w:t>
      </w:r>
      <w:r>
        <w:rPr>
          <w:rFonts w:hint="eastAsia" w:eastAsia="仿宋_GB2312" w:cs="Times New Roman"/>
          <w:color w:val="000000" w:themeColor="text1"/>
          <w:sz w:val="36"/>
          <w:szCs w:val="36"/>
          <w:u w:val="single"/>
          <w:lang w:val="en-US" w:eastAsia="zh-CN"/>
          <w14:textFill>
            <w14:solidFill>
              <w14:schemeClr w14:val="tx1"/>
            </w14:solidFill>
          </w14:textFill>
        </w:rPr>
        <w:t>5</w:t>
      </w:r>
      <w:r>
        <w:rPr>
          <w:rFonts w:hint="default" w:ascii="Times New Roman" w:hAnsi="Times New Roman" w:eastAsia="仿宋_GB2312" w:cs="Times New Roman"/>
          <w:color w:val="000000" w:themeColor="text1"/>
          <w:sz w:val="36"/>
          <w:szCs w:val="36"/>
          <w:u w:val="single"/>
          <w14:textFill>
            <w14:solidFill>
              <w14:schemeClr w14:val="tx1"/>
            </w14:solidFill>
          </w14:textFill>
        </w:rPr>
        <w:t>年</w:t>
      </w:r>
      <w:r>
        <w:rPr>
          <w:rFonts w:hint="eastAsia" w:eastAsia="仿宋_GB2312" w:cs="Times New Roman"/>
          <w:color w:val="000000" w:themeColor="text1"/>
          <w:sz w:val="36"/>
          <w:szCs w:val="36"/>
          <w:u w:val="single"/>
          <w:lang w:val="en-US" w:eastAsia="zh-CN"/>
          <w14:textFill>
            <w14:solidFill>
              <w14:schemeClr w14:val="tx1"/>
            </w14:solidFill>
          </w14:textFill>
        </w:rPr>
        <w:t>9</w:t>
      </w:r>
      <w:r>
        <w:rPr>
          <w:rFonts w:hint="default" w:ascii="Times New Roman" w:hAnsi="Times New Roman" w:eastAsia="仿宋_GB2312" w:cs="Times New Roman"/>
          <w:color w:val="000000" w:themeColor="text1"/>
          <w:sz w:val="36"/>
          <w:szCs w:val="36"/>
          <w:u w:val="single"/>
          <w14:textFill>
            <w14:solidFill>
              <w14:schemeClr w14:val="tx1"/>
            </w14:solidFill>
          </w14:textFill>
        </w:rPr>
        <w:t>月</w:t>
      </w:r>
      <w:r>
        <w:rPr>
          <w:rFonts w:hint="default" w:ascii="Times New Roman" w:hAnsi="Times New Roman" w:eastAsia="仿宋_GB2312" w:cs="Times New Roman"/>
          <w:color w:val="000000" w:themeColor="text1"/>
          <w:sz w:val="36"/>
          <w:szCs w:val="36"/>
          <w:u w:val="single" w:color="000000" w:themeColor="text1"/>
          <w14:textFill>
            <w14:solidFill>
              <w14:schemeClr w14:val="tx1"/>
            </w14:solidFill>
          </w14:textFill>
        </w:rPr>
        <w:t xml:space="preserve">  </w:t>
      </w:r>
      <w:r>
        <w:rPr>
          <w:rFonts w:hint="default" w:ascii="Times New Roman" w:hAnsi="Times New Roman" w:eastAsia="仿宋_GB2312" w:cs="Times New Roman"/>
          <w:color w:val="000000" w:themeColor="text1"/>
          <w:sz w:val="36"/>
          <w:szCs w:val="36"/>
          <w:u w:val="single" w:color="000000" w:themeColor="text1"/>
          <w:lang w:val="en-US" w:eastAsia="zh-CN"/>
          <w14:textFill>
            <w14:solidFill>
              <w14:schemeClr w14:val="tx1"/>
            </w14:solidFill>
          </w14:textFill>
        </w:rPr>
        <w:t xml:space="preserve">     </w:t>
      </w:r>
      <w:r>
        <w:rPr>
          <w:rFonts w:hint="eastAsia" w:eastAsia="仿宋_GB2312" w:cs="Times New Roman"/>
          <w:color w:val="000000" w:themeColor="text1"/>
          <w:sz w:val="36"/>
          <w:szCs w:val="36"/>
          <w:u w:val="single" w:color="000000" w:themeColor="text1"/>
          <w:lang w:val="en-US" w:eastAsia="zh-CN"/>
          <w14:textFill>
            <w14:solidFill>
              <w14:schemeClr w14:val="tx1"/>
            </w14:solidFill>
          </w14:textFill>
        </w:rPr>
        <w:t xml:space="preserve">     </w:t>
      </w:r>
    </w:p>
    <w:p w14:paraId="73391AC2">
      <w:pPr>
        <w:adjustRightInd w:val="0"/>
        <w:snapToGrid w:val="0"/>
        <w:spacing w:line="288" w:lineRule="auto"/>
        <w:ind w:firstLine="1040"/>
        <w:rPr>
          <w:rFonts w:hint="default" w:ascii="Times New Roman" w:hAnsi="Times New Roman" w:eastAsia="仿宋_GB2312" w:cs="Times New Roman"/>
          <w:color w:val="000000" w:themeColor="text1"/>
          <w:sz w:val="36"/>
          <w:szCs w:val="36"/>
          <w14:textFill>
            <w14:solidFill>
              <w14:schemeClr w14:val="tx1"/>
            </w14:solidFill>
          </w14:textFill>
        </w:rPr>
      </w:pPr>
      <w:bookmarkStart w:id="3" w:name="_Hlk57884087"/>
    </w:p>
    <w:p w14:paraId="4C5BCD1D">
      <w:pPr>
        <w:adjustRightInd w:val="0"/>
        <w:snapToGrid w:val="0"/>
        <w:spacing w:line="288" w:lineRule="auto"/>
        <w:ind w:firstLine="1040"/>
        <w:rPr>
          <w:rFonts w:hint="default" w:ascii="Times New Roman" w:hAnsi="Times New Roman" w:eastAsia="仿宋_GB2312" w:cs="Times New Roman"/>
          <w:color w:val="000000" w:themeColor="text1"/>
          <w:sz w:val="36"/>
          <w:szCs w:val="36"/>
          <w14:textFill>
            <w14:solidFill>
              <w14:schemeClr w14:val="tx1"/>
            </w14:solidFill>
          </w14:textFill>
        </w:rPr>
      </w:pPr>
    </w:p>
    <w:p w14:paraId="03930BFE">
      <w:pPr>
        <w:keepNext w:val="0"/>
        <w:keepLines w:val="0"/>
        <w:pageBreakBefore w:val="0"/>
        <w:widowControl w:val="0"/>
        <w:kinsoku/>
        <w:wordWrap/>
        <w:overflowPunct/>
        <w:topLinePunct w:val="0"/>
        <w:autoSpaceDE/>
        <w:autoSpaceDN/>
        <w:bidi w:val="0"/>
        <w:adjustRightInd w:val="0"/>
        <w:snapToGrid w:val="0"/>
        <w:ind w:firstLine="0"/>
        <w:textAlignment w:val="auto"/>
        <w:rPr>
          <w:rFonts w:hint="default" w:ascii="Times New Roman" w:hAnsi="Times New Roman" w:cs="Times New Roman"/>
          <w:color w:val="000000" w:themeColor="text1"/>
          <w14:textFill>
            <w14:solidFill>
              <w14:schemeClr w14:val="tx1"/>
            </w14:solidFill>
          </w14:textFill>
        </w:rPr>
      </w:pPr>
    </w:p>
    <w:bookmarkEnd w:id="3"/>
    <w:p w14:paraId="4184E4C6">
      <w:pPr>
        <w:adjustRightInd w:val="0"/>
        <w:snapToGrid w:val="0"/>
        <w:spacing w:line="288" w:lineRule="auto"/>
        <w:jc w:val="center"/>
        <w:outlineLvl w:val="0"/>
        <w:rPr>
          <w:rFonts w:hint="default" w:ascii="Times New Roman" w:hAnsi="Times New Roman" w:eastAsia="楷体_GB2312" w:cs="Times New Roman"/>
          <w:color w:val="000000" w:themeColor="text1"/>
          <w:sz w:val="36"/>
          <w:szCs w:val="36"/>
          <w14:textFill>
            <w14:solidFill>
              <w14:schemeClr w14:val="tx1"/>
            </w14:solidFill>
          </w14:textFill>
        </w:rPr>
      </w:pPr>
      <w:bookmarkStart w:id="4" w:name="_Toc303"/>
      <w:bookmarkStart w:id="5" w:name="_Toc26512"/>
      <w:bookmarkStart w:id="6" w:name="_Toc11738"/>
      <w:r>
        <w:rPr>
          <w:rFonts w:hint="default" w:ascii="Times New Roman" w:hAnsi="Times New Roman" w:eastAsia="楷体_GB2312" w:cs="Times New Roman"/>
          <w:color w:val="000000" w:themeColor="text1"/>
          <w:sz w:val="36"/>
          <w:szCs w:val="36"/>
          <w14:textFill>
            <w14:solidFill>
              <w14:schemeClr w14:val="tx1"/>
            </w14:solidFill>
          </w14:textFill>
        </w:rPr>
        <w:t>中华人民共和国生态环境部制</w:t>
      </w:r>
      <w:bookmarkEnd w:id="4"/>
      <w:bookmarkEnd w:id="5"/>
      <w:bookmarkEnd w:id="6"/>
    </w:p>
    <w:p w14:paraId="5698CB49">
      <w:pPr>
        <w:adjustRightInd w:val="0"/>
        <w:snapToGrid w:val="0"/>
        <w:spacing w:line="288" w:lineRule="auto"/>
        <w:ind w:firstLine="1040"/>
        <w:rPr>
          <w:rFonts w:hint="default" w:ascii="Times New Roman" w:hAnsi="Times New Roman" w:eastAsia="仿宋_GB2312" w:cs="Times New Roman"/>
          <w:color w:val="000000" w:themeColor="text1"/>
          <w:sz w:val="36"/>
          <w:szCs w:val="36"/>
          <w14:textFill>
            <w14:solidFill>
              <w14:schemeClr w14:val="tx1"/>
            </w14:solidFill>
          </w14:textFill>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p>
    <w:sdt>
      <w:sdtPr>
        <w:rPr>
          <w:rFonts w:ascii="宋体" w:hAnsi="宋体" w:eastAsia="宋体" w:cs="Times New Roman"/>
          <w:b/>
          <w:bCs/>
          <w:color w:val="000000" w:themeColor="text1"/>
          <w:kern w:val="2"/>
          <w:sz w:val="36"/>
          <w:szCs w:val="36"/>
          <w:lang w:val="en-US" w:eastAsia="zh-CN" w:bidi="ar-SA"/>
          <w14:textFill>
            <w14:solidFill>
              <w14:schemeClr w14:val="tx1"/>
            </w14:solidFill>
          </w14:textFill>
        </w:rPr>
        <w:id w:val="147456395"/>
        <w15:color w:val="DBDBDB"/>
        <w:docPartObj>
          <w:docPartGallery w:val="Table of Contents"/>
          <w:docPartUnique/>
        </w:docPartObj>
      </w:sdtPr>
      <w:sdtEndPr>
        <w:rPr>
          <w:rFonts w:ascii="Times New Roman" w:hAnsi="Times New Roman" w:eastAsia="宋体" w:cs="Times New Roman"/>
          <w:b/>
          <w:bCs/>
          <w:color w:val="000000" w:themeColor="text1"/>
          <w:kern w:val="2"/>
          <w:sz w:val="21"/>
          <w:szCs w:val="24"/>
          <w:lang w:val="en-US" w:eastAsia="zh-CN" w:bidi="ar-SA"/>
          <w14:textFill>
            <w14:solidFill>
              <w14:schemeClr w14:val="tx1"/>
            </w14:solidFill>
          </w14:textFill>
        </w:rPr>
      </w:sdtEndPr>
      <w:sdtContent>
        <w:p w14:paraId="45807055">
          <w:pPr>
            <w:spacing w:before="0" w:beforeLines="0" w:after="0" w:afterLines="0" w:line="240" w:lineRule="auto"/>
            <w:ind w:left="0" w:leftChars="0" w:right="0" w:rightChars="0" w:firstLine="0" w:firstLineChars="0"/>
            <w:jc w:val="center"/>
            <w:rPr>
              <w:color w:val="000000" w:themeColor="text1"/>
              <w:sz w:val="28"/>
              <w:szCs w:val="28"/>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t>目录</w:t>
          </w:r>
        </w:p>
        <w:p w14:paraId="5EFBD6E3">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TOC \o "1-1" \h \u </w:instrText>
          </w:r>
          <w:r>
            <w:rPr>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_Toc6194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一、建设项目基本情况</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_Toc6194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32E899FC">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_Toc8054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二、建设项目工程分析</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_Toc8054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23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701E8FF0">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_Toc7667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三</w:t>
          </w:r>
          <w:r>
            <w:rPr>
              <w:rFonts w:hint="default" w:ascii="Times New Roman" w:hAnsi="Times New Roman" w:eastAsia="宋体" w:cs="Times New Roman"/>
              <w:snapToGrid w:val="0"/>
              <w:color w:val="000000" w:themeColor="text1"/>
              <w:sz w:val="24"/>
              <w:szCs w:val="24"/>
              <w14:textFill>
                <w14:solidFill>
                  <w14:schemeClr w14:val="tx1"/>
                </w14:solidFill>
              </w14:textFill>
            </w:rPr>
            <w:t>、</w:t>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区域环境质量现状、环境保护目标及评价标准</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_Toc7667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32</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5362525D">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_Toc14861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四、主要环境影响和保护措施</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_Toc14861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37</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655B4BFA">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_Toc25020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五</w:t>
          </w:r>
          <w:r>
            <w:rPr>
              <w:rFonts w:hint="default" w:ascii="Times New Roman" w:hAnsi="Times New Roman" w:eastAsia="宋体" w:cs="Times New Roman"/>
              <w:snapToGrid w:val="0"/>
              <w:color w:val="000000" w:themeColor="text1"/>
              <w:sz w:val="24"/>
              <w:szCs w:val="24"/>
              <w14:textFill>
                <w14:solidFill>
                  <w14:schemeClr w14:val="tx1"/>
                </w14:solidFill>
              </w14:textFill>
            </w:rPr>
            <w:t>、</w:t>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环境保护措施监督检查清单</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_Toc25020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63</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3894C90B">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_Toc28327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六</w:t>
          </w:r>
          <w:r>
            <w:rPr>
              <w:rFonts w:hint="default" w:ascii="Times New Roman" w:hAnsi="Times New Roman" w:eastAsia="宋体" w:cs="Times New Roman"/>
              <w:snapToGrid w:val="0"/>
              <w:color w:val="000000" w:themeColor="text1"/>
              <w:sz w:val="24"/>
              <w:szCs w:val="24"/>
              <w14:textFill>
                <w14:solidFill>
                  <w14:schemeClr w14:val="tx1"/>
                </w14:solidFill>
              </w14:textFill>
            </w:rPr>
            <w:t>、</w:t>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结论</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_Toc28327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66</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681445BC">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_Toc5166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七</w:t>
          </w:r>
          <w:r>
            <w:rPr>
              <w:rFonts w:hint="default" w:ascii="Times New Roman" w:hAnsi="Times New Roman" w:eastAsia="宋体" w:cs="Times New Roman"/>
              <w:snapToGrid w:val="0"/>
              <w:color w:val="000000" w:themeColor="text1"/>
              <w:sz w:val="24"/>
              <w:szCs w:val="24"/>
              <w14:textFill>
                <w14:solidFill>
                  <w14:schemeClr w14:val="tx1"/>
                </w14:solidFill>
              </w14:textFill>
            </w:rPr>
            <w:t>、</w:t>
          </w:r>
          <w:r>
            <w:rPr>
              <w:rFonts w:hint="default" w:ascii="Times New Roman" w:hAnsi="Times New Roman" w:eastAsia="宋体" w:cs="Times New Roman"/>
              <w:snapToGrid w:val="0"/>
              <w:color w:val="000000" w:themeColor="text1"/>
              <w:sz w:val="24"/>
              <w:szCs w:val="24"/>
              <w:lang w:val="en-US" w:eastAsia="zh-CN"/>
              <w14:textFill>
                <w14:solidFill>
                  <w14:schemeClr w14:val="tx1"/>
                </w14:solidFill>
              </w14:textFill>
            </w:rPr>
            <w:t>排污许可申请与填报信息表</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_Toc5166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67</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3A9B4336">
          <w:pPr>
            <w:pStyle w:val="45"/>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HYPERLINK \l _Toc30260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snapToGrid w:val="0"/>
              <w:color w:val="000000" w:themeColor="text1"/>
              <w:sz w:val="24"/>
              <w:szCs w:val="24"/>
              <w14:textFill>
                <w14:solidFill>
                  <w14:schemeClr w14:val="tx1"/>
                </w14:solidFill>
              </w14:textFill>
            </w:rPr>
            <w:t>建设项目污染物排放量汇总表</w:t>
          </w:r>
          <w:r>
            <w:rPr>
              <w:rFonts w:hint="default" w:ascii="Times New Roman" w:hAnsi="Times New Roman" w:eastAsia="宋体" w:cs="Times New Roman"/>
              <w:color w:val="000000" w:themeColor="text1"/>
              <w:sz w:val="24"/>
              <w:szCs w:val="24"/>
              <w14:textFill>
                <w14:solidFill>
                  <w14:schemeClr w14:val="tx1"/>
                </w14:solidFill>
              </w14:textFill>
            </w:rPr>
            <w:tab/>
          </w:r>
          <w:r>
            <w:rPr>
              <w:rFonts w:hint="default" w:ascii="Times New Roman" w:hAnsi="Times New Roman" w:eastAsia="宋体" w:cs="Times New Roman"/>
              <w:color w:val="000000" w:themeColor="text1"/>
              <w:sz w:val="24"/>
              <w:szCs w:val="24"/>
              <w14:textFill>
                <w14:solidFill>
                  <w14:schemeClr w14:val="tx1"/>
                </w14:solidFill>
              </w14:textFill>
            </w:rPr>
            <w:fldChar w:fldCharType="begin"/>
          </w:r>
          <w:r>
            <w:rPr>
              <w:rFonts w:hint="default" w:ascii="Times New Roman" w:hAnsi="Times New Roman" w:eastAsia="宋体" w:cs="Times New Roman"/>
              <w:color w:val="000000" w:themeColor="text1"/>
              <w:sz w:val="24"/>
              <w:szCs w:val="24"/>
              <w14:textFill>
                <w14:solidFill>
                  <w14:schemeClr w14:val="tx1"/>
                </w14:solidFill>
              </w14:textFill>
            </w:rPr>
            <w:instrText xml:space="preserve"> PAGEREF _Toc30260 \h </w:instrText>
          </w:r>
          <w:r>
            <w:rPr>
              <w:rFonts w:hint="default" w:ascii="Times New Roman" w:hAnsi="Times New Roman" w:eastAsia="宋体" w:cs="Times New Roman"/>
              <w:color w:val="000000" w:themeColor="text1"/>
              <w:sz w:val="24"/>
              <w:szCs w:val="24"/>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14:textFill>
                <w14:solidFill>
                  <w14:schemeClr w14:val="tx1"/>
                </w14:solidFill>
              </w14:textFill>
            </w:rPr>
            <w:t>68</w:t>
          </w:r>
          <w:r>
            <w:rPr>
              <w:rFonts w:hint="default" w:ascii="Times New Roman" w:hAnsi="Times New Roman" w:eastAsia="宋体" w:cs="Times New Roman"/>
              <w:color w:val="000000" w:themeColor="text1"/>
              <w:sz w:val="24"/>
              <w:szCs w:val="24"/>
              <w14:textFill>
                <w14:solidFill>
                  <w14:schemeClr w14:val="tx1"/>
                </w14:solidFill>
              </w14:textFill>
            </w:rPr>
            <w:fldChar w:fldCharType="end"/>
          </w:r>
          <w:r>
            <w:rPr>
              <w:rFonts w:hint="default" w:ascii="Times New Roman" w:hAnsi="Times New Roman" w:eastAsia="宋体" w:cs="Times New Roman"/>
              <w:color w:val="000000" w:themeColor="text1"/>
              <w:sz w:val="24"/>
              <w:szCs w:val="24"/>
              <w14:textFill>
                <w14:solidFill>
                  <w14:schemeClr w14:val="tx1"/>
                </w14:solidFill>
              </w14:textFill>
            </w:rPr>
            <w:fldChar w:fldCharType="end"/>
          </w:r>
        </w:p>
        <w:p w14:paraId="73B43D62">
          <w:pPr>
            <w:keepNext w:val="0"/>
            <w:keepLines w:val="0"/>
            <w:pageBreakBefore w:val="0"/>
            <w:widowControl w:val="0"/>
            <w:kinsoku/>
            <w:wordWrap/>
            <w:overflowPunct/>
            <w:topLinePunct w:val="0"/>
            <w:autoSpaceDE/>
            <w:autoSpaceDN/>
            <w:bidi w:val="0"/>
            <w:adjustRightInd/>
            <w:snapToGrid/>
            <w:spacing w:before="313" w:beforeLines="100"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color w:val="000000" w:themeColor="text1"/>
              <w:sz w:val="28"/>
              <w:szCs w:val="28"/>
              <w14:textFill>
                <w14:solidFill>
                  <w14:schemeClr w14:val="tx1"/>
                </w14:solidFill>
              </w14:textFill>
            </w:rPr>
            <w:fldChar w:fldCharType="end"/>
          </w:r>
          <w:r>
            <w:rPr>
              <w:rFonts w:hint="default" w:ascii="Times New Roman" w:hAnsi="Times New Roman" w:cs="Times New Roman"/>
              <w:color w:val="000000" w:themeColor="text1"/>
              <w:sz w:val="24"/>
              <w:szCs w:val="24"/>
              <w:lang w:val="en-US" w:eastAsia="zh-CN"/>
              <w14:textFill>
                <w14:solidFill>
                  <w14:schemeClr w14:val="tx1"/>
                </w14:solidFill>
              </w14:textFill>
            </w:rPr>
            <w:t>附件：</w:t>
          </w:r>
        </w:p>
        <w:p w14:paraId="26EA3DA0">
          <w:pPr>
            <w:pStyle w:val="43"/>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附件1  环评委托书</w:t>
          </w:r>
        </w:p>
        <w:p w14:paraId="0655586E">
          <w:pPr>
            <w:pStyle w:val="43"/>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附件2  </w:t>
          </w:r>
          <w:r>
            <w:rPr>
              <w:rFonts w:hint="default" w:ascii="Times New Roman" w:hAnsi="Times New Roman" w:cs="Times New Roman"/>
              <w:color w:val="000000" w:themeColor="text1"/>
              <w:sz w:val="24"/>
              <w:szCs w:val="24"/>
              <w:lang w:val="en-US" w:eastAsia="zh-CN"/>
              <w14:textFill>
                <w14:solidFill>
                  <w14:schemeClr w14:val="tx1"/>
                </w14:solidFill>
              </w14:textFill>
            </w:rPr>
            <w:t>项目备案表</w:t>
          </w:r>
        </w:p>
        <w:p w14:paraId="072520A3">
          <w:pPr>
            <w:pStyle w:val="43"/>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附件3  </w:t>
          </w:r>
          <w:r>
            <w:rPr>
              <w:rFonts w:hint="eastAsia" w:cs="Times New Roman"/>
              <w:color w:val="000000" w:themeColor="text1"/>
              <w:sz w:val="24"/>
              <w:szCs w:val="24"/>
              <w:lang w:val="en-US" w:eastAsia="zh-CN"/>
              <w14:textFill>
                <w14:solidFill>
                  <w14:schemeClr w14:val="tx1"/>
                </w14:solidFill>
              </w14:textFill>
            </w:rPr>
            <w:t>厂房租赁合同及土地证</w:t>
          </w:r>
        </w:p>
        <w:p w14:paraId="7636FC1B">
          <w:pPr>
            <w:pStyle w:val="43"/>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附件4  环境现状监测报告</w:t>
          </w:r>
        </w:p>
        <w:p w14:paraId="776554D7">
          <w:pPr>
            <w:pStyle w:val="43"/>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附件5  </w:t>
          </w:r>
          <w:r>
            <w:rPr>
              <w:rFonts w:hint="eastAsia"/>
              <w:lang w:val="en-US" w:eastAsia="zh-CN"/>
            </w:rPr>
            <w:t>池州市人民政府关于进一步明确皖江江南新兴产业集中区、池州经济技术开发区主导产业的批复</w:t>
          </w:r>
        </w:p>
        <w:p w14:paraId="15BF6F84">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textAlignment w:val="auto"/>
            <w:rPr>
              <w:rFonts w:hint="default" w:cs="Times New Roman"/>
              <w:color w:val="000000" w:themeColor="text1"/>
              <w:sz w:val="24"/>
              <w:szCs w:val="24"/>
              <w:lang w:val="en-US" w:eastAsia="zh-CN"/>
              <w14:textFill>
                <w14:solidFill>
                  <w14:schemeClr w14:val="tx1"/>
                </w14:solidFill>
              </w14:textFill>
            </w:rPr>
          </w:pPr>
        </w:p>
        <w:p w14:paraId="6C0C9BE7">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w:t>
          </w:r>
        </w:p>
        <w:p w14:paraId="7D30DFB2">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附图1  项目地理位置图</w:t>
          </w:r>
        </w:p>
        <w:p w14:paraId="1771D8BF">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附图2  皖江江南产业集中区用地布局图</w:t>
          </w:r>
        </w:p>
        <w:p w14:paraId="5AB2995E">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附图3  项目周边环境示意图</w:t>
          </w:r>
        </w:p>
        <w:p w14:paraId="11E588D3">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附图4  项目平面布置图</w:t>
          </w:r>
        </w:p>
        <w:p w14:paraId="50CDF6A2">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w:t>
          </w:r>
          <w:r>
            <w:rPr>
              <w:rFonts w:hint="eastAsia" w:cs="Times New Roman"/>
              <w:color w:val="000000" w:themeColor="text1"/>
              <w:sz w:val="24"/>
              <w:szCs w:val="24"/>
              <w:lang w:val="en-US" w:eastAsia="zh-CN"/>
              <w14:textFill>
                <w14:solidFill>
                  <w14:schemeClr w14:val="tx1"/>
                </w14:solidFill>
              </w14:textFill>
            </w:rPr>
            <w:t>5</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cs="Times New Roman"/>
              <w:color w:val="000000" w:themeColor="text1"/>
              <w:sz w:val="24"/>
              <w:szCs w:val="24"/>
              <w:lang w:val="en-US" w:eastAsia="zh-CN"/>
              <w14:textFill>
                <w14:solidFill>
                  <w14:schemeClr w14:val="tx1"/>
                </w14:solidFill>
              </w14:textFill>
            </w:rPr>
            <w:t>项目</w:t>
          </w:r>
          <w:r>
            <w:rPr>
              <w:rFonts w:hint="default" w:ascii="Times New Roman" w:hAnsi="Times New Roman" w:cs="Times New Roman"/>
              <w:color w:val="000000" w:themeColor="text1"/>
              <w:sz w:val="24"/>
              <w:szCs w:val="24"/>
              <w:lang w:val="en-US" w:eastAsia="zh-CN"/>
              <w14:textFill>
                <w14:solidFill>
                  <w14:schemeClr w14:val="tx1"/>
                </w14:solidFill>
              </w14:textFill>
            </w:rPr>
            <w:t>废气收集管线图</w:t>
          </w:r>
        </w:p>
        <w:p w14:paraId="6635C7E4">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附图</w:t>
          </w:r>
          <w:r>
            <w:rPr>
              <w:rFonts w:hint="eastAsia" w:cs="Times New Roman"/>
              <w:color w:val="000000" w:themeColor="text1"/>
              <w:sz w:val="24"/>
              <w:szCs w:val="24"/>
              <w:lang w:val="en-US" w:eastAsia="zh-CN"/>
              <w14:textFill>
                <w14:solidFill>
                  <w14:schemeClr w14:val="tx1"/>
                </w14:solidFill>
              </w14:textFill>
            </w:rPr>
            <w:t>6</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项目</w:t>
          </w:r>
          <w:r>
            <w:rPr>
              <w:rFonts w:hint="eastAsia" w:cs="Times New Roman"/>
              <w:color w:val="000000" w:themeColor="text1"/>
              <w:sz w:val="24"/>
              <w:szCs w:val="24"/>
              <w:lang w:val="en-US" w:eastAsia="zh-CN"/>
              <w14:textFill>
                <w14:solidFill>
                  <w14:schemeClr w14:val="tx1"/>
                </w14:solidFill>
              </w14:textFill>
            </w:rPr>
            <w:t>分区防渗</w:t>
          </w:r>
          <w:r>
            <w:rPr>
              <w:rFonts w:hint="default" w:ascii="Times New Roman" w:hAnsi="Times New Roman" w:cs="Times New Roman"/>
              <w:color w:val="000000" w:themeColor="text1"/>
              <w:sz w:val="24"/>
              <w:szCs w:val="24"/>
              <w:lang w:val="en-US" w:eastAsia="zh-CN"/>
              <w14:textFill>
                <w14:solidFill>
                  <w14:schemeClr w14:val="tx1"/>
                </w14:solidFill>
              </w14:textFill>
            </w:rPr>
            <w:t>图</w:t>
          </w:r>
        </w:p>
        <w:p w14:paraId="1EB3A247">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pPr>
          <w:r>
            <w:rPr>
              <w:rFonts w:hint="default" w:ascii="Times New Roman" w:hAnsi="Times New Roman" w:cs="Times New Roman"/>
              <w:color w:val="000000" w:themeColor="text1"/>
              <w:sz w:val="24"/>
              <w:szCs w:val="24"/>
              <w:lang w:val="en-US" w:eastAsia="zh-CN"/>
              <w14:textFill>
                <w14:solidFill>
                  <w14:schemeClr w14:val="tx1"/>
                </w14:solidFill>
              </w14:textFill>
            </w:rPr>
            <w:t>附图</w:t>
          </w:r>
          <w:r>
            <w:rPr>
              <w:rFonts w:hint="eastAsia" w:cs="Times New Roman"/>
              <w:color w:val="000000" w:themeColor="text1"/>
              <w:sz w:val="24"/>
              <w:szCs w:val="24"/>
              <w:lang w:val="en-US" w:eastAsia="zh-CN"/>
              <w14:textFill>
                <w14:solidFill>
                  <w14:schemeClr w14:val="tx1"/>
                </w14:solidFill>
              </w14:textFill>
            </w:rPr>
            <w:t>7</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lang w:val="en-US" w:eastAsia="zh-CN"/>
            </w:rPr>
            <w:t>池州市生态红线保护及分区管控图</w:t>
          </w:r>
          <w:bookmarkStart w:id="7" w:name="_Toc6194"/>
        </w:p>
      </w:sdtContent>
    </w:sdt>
    <w:p w14:paraId="537B21D1">
      <w:pPr>
        <w:jc w:val="center"/>
        <w:outlineLvl w:val="0"/>
        <w:rPr>
          <w:rFonts w:hint="eastAsia" w:ascii="黑体" w:hAnsi="黑体" w:eastAsia="黑体" w:cs="黑体"/>
          <w:color w:val="000000" w:themeColor="text1"/>
          <w:sz w:val="30"/>
          <w:szCs w:val="30"/>
          <w:lang w:val="en-US" w:eastAsia="zh-CN"/>
          <w14:textFill>
            <w14:solidFill>
              <w14:schemeClr w14:val="tx1"/>
            </w14:solidFill>
          </w14:textFill>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01906900">
      <w:pPr>
        <w:jc w:val="center"/>
        <w:outlineLvl w:val="0"/>
        <w:rPr>
          <w:rFonts w:hint="eastAsia" w:ascii="黑体" w:hAnsi="黑体" w:eastAsia="黑体" w:cs="黑体"/>
          <w:color w:val="000000" w:themeColor="text1"/>
          <w:sz w:val="30"/>
          <w:szCs w:val="30"/>
          <w:lang w:val="en-US" w:eastAsia="zh-CN"/>
          <w14:textFill>
            <w14:solidFill>
              <w14:schemeClr w14:val="tx1"/>
            </w14:solidFill>
          </w14:textFill>
        </w:rPr>
      </w:pPr>
      <w:r>
        <w:rPr>
          <w:rFonts w:hint="eastAsia" w:ascii="黑体" w:hAnsi="黑体" w:eastAsia="黑体" w:cs="黑体"/>
          <w:color w:val="000000" w:themeColor="text1"/>
          <w:sz w:val="30"/>
          <w:szCs w:val="30"/>
          <w:lang w:val="en-US" w:eastAsia="zh-CN"/>
          <w14:textFill>
            <w14:solidFill>
              <w14:schemeClr w14:val="tx1"/>
            </w14:solidFill>
          </w14:textFill>
        </w:rPr>
        <w:t>一、建设项目基本情况</w:t>
      </w:r>
      <w:bookmarkEnd w:id="7"/>
    </w:p>
    <w:tbl>
      <w:tblPr>
        <w:tblStyle w:val="23"/>
        <w:tblW w:w="5082"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106"/>
        <w:gridCol w:w="2171"/>
        <w:gridCol w:w="2121"/>
        <w:gridCol w:w="3071"/>
      </w:tblGrid>
      <w:tr w14:paraId="20B6EB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37" w:hRule="atLeast"/>
          <w:jc w:val="center"/>
        </w:trPr>
        <w:tc>
          <w:tcPr>
            <w:tcW w:w="653" w:type="pct"/>
            <w:noWrap w:val="0"/>
            <w:tcMar>
              <w:top w:w="16" w:type="dxa"/>
              <w:left w:w="16" w:type="dxa"/>
              <w:right w:w="16" w:type="dxa"/>
            </w:tcMar>
            <w:vAlign w:val="center"/>
          </w:tcPr>
          <w:p w14:paraId="1CEB8E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建设项目</w:t>
            </w:r>
          </w:p>
          <w:p w14:paraId="0100E8F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名称</w:t>
            </w:r>
          </w:p>
        </w:tc>
        <w:tc>
          <w:tcPr>
            <w:tcW w:w="4346" w:type="pct"/>
            <w:gridSpan w:val="3"/>
            <w:noWrap w:val="0"/>
            <w:vAlign w:val="center"/>
          </w:tcPr>
          <w:p w14:paraId="200204F1">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年产10万吨电子、汽车、智能机器人等科技行业用铝型材项目（一期）</w:t>
            </w:r>
          </w:p>
        </w:tc>
      </w:tr>
      <w:tr w14:paraId="5391BE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4" w:hRule="atLeast"/>
          <w:jc w:val="center"/>
        </w:trPr>
        <w:tc>
          <w:tcPr>
            <w:tcW w:w="653" w:type="pct"/>
            <w:noWrap w:val="0"/>
            <w:tcMar>
              <w:top w:w="16" w:type="dxa"/>
              <w:left w:w="16" w:type="dxa"/>
              <w:right w:w="16" w:type="dxa"/>
            </w:tcMar>
            <w:vAlign w:val="center"/>
          </w:tcPr>
          <w:p w14:paraId="53C192C1">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项目代码</w:t>
            </w:r>
          </w:p>
        </w:tc>
        <w:tc>
          <w:tcPr>
            <w:tcW w:w="4346" w:type="pct"/>
            <w:gridSpan w:val="3"/>
            <w:noWrap w:val="0"/>
            <w:vAlign w:val="center"/>
          </w:tcPr>
          <w:p w14:paraId="067CF9A2">
            <w:pPr>
              <w:bidi w:val="0"/>
              <w:jc w:val="center"/>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2310-341763-04-01-736922</w:t>
            </w:r>
          </w:p>
        </w:tc>
      </w:tr>
      <w:tr w14:paraId="318B3E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653" w:type="pct"/>
            <w:noWrap w:val="0"/>
            <w:tcMar>
              <w:top w:w="16" w:type="dxa"/>
              <w:left w:w="16" w:type="dxa"/>
              <w:right w:w="16" w:type="dxa"/>
            </w:tcMar>
            <w:vAlign w:val="center"/>
          </w:tcPr>
          <w:p w14:paraId="49DD2345">
            <w:pPr>
              <w:bidi w:val="0"/>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建设单位</w:t>
            </w:r>
          </w:p>
          <w:p w14:paraId="7DE2094D">
            <w:pPr>
              <w:bidi w:val="0"/>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联系人</w:t>
            </w:r>
          </w:p>
        </w:tc>
        <w:tc>
          <w:tcPr>
            <w:tcW w:w="1282" w:type="pct"/>
            <w:noWrap w:val="0"/>
            <w:vAlign w:val="center"/>
          </w:tcPr>
          <w:p w14:paraId="5EBAA3E3">
            <w:pPr>
              <w:bidi w:val="0"/>
              <w:jc w:val="center"/>
              <w:rPr>
                <w:rFonts w:hint="default" w:eastAsia="宋体"/>
                <w:color w:val="000000" w:themeColor="text1"/>
                <w:sz w:val="24"/>
                <w:szCs w:val="24"/>
                <w:lang w:val="en-US" w:eastAsia="zh-CN"/>
                <w14:textFill>
                  <w14:solidFill>
                    <w14:schemeClr w14:val="tx1"/>
                  </w14:solidFill>
                </w14:textFill>
              </w:rPr>
            </w:pPr>
            <w:r>
              <w:rPr>
                <w:rFonts w:hint="default" w:eastAsia="宋体"/>
                <w:color w:val="000000" w:themeColor="text1"/>
                <w:sz w:val="24"/>
                <w:szCs w:val="24"/>
                <w:lang w:val="en-US" w:eastAsia="zh-CN"/>
                <w14:textFill>
                  <w14:solidFill>
                    <w14:schemeClr w14:val="tx1"/>
                  </w14:solidFill>
                </w14:textFill>
              </w:rPr>
              <w:t>代金平</w:t>
            </w:r>
          </w:p>
        </w:tc>
        <w:tc>
          <w:tcPr>
            <w:tcW w:w="1252" w:type="pct"/>
            <w:noWrap w:val="0"/>
            <w:vAlign w:val="center"/>
          </w:tcPr>
          <w:p w14:paraId="4545BFDC">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联系方式</w:t>
            </w:r>
          </w:p>
        </w:tc>
        <w:tc>
          <w:tcPr>
            <w:tcW w:w="1811" w:type="pct"/>
            <w:noWrap w:val="0"/>
            <w:vAlign w:val="center"/>
          </w:tcPr>
          <w:p w14:paraId="5646A339">
            <w:pPr>
              <w:bidi w:val="0"/>
              <w:jc w:val="center"/>
              <w:rPr>
                <w:rFonts w:hint="default" w:eastAsia="宋体"/>
                <w:color w:val="000000" w:themeColor="text1"/>
                <w:sz w:val="24"/>
                <w:szCs w:val="24"/>
                <w:lang w:val="en-US" w:eastAsia="zh-CN"/>
                <w14:textFill>
                  <w14:solidFill>
                    <w14:schemeClr w14:val="tx1"/>
                  </w14:solidFill>
                </w14:textFill>
              </w:rPr>
            </w:pPr>
            <w:r>
              <w:rPr>
                <w:rFonts w:hint="default" w:eastAsia="宋体"/>
                <w:color w:val="000000" w:themeColor="text1"/>
                <w:sz w:val="24"/>
                <w:szCs w:val="24"/>
                <w:lang w:val="en-US" w:eastAsia="zh-CN"/>
                <w14:textFill>
                  <w14:solidFill>
                    <w14:schemeClr w14:val="tx1"/>
                  </w14:solidFill>
                </w14:textFill>
              </w:rPr>
              <w:t>17756209999</w:t>
            </w:r>
          </w:p>
        </w:tc>
      </w:tr>
      <w:tr w14:paraId="575F0F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653" w:type="pct"/>
            <w:noWrap w:val="0"/>
            <w:tcMar>
              <w:top w:w="16" w:type="dxa"/>
              <w:left w:w="16" w:type="dxa"/>
              <w:right w:w="16" w:type="dxa"/>
            </w:tcMar>
            <w:vAlign w:val="center"/>
          </w:tcPr>
          <w:p w14:paraId="0A927225">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建设地点</w:t>
            </w:r>
          </w:p>
        </w:tc>
        <w:tc>
          <w:tcPr>
            <w:tcW w:w="4346" w:type="pct"/>
            <w:gridSpan w:val="3"/>
            <w:noWrap w:val="0"/>
            <w:vAlign w:val="center"/>
          </w:tcPr>
          <w:p w14:paraId="50C404C3">
            <w:pPr>
              <w:bidi w:val="0"/>
              <w:jc w:val="center"/>
              <w:rPr>
                <w:rFonts w:hint="default"/>
                <w:color w:val="000000" w:themeColor="text1"/>
                <w:sz w:val="24"/>
                <w:szCs w:val="24"/>
                <w:lang w:val="en-US" w:eastAsia="zh-CN"/>
                <w14:textFill>
                  <w14:solidFill>
                    <w14:schemeClr w14:val="tx1"/>
                  </w14:solidFill>
                </w14:textFill>
              </w:rPr>
            </w:pPr>
            <w:r>
              <w:rPr>
                <w:rFonts w:hint="default"/>
                <w:color w:val="000000" w:themeColor="text1"/>
                <w:sz w:val="24"/>
                <w:szCs w:val="24"/>
                <w:lang w:val="en-US" w:eastAsia="zh-CN"/>
                <w14:textFill>
                  <w14:solidFill>
                    <w14:schemeClr w14:val="tx1"/>
                  </w14:solidFill>
                </w14:textFill>
              </w:rPr>
              <w:t>安徽省池州市江南产业集中区兴业大道以西，创裕金属以南，兴业大道25号部分厂房</w:t>
            </w:r>
          </w:p>
        </w:tc>
      </w:tr>
      <w:tr w14:paraId="4D7B4C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53" w:type="pct"/>
            <w:noWrap w:val="0"/>
            <w:tcMar>
              <w:top w:w="16" w:type="dxa"/>
              <w:left w:w="16" w:type="dxa"/>
              <w:right w:w="16" w:type="dxa"/>
            </w:tcMar>
            <w:vAlign w:val="center"/>
          </w:tcPr>
          <w:p w14:paraId="50A035C3">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地理坐标</w:t>
            </w:r>
          </w:p>
        </w:tc>
        <w:tc>
          <w:tcPr>
            <w:tcW w:w="4346" w:type="pct"/>
            <w:gridSpan w:val="3"/>
            <w:noWrap w:val="0"/>
            <w:vAlign w:val="center"/>
          </w:tcPr>
          <w:p w14:paraId="734A82A8">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（117度38分39.904秒；30度43分09.998秒）</w:t>
            </w:r>
          </w:p>
        </w:tc>
      </w:tr>
      <w:tr w14:paraId="4E9129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5" w:hRule="atLeast"/>
          <w:jc w:val="center"/>
        </w:trPr>
        <w:tc>
          <w:tcPr>
            <w:tcW w:w="653" w:type="pct"/>
            <w:noWrap w:val="0"/>
            <w:tcMar>
              <w:top w:w="16" w:type="dxa"/>
              <w:left w:w="16" w:type="dxa"/>
              <w:right w:w="16" w:type="dxa"/>
            </w:tcMar>
            <w:vAlign w:val="center"/>
          </w:tcPr>
          <w:p w14:paraId="1DE29385">
            <w:pPr>
              <w:bidi w:val="0"/>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国民经济</w:t>
            </w:r>
          </w:p>
          <w:p w14:paraId="1B1C2373">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行业类别</w:t>
            </w:r>
          </w:p>
        </w:tc>
        <w:tc>
          <w:tcPr>
            <w:tcW w:w="1282" w:type="pct"/>
            <w:noWrap w:val="0"/>
            <w:vAlign w:val="center"/>
          </w:tcPr>
          <w:p w14:paraId="1B44223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lang w:val="en-US" w:eastAsia="zh-CN"/>
              </w:rPr>
            </w:pPr>
            <w:r>
              <w:rPr>
                <w:rFonts w:hint="default"/>
                <w:sz w:val="24"/>
                <w:szCs w:val="24"/>
                <w:lang w:val="en-US" w:eastAsia="zh-CN"/>
              </w:rPr>
              <w:t>C3252 铝压延加工</w:t>
            </w:r>
          </w:p>
        </w:tc>
        <w:tc>
          <w:tcPr>
            <w:tcW w:w="1252" w:type="pct"/>
            <w:noWrap w:val="0"/>
            <w:vAlign w:val="center"/>
          </w:tcPr>
          <w:p w14:paraId="5BA67B3D">
            <w:pPr>
              <w:bidi w:val="0"/>
              <w:jc w:val="center"/>
              <w:rPr>
                <w:color w:val="000000" w:themeColor="text1"/>
                <w:sz w:val="24"/>
                <w:szCs w:val="24"/>
                <w14:textFill>
                  <w14:solidFill>
                    <w14:schemeClr w14:val="tx1"/>
                  </w14:solidFill>
                </w14:textFill>
              </w:rPr>
            </w:pPr>
            <w:bookmarkStart w:id="8" w:name="_Hlk49843745"/>
            <w:r>
              <w:rPr>
                <w:rFonts w:hint="eastAsia"/>
                <w:color w:val="000000" w:themeColor="text1"/>
                <w:sz w:val="24"/>
                <w:szCs w:val="24"/>
                <w14:textFill>
                  <w14:solidFill>
                    <w14:schemeClr w14:val="tx1"/>
                  </w14:solidFill>
                </w14:textFill>
              </w:rPr>
              <w:t>建设项目</w:t>
            </w:r>
          </w:p>
          <w:p w14:paraId="644BD52A">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行业类别</w:t>
            </w:r>
            <w:bookmarkEnd w:id="8"/>
          </w:p>
        </w:tc>
        <w:tc>
          <w:tcPr>
            <w:tcW w:w="1811" w:type="pct"/>
            <w:noWrap w:val="0"/>
            <w:vAlign w:val="center"/>
          </w:tcPr>
          <w:p w14:paraId="4634E4CE">
            <w:pPr>
              <w:pStyle w:val="14"/>
              <w:keepNext w:val="0"/>
              <w:keepLines w:val="0"/>
              <w:pageBreakBefore w:val="0"/>
              <w:widowControl w:val="0"/>
              <w:kinsoku/>
              <w:wordWrap/>
              <w:overflowPunct/>
              <w:topLinePunct w:val="0"/>
              <w:autoSpaceDE/>
              <w:autoSpaceDN/>
              <w:bidi w:val="0"/>
              <w:adjustRightInd/>
              <w:snapToGrid/>
              <w:spacing w:after="0"/>
              <w:textAlignment w:val="auto"/>
              <w:rPr>
                <w:rFonts w:hint="default"/>
                <w:sz w:val="24"/>
                <w:szCs w:val="24"/>
                <w:lang w:val="en-US" w:eastAsia="zh-CN"/>
              </w:rPr>
            </w:pPr>
            <w:r>
              <w:rPr>
                <w:rFonts w:hint="default"/>
                <w:sz w:val="24"/>
                <w:szCs w:val="24"/>
                <w:lang w:val="en-US" w:eastAsia="zh-CN"/>
              </w:rPr>
              <w:t>二十九、有色金属冶炼和压延加工业 39</w:t>
            </w:r>
          </w:p>
          <w:p w14:paraId="0B6E2CB3">
            <w:pPr>
              <w:pStyle w:val="14"/>
              <w:keepNext w:val="0"/>
              <w:keepLines w:val="0"/>
              <w:pageBreakBefore w:val="0"/>
              <w:widowControl w:val="0"/>
              <w:kinsoku/>
              <w:wordWrap/>
              <w:overflowPunct/>
              <w:topLinePunct w:val="0"/>
              <w:autoSpaceDE/>
              <w:autoSpaceDN/>
              <w:bidi w:val="0"/>
              <w:adjustRightInd/>
              <w:snapToGrid/>
              <w:spacing w:after="0"/>
              <w:textAlignment w:val="auto"/>
              <w:rPr>
                <w:rFonts w:hint="default"/>
                <w:lang w:val="en-US" w:eastAsia="zh-CN"/>
              </w:rPr>
            </w:pPr>
            <w:r>
              <w:rPr>
                <w:rFonts w:hint="default"/>
                <w:sz w:val="24"/>
                <w:szCs w:val="24"/>
                <w:lang w:val="en-US" w:eastAsia="zh-CN"/>
              </w:rPr>
              <w:t xml:space="preserve">65、有色金属压延加工 325 </w:t>
            </w:r>
          </w:p>
        </w:tc>
      </w:tr>
      <w:tr w14:paraId="4046F7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53" w:type="pct"/>
            <w:noWrap w:val="0"/>
            <w:tcMar>
              <w:top w:w="16" w:type="dxa"/>
              <w:left w:w="16" w:type="dxa"/>
              <w:right w:w="16" w:type="dxa"/>
            </w:tcMar>
            <w:vAlign w:val="center"/>
          </w:tcPr>
          <w:p w14:paraId="092D1D85">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建设性质</w:t>
            </w:r>
          </w:p>
        </w:tc>
        <w:tc>
          <w:tcPr>
            <w:tcW w:w="1282" w:type="pct"/>
            <w:noWrap w:val="0"/>
            <w:vAlign w:val="center"/>
          </w:tcPr>
          <w:p w14:paraId="6FEC7922">
            <w:pPr>
              <w:bidi w:val="0"/>
              <w:ind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sym w:font="Wingdings 2" w:char="0052"/>
            </w:r>
            <w:r>
              <w:rPr>
                <w:rFonts w:hint="eastAsia"/>
                <w:color w:val="000000" w:themeColor="text1"/>
                <w:sz w:val="24"/>
                <w:szCs w:val="24"/>
                <w14:textFill>
                  <w14:solidFill>
                    <w14:schemeClr w14:val="tx1"/>
                  </w14:solidFill>
                </w14:textFill>
              </w:rPr>
              <w:t>新建（迁建）</w:t>
            </w:r>
          </w:p>
          <w:p w14:paraId="1ADAF15D">
            <w:pPr>
              <w:bidi w:val="0"/>
              <w:ind w:firstLine="240" w:firstLineChars="100"/>
              <w:jc w:val="both"/>
              <w:rPr>
                <w:rFonts w:hint="eastAsia"/>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改建</w:t>
            </w:r>
          </w:p>
          <w:p w14:paraId="3CF96FAB">
            <w:pPr>
              <w:bidi w:val="0"/>
              <w:ind w:firstLine="240" w:firstLineChars="100"/>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□扩建</w:t>
            </w:r>
          </w:p>
          <w:p w14:paraId="29A7D234">
            <w:pPr>
              <w:bidi w:val="0"/>
              <w:ind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2" w:char="00A3"/>
            </w:r>
            <w:r>
              <w:rPr>
                <w:rFonts w:hint="eastAsia"/>
                <w:color w:val="000000" w:themeColor="text1"/>
                <w:sz w:val="24"/>
                <w:szCs w:val="24"/>
                <w14:textFill>
                  <w14:solidFill>
                    <w14:schemeClr w14:val="tx1"/>
                  </w14:solidFill>
                </w14:textFill>
              </w:rPr>
              <w:t>技术改造</w:t>
            </w:r>
          </w:p>
        </w:tc>
        <w:tc>
          <w:tcPr>
            <w:tcW w:w="1252" w:type="pct"/>
            <w:noWrap w:val="0"/>
            <w:vAlign w:val="center"/>
          </w:tcPr>
          <w:p w14:paraId="49CEE6A2">
            <w:pPr>
              <w:bidi w:val="0"/>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建设项目</w:t>
            </w:r>
          </w:p>
          <w:p w14:paraId="564A17FA">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申报情形</w:t>
            </w:r>
          </w:p>
        </w:tc>
        <w:tc>
          <w:tcPr>
            <w:tcW w:w="1811" w:type="pct"/>
            <w:noWrap w:val="0"/>
            <w:vAlign w:val="center"/>
          </w:tcPr>
          <w:p w14:paraId="6575C8A4">
            <w:pPr>
              <w:bidi w:val="0"/>
              <w:ind w:firstLine="240" w:firstLineChars="100"/>
              <w:jc w:val="both"/>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sym w:font="Wingdings 2" w:char="0052"/>
            </w:r>
            <w:r>
              <w:rPr>
                <w:rFonts w:hint="eastAsia"/>
                <w:color w:val="000000" w:themeColor="text1"/>
                <w:sz w:val="24"/>
                <w:szCs w:val="24"/>
                <w14:textFill>
                  <w14:solidFill>
                    <w14:schemeClr w14:val="tx1"/>
                  </w14:solidFill>
                </w14:textFill>
              </w:rPr>
              <w:t>首次申报项目</w:t>
            </w:r>
          </w:p>
          <w:p w14:paraId="26BD2682">
            <w:pPr>
              <w:bidi w:val="0"/>
              <w:ind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2" w:char="00A3"/>
            </w:r>
            <w:r>
              <w:rPr>
                <w:rFonts w:hint="eastAsia"/>
                <w:color w:val="000000" w:themeColor="text1"/>
                <w:sz w:val="24"/>
                <w:szCs w:val="24"/>
                <w14:textFill>
                  <w14:solidFill>
                    <w14:schemeClr w14:val="tx1"/>
                  </w14:solidFill>
                </w14:textFill>
              </w:rPr>
              <w:t>不予批准后再次申报项目</w:t>
            </w:r>
          </w:p>
          <w:p w14:paraId="1A552DB9">
            <w:pPr>
              <w:bidi w:val="0"/>
              <w:ind w:firstLine="240" w:firstLineChars="100"/>
              <w:jc w:val="both"/>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2" w:char="00A3"/>
            </w:r>
            <w:r>
              <w:rPr>
                <w:rFonts w:hint="eastAsia"/>
                <w:color w:val="000000" w:themeColor="text1"/>
                <w:sz w:val="24"/>
                <w:szCs w:val="24"/>
                <w14:textFill>
                  <w14:solidFill>
                    <w14:schemeClr w14:val="tx1"/>
                  </w14:solidFill>
                </w14:textFill>
              </w:rPr>
              <w:t>超五年重新审核项目</w:t>
            </w:r>
          </w:p>
          <w:p w14:paraId="3DD76F3D">
            <w:pPr>
              <w:bidi w:val="0"/>
              <w:ind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sym w:font="Wingdings 2" w:char="00A3"/>
            </w:r>
            <w:r>
              <w:rPr>
                <w:rFonts w:hint="eastAsia"/>
                <w:color w:val="000000" w:themeColor="text1"/>
                <w:sz w:val="24"/>
                <w:szCs w:val="24"/>
                <w14:textFill>
                  <w14:solidFill>
                    <w14:schemeClr w14:val="tx1"/>
                  </w14:solidFill>
                </w14:textFill>
              </w:rPr>
              <w:t>重大变动重新报批项目</w:t>
            </w:r>
          </w:p>
        </w:tc>
      </w:tr>
      <w:tr w14:paraId="277A09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49" w:hRule="atLeast"/>
          <w:jc w:val="center"/>
        </w:trPr>
        <w:tc>
          <w:tcPr>
            <w:tcW w:w="653" w:type="pct"/>
            <w:noWrap w:val="0"/>
            <w:tcMar>
              <w:top w:w="16" w:type="dxa"/>
              <w:left w:w="16" w:type="dxa"/>
              <w:right w:w="16" w:type="dxa"/>
            </w:tcMar>
            <w:vAlign w:val="center"/>
          </w:tcPr>
          <w:p w14:paraId="3BEED51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项目审批（核准</w:t>
            </w:r>
            <w:r>
              <w:rPr>
                <w:rFonts w:hint="eastAsia"/>
                <w:color w:val="000000" w:themeColor="text1"/>
                <w:sz w:val="24"/>
                <w:szCs w:val="24"/>
                <w:lang w:eastAsia="zh-CN"/>
                <w14:textFill>
                  <w14:solidFill>
                    <w14:schemeClr w14:val="tx1"/>
                  </w14:solidFill>
                </w14:textFill>
              </w:rPr>
              <w:t>）</w:t>
            </w:r>
            <w:r>
              <w:rPr>
                <w:color w:val="000000" w:themeColor="text1"/>
                <w:sz w:val="24"/>
                <w:szCs w:val="24"/>
                <w14:textFill>
                  <w14:solidFill>
                    <w14:schemeClr w14:val="tx1"/>
                  </w14:solidFill>
                </w14:textFill>
              </w:rPr>
              <w:t>/</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备案）部门（选填）</w:t>
            </w:r>
          </w:p>
        </w:tc>
        <w:tc>
          <w:tcPr>
            <w:tcW w:w="1282" w:type="pct"/>
            <w:noWrap w:val="0"/>
            <w:vAlign w:val="center"/>
          </w:tcPr>
          <w:p w14:paraId="7671DDB5">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皖江江南新兴产业集中区产业发展部</w:t>
            </w:r>
          </w:p>
        </w:tc>
        <w:tc>
          <w:tcPr>
            <w:tcW w:w="1252" w:type="pct"/>
            <w:noWrap w:val="0"/>
            <w:vAlign w:val="center"/>
          </w:tcPr>
          <w:p w14:paraId="12AF531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项目审批（核准</w:t>
            </w:r>
            <w:r>
              <w:rPr>
                <w:rFonts w:hint="eastAsia"/>
                <w:color w:val="000000" w:themeColor="text1"/>
                <w:sz w:val="24"/>
                <w:szCs w:val="24"/>
                <w:lang w:eastAsia="zh-CN"/>
                <w14:textFill>
                  <w14:solidFill>
                    <w14:schemeClr w14:val="tx1"/>
                  </w14:solidFill>
                </w14:textFill>
              </w:rPr>
              <w:t>）</w:t>
            </w:r>
            <w:r>
              <w:rPr>
                <w:color w:val="000000" w:themeColor="text1"/>
                <w:sz w:val="24"/>
                <w:szCs w:val="24"/>
                <w14:textFill>
                  <w14:solidFill>
                    <w14:schemeClr w14:val="tx1"/>
                  </w14:solidFill>
                </w14:textFill>
              </w:rPr>
              <w:t>/</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备案）文号（选填）</w:t>
            </w:r>
          </w:p>
        </w:tc>
        <w:tc>
          <w:tcPr>
            <w:tcW w:w="1811" w:type="pct"/>
            <w:noWrap w:val="0"/>
            <w:vAlign w:val="center"/>
          </w:tcPr>
          <w:p w14:paraId="23188E71">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江南</w:t>
            </w:r>
            <w:r>
              <w:rPr>
                <w:rFonts w:hint="eastAsia"/>
                <w:color w:val="000000" w:themeColor="text1"/>
                <w:sz w:val="24"/>
                <w:szCs w:val="24"/>
                <w:highlight w:val="none"/>
                <w:lang w:val="en-US" w:eastAsia="zh-CN"/>
                <w14:textFill>
                  <w14:solidFill>
                    <w14:schemeClr w14:val="tx1"/>
                  </w14:solidFill>
                </w14:textFill>
              </w:rPr>
              <w:t>管产</w:t>
            </w:r>
            <w:r>
              <w:rPr>
                <w:rFonts w:hint="eastAsia"/>
                <w:color w:val="000000" w:themeColor="text1"/>
                <w:sz w:val="24"/>
                <w:szCs w:val="24"/>
                <w:lang w:val="en-US" w:eastAsia="zh-CN"/>
                <w14:textFill>
                  <w14:solidFill>
                    <w14:schemeClr w14:val="tx1"/>
                  </w14:solidFill>
                </w14:textFill>
              </w:rPr>
              <w:t>〔2023〕179号</w:t>
            </w:r>
          </w:p>
        </w:tc>
      </w:tr>
      <w:tr w14:paraId="2D6FDA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53" w:type="pct"/>
            <w:noWrap w:val="0"/>
            <w:tcMar>
              <w:top w:w="16" w:type="dxa"/>
              <w:left w:w="16" w:type="dxa"/>
              <w:right w:w="16" w:type="dxa"/>
            </w:tcMar>
            <w:vAlign w:val="center"/>
          </w:tcPr>
          <w:p w14:paraId="624548D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总投资</w:t>
            </w:r>
          </w:p>
          <w:p w14:paraId="2EA344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（万元）</w:t>
            </w:r>
          </w:p>
        </w:tc>
        <w:tc>
          <w:tcPr>
            <w:tcW w:w="1282" w:type="pct"/>
            <w:noWrap w:val="0"/>
            <w:vAlign w:val="center"/>
          </w:tcPr>
          <w:p w14:paraId="5A2074FF">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5000</w:t>
            </w:r>
          </w:p>
        </w:tc>
        <w:tc>
          <w:tcPr>
            <w:tcW w:w="1252" w:type="pct"/>
            <w:noWrap w:val="0"/>
            <w:tcMar>
              <w:top w:w="16" w:type="dxa"/>
              <w:left w:w="16" w:type="dxa"/>
              <w:right w:w="16" w:type="dxa"/>
            </w:tcMar>
            <w:vAlign w:val="center"/>
          </w:tcPr>
          <w:p w14:paraId="3A81A195">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环保投资（万元）</w:t>
            </w:r>
          </w:p>
        </w:tc>
        <w:tc>
          <w:tcPr>
            <w:tcW w:w="1811" w:type="pct"/>
            <w:noWrap w:val="0"/>
            <w:vAlign w:val="center"/>
          </w:tcPr>
          <w:p w14:paraId="0DF686DB">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86</w:t>
            </w:r>
          </w:p>
        </w:tc>
      </w:tr>
      <w:tr w14:paraId="610E38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53" w:type="pct"/>
            <w:noWrap w:val="0"/>
            <w:tcMar>
              <w:top w:w="16" w:type="dxa"/>
              <w:left w:w="16" w:type="dxa"/>
              <w:right w:w="16" w:type="dxa"/>
            </w:tcMar>
            <w:vAlign w:val="center"/>
          </w:tcPr>
          <w:p w14:paraId="170019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环保投资占比</w:t>
            </w: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w:t>
            </w:r>
          </w:p>
        </w:tc>
        <w:tc>
          <w:tcPr>
            <w:tcW w:w="1282" w:type="pct"/>
            <w:noWrap w:val="0"/>
            <w:vAlign w:val="center"/>
          </w:tcPr>
          <w:p w14:paraId="582FC1B9">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1.72</w:t>
            </w:r>
          </w:p>
        </w:tc>
        <w:tc>
          <w:tcPr>
            <w:tcW w:w="1252" w:type="pct"/>
            <w:noWrap w:val="0"/>
            <w:tcMar>
              <w:top w:w="16" w:type="dxa"/>
              <w:left w:w="16" w:type="dxa"/>
              <w:right w:w="16" w:type="dxa"/>
            </w:tcMar>
            <w:vAlign w:val="center"/>
          </w:tcPr>
          <w:p w14:paraId="7080961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施工工期</w:t>
            </w:r>
          </w:p>
        </w:tc>
        <w:tc>
          <w:tcPr>
            <w:tcW w:w="1811" w:type="pct"/>
            <w:noWrap w:val="0"/>
            <w:vAlign w:val="center"/>
          </w:tcPr>
          <w:p w14:paraId="2CAB3318">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6个月</w:t>
            </w:r>
          </w:p>
        </w:tc>
      </w:tr>
      <w:tr w14:paraId="2EA211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53" w:type="pct"/>
            <w:noWrap w:val="0"/>
            <w:tcMar>
              <w:top w:w="16" w:type="dxa"/>
              <w:left w:w="16" w:type="dxa"/>
              <w:right w:w="16" w:type="dxa"/>
            </w:tcMar>
            <w:vAlign w:val="center"/>
          </w:tcPr>
          <w:p w14:paraId="38790AB2">
            <w:pPr>
              <w:bidi w:val="0"/>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是否开工建设</w:t>
            </w:r>
          </w:p>
        </w:tc>
        <w:tc>
          <w:tcPr>
            <w:tcW w:w="1282" w:type="pct"/>
            <w:noWrap w:val="0"/>
            <w:vAlign w:val="center"/>
          </w:tcPr>
          <w:p w14:paraId="08279E00">
            <w:pPr>
              <w:bidi w:val="0"/>
              <w:ind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否</w:t>
            </w:r>
          </w:p>
          <w:p w14:paraId="3B24D1A0">
            <w:pPr>
              <w:bidi w:val="0"/>
              <w:ind w:firstLine="240" w:firstLineChars="100"/>
              <w:jc w:val="both"/>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w:t>
            </w:r>
            <w:r>
              <w:rPr>
                <w:rFonts w:hint="eastAsia"/>
                <w:color w:val="000000" w:themeColor="text1"/>
                <w:sz w:val="24"/>
                <w:szCs w:val="24"/>
                <w:highlight w:val="none"/>
                <w14:textFill>
                  <w14:solidFill>
                    <w14:schemeClr w14:val="tx1"/>
                  </w14:solidFill>
                </w14:textFill>
              </w:rPr>
              <w:t>是</w:t>
            </w:r>
            <w:r>
              <w:rPr>
                <w:rFonts w:hint="eastAsia"/>
                <w:color w:val="000000" w:themeColor="text1"/>
                <w:sz w:val="24"/>
                <w:szCs w:val="24"/>
                <w14:textFill>
                  <w14:solidFill>
                    <w14:schemeClr w14:val="tx1"/>
                  </w14:solidFill>
                </w14:textFill>
              </w:rPr>
              <w:t>：</w:t>
            </w:r>
          </w:p>
        </w:tc>
        <w:tc>
          <w:tcPr>
            <w:tcW w:w="1252" w:type="pct"/>
            <w:noWrap w:val="0"/>
            <w:tcMar>
              <w:top w:w="16" w:type="dxa"/>
              <w:left w:w="16" w:type="dxa"/>
              <w:right w:w="16" w:type="dxa"/>
            </w:tcMar>
            <w:vAlign w:val="center"/>
          </w:tcPr>
          <w:p w14:paraId="4FBF0129">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用地（</w:t>
            </w:r>
            <w:r>
              <w:rPr>
                <w:rFonts w:hint="eastAsia"/>
                <w:color w:val="000000" w:themeColor="text1"/>
                <w:sz w:val="24"/>
                <w:szCs w:val="24"/>
                <w:highlight w:val="none"/>
                <w14:textFill>
                  <w14:solidFill>
                    <w14:schemeClr w14:val="tx1"/>
                  </w14:solidFill>
                </w14:textFill>
              </w:rPr>
              <w:t>用</w:t>
            </w:r>
            <w:r>
              <w:rPr>
                <w:rFonts w:hint="eastAsia"/>
                <w:color w:val="000000" w:themeColor="text1"/>
                <w:sz w:val="24"/>
                <w:szCs w:val="24"/>
                <w14:textFill>
                  <w14:solidFill>
                    <w14:schemeClr w14:val="tx1"/>
                  </w14:solidFill>
                </w14:textFill>
              </w:rPr>
              <w:t>海）</w:t>
            </w:r>
          </w:p>
          <w:p w14:paraId="7C10F465">
            <w:pPr>
              <w:bidi w:val="0"/>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面积</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m</w:t>
            </w:r>
            <w:r>
              <w:rPr>
                <w:rFonts w:hint="eastAsia"/>
                <w:color w:val="000000" w:themeColor="text1"/>
                <w:sz w:val="24"/>
                <w:szCs w:val="24"/>
                <w:vertAlign w:val="superscript"/>
                <w:lang w:val="en-US" w:eastAsia="zh-CN"/>
                <w14:textFill>
                  <w14:solidFill>
                    <w14:schemeClr w14:val="tx1"/>
                  </w14:solidFill>
                </w14:textFill>
              </w:rPr>
              <w:t>2</w:t>
            </w:r>
            <w:r>
              <w:rPr>
                <w:rFonts w:hint="eastAsia"/>
                <w:color w:val="000000" w:themeColor="text1"/>
                <w:sz w:val="24"/>
                <w:szCs w:val="24"/>
                <w:highlight w:val="none"/>
                <w14:textFill>
                  <w14:solidFill>
                    <w14:schemeClr w14:val="tx1"/>
                  </w14:solidFill>
                </w14:textFill>
              </w:rPr>
              <w:t>）</w:t>
            </w:r>
          </w:p>
        </w:tc>
        <w:tc>
          <w:tcPr>
            <w:tcW w:w="1811" w:type="pct"/>
            <w:noWrap w:val="0"/>
            <w:vAlign w:val="center"/>
          </w:tcPr>
          <w:p w14:paraId="7944BE2D">
            <w:pPr>
              <w:bidi w:val="0"/>
              <w:jc w:val="center"/>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3213</w:t>
            </w:r>
          </w:p>
        </w:tc>
      </w:tr>
      <w:tr w14:paraId="228739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53" w:type="pct"/>
            <w:noWrap w:val="0"/>
            <w:vAlign w:val="center"/>
          </w:tcPr>
          <w:p w14:paraId="4460F2DE">
            <w:pPr>
              <w:bidi w:val="0"/>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专项评价设置情况</w:t>
            </w:r>
          </w:p>
        </w:tc>
        <w:tc>
          <w:tcPr>
            <w:tcW w:w="4346" w:type="pct"/>
            <w:gridSpan w:val="3"/>
            <w:noWrap w:val="0"/>
            <w:vAlign w:val="center"/>
          </w:tcPr>
          <w:p w14:paraId="724F672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color w:val="auto"/>
                <w:sz w:val="24"/>
                <w:szCs w:val="24"/>
              </w:rPr>
            </w:pPr>
            <w:r>
              <w:rPr>
                <w:rFonts w:hint="eastAsia"/>
                <w:color w:val="auto"/>
                <w:sz w:val="24"/>
                <w:szCs w:val="24"/>
              </w:rPr>
              <w:t>对照《建设项目环境影响报告表编制技术指南》（污染影响类）（试行）中专项评价设置原则表，本项目不需要设置专项评价，具体判定情况见下表1-1。</w:t>
            </w:r>
          </w:p>
          <w:p w14:paraId="340BA658">
            <w:pPr>
              <w:adjustRightInd w:val="0"/>
              <w:snapToGrid w:val="0"/>
              <w:spacing w:line="240" w:lineRule="auto"/>
              <w:jc w:val="center"/>
              <w:rPr>
                <w:rFonts w:hint="eastAsia"/>
                <w:b/>
                <w:bCs/>
                <w:color w:val="auto"/>
                <w:sz w:val="24"/>
              </w:rPr>
            </w:pPr>
            <w:r>
              <w:rPr>
                <w:rFonts w:hint="eastAsia"/>
                <w:b/>
                <w:bCs/>
                <w:color w:val="auto"/>
                <w:sz w:val="24"/>
              </w:rPr>
              <w:t>表1-1  专项评价设置原则表</w:t>
            </w:r>
          </w:p>
          <w:tbl>
            <w:tblPr>
              <w:tblStyle w:val="23"/>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667"/>
              <w:gridCol w:w="3119"/>
              <w:gridCol w:w="2217"/>
              <w:gridCol w:w="1144"/>
            </w:tblGrid>
            <w:tr w14:paraId="44DBC31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67" w:type="pct"/>
                  <w:tcBorders>
                    <w:tl2br w:val="nil"/>
                    <w:tr2bl w:val="nil"/>
                  </w:tcBorders>
                  <w:noWrap w:val="0"/>
                  <w:vAlign w:val="center"/>
                </w:tcPr>
                <w:p w14:paraId="39FFB114">
                  <w:pPr>
                    <w:spacing w:line="0" w:lineRule="atLeast"/>
                    <w:jc w:val="center"/>
                    <w:rPr>
                      <w:color w:val="auto"/>
                      <w:sz w:val="21"/>
                      <w:szCs w:val="21"/>
                    </w:rPr>
                  </w:pPr>
                  <w:r>
                    <w:rPr>
                      <w:rFonts w:hint="eastAsia"/>
                      <w:color w:val="auto"/>
                      <w:sz w:val="21"/>
                      <w:szCs w:val="21"/>
                    </w:rPr>
                    <w:t>专项评价类别</w:t>
                  </w:r>
                </w:p>
              </w:tc>
              <w:tc>
                <w:tcPr>
                  <w:tcW w:w="2181" w:type="pct"/>
                  <w:tcBorders>
                    <w:tl2br w:val="nil"/>
                    <w:tr2bl w:val="nil"/>
                  </w:tcBorders>
                  <w:noWrap w:val="0"/>
                  <w:vAlign w:val="center"/>
                </w:tcPr>
                <w:p w14:paraId="0C63034B">
                  <w:pPr>
                    <w:spacing w:line="0" w:lineRule="atLeast"/>
                    <w:jc w:val="center"/>
                    <w:rPr>
                      <w:color w:val="auto"/>
                      <w:sz w:val="21"/>
                      <w:szCs w:val="21"/>
                    </w:rPr>
                  </w:pPr>
                  <w:r>
                    <w:rPr>
                      <w:rFonts w:hint="eastAsia"/>
                      <w:color w:val="auto"/>
                      <w:sz w:val="21"/>
                      <w:szCs w:val="21"/>
                    </w:rPr>
                    <w:t>涉及项目类别</w:t>
                  </w:r>
                </w:p>
              </w:tc>
              <w:tc>
                <w:tcPr>
                  <w:tcW w:w="1550" w:type="pct"/>
                  <w:tcBorders>
                    <w:tl2br w:val="nil"/>
                    <w:tr2bl w:val="nil"/>
                  </w:tcBorders>
                  <w:noWrap w:val="0"/>
                  <w:vAlign w:val="center"/>
                </w:tcPr>
                <w:p w14:paraId="504A6039">
                  <w:pPr>
                    <w:spacing w:line="0" w:lineRule="atLeast"/>
                    <w:jc w:val="center"/>
                    <w:rPr>
                      <w:rFonts w:hint="eastAsia"/>
                      <w:color w:val="auto"/>
                      <w:sz w:val="21"/>
                      <w:szCs w:val="21"/>
                    </w:rPr>
                  </w:pPr>
                  <w:r>
                    <w:rPr>
                      <w:rFonts w:hint="eastAsia"/>
                      <w:color w:val="auto"/>
                      <w:sz w:val="21"/>
                      <w:szCs w:val="21"/>
                    </w:rPr>
                    <w:t>本项目</w:t>
                  </w:r>
                </w:p>
                <w:p w14:paraId="3F547388">
                  <w:pPr>
                    <w:spacing w:line="0" w:lineRule="atLeast"/>
                    <w:jc w:val="center"/>
                    <w:rPr>
                      <w:color w:val="auto"/>
                      <w:sz w:val="21"/>
                      <w:szCs w:val="21"/>
                    </w:rPr>
                  </w:pPr>
                  <w:r>
                    <w:rPr>
                      <w:rFonts w:hint="eastAsia"/>
                      <w:color w:val="auto"/>
                      <w:sz w:val="21"/>
                      <w:szCs w:val="21"/>
                    </w:rPr>
                    <w:t>情况</w:t>
                  </w:r>
                </w:p>
              </w:tc>
              <w:tc>
                <w:tcPr>
                  <w:tcW w:w="800" w:type="pct"/>
                  <w:tcBorders>
                    <w:tl2br w:val="nil"/>
                    <w:tr2bl w:val="nil"/>
                  </w:tcBorders>
                  <w:noWrap w:val="0"/>
                  <w:vAlign w:val="center"/>
                </w:tcPr>
                <w:p w14:paraId="2DA77D8A">
                  <w:pPr>
                    <w:spacing w:line="0" w:lineRule="atLeast"/>
                    <w:jc w:val="center"/>
                    <w:rPr>
                      <w:color w:val="auto"/>
                      <w:sz w:val="21"/>
                      <w:szCs w:val="21"/>
                    </w:rPr>
                  </w:pPr>
                  <w:r>
                    <w:rPr>
                      <w:rFonts w:hint="eastAsia"/>
                      <w:color w:val="auto"/>
                      <w:sz w:val="21"/>
                      <w:szCs w:val="21"/>
                    </w:rPr>
                    <w:t>是否需要设置专项评价</w:t>
                  </w:r>
                </w:p>
              </w:tc>
            </w:tr>
            <w:tr w14:paraId="453FBCF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67" w:type="pct"/>
                  <w:tcBorders>
                    <w:tl2br w:val="nil"/>
                    <w:tr2bl w:val="nil"/>
                  </w:tcBorders>
                  <w:noWrap w:val="0"/>
                  <w:vAlign w:val="center"/>
                </w:tcPr>
                <w:p w14:paraId="1F172594">
                  <w:pPr>
                    <w:spacing w:line="0" w:lineRule="atLeast"/>
                    <w:jc w:val="center"/>
                    <w:rPr>
                      <w:color w:val="auto"/>
                      <w:sz w:val="21"/>
                      <w:szCs w:val="21"/>
                    </w:rPr>
                  </w:pPr>
                  <w:r>
                    <w:rPr>
                      <w:rFonts w:hint="eastAsia" w:ascii="宋体" w:hAnsi="宋体" w:eastAsia="宋体"/>
                      <w:color w:val="auto"/>
                      <w:sz w:val="21"/>
                      <w:szCs w:val="24"/>
                    </w:rPr>
                    <w:t>大气</w:t>
                  </w:r>
                </w:p>
              </w:tc>
              <w:tc>
                <w:tcPr>
                  <w:tcW w:w="2181" w:type="pct"/>
                  <w:tcBorders>
                    <w:tl2br w:val="nil"/>
                    <w:tr2bl w:val="nil"/>
                  </w:tcBorders>
                  <w:noWrap w:val="0"/>
                  <w:vAlign w:val="top"/>
                </w:tcPr>
                <w:p w14:paraId="64EB307C">
                  <w:pPr>
                    <w:spacing w:line="0" w:lineRule="atLeast"/>
                    <w:rPr>
                      <w:color w:val="auto"/>
                      <w:sz w:val="21"/>
                      <w:szCs w:val="21"/>
                    </w:rPr>
                  </w:pPr>
                  <w:r>
                    <w:rPr>
                      <w:rFonts w:hint="eastAsia"/>
                      <w:color w:val="auto"/>
                      <w:sz w:val="21"/>
                      <w:szCs w:val="21"/>
                    </w:rPr>
                    <w:t>排放废气含有毒有害污染物、二噁英、苯并[a]芘、氰化物、氯气且厂界外500米范围内有环境空气保护目标的建设项目</w:t>
                  </w:r>
                </w:p>
              </w:tc>
              <w:tc>
                <w:tcPr>
                  <w:tcW w:w="1550" w:type="pct"/>
                  <w:tcBorders>
                    <w:tl2br w:val="nil"/>
                    <w:tr2bl w:val="nil"/>
                  </w:tcBorders>
                  <w:noWrap w:val="0"/>
                  <w:vAlign w:val="center"/>
                </w:tcPr>
                <w:p w14:paraId="0BB3D1D8">
                  <w:pPr>
                    <w:spacing w:line="0" w:lineRule="atLeast"/>
                    <w:jc w:val="center"/>
                    <w:rPr>
                      <w:color w:val="auto"/>
                      <w:sz w:val="21"/>
                      <w:szCs w:val="21"/>
                    </w:rPr>
                  </w:pPr>
                  <w:r>
                    <w:rPr>
                      <w:rFonts w:hint="eastAsia"/>
                      <w:color w:val="auto"/>
                      <w:sz w:val="21"/>
                      <w:szCs w:val="21"/>
                      <w:lang w:val="en-US" w:eastAsia="zh-CN"/>
                    </w:rPr>
                    <w:t>本项目</w:t>
                  </w:r>
                  <w:r>
                    <w:rPr>
                      <w:rFonts w:hint="eastAsia"/>
                      <w:color w:val="auto"/>
                      <w:sz w:val="21"/>
                      <w:szCs w:val="21"/>
                    </w:rPr>
                    <w:t>排放废气</w:t>
                  </w:r>
                  <w:r>
                    <w:rPr>
                      <w:rFonts w:hint="eastAsia"/>
                      <w:color w:val="auto"/>
                      <w:sz w:val="21"/>
                      <w:szCs w:val="21"/>
                      <w:lang w:val="en-US" w:eastAsia="zh-CN"/>
                    </w:rPr>
                    <w:t>不</w:t>
                  </w:r>
                  <w:r>
                    <w:rPr>
                      <w:rFonts w:hint="eastAsia"/>
                      <w:color w:val="auto"/>
                      <w:sz w:val="21"/>
                      <w:szCs w:val="21"/>
                    </w:rPr>
                    <w:t>含有毒有害污染物、二噁英、苯并[a]芘、氰化物、氯气且厂界外500米范围内</w:t>
                  </w:r>
                  <w:r>
                    <w:rPr>
                      <w:rFonts w:hint="eastAsia"/>
                      <w:color w:val="auto"/>
                      <w:sz w:val="21"/>
                      <w:szCs w:val="21"/>
                      <w:lang w:val="en-US" w:eastAsia="zh-CN"/>
                    </w:rPr>
                    <w:t>无</w:t>
                  </w:r>
                  <w:r>
                    <w:rPr>
                      <w:rFonts w:hint="eastAsia"/>
                      <w:color w:val="auto"/>
                      <w:sz w:val="21"/>
                      <w:szCs w:val="21"/>
                    </w:rPr>
                    <w:t>环境空气保护目标</w:t>
                  </w:r>
                </w:p>
              </w:tc>
              <w:tc>
                <w:tcPr>
                  <w:tcW w:w="800" w:type="pct"/>
                  <w:tcBorders>
                    <w:tl2br w:val="nil"/>
                    <w:tr2bl w:val="nil"/>
                  </w:tcBorders>
                  <w:noWrap w:val="0"/>
                  <w:vAlign w:val="center"/>
                </w:tcPr>
                <w:p w14:paraId="47A20E24">
                  <w:pPr>
                    <w:spacing w:line="0" w:lineRule="atLeast"/>
                    <w:jc w:val="center"/>
                    <w:rPr>
                      <w:color w:val="auto"/>
                      <w:sz w:val="21"/>
                      <w:szCs w:val="21"/>
                    </w:rPr>
                  </w:pPr>
                  <w:r>
                    <w:rPr>
                      <w:rFonts w:hint="eastAsia"/>
                      <w:color w:val="auto"/>
                      <w:sz w:val="21"/>
                      <w:szCs w:val="21"/>
                    </w:rPr>
                    <w:t>否</w:t>
                  </w:r>
                </w:p>
              </w:tc>
            </w:tr>
            <w:tr w14:paraId="2875E2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67" w:type="pct"/>
                  <w:tcBorders>
                    <w:tl2br w:val="nil"/>
                    <w:tr2bl w:val="nil"/>
                  </w:tcBorders>
                  <w:noWrap w:val="0"/>
                  <w:vAlign w:val="center"/>
                </w:tcPr>
                <w:p w14:paraId="44B5D4F2">
                  <w:pPr>
                    <w:spacing w:line="0" w:lineRule="atLeast"/>
                    <w:jc w:val="center"/>
                    <w:rPr>
                      <w:color w:val="auto"/>
                      <w:sz w:val="21"/>
                      <w:szCs w:val="21"/>
                    </w:rPr>
                  </w:pPr>
                  <w:r>
                    <w:rPr>
                      <w:rFonts w:hint="eastAsia" w:ascii="宋体" w:hAnsi="宋体" w:eastAsia="宋体"/>
                      <w:color w:val="auto"/>
                      <w:sz w:val="21"/>
                      <w:szCs w:val="24"/>
                    </w:rPr>
                    <w:t>地表水</w:t>
                  </w:r>
                </w:p>
              </w:tc>
              <w:tc>
                <w:tcPr>
                  <w:tcW w:w="2181" w:type="pct"/>
                  <w:tcBorders>
                    <w:tl2br w:val="nil"/>
                    <w:tr2bl w:val="nil"/>
                  </w:tcBorders>
                  <w:noWrap w:val="0"/>
                  <w:vAlign w:val="top"/>
                </w:tcPr>
                <w:p w14:paraId="27A5899D">
                  <w:pPr>
                    <w:spacing w:line="0" w:lineRule="atLeast"/>
                    <w:rPr>
                      <w:rFonts w:hint="eastAsia"/>
                      <w:color w:val="auto"/>
                      <w:sz w:val="21"/>
                      <w:szCs w:val="21"/>
                    </w:rPr>
                  </w:pPr>
                  <w:r>
                    <w:rPr>
                      <w:rFonts w:hint="eastAsia"/>
                      <w:color w:val="auto"/>
                      <w:sz w:val="21"/>
                      <w:szCs w:val="21"/>
                    </w:rPr>
                    <w:t>新增工业废水直排建设项目（槽罐车外送污水处理厂的除外）；</w:t>
                  </w:r>
                </w:p>
                <w:p w14:paraId="7B087AD9">
                  <w:pPr>
                    <w:spacing w:line="0" w:lineRule="atLeast"/>
                    <w:rPr>
                      <w:color w:val="auto"/>
                      <w:sz w:val="21"/>
                      <w:szCs w:val="21"/>
                    </w:rPr>
                  </w:pPr>
                  <w:r>
                    <w:rPr>
                      <w:rFonts w:hint="eastAsia"/>
                      <w:color w:val="auto"/>
                      <w:sz w:val="21"/>
                      <w:szCs w:val="21"/>
                    </w:rPr>
                    <w:t>新增废水直排的污水集中处理厂</w:t>
                  </w:r>
                </w:p>
              </w:tc>
              <w:tc>
                <w:tcPr>
                  <w:tcW w:w="1550" w:type="pct"/>
                  <w:tcBorders>
                    <w:tl2br w:val="nil"/>
                    <w:tr2bl w:val="nil"/>
                  </w:tcBorders>
                  <w:noWrap w:val="0"/>
                  <w:vAlign w:val="center"/>
                </w:tcPr>
                <w:p w14:paraId="765E7C8D">
                  <w:pPr>
                    <w:spacing w:line="0" w:lineRule="atLeast"/>
                    <w:jc w:val="center"/>
                    <w:rPr>
                      <w:color w:val="auto"/>
                      <w:sz w:val="21"/>
                      <w:szCs w:val="21"/>
                    </w:rPr>
                  </w:pPr>
                  <w:r>
                    <w:rPr>
                      <w:rFonts w:hint="eastAsia"/>
                      <w:color w:val="auto"/>
                      <w:sz w:val="21"/>
                      <w:szCs w:val="21"/>
                      <w:lang w:val="en-US" w:eastAsia="zh-CN"/>
                    </w:rPr>
                    <w:t>本项目生活污水纳管排入集中区污水处理厂</w:t>
                  </w:r>
                  <w:r>
                    <w:rPr>
                      <w:rFonts w:hint="eastAsia"/>
                      <w:color w:val="auto"/>
                      <w:sz w:val="21"/>
                      <w:szCs w:val="21"/>
                      <w:lang w:eastAsia="zh-CN"/>
                    </w:rPr>
                    <w:t>，</w:t>
                  </w:r>
                  <w:r>
                    <w:rPr>
                      <w:rFonts w:hint="eastAsia"/>
                      <w:color w:val="auto"/>
                      <w:sz w:val="21"/>
                      <w:szCs w:val="21"/>
                      <w:lang w:val="en-US" w:eastAsia="zh-CN"/>
                    </w:rPr>
                    <w:t>为间接排放</w:t>
                  </w:r>
                </w:p>
              </w:tc>
              <w:tc>
                <w:tcPr>
                  <w:tcW w:w="800" w:type="pct"/>
                  <w:tcBorders>
                    <w:tl2br w:val="nil"/>
                    <w:tr2bl w:val="nil"/>
                  </w:tcBorders>
                  <w:noWrap w:val="0"/>
                  <w:vAlign w:val="center"/>
                </w:tcPr>
                <w:p w14:paraId="19775A43">
                  <w:pPr>
                    <w:spacing w:line="0" w:lineRule="atLeast"/>
                    <w:jc w:val="center"/>
                    <w:rPr>
                      <w:color w:val="auto"/>
                      <w:sz w:val="21"/>
                      <w:szCs w:val="21"/>
                    </w:rPr>
                  </w:pPr>
                  <w:r>
                    <w:rPr>
                      <w:rFonts w:hint="eastAsia"/>
                      <w:color w:val="auto"/>
                      <w:sz w:val="21"/>
                      <w:szCs w:val="21"/>
                    </w:rPr>
                    <w:t>否</w:t>
                  </w:r>
                </w:p>
              </w:tc>
            </w:tr>
            <w:tr w14:paraId="30A35C7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67" w:type="pct"/>
                  <w:tcBorders>
                    <w:tl2br w:val="nil"/>
                    <w:tr2bl w:val="nil"/>
                  </w:tcBorders>
                  <w:noWrap w:val="0"/>
                  <w:vAlign w:val="center"/>
                </w:tcPr>
                <w:p w14:paraId="4C819C98">
                  <w:pPr>
                    <w:spacing w:line="0" w:lineRule="atLeast"/>
                    <w:jc w:val="center"/>
                    <w:rPr>
                      <w:color w:val="auto"/>
                      <w:sz w:val="21"/>
                      <w:szCs w:val="21"/>
                    </w:rPr>
                  </w:pPr>
                  <w:r>
                    <w:rPr>
                      <w:rFonts w:hint="eastAsia" w:ascii="宋体" w:hAnsi="宋体" w:eastAsia="宋体"/>
                      <w:color w:val="auto"/>
                      <w:sz w:val="21"/>
                      <w:szCs w:val="24"/>
                    </w:rPr>
                    <w:t>环境风险</w:t>
                  </w:r>
                </w:p>
              </w:tc>
              <w:tc>
                <w:tcPr>
                  <w:tcW w:w="2181" w:type="pct"/>
                  <w:tcBorders>
                    <w:tl2br w:val="nil"/>
                    <w:tr2bl w:val="nil"/>
                  </w:tcBorders>
                  <w:noWrap w:val="0"/>
                  <w:vAlign w:val="top"/>
                </w:tcPr>
                <w:p w14:paraId="627DC0FD">
                  <w:pPr>
                    <w:spacing w:line="0" w:lineRule="atLeast"/>
                    <w:rPr>
                      <w:color w:val="auto"/>
                      <w:sz w:val="21"/>
                      <w:szCs w:val="21"/>
                    </w:rPr>
                  </w:pPr>
                  <w:r>
                    <w:rPr>
                      <w:rFonts w:hint="eastAsia"/>
                      <w:color w:val="auto"/>
                      <w:sz w:val="21"/>
                      <w:szCs w:val="21"/>
                    </w:rPr>
                    <w:t>有毒有害和易燃易爆危险物质存储量超过临界量的建设项目</w:t>
                  </w:r>
                </w:p>
              </w:tc>
              <w:tc>
                <w:tcPr>
                  <w:tcW w:w="1550" w:type="pct"/>
                  <w:tcBorders>
                    <w:tl2br w:val="nil"/>
                    <w:tr2bl w:val="nil"/>
                  </w:tcBorders>
                  <w:noWrap w:val="0"/>
                  <w:vAlign w:val="center"/>
                </w:tcPr>
                <w:p w14:paraId="721E486F">
                  <w:pPr>
                    <w:spacing w:line="0" w:lineRule="atLeast"/>
                    <w:jc w:val="center"/>
                    <w:rPr>
                      <w:color w:val="auto"/>
                      <w:sz w:val="21"/>
                      <w:szCs w:val="21"/>
                    </w:rPr>
                  </w:pPr>
                  <w:r>
                    <w:rPr>
                      <w:rFonts w:hint="eastAsia"/>
                      <w:color w:val="auto"/>
                      <w:sz w:val="21"/>
                      <w:szCs w:val="21"/>
                      <w:lang w:val="en-US" w:eastAsia="zh-CN"/>
                    </w:rPr>
                    <w:t>本项目</w:t>
                  </w:r>
                  <w:r>
                    <w:rPr>
                      <w:rFonts w:hint="eastAsia"/>
                      <w:color w:val="auto"/>
                      <w:sz w:val="21"/>
                      <w:szCs w:val="21"/>
                    </w:rPr>
                    <w:t>危险物质存储量</w:t>
                  </w:r>
                  <w:r>
                    <w:rPr>
                      <w:rFonts w:hint="eastAsia"/>
                      <w:color w:val="auto"/>
                      <w:sz w:val="21"/>
                      <w:szCs w:val="21"/>
                      <w:lang w:val="en-US" w:eastAsia="zh-CN"/>
                    </w:rPr>
                    <w:t>不</w:t>
                  </w:r>
                  <w:r>
                    <w:rPr>
                      <w:rFonts w:hint="eastAsia"/>
                      <w:color w:val="auto"/>
                      <w:sz w:val="21"/>
                      <w:szCs w:val="21"/>
                    </w:rPr>
                    <w:t>超过临界量</w:t>
                  </w:r>
                </w:p>
              </w:tc>
              <w:tc>
                <w:tcPr>
                  <w:tcW w:w="800" w:type="pct"/>
                  <w:tcBorders>
                    <w:tl2br w:val="nil"/>
                    <w:tr2bl w:val="nil"/>
                  </w:tcBorders>
                  <w:noWrap w:val="0"/>
                  <w:vAlign w:val="center"/>
                </w:tcPr>
                <w:p w14:paraId="22943685">
                  <w:pPr>
                    <w:spacing w:line="0" w:lineRule="atLeast"/>
                    <w:jc w:val="center"/>
                    <w:rPr>
                      <w:rFonts w:hint="eastAsia"/>
                      <w:color w:val="auto"/>
                      <w:sz w:val="21"/>
                      <w:szCs w:val="21"/>
                    </w:rPr>
                  </w:pPr>
                  <w:r>
                    <w:rPr>
                      <w:rFonts w:hint="eastAsia"/>
                      <w:color w:val="auto"/>
                      <w:sz w:val="21"/>
                      <w:szCs w:val="21"/>
                    </w:rPr>
                    <w:t>否</w:t>
                  </w:r>
                </w:p>
              </w:tc>
            </w:tr>
            <w:tr w14:paraId="0123B4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67" w:type="pct"/>
                  <w:tcBorders>
                    <w:tl2br w:val="nil"/>
                    <w:tr2bl w:val="nil"/>
                  </w:tcBorders>
                  <w:noWrap w:val="0"/>
                  <w:vAlign w:val="center"/>
                </w:tcPr>
                <w:p w14:paraId="06F993B3">
                  <w:pPr>
                    <w:spacing w:line="0" w:lineRule="atLeast"/>
                    <w:jc w:val="center"/>
                    <w:rPr>
                      <w:color w:val="auto"/>
                      <w:sz w:val="21"/>
                      <w:szCs w:val="21"/>
                    </w:rPr>
                  </w:pPr>
                  <w:r>
                    <w:rPr>
                      <w:rFonts w:hint="eastAsia" w:ascii="宋体" w:hAnsi="宋体" w:eastAsia="宋体"/>
                      <w:color w:val="auto"/>
                      <w:sz w:val="21"/>
                      <w:szCs w:val="24"/>
                    </w:rPr>
                    <w:t>生态</w:t>
                  </w:r>
                </w:p>
              </w:tc>
              <w:tc>
                <w:tcPr>
                  <w:tcW w:w="2181" w:type="pct"/>
                  <w:tcBorders>
                    <w:tl2br w:val="nil"/>
                    <w:tr2bl w:val="nil"/>
                  </w:tcBorders>
                  <w:noWrap w:val="0"/>
                  <w:vAlign w:val="top"/>
                </w:tcPr>
                <w:p w14:paraId="0E38FD11">
                  <w:pPr>
                    <w:spacing w:line="0" w:lineRule="atLeast"/>
                    <w:rPr>
                      <w:color w:val="auto"/>
                      <w:sz w:val="21"/>
                      <w:szCs w:val="21"/>
                    </w:rPr>
                  </w:pPr>
                  <w:r>
                    <w:rPr>
                      <w:rFonts w:hint="eastAsia"/>
                      <w:color w:val="auto"/>
                      <w:sz w:val="21"/>
                      <w:szCs w:val="21"/>
                    </w:rPr>
                    <w:t>取水口下游500米范围内有重要水生生物的自然产卵场、索饵场、越冬场和洄游通道的新增河道取水的污染类建设项目</w:t>
                  </w:r>
                </w:p>
              </w:tc>
              <w:tc>
                <w:tcPr>
                  <w:tcW w:w="1550" w:type="pct"/>
                  <w:tcBorders>
                    <w:tl2br w:val="nil"/>
                    <w:tr2bl w:val="nil"/>
                  </w:tcBorders>
                  <w:noWrap w:val="0"/>
                  <w:vAlign w:val="center"/>
                </w:tcPr>
                <w:p w14:paraId="31C805CD">
                  <w:pPr>
                    <w:spacing w:line="0" w:lineRule="atLeast"/>
                    <w:jc w:val="center"/>
                    <w:rPr>
                      <w:color w:val="auto"/>
                      <w:sz w:val="21"/>
                      <w:szCs w:val="21"/>
                    </w:rPr>
                  </w:pPr>
                  <w:r>
                    <w:rPr>
                      <w:rFonts w:hint="eastAsia"/>
                      <w:color w:val="auto"/>
                      <w:sz w:val="21"/>
                      <w:szCs w:val="21"/>
                      <w:lang w:val="en-US" w:eastAsia="zh-CN"/>
                    </w:rPr>
                    <w:t>本项目用水来自园区供水管网，不涉及</w:t>
                  </w:r>
                  <w:r>
                    <w:rPr>
                      <w:rFonts w:hint="eastAsia"/>
                      <w:color w:val="auto"/>
                      <w:sz w:val="21"/>
                      <w:szCs w:val="21"/>
                    </w:rPr>
                    <w:t>取水口</w:t>
                  </w:r>
                </w:p>
              </w:tc>
              <w:tc>
                <w:tcPr>
                  <w:tcW w:w="800" w:type="pct"/>
                  <w:tcBorders>
                    <w:tl2br w:val="nil"/>
                    <w:tr2bl w:val="nil"/>
                  </w:tcBorders>
                  <w:noWrap w:val="0"/>
                  <w:vAlign w:val="center"/>
                </w:tcPr>
                <w:p w14:paraId="4885A4F1">
                  <w:pPr>
                    <w:spacing w:line="0" w:lineRule="atLeast"/>
                    <w:jc w:val="center"/>
                    <w:rPr>
                      <w:color w:val="auto"/>
                      <w:sz w:val="21"/>
                      <w:szCs w:val="21"/>
                    </w:rPr>
                  </w:pPr>
                  <w:r>
                    <w:rPr>
                      <w:rFonts w:hint="eastAsia"/>
                      <w:color w:val="auto"/>
                      <w:sz w:val="21"/>
                      <w:szCs w:val="21"/>
                    </w:rPr>
                    <w:t>否</w:t>
                  </w:r>
                </w:p>
              </w:tc>
            </w:tr>
            <w:tr w14:paraId="4DFA21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jc w:val="center"/>
              </w:trPr>
              <w:tc>
                <w:tcPr>
                  <w:tcW w:w="467" w:type="pct"/>
                  <w:tcBorders>
                    <w:tl2br w:val="nil"/>
                    <w:tr2bl w:val="nil"/>
                  </w:tcBorders>
                  <w:noWrap w:val="0"/>
                  <w:vAlign w:val="center"/>
                </w:tcPr>
                <w:p w14:paraId="71BB5DA3">
                  <w:pPr>
                    <w:spacing w:line="0" w:lineRule="atLeast"/>
                    <w:jc w:val="center"/>
                    <w:rPr>
                      <w:color w:val="auto"/>
                      <w:sz w:val="21"/>
                      <w:szCs w:val="21"/>
                    </w:rPr>
                  </w:pPr>
                  <w:r>
                    <w:rPr>
                      <w:rFonts w:hint="eastAsia" w:ascii="宋体" w:hAnsi="宋体" w:eastAsia="宋体"/>
                      <w:color w:val="auto"/>
                      <w:sz w:val="21"/>
                      <w:szCs w:val="24"/>
                    </w:rPr>
                    <w:t>海洋</w:t>
                  </w:r>
                </w:p>
              </w:tc>
              <w:tc>
                <w:tcPr>
                  <w:tcW w:w="2181" w:type="pct"/>
                  <w:tcBorders>
                    <w:tl2br w:val="nil"/>
                    <w:tr2bl w:val="nil"/>
                  </w:tcBorders>
                  <w:noWrap w:val="0"/>
                  <w:vAlign w:val="top"/>
                </w:tcPr>
                <w:p w14:paraId="1C257B6B">
                  <w:pPr>
                    <w:spacing w:line="0" w:lineRule="atLeast"/>
                    <w:rPr>
                      <w:color w:val="auto"/>
                      <w:sz w:val="21"/>
                      <w:szCs w:val="21"/>
                    </w:rPr>
                  </w:pPr>
                  <w:r>
                    <w:rPr>
                      <w:rFonts w:hint="eastAsia"/>
                      <w:color w:val="auto"/>
                      <w:sz w:val="21"/>
                      <w:szCs w:val="21"/>
                    </w:rPr>
                    <w:t>直接向海排放污染物的海洋工程建设项目</w:t>
                  </w:r>
                </w:p>
              </w:tc>
              <w:tc>
                <w:tcPr>
                  <w:tcW w:w="1550" w:type="pct"/>
                  <w:tcBorders>
                    <w:tl2br w:val="nil"/>
                    <w:tr2bl w:val="nil"/>
                  </w:tcBorders>
                  <w:noWrap w:val="0"/>
                  <w:vAlign w:val="center"/>
                </w:tcPr>
                <w:p w14:paraId="60876F5A">
                  <w:pPr>
                    <w:spacing w:line="0" w:lineRule="atLeast"/>
                    <w:jc w:val="center"/>
                    <w:rPr>
                      <w:color w:val="auto"/>
                      <w:sz w:val="21"/>
                      <w:szCs w:val="21"/>
                    </w:rPr>
                  </w:pPr>
                  <w:r>
                    <w:rPr>
                      <w:rFonts w:hint="eastAsia"/>
                      <w:color w:val="auto"/>
                      <w:sz w:val="21"/>
                      <w:szCs w:val="21"/>
                      <w:lang w:val="en-US" w:eastAsia="zh-CN"/>
                    </w:rPr>
                    <w:t>本项目</w:t>
                  </w:r>
                  <w:r>
                    <w:rPr>
                      <w:rFonts w:hint="eastAsia"/>
                      <w:color w:val="auto"/>
                      <w:sz w:val="21"/>
                      <w:szCs w:val="21"/>
                    </w:rPr>
                    <w:t>不涉及</w:t>
                  </w:r>
                  <w:r>
                    <w:rPr>
                      <w:rFonts w:hint="eastAsia"/>
                      <w:color w:val="auto"/>
                      <w:sz w:val="21"/>
                      <w:szCs w:val="21"/>
                      <w:lang w:val="en-US" w:eastAsia="zh-CN"/>
                    </w:rPr>
                    <w:t>海洋工程</w:t>
                  </w:r>
                </w:p>
              </w:tc>
              <w:tc>
                <w:tcPr>
                  <w:tcW w:w="800" w:type="pct"/>
                  <w:tcBorders>
                    <w:tl2br w:val="nil"/>
                    <w:tr2bl w:val="nil"/>
                  </w:tcBorders>
                  <w:noWrap w:val="0"/>
                  <w:vAlign w:val="center"/>
                </w:tcPr>
                <w:p w14:paraId="1CB2F8B4">
                  <w:pPr>
                    <w:spacing w:line="0" w:lineRule="atLeast"/>
                    <w:jc w:val="center"/>
                    <w:rPr>
                      <w:color w:val="auto"/>
                      <w:sz w:val="21"/>
                      <w:szCs w:val="21"/>
                    </w:rPr>
                  </w:pPr>
                  <w:r>
                    <w:rPr>
                      <w:rFonts w:hint="eastAsia"/>
                      <w:color w:val="auto"/>
                      <w:sz w:val="21"/>
                      <w:szCs w:val="21"/>
                    </w:rPr>
                    <w:t>否</w:t>
                  </w:r>
                </w:p>
              </w:tc>
            </w:tr>
          </w:tbl>
          <w:p w14:paraId="78D2C6C2">
            <w:pPr>
              <w:bidi w:val="0"/>
              <w:jc w:val="center"/>
              <w:rPr>
                <w:rFonts w:hint="default"/>
                <w:color w:val="000000" w:themeColor="text1"/>
                <w:sz w:val="24"/>
                <w:szCs w:val="24"/>
                <w:lang w:val="en-US" w:eastAsia="zh-CN"/>
                <w14:textFill>
                  <w14:solidFill>
                    <w14:schemeClr w14:val="tx1"/>
                  </w14:solidFill>
                </w14:textFill>
              </w:rPr>
            </w:pPr>
          </w:p>
        </w:tc>
      </w:tr>
      <w:tr w14:paraId="3F9787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653" w:type="pct"/>
            <w:noWrap w:val="0"/>
            <w:vAlign w:val="center"/>
          </w:tcPr>
          <w:p w14:paraId="75FE3607">
            <w:pPr>
              <w:bidi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规划情况</w:t>
            </w:r>
          </w:p>
        </w:tc>
        <w:tc>
          <w:tcPr>
            <w:tcW w:w="4346" w:type="pct"/>
            <w:gridSpan w:val="3"/>
            <w:noWrap w:val="0"/>
            <w:vAlign w:val="center"/>
          </w:tcPr>
          <w:p w14:paraId="61DCCFC6">
            <w:pPr>
              <w:pStyle w:val="50"/>
              <w:keepNext w:val="0"/>
              <w:keepLines w:val="0"/>
              <w:suppressLineNumbers w:val="0"/>
              <w:spacing w:before="0" w:beforeAutospacing="0" w:after="0" w:afterAutospacing="0" w:line="360" w:lineRule="auto"/>
              <w:ind w:left="0" w:right="0"/>
              <w:jc w:val="both"/>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规划名称：《安徽省江南产业集中区产业发展规划</w:t>
            </w:r>
            <w:r>
              <w:rPr>
                <w:rFonts w:hint="default" w:ascii="Times New Roman" w:hAnsi="Times New Roman" w:cs="Times New Roman"/>
                <w:color w:val="auto"/>
                <w:sz w:val="24"/>
                <w:szCs w:val="24"/>
                <w:highlight w:val="none"/>
              </w:rPr>
              <w:t>（2019-2030年）</w:t>
            </w:r>
            <w:r>
              <w:rPr>
                <w:rFonts w:hint="default" w:ascii="Times New Roman" w:hAnsi="Times New Roman" w:cs="Times New Roman"/>
                <w:color w:val="auto"/>
                <w:sz w:val="24"/>
                <w:szCs w:val="24"/>
                <w:highlight w:val="none"/>
                <w:lang w:val="en-US" w:eastAsia="zh-CN"/>
              </w:rPr>
              <w:t>》（现更名为皖江江南新兴产业集中区）</w:t>
            </w:r>
          </w:p>
          <w:p w14:paraId="375FFDFF">
            <w:pPr>
              <w:pStyle w:val="43"/>
              <w:keepNext w:val="0"/>
              <w:keepLines w:val="0"/>
              <w:pageBreakBefore w:val="0"/>
              <w:widowControl/>
              <w:kinsoku/>
              <w:wordWrap/>
              <w:overflowPunct/>
              <w:topLinePunct w:val="0"/>
              <w:autoSpaceDE/>
              <w:autoSpaceDN/>
              <w:bidi w:val="0"/>
              <w:adjustRightInd/>
              <w:snapToGrid/>
              <w:ind w:firstLine="0" w:firstLineChars="0"/>
              <w:jc w:val="left"/>
              <w:textAlignment w:val="auto"/>
              <w:rPr>
                <w:rFonts w:hint="default"/>
                <w:color w:val="000000" w:themeColor="text1"/>
                <w:lang w:val="en-US" w:eastAsia="zh-CN"/>
                <w14:textFill>
                  <w14:solidFill>
                    <w14:schemeClr w14:val="tx1"/>
                  </w14:solidFill>
                </w14:textFill>
              </w:rPr>
            </w:pPr>
            <w:r>
              <w:rPr>
                <w:rFonts w:hint="default" w:ascii="Times New Roman" w:hAnsi="Times New Roman" w:eastAsia="宋体" w:cs="Times New Roman"/>
                <w:color w:val="auto"/>
                <w:kern w:val="0"/>
                <w:sz w:val="24"/>
                <w:szCs w:val="24"/>
                <w:highlight w:val="none"/>
                <w:lang w:val="en-US" w:eastAsia="zh-CN" w:bidi="ar-SA"/>
              </w:rPr>
              <w:t>审批机关：安徽省人民政府</w:t>
            </w:r>
          </w:p>
        </w:tc>
      </w:tr>
      <w:tr w14:paraId="343CEE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pct"/>
            <w:noWrap w:val="0"/>
            <w:vAlign w:val="center"/>
          </w:tcPr>
          <w:p w14:paraId="5B65B894">
            <w:pPr>
              <w:bidi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规划环境影响评价情况</w:t>
            </w:r>
          </w:p>
        </w:tc>
        <w:tc>
          <w:tcPr>
            <w:tcW w:w="4346" w:type="pct"/>
            <w:gridSpan w:val="3"/>
            <w:noWrap w:val="0"/>
            <w:vAlign w:val="center"/>
          </w:tcPr>
          <w:p w14:paraId="42D8F83B">
            <w:pPr>
              <w:pStyle w:val="43"/>
              <w:keepNext w:val="0"/>
              <w:keepLines w:val="0"/>
              <w:pageBreakBefore w:val="0"/>
              <w:kinsoku/>
              <w:wordWrap/>
              <w:overflowPunct/>
              <w:topLinePunct w:val="0"/>
              <w:autoSpaceDE/>
              <w:autoSpaceDN/>
              <w:bidi w:val="0"/>
              <w:adjustRightInd/>
              <w:snapToGrid/>
              <w:ind w:firstLine="0" w:firstLineChars="0"/>
              <w:jc w:val="left"/>
              <w:textAlignment w:val="auto"/>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规划环评名称：《</w:t>
            </w:r>
            <w:r>
              <w:rPr>
                <w:rFonts w:hint="eastAsia"/>
                <w:color w:val="000000" w:themeColor="text1"/>
                <w:sz w:val="24"/>
                <w:szCs w:val="24"/>
                <w:highlight w:val="none"/>
                <w:lang w:val="en-US" w:eastAsia="zh-CN"/>
                <w14:textFill>
                  <w14:solidFill>
                    <w14:schemeClr w14:val="tx1"/>
                  </w14:solidFill>
                </w14:textFill>
              </w:rPr>
              <w:t>安徽省江南</w:t>
            </w:r>
            <w:r>
              <w:rPr>
                <w:rFonts w:hint="eastAsia"/>
                <w:color w:val="000000" w:themeColor="text1"/>
                <w:sz w:val="24"/>
                <w:szCs w:val="24"/>
                <w:lang w:val="en-US" w:eastAsia="zh-CN"/>
                <w14:textFill>
                  <w14:solidFill>
                    <w14:schemeClr w14:val="tx1"/>
                  </w14:solidFill>
                </w14:textFill>
              </w:rPr>
              <w:t>产业集中区产业发展规划（2019—2030年）环境影响报告书》</w:t>
            </w:r>
          </w:p>
          <w:p w14:paraId="5AC6F622">
            <w:pPr>
              <w:pStyle w:val="43"/>
              <w:keepNext w:val="0"/>
              <w:keepLines w:val="0"/>
              <w:pageBreakBefore w:val="0"/>
              <w:widowControl/>
              <w:kinsoku/>
              <w:wordWrap/>
              <w:overflowPunct/>
              <w:topLinePunct w:val="0"/>
              <w:autoSpaceDE/>
              <w:autoSpaceDN/>
              <w:bidi w:val="0"/>
              <w:adjustRightInd/>
              <w:snapToGrid/>
              <w:ind w:left="0" w:leftChars="0" w:firstLine="0" w:firstLineChars="0"/>
              <w:jc w:val="left"/>
              <w:textAlignment w:val="auto"/>
              <w:rPr>
                <w:rFonts w:hint="eastAsia"/>
                <w:color w:val="FF0000"/>
                <w:sz w:val="24"/>
                <w:szCs w:val="24"/>
                <w:lang w:val="en-US" w:eastAsia="zh-CN"/>
              </w:rPr>
            </w:pPr>
            <w:r>
              <w:rPr>
                <w:rFonts w:hint="eastAsia"/>
                <w:color w:val="000000" w:themeColor="text1"/>
                <w:sz w:val="24"/>
                <w:szCs w:val="24"/>
                <w:lang w:val="en-US" w:eastAsia="zh-CN"/>
                <w14:textFill>
                  <w14:solidFill>
                    <w14:schemeClr w14:val="tx1"/>
                  </w14:solidFill>
                </w14:textFill>
              </w:rPr>
              <w:t>规划环评审查机关：安徽省生态环境厅</w:t>
            </w:r>
          </w:p>
          <w:p w14:paraId="21459991">
            <w:pPr>
              <w:pStyle w:val="43"/>
              <w:keepNext w:val="0"/>
              <w:keepLines w:val="0"/>
              <w:pageBreakBefore w:val="0"/>
              <w:kinsoku/>
              <w:wordWrap/>
              <w:overflowPunct/>
              <w:topLinePunct w:val="0"/>
              <w:autoSpaceDE/>
              <w:autoSpaceDN/>
              <w:bidi w:val="0"/>
              <w:adjustRightInd/>
              <w:snapToGrid/>
              <w:ind w:firstLine="0" w:firstLineChars="0"/>
              <w:jc w:val="left"/>
              <w:textAlignment w:val="auto"/>
              <w:rPr>
                <w:rFonts w:hint="default"/>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规划环评审查文件名称及文号：安徽省生态环境厅关于印发《安徽省江南产业集中区产业发展规划（2019-2030年）环境影响评价报告书审查意见》的函（皖环函〔2020〕107号）</w:t>
            </w:r>
          </w:p>
        </w:tc>
      </w:tr>
      <w:tr w14:paraId="3B0596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58" w:hRule="atLeast"/>
          <w:jc w:val="center"/>
        </w:trPr>
        <w:tc>
          <w:tcPr>
            <w:tcW w:w="653" w:type="pct"/>
            <w:noWrap w:val="0"/>
            <w:vAlign w:val="center"/>
          </w:tcPr>
          <w:p w14:paraId="174DCD0B">
            <w:pPr>
              <w:bidi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规划及规划</w:t>
            </w:r>
            <w:r>
              <w:rPr>
                <w:rFonts w:hint="eastAsia"/>
                <w:color w:val="000000" w:themeColor="text1"/>
                <w:sz w:val="21"/>
                <w:szCs w:val="21"/>
                <w:highlight w:val="none"/>
                <w:lang w:val="en-US" w:eastAsia="zh-CN"/>
                <w14:textFill>
                  <w14:solidFill>
                    <w14:schemeClr w14:val="tx1"/>
                  </w14:solidFill>
                </w14:textFill>
              </w:rPr>
              <w:t>环境</w:t>
            </w:r>
            <w:r>
              <w:rPr>
                <w:rFonts w:hint="eastAsia"/>
                <w:color w:val="000000" w:themeColor="text1"/>
                <w:sz w:val="21"/>
                <w:szCs w:val="21"/>
                <w:lang w:val="en-US" w:eastAsia="zh-CN"/>
                <w14:textFill>
                  <w14:solidFill>
                    <w14:schemeClr w14:val="tx1"/>
                  </w14:solidFill>
                </w14:textFill>
              </w:rPr>
              <w:t>影响评价符合性分析</w:t>
            </w:r>
          </w:p>
        </w:tc>
        <w:tc>
          <w:tcPr>
            <w:tcW w:w="4346" w:type="pct"/>
            <w:gridSpan w:val="3"/>
            <w:noWrap w:val="0"/>
            <w:vAlign w:val="center"/>
          </w:tcPr>
          <w:p w14:paraId="594650E7">
            <w:pPr>
              <w:pStyle w:val="43"/>
              <w:keepNext w:val="0"/>
              <w:keepLines w:val="0"/>
              <w:pageBreakBefore w:val="0"/>
              <w:kinsoku/>
              <w:wordWrap/>
              <w:overflowPunct/>
              <w:topLinePunct w:val="0"/>
              <w:autoSpaceDE/>
              <w:autoSpaceDN/>
              <w:bidi w:val="0"/>
              <w:adjustRightInd w:val="0"/>
              <w:snapToGrid w:val="0"/>
              <w:textAlignment w:val="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1、与《</w:t>
            </w:r>
            <w:r>
              <w:rPr>
                <w:rFonts w:hint="eastAsia"/>
                <w:b/>
                <w:bCs/>
                <w:color w:val="000000" w:themeColor="text1"/>
                <w:highlight w:val="none"/>
                <w:lang w:val="en-US" w:eastAsia="zh-CN"/>
                <w14:textFill>
                  <w14:solidFill>
                    <w14:schemeClr w14:val="tx1"/>
                  </w14:solidFill>
                </w14:textFill>
              </w:rPr>
              <w:t>安徽省江南</w:t>
            </w:r>
            <w:r>
              <w:rPr>
                <w:rFonts w:hint="eastAsia"/>
                <w:b/>
                <w:bCs/>
                <w:color w:val="000000" w:themeColor="text1"/>
                <w:lang w:val="en-US" w:eastAsia="zh-CN"/>
                <w14:textFill>
                  <w14:solidFill>
                    <w14:schemeClr w14:val="tx1"/>
                  </w14:solidFill>
                </w14:textFill>
              </w:rPr>
              <w:t>产业集中区产业发展规划（2019～2030年）》相符性分析</w:t>
            </w:r>
          </w:p>
          <w:p w14:paraId="2EEF3620">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安徽省江南产业集中区（现皖江江南新兴产业集中区）总体规划：北至长江，南至沿江高速、铜九铁路，西至牧之路，东至青通河，包括梅龙街道以及马衙街道、墩上街道部分地区，由产业集中区（建设用地规模为36.50平方公里）和城市协调发展区（建设用地规模为20.00平方公里）两部分组成。</w:t>
            </w:r>
          </w:p>
          <w:p w14:paraId="74EFF5D5">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安徽省江南产业集中区（现皖江江南新兴产业集中区）产业发展规划：主要针对安徽省江南产业集中区（建设用地规模为36.50平方公里）地块。</w:t>
            </w:r>
          </w:p>
          <w:p w14:paraId="006484F0">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（2）产业规划</w:t>
            </w:r>
          </w:p>
          <w:p w14:paraId="7DD37803">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以机械电子产业、新型材料产业和大健康产业为三大主导产业。实现机械电子产业多元化发展、实现新型材料产业绿色高质量发展、实现大健康产业稳步发展，整合江南产业集中区辅助企业资源，延伸产业链，围绕提高新型材料、机械电子本地化辅助率，不断提升汽车零部件的生产和辅助能力，形成了绿色建材、新型包装材料、电子和电工机械专用设备制造、食品加工、饲料加工、农副产品加工和塑料制品加工等二十多个辅助产业。</w:t>
            </w:r>
          </w:p>
          <w:p w14:paraId="5BF833C7">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（3）产业布局</w:t>
            </w:r>
          </w:p>
          <w:p w14:paraId="03B2978C">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次规划产业布局在集中区“一主、两副、两组团”的规划空间结构的基础上，依托三大主导产业的发展，集中区划分出三大产业片区，各片区集中力量，大力推动主导产业的发展，充分发挥主导产业的扩散效应，带动辅助产业及整个集中区的发展，形成“两核、三片、多区”的产业布局。</w:t>
            </w:r>
          </w:p>
          <w:p w14:paraId="7C7AC6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kern w:val="0"/>
                <w:sz w:val="24"/>
                <w:szCs w:val="20"/>
                <w:lang w:val="en-US" w:eastAsia="zh-CN"/>
              </w:rPr>
            </w:pPr>
            <w:r>
              <w:rPr>
                <w:rFonts w:hint="eastAsia" w:ascii="Times New Roman" w:hAnsi="Times New Roman" w:eastAsia="宋体" w:cs="Times New Roman"/>
                <w:kern w:val="0"/>
                <w:sz w:val="24"/>
                <w:szCs w:val="20"/>
                <w:lang w:val="en-US" w:eastAsia="zh-CN"/>
              </w:rPr>
              <w:t>同时，根据《池州市人民政府关于进一步明确皖江江南新兴产业集中区、池州经济技术开发区主导产业的批复》（池政秘</w:t>
            </w:r>
            <w:r>
              <w:rPr>
                <w:rFonts w:hint="eastAsia" w:cs="Times New Roman"/>
                <w:kern w:val="0"/>
                <w:sz w:val="24"/>
                <w:szCs w:val="20"/>
                <w:lang w:val="en-US" w:eastAsia="zh-CN"/>
              </w:rPr>
              <w:t>〔2025〕15号</w:t>
            </w:r>
            <w:r>
              <w:rPr>
                <w:rFonts w:hint="eastAsia" w:ascii="Times New Roman" w:hAnsi="Times New Roman" w:eastAsia="宋体" w:cs="Times New Roman"/>
                <w:kern w:val="0"/>
                <w:sz w:val="24"/>
                <w:szCs w:val="20"/>
                <w:lang w:val="en-US" w:eastAsia="zh-CN"/>
              </w:rPr>
              <w:t>），皖江江南新兴产业集中区主导产业明确为“</w:t>
            </w:r>
            <w:r>
              <w:rPr>
                <w:rFonts w:hint="eastAsia" w:ascii="Times New Roman" w:hAnsi="Times New Roman" w:eastAsia="宋体" w:cs="Times New Roman"/>
                <w:b/>
                <w:bCs/>
                <w:kern w:val="0"/>
                <w:sz w:val="24"/>
                <w:szCs w:val="20"/>
                <w:lang w:val="en-US" w:eastAsia="zh-CN"/>
              </w:rPr>
              <w:t>有色金属</w:t>
            </w:r>
            <w:r>
              <w:rPr>
                <w:rFonts w:hint="eastAsia" w:cs="Times New Roman"/>
                <w:b/>
                <w:bCs/>
                <w:kern w:val="0"/>
                <w:sz w:val="24"/>
                <w:szCs w:val="20"/>
                <w:lang w:val="en-US" w:eastAsia="zh-CN"/>
              </w:rPr>
              <w:t>冶炼</w:t>
            </w:r>
            <w:r>
              <w:rPr>
                <w:rFonts w:hint="eastAsia" w:ascii="Times New Roman" w:hAnsi="Times New Roman" w:eastAsia="宋体" w:cs="Times New Roman"/>
                <w:b/>
                <w:bCs/>
                <w:kern w:val="0"/>
                <w:sz w:val="24"/>
                <w:szCs w:val="20"/>
                <w:lang w:val="en-US" w:eastAsia="zh-CN"/>
              </w:rPr>
              <w:t>和压延加工业（国民经济行业代码C32)，计算机、通信和其他电子设备制造业（国民经济行业代码C39)，铁路、船舶、航空航天和其他运输设备制造业（国民经济行业代码C37)</w:t>
            </w:r>
            <w:r>
              <w:rPr>
                <w:rFonts w:hint="eastAsia" w:ascii="Times New Roman" w:hAnsi="Times New Roman" w:eastAsia="宋体" w:cs="Times New Roman"/>
                <w:kern w:val="0"/>
                <w:sz w:val="24"/>
                <w:szCs w:val="20"/>
                <w:lang w:val="en-US" w:eastAsia="zh-CN"/>
              </w:rPr>
              <w:t>”（详见附件5）。</w:t>
            </w:r>
          </w:p>
          <w:p w14:paraId="4698CA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eastAsia" w:ascii="Times New Roman" w:hAnsi="Times New Roman" w:eastAsia="宋体"/>
                <w:color w:val="000000" w:themeColor="text1"/>
                <w:sz w:val="24"/>
                <w14:textFill>
                  <w14:solidFill>
                    <w14:schemeClr w14:val="tx1"/>
                  </w14:solidFill>
                </w14:textFill>
              </w:rPr>
            </w:pPr>
            <w:r>
              <w:rPr>
                <w:rFonts w:hint="eastAsia" w:ascii="Times New Roman" w:hAnsi="Times New Roman"/>
                <w:color w:val="000000" w:themeColor="text1"/>
                <w:sz w:val="24"/>
                <w:lang w:val="en-US" w:eastAsia="zh-CN"/>
                <w14:textFill>
                  <w14:solidFill>
                    <w14:schemeClr w14:val="tx1"/>
                  </w14:solidFill>
                </w14:textFill>
              </w:rPr>
              <w:t>本</w:t>
            </w:r>
            <w:r>
              <w:rPr>
                <w:rFonts w:hint="eastAsia" w:ascii="Times New Roman" w:hAnsi="Times New Roman" w:eastAsia="宋体"/>
                <w:color w:val="000000" w:themeColor="text1"/>
                <w:sz w:val="24"/>
                <w:lang w:val="en-US" w:eastAsia="zh-CN"/>
                <w14:textFill>
                  <w14:solidFill>
                    <w14:schemeClr w14:val="tx1"/>
                  </w14:solidFill>
                </w14:textFill>
              </w:rPr>
              <w:t>项目</w:t>
            </w:r>
            <w:r>
              <w:rPr>
                <w:rFonts w:hint="eastAsia"/>
                <w:color w:val="000000" w:themeColor="text1"/>
                <w:sz w:val="24"/>
                <w:lang w:val="en-US" w:eastAsia="zh-CN"/>
                <w14:textFill>
                  <w14:solidFill>
                    <w14:schemeClr w14:val="tx1"/>
                  </w14:solidFill>
                </w14:textFill>
              </w:rPr>
              <w:t>为</w:t>
            </w:r>
            <w:r>
              <w:rPr>
                <w:rFonts w:hint="default"/>
                <w:sz w:val="24"/>
                <w:szCs w:val="24"/>
                <w:lang w:val="en-US" w:eastAsia="zh-CN"/>
              </w:rPr>
              <w:t>C3252 铝压延加工</w:t>
            </w:r>
            <w:r>
              <w:rPr>
                <w:rFonts w:hint="eastAsia"/>
                <w:sz w:val="24"/>
                <w:szCs w:val="24"/>
                <w:lang w:val="en-US" w:eastAsia="zh-CN"/>
              </w:rPr>
              <w:t>项目</w:t>
            </w:r>
            <w:r>
              <w:rPr>
                <w:rFonts w:hint="eastAsia"/>
                <w:color w:val="000000" w:themeColor="text1"/>
                <w:sz w:val="24"/>
                <w:lang w:val="en-US" w:eastAsia="zh-CN"/>
                <w14:textFill>
                  <w14:solidFill>
                    <w14:schemeClr w14:val="tx1"/>
                  </w14:solidFill>
                </w14:textFill>
              </w:rPr>
              <w:t>，属于园区主导产业，项目位于安徽省池州市江南产业集中区兴业大道以西，创裕金属以南，兴业大道25号</w:t>
            </w:r>
            <w:r>
              <w:rPr>
                <w:rFonts w:hint="eastAsia" w:ascii="Times New Roman" w:hAnsi="Times New Roman" w:eastAsia="宋体"/>
                <w:color w:val="000000" w:themeColor="text1"/>
                <w:sz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项目用地为工业用地（详见附图2、附件3）</w:t>
            </w:r>
            <w:r>
              <w:rPr>
                <w:rFonts w:hint="eastAsia"/>
                <w:sz w:val="24"/>
                <w:szCs w:val="24"/>
                <w:lang w:val="en-US" w:eastAsia="zh-CN"/>
              </w:rPr>
              <w:t>，对照《自然资源要素支撑产业高质量发展指导目录（2024年本）》（自然资发〔2024〕273号），项目用地不属于其中限制和禁止类项目。</w:t>
            </w:r>
            <w:r>
              <w:rPr>
                <w:rFonts w:hint="eastAsia" w:ascii="Times New Roman" w:hAnsi="Times New Roman" w:eastAsia="宋体"/>
                <w:color w:val="000000" w:themeColor="text1"/>
                <w:sz w:val="24"/>
                <w:lang w:val="en-US" w:eastAsia="zh-CN"/>
                <w14:textFill>
                  <w14:solidFill>
                    <w14:schemeClr w14:val="tx1"/>
                  </w14:solidFill>
                </w14:textFill>
              </w:rPr>
              <w:t>因此，本项目建设符合《安徽省江南产业集中区产业发展规划（2019-2030年）》要求。</w:t>
            </w:r>
          </w:p>
          <w:p w14:paraId="3628D21F">
            <w:pPr>
              <w:pStyle w:val="43"/>
              <w:keepNext w:val="0"/>
              <w:keepLines w:val="0"/>
              <w:pageBreakBefore w:val="0"/>
              <w:widowControl/>
              <w:kinsoku/>
              <w:wordWrap/>
              <w:overflowPunct/>
              <w:topLinePunct w:val="0"/>
              <w:autoSpaceDE/>
              <w:autoSpaceDN/>
              <w:bidi w:val="0"/>
              <w:adjustRightInd w:val="0"/>
              <w:snapToGrid w:val="0"/>
              <w:ind w:left="0" w:leftChars="0" w:firstLine="482" w:firstLineChars="200"/>
              <w:textAlignment w:val="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2、与《</w:t>
            </w:r>
            <w:r>
              <w:rPr>
                <w:rFonts w:hint="eastAsia"/>
                <w:b/>
                <w:bCs/>
                <w:color w:val="000000" w:themeColor="text1"/>
                <w:highlight w:val="none"/>
                <w:lang w:val="en-US" w:eastAsia="zh-CN"/>
                <w14:textFill>
                  <w14:solidFill>
                    <w14:schemeClr w14:val="tx1"/>
                  </w14:solidFill>
                </w14:textFill>
              </w:rPr>
              <w:t>安徽省江南</w:t>
            </w:r>
            <w:r>
              <w:rPr>
                <w:rFonts w:hint="eastAsia"/>
                <w:b/>
                <w:bCs/>
                <w:color w:val="000000" w:themeColor="text1"/>
                <w:lang w:val="en-US" w:eastAsia="zh-CN"/>
                <w14:textFill>
                  <w14:solidFill>
                    <w14:schemeClr w14:val="tx1"/>
                  </w14:solidFill>
                </w14:textFill>
              </w:rPr>
              <w:t>产业集中区产业发展规划（2019-2030）环境影响报告书》及其审查意见相符性分析</w:t>
            </w:r>
          </w:p>
          <w:p w14:paraId="5B23D642">
            <w:pPr>
              <w:spacing w:line="360" w:lineRule="auto"/>
              <w:ind w:firstLine="480"/>
              <w:rPr>
                <w:rFonts w:hint="default" w:ascii="Times New Roman" w:hAnsi="Times New Roman" w:eastAsia="宋体" w:cs="Times New Roman"/>
                <w:sz w:val="24"/>
                <w:szCs w:val="24"/>
                <w:lang w:val="en-US" w:eastAsia="zh-CN"/>
              </w:rPr>
            </w:pPr>
            <w:r>
              <w:rPr>
                <w:rFonts w:hint="eastAsia"/>
                <w:color w:val="000000" w:themeColor="text1"/>
                <w:sz w:val="24"/>
                <w:szCs w:val="24"/>
                <w:lang w:val="en-US" w:eastAsia="zh-CN"/>
                <w14:textFill>
                  <w14:solidFill>
                    <w14:schemeClr w14:val="tx1"/>
                  </w14:solidFill>
                </w14:textFill>
              </w:rPr>
              <w:t>2019年5月，集中区管委会委托编制完成《安徽省产业集中区产业发展规划（2019-2030）环境影响报告书》；2020年3月安徽省生态环境厅以皖环函〔2020〕107号文出具了该规划环境影响评价报告书的审查意见。</w:t>
            </w:r>
            <w:r>
              <w:rPr>
                <w:rFonts w:hint="default" w:ascii="Times New Roman" w:hAnsi="Times New Roman" w:eastAsia="宋体" w:cs="Times New Roman"/>
                <w:sz w:val="24"/>
                <w:szCs w:val="24"/>
                <w:lang w:val="en-US" w:eastAsia="zh-CN"/>
              </w:rPr>
              <w:t>本项目与园区规划环评</w:t>
            </w:r>
            <w:r>
              <w:rPr>
                <w:rFonts w:hint="eastAsia" w:ascii="Times New Roman" w:hAnsi="Times New Roman" w:eastAsia="宋体" w:cs="Times New Roman"/>
                <w:sz w:val="24"/>
                <w:szCs w:val="24"/>
                <w:lang w:val="en-US" w:eastAsia="zh-CN"/>
              </w:rPr>
              <w:t>产业准入负面清单及</w:t>
            </w:r>
            <w:r>
              <w:rPr>
                <w:rFonts w:hint="default" w:ascii="Times New Roman" w:hAnsi="Times New Roman" w:eastAsia="宋体" w:cs="Times New Roman"/>
                <w:sz w:val="24"/>
                <w:szCs w:val="24"/>
                <w:lang w:val="en-US" w:eastAsia="zh-CN"/>
              </w:rPr>
              <w:t>审查意见相符性情况如下</w:t>
            </w:r>
            <w:r>
              <w:rPr>
                <w:rFonts w:hint="default" w:ascii="Times New Roman" w:hAnsi="Times New Roman" w:eastAsia="宋体" w:cs="Times New Roman"/>
                <w:sz w:val="24"/>
                <w:szCs w:val="24"/>
                <w:lang w:eastAsia="zh-CN"/>
              </w:rPr>
              <w:t>：</w:t>
            </w:r>
          </w:p>
          <w:p w14:paraId="2E4300A1">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jc w:val="center"/>
              <w:textAlignment w:val="auto"/>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表1-</w:t>
            </w:r>
            <w:r>
              <w:rPr>
                <w:rFonts w:hint="eastAsia"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本项目与</w:t>
            </w:r>
            <w:r>
              <w:rPr>
                <w:rFonts w:hint="default" w:ascii="Times New Roman" w:hAnsi="Times New Roman" w:eastAsia="宋体" w:cs="Times New Roman"/>
                <w:b/>
                <w:bCs/>
                <w:sz w:val="24"/>
                <w:szCs w:val="24"/>
                <w:lang w:eastAsia="zh-CN"/>
              </w:rPr>
              <w:t>园区规划环评</w:t>
            </w:r>
            <w:r>
              <w:rPr>
                <w:rFonts w:hint="eastAsia" w:ascii="Times New Roman" w:hAnsi="Times New Roman" w:eastAsia="宋体" w:cs="Times New Roman"/>
                <w:b/>
                <w:bCs/>
                <w:sz w:val="24"/>
                <w:szCs w:val="24"/>
                <w:lang w:val="en-US" w:eastAsia="zh-CN"/>
              </w:rPr>
              <w:t>产业准入负面清单</w:t>
            </w:r>
            <w:r>
              <w:rPr>
                <w:rFonts w:hint="default" w:ascii="Times New Roman" w:hAnsi="Times New Roman" w:eastAsia="宋体" w:cs="Times New Roman"/>
                <w:b/>
                <w:bCs/>
                <w:sz w:val="24"/>
                <w:szCs w:val="24"/>
                <w:lang w:eastAsia="zh-CN"/>
              </w:rPr>
              <w:t>相符性</w:t>
            </w:r>
          </w:p>
          <w:tbl>
            <w:tblPr>
              <w:tblStyle w:val="23"/>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1"/>
              <w:gridCol w:w="641"/>
              <w:gridCol w:w="4144"/>
              <w:gridCol w:w="1232"/>
              <w:gridCol w:w="635"/>
            </w:tblGrid>
            <w:tr w14:paraId="3CCD39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blHeader/>
              </w:trPr>
              <w:tc>
                <w:tcPr>
                  <w:tcW w:w="343" w:type="pct"/>
                  <w:tcBorders>
                    <w:tl2br w:val="nil"/>
                    <w:tr2bl w:val="nil"/>
                  </w:tcBorders>
                  <w:noWrap w:val="0"/>
                  <w:vAlign w:val="center"/>
                </w:tcPr>
                <w:p w14:paraId="640FF6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序号</w:t>
                  </w:r>
                </w:p>
              </w:tc>
              <w:tc>
                <w:tcPr>
                  <w:tcW w:w="448" w:type="pct"/>
                  <w:tcBorders>
                    <w:tl2br w:val="nil"/>
                    <w:tr2bl w:val="nil"/>
                  </w:tcBorders>
                  <w:noWrap w:val="0"/>
                  <w:vAlign w:val="center"/>
                </w:tcPr>
                <w:p w14:paraId="73B406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产业类别</w:t>
                  </w:r>
                </w:p>
              </w:tc>
              <w:tc>
                <w:tcPr>
                  <w:tcW w:w="2900" w:type="pct"/>
                  <w:tcBorders>
                    <w:tl2br w:val="nil"/>
                    <w:tr2bl w:val="nil"/>
                  </w:tcBorders>
                  <w:noWrap w:val="0"/>
                  <w:vAlign w:val="center"/>
                </w:tcPr>
                <w:p w14:paraId="1BD297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负面清单</w:t>
                  </w:r>
                </w:p>
              </w:tc>
              <w:tc>
                <w:tcPr>
                  <w:tcW w:w="862" w:type="pct"/>
                  <w:tcBorders>
                    <w:tl2br w:val="nil"/>
                    <w:tr2bl w:val="nil"/>
                  </w:tcBorders>
                  <w:noWrap w:val="0"/>
                  <w:vAlign w:val="center"/>
                </w:tcPr>
                <w:p w14:paraId="75342692">
                  <w:pPr>
                    <w:pStyle w:val="5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项目内容及其符合性</w:t>
                  </w:r>
                </w:p>
              </w:tc>
              <w:tc>
                <w:tcPr>
                  <w:tcW w:w="444" w:type="pct"/>
                  <w:tcBorders>
                    <w:tl2br w:val="nil"/>
                    <w:tr2bl w:val="nil"/>
                  </w:tcBorders>
                  <w:noWrap w:val="0"/>
                  <w:vAlign w:val="center"/>
                </w:tcPr>
                <w:p w14:paraId="18F7479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符合性</w:t>
                  </w:r>
                </w:p>
              </w:tc>
            </w:tr>
            <w:tr w14:paraId="068837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88" w:hRule="atLeast"/>
                <w:tblHeader/>
              </w:trPr>
              <w:tc>
                <w:tcPr>
                  <w:tcW w:w="343" w:type="pct"/>
                  <w:tcBorders>
                    <w:tl2br w:val="nil"/>
                    <w:tr2bl w:val="nil"/>
                  </w:tcBorders>
                  <w:noWrap w:val="0"/>
                  <w:vAlign w:val="center"/>
                </w:tcPr>
                <w:p w14:paraId="7F647F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1</w:t>
                  </w:r>
                </w:p>
              </w:tc>
              <w:tc>
                <w:tcPr>
                  <w:tcW w:w="448" w:type="pct"/>
                  <w:tcBorders>
                    <w:tl2br w:val="nil"/>
                    <w:tr2bl w:val="nil"/>
                  </w:tcBorders>
                  <w:noWrap w:val="0"/>
                  <w:vAlign w:val="center"/>
                </w:tcPr>
                <w:p w14:paraId="53EAA5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机械电子</w:t>
                  </w:r>
                </w:p>
              </w:tc>
              <w:tc>
                <w:tcPr>
                  <w:tcW w:w="2900" w:type="pct"/>
                  <w:tcBorders>
                    <w:tl2br w:val="nil"/>
                    <w:tr2bl w:val="nil"/>
                  </w:tcBorders>
                  <w:noWrap w:val="0"/>
                  <w:vAlign w:val="center"/>
                </w:tcPr>
                <w:p w14:paraId="366540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①禁止引入表面处理中心以外的电镀生产工艺（其他必须配套电镀工序的企业，应严格控制其镀种和在电镀中心以外布局，其选址需经过充分环境影响论证）；</w:t>
                  </w:r>
                </w:p>
                <w:p w14:paraId="316E65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②禁止引入国家产业指导目录中非鼓励类铅酸电池项目。</w:t>
                  </w:r>
                </w:p>
              </w:tc>
              <w:tc>
                <w:tcPr>
                  <w:tcW w:w="862" w:type="pct"/>
                  <w:tcBorders>
                    <w:tl2br w:val="nil"/>
                    <w:tr2bl w:val="nil"/>
                  </w:tcBorders>
                  <w:noWrap w:val="0"/>
                  <w:vAlign w:val="center"/>
                </w:tcPr>
                <w:p w14:paraId="0204C9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w:t>
                  </w:r>
                </w:p>
              </w:tc>
              <w:tc>
                <w:tcPr>
                  <w:tcW w:w="444" w:type="pct"/>
                  <w:tcBorders>
                    <w:tl2br w:val="nil"/>
                    <w:tr2bl w:val="nil"/>
                  </w:tcBorders>
                  <w:noWrap w:val="0"/>
                  <w:vAlign w:val="center"/>
                </w:tcPr>
                <w:p w14:paraId="4A6EA7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sz w:val="21"/>
                      <w:szCs w:val="21"/>
                      <w:lang w:val="en-US" w:eastAsia="zh-CN"/>
                    </w:rPr>
                  </w:pPr>
                  <w:r>
                    <w:rPr>
                      <w:rFonts w:hint="eastAsia"/>
                      <w:sz w:val="21"/>
                      <w:szCs w:val="21"/>
                      <w:lang w:val="en-US" w:eastAsia="zh-CN"/>
                    </w:rPr>
                    <w:t>/</w:t>
                  </w:r>
                </w:p>
              </w:tc>
            </w:tr>
            <w:tr w14:paraId="4086A4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6" w:hRule="atLeast"/>
                <w:tblHeader/>
              </w:trPr>
              <w:tc>
                <w:tcPr>
                  <w:tcW w:w="343" w:type="pct"/>
                  <w:tcBorders>
                    <w:tl2br w:val="nil"/>
                    <w:tr2bl w:val="nil"/>
                  </w:tcBorders>
                  <w:noWrap w:val="0"/>
                  <w:vAlign w:val="center"/>
                </w:tcPr>
                <w:p w14:paraId="1041BB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2</w:t>
                  </w:r>
                </w:p>
              </w:tc>
              <w:tc>
                <w:tcPr>
                  <w:tcW w:w="448" w:type="pct"/>
                  <w:tcBorders>
                    <w:tl2br w:val="nil"/>
                    <w:tr2bl w:val="nil"/>
                  </w:tcBorders>
                  <w:noWrap w:val="0"/>
                  <w:vAlign w:val="center"/>
                </w:tcPr>
                <w:p w14:paraId="1564CE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新型材料</w:t>
                  </w:r>
                </w:p>
              </w:tc>
              <w:tc>
                <w:tcPr>
                  <w:tcW w:w="2900" w:type="pct"/>
                  <w:tcBorders>
                    <w:tl2br w:val="nil"/>
                    <w:tr2bl w:val="nil"/>
                  </w:tcBorders>
                  <w:noWrap w:val="0"/>
                  <w:vAlign w:val="center"/>
                </w:tcPr>
                <w:p w14:paraId="6AEC1B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①</w:t>
                  </w:r>
                  <w:r>
                    <w:rPr>
                      <w:sz w:val="21"/>
                      <w:szCs w:val="21"/>
                    </w:rPr>
                    <w:t>禁止引入能耗物耗高、环境污染大、产出效益低的国家或省规定禁止的其他落后工艺；</w:t>
                  </w:r>
                </w:p>
                <w:p w14:paraId="081E7F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②禁止引入表面处理中心以外的电镀生产工艺（其他必须配套电镀工序的企业，应严格控制其镀种和在电镀中心以外布局，其选址需经过充分环境影响论证）；</w:t>
                  </w:r>
                </w:p>
                <w:p w14:paraId="245920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highlight w:val="none"/>
                    </w:rPr>
                  </w:pPr>
                  <w:r>
                    <w:rPr>
                      <w:rFonts w:hint="eastAsia"/>
                      <w:sz w:val="21"/>
                      <w:szCs w:val="21"/>
                    </w:rPr>
                    <w:t>③禁止引入多晶硅、单晶硅制造等前道</w:t>
                  </w:r>
                  <w:r>
                    <w:rPr>
                      <w:rFonts w:hint="eastAsia"/>
                      <w:sz w:val="21"/>
                      <w:szCs w:val="21"/>
                      <w:highlight w:val="none"/>
                    </w:rPr>
                    <w:t>生产工序；</w:t>
                  </w:r>
                </w:p>
                <w:p w14:paraId="0A462E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highlight w:val="none"/>
                    </w:rPr>
                  </w:pPr>
                  <w:r>
                    <w:rPr>
                      <w:rFonts w:hint="eastAsia"/>
                      <w:sz w:val="21"/>
                      <w:szCs w:val="21"/>
                      <w:highlight w:val="none"/>
                    </w:rPr>
                    <w:t>④禁止引入酸、碱、肥料、农药以及化学合成制药等污染严重的化工项目，为集中区内项目上下游配套、污染较轻的，以及单纯混合和分装的复配项目需经项目环评阶段充分论证后方可准入；</w:t>
                  </w:r>
                </w:p>
                <w:p w14:paraId="7391A1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⑤从严控制规模效益差、能源资源消耗大、环境影响严重的项目进入，包括钢铁、有色金属原矿冶炼、石化、焦化、水泥、原浆造纸、制革、平板玻璃和非金属矿原矿加工等项目。</w:t>
                  </w:r>
                </w:p>
              </w:tc>
              <w:tc>
                <w:tcPr>
                  <w:tcW w:w="862" w:type="pct"/>
                  <w:tcBorders>
                    <w:tl2br w:val="nil"/>
                    <w:tr2bl w:val="nil"/>
                  </w:tcBorders>
                  <w:noWrap w:val="0"/>
                  <w:vAlign w:val="center"/>
                </w:tcPr>
                <w:p w14:paraId="252AC4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sz w:val="21"/>
                      <w:szCs w:val="21"/>
                      <w:lang w:val="en-US" w:eastAsia="zh-CN"/>
                    </w:rPr>
                  </w:pPr>
                  <w:r>
                    <w:rPr>
                      <w:rFonts w:hint="eastAsia"/>
                      <w:sz w:val="21"/>
                      <w:szCs w:val="21"/>
                      <w:lang w:val="en-US" w:eastAsia="zh-CN"/>
                    </w:rPr>
                    <w:t>本项目为铝压延加工项目，属于园区主导产业中新型材料产业</w:t>
                  </w:r>
                </w:p>
              </w:tc>
              <w:tc>
                <w:tcPr>
                  <w:tcW w:w="444" w:type="pct"/>
                  <w:tcBorders>
                    <w:tl2br w:val="nil"/>
                    <w:tr2bl w:val="nil"/>
                  </w:tcBorders>
                  <w:noWrap w:val="0"/>
                  <w:vAlign w:val="center"/>
                </w:tcPr>
                <w:p w14:paraId="189272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符合</w:t>
                  </w:r>
                </w:p>
              </w:tc>
            </w:tr>
            <w:tr w14:paraId="4EB14E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7" w:hRule="atLeast"/>
                <w:tblHeader/>
              </w:trPr>
              <w:tc>
                <w:tcPr>
                  <w:tcW w:w="343" w:type="pct"/>
                  <w:tcBorders>
                    <w:tl2br w:val="nil"/>
                    <w:tr2bl w:val="nil"/>
                  </w:tcBorders>
                  <w:noWrap w:val="0"/>
                  <w:vAlign w:val="center"/>
                </w:tcPr>
                <w:p w14:paraId="36976F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3</w:t>
                  </w:r>
                </w:p>
              </w:tc>
              <w:tc>
                <w:tcPr>
                  <w:tcW w:w="448" w:type="pct"/>
                  <w:tcBorders>
                    <w:tl2br w:val="nil"/>
                    <w:tr2bl w:val="nil"/>
                  </w:tcBorders>
                  <w:noWrap w:val="0"/>
                  <w:vAlign w:val="center"/>
                </w:tcPr>
                <w:p w14:paraId="253A06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rFonts w:hint="eastAsia"/>
                      <w:sz w:val="21"/>
                      <w:szCs w:val="21"/>
                    </w:rPr>
                    <w:t>大健康</w:t>
                  </w:r>
                </w:p>
              </w:tc>
              <w:tc>
                <w:tcPr>
                  <w:tcW w:w="2900" w:type="pct"/>
                  <w:tcBorders>
                    <w:tl2br w:val="nil"/>
                    <w:tr2bl w:val="nil"/>
                  </w:tcBorders>
                  <w:noWrap w:val="0"/>
                  <w:vAlign w:val="center"/>
                </w:tcPr>
                <w:p w14:paraId="4A838A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①禁止引入《产业结构调整指导目录（2019年本）》等产业政策中限制类和淘汰类设备和工艺；</w:t>
                  </w:r>
                </w:p>
                <w:p w14:paraId="50E8400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sz w:val="21"/>
                      <w:szCs w:val="21"/>
                    </w:rPr>
                  </w:pPr>
                  <w:r>
                    <w:rPr>
                      <w:rFonts w:hint="eastAsia"/>
                      <w:sz w:val="21"/>
                      <w:szCs w:val="21"/>
                    </w:rPr>
                    <w:t>②禁止引入涉及化学合成工序的制药类项目。</w:t>
                  </w:r>
                </w:p>
              </w:tc>
              <w:tc>
                <w:tcPr>
                  <w:tcW w:w="862" w:type="pct"/>
                  <w:tcBorders>
                    <w:tl2br w:val="nil"/>
                    <w:tr2bl w:val="nil"/>
                  </w:tcBorders>
                  <w:noWrap w:val="0"/>
                  <w:vAlign w:val="center"/>
                </w:tcPr>
                <w:p w14:paraId="7AAAE5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sz w:val="21"/>
                      <w:szCs w:val="21"/>
                      <w:lang w:val="en-US" w:eastAsia="zh-CN"/>
                    </w:rPr>
                  </w:pPr>
                  <w:r>
                    <w:rPr>
                      <w:rFonts w:hint="eastAsia"/>
                      <w:sz w:val="21"/>
                      <w:szCs w:val="21"/>
                      <w:lang w:val="en-US" w:eastAsia="zh-CN"/>
                    </w:rPr>
                    <w:t>/</w:t>
                  </w:r>
                </w:p>
              </w:tc>
              <w:tc>
                <w:tcPr>
                  <w:tcW w:w="444" w:type="pct"/>
                  <w:tcBorders>
                    <w:tl2br w:val="nil"/>
                    <w:tr2bl w:val="nil"/>
                  </w:tcBorders>
                  <w:noWrap w:val="0"/>
                  <w:vAlign w:val="center"/>
                </w:tcPr>
                <w:p w14:paraId="727547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sz w:val="21"/>
                      <w:szCs w:val="21"/>
                      <w:lang w:val="en-US" w:eastAsia="zh-CN"/>
                    </w:rPr>
                  </w:pPr>
                  <w:r>
                    <w:rPr>
                      <w:rFonts w:hint="eastAsia"/>
                      <w:sz w:val="21"/>
                      <w:szCs w:val="21"/>
                      <w:lang w:val="en-US" w:eastAsia="zh-CN"/>
                    </w:rPr>
                    <w:t>/</w:t>
                  </w:r>
                </w:p>
              </w:tc>
            </w:tr>
          </w:tbl>
          <w:p w14:paraId="06CAE321">
            <w:pPr>
              <w:pStyle w:val="43"/>
              <w:keepNext w:val="0"/>
              <w:keepLines w:val="0"/>
              <w:pageBreakBefore w:val="0"/>
              <w:widowControl/>
              <w:kinsoku/>
              <w:wordWrap/>
              <w:overflowPunct/>
              <w:topLinePunct w:val="0"/>
              <w:autoSpaceDE/>
              <w:autoSpaceDN/>
              <w:bidi w:val="0"/>
              <w:adjustRightInd w:val="0"/>
              <w:snapToGrid w:val="0"/>
              <w:ind w:left="0" w:leftChars="0" w:firstLine="480" w:firstLineChars="200"/>
              <w:jc w:val="both"/>
              <w:textAlignment w:val="auto"/>
              <w:rPr>
                <w:rFonts w:hint="eastAsia"/>
                <w:color w:val="000000" w:themeColor="text1"/>
                <w:lang w:val="en-US" w:eastAsia="zh-CN"/>
                <w14:textFill>
                  <w14:solidFill>
                    <w14:schemeClr w14:val="tx1"/>
                  </w14:solidFill>
                </w14:textFill>
              </w:rPr>
            </w:pPr>
          </w:p>
          <w:p w14:paraId="44195187">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vertAlign w:val="baseli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表1-3  与园区规划环评及其审查意见相符性分析</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642"/>
              <w:gridCol w:w="2905"/>
              <w:gridCol w:w="1689"/>
              <w:gridCol w:w="657"/>
            </w:tblGrid>
            <w:tr w14:paraId="31FB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19" w:type="pct"/>
                  <w:gridSpan w:val="2"/>
                  <w:noWrap w:val="0"/>
                  <w:vAlign w:val="center"/>
                </w:tcPr>
                <w:p w14:paraId="4785AA68">
                  <w:pPr>
                    <w:pStyle w:val="58"/>
                    <w:bidi w:val="0"/>
                    <w:ind w:left="0" w:leftChars="0" w:firstLine="0" w:firstLineChars="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分析内容</w:t>
                  </w:r>
                </w:p>
              </w:tc>
              <w:tc>
                <w:tcPr>
                  <w:tcW w:w="2036" w:type="pct"/>
                  <w:noWrap w:val="0"/>
                  <w:vAlign w:val="center"/>
                </w:tcPr>
                <w:p w14:paraId="0454287B">
                  <w:pPr>
                    <w:pStyle w:val="58"/>
                    <w:bidi w:val="0"/>
                    <w:ind w:left="0" w:leftChars="0" w:firstLine="0" w:firstLineChars="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规划内容</w:t>
                  </w:r>
                </w:p>
              </w:tc>
              <w:tc>
                <w:tcPr>
                  <w:tcW w:w="1183" w:type="pct"/>
                  <w:noWrap w:val="0"/>
                  <w:vAlign w:val="center"/>
                </w:tcPr>
                <w:p w14:paraId="0B08BC62">
                  <w:pPr>
                    <w:pStyle w:val="58"/>
                    <w:bidi w:val="0"/>
                    <w:ind w:left="0" w:leftChars="0" w:firstLine="0" w:firstLineChars="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本项目</w:t>
                  </w:r>
                </w:p>
              </w:tc>
              <w:tc>
                <w:tcPr>
                  <w:tcW w:w="460" w:type="pct"/>
                  <w:noWrap w:val="0"/>
                  <w:vAlign w:val="center"/>
                </w:tcPr>
                <w:p w14:paraId="2DFAC062">
                  <w:pPr>
                    <w:pStyle w:val="58"/>
                    <w:bidi w:val="0"/>
                    <w:ind w:left="0" w:leftChars="0" w:firstLine="0" w:firstLineChars="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是否符合</w:t>
                  </w:r>
                </w:p>
              </w:tc>
            </w:tr>
            <w:tr w14:paraId="1E98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69" w:type="pct"/>
                  <w:vMerge w:val="restart"/>
                  <w:noWrap w:val="0"/>
                  <w:vAlign w:val="center"/>
                </w:tcPr>
                <w:p w14:paraId="414790E8">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《安徽省江南产业集中区产业发展规划（2019~2030）环境影响报告书》</w:t>
                  </w:r>
                </w:p>
              </w:tc>
              <w:tc>
                <w:tcPr>
                  <w:tcW w:w="450" w:type="pct"/>
                  <w:noWrap w:val="0"/>
                  <w:vAlign w:val="center"/>
                </w:tcPr>
                <w:p w14:paraId="51B3500F">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规划范围</w:t>
                  </w:r>
                </w:p>
              </w:tc>
              <w:tc>
                <w:tcPr>
                  <w:tcW w:w="2036" w:type="pct"/>
                  <w:noWrap w:val="0"/>
                  <w:vAlign w:val="center"/>
                </w:tcPr>
                <w:p w14:paraId="158F6557">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规划范围以原总体规划划定的产业集中区为主，不含城市协调发展区，四至范围为东至泰山路，南至九华湖，西至昆仑山路，北至滨江大道，规划用地规模为36.50平方公里。</w:t>
                  </w:r>
                </w:p>
              </w:tc>
              <w:tc>
                <w:tcPr>
                  <w:tcW w:w="1183" w:type="pct"/>
                  <w:vMerge w:val="restart"/>
                  <w:noWrap w:val="0"/>
                  <w:vAlign w:val="center"/>
                </w:tcPr>
                <w:p w14:paraId="28659EF5">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eastAsia="宋体" w:cs="Times New Roman"/>
                      <w:lang w:val="en-US" w:eastAsia="zh-CN"/>
                    </w:rPr>
                    <w:t>本项目位于江南产业集中区，本项目属于规划的工业用地。本项目</w:t>
                  </w:r>
                  <w:r>
                    <w:rPr>
                      <w:rFonts w:hint="eastAsia" w:ascii="Times New Roman" w:hAnsi="Times New Roman" w:eastAsia="宋体" w:cs="Times New Roman"/>
                      <w:lang w:val="en-US" w:eastAsia="zh-CN"/>
                    </w:rPr>
                    <w:t>为</w:t>
                  </w:r>
                  <w:r>
                    <w:rPr>
                      <w:rFonts w:hint="eastAsia" w:cs="宋体"/>
                      <w:color w:val="000000" w:themeColor="text1"/>
                      <w:lang w:val="en-US" w:eastAsia="zh-CN" w:bidi="ar-SA"/>
                      <w14:textFill>
                        <w14:solidFill>
                          <w14:schemeClr w14:val="tx1"/>
                        </w14:solidFill>
                      </w14:textFill>
                    </w:rPr>
                    <w:t>铝压延加工项目</w:t>
                  </w:r>
                  <w:r>
                    <w:rPr>
                      <w:rFonts w:hint="eastAsia" w:cs="Times New Roman"/>
                      <w:lang w:val="en-US" w:eastAsia="zh-CN"/>
                    </w:rPr>
                    <w:t>，属于园区主导产业</w:t>
                  </w:r>
                  <w:r>
                    <w:rPr>
                      <w:rFonts w:hint="default" w:ascii="Times New Roman" w:hAnsi="Times New Roman" w:eastAsia="宋体" w:cs="Times New Roman"/>
                      <w:lang w:val="en-US" w:eastAsia="zh-CN"/>
                    </w:rPr>
                    <w:t>。</w:t>
                  </w:r>
                </w:p>
              </w:tc>
              <w:tc>
                <w:tcPr>
                  <w:tcW w:w="460" w:type="pct"/>
                  <w:noWrap w:val="0"/>
                  <w:vAlign w:val="center"/>
                </w:tcPr>
                <w:p w14:paraId="0D053ED2">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符合</w:t>
                  </w:r>
                </w:p>
              </w:tc>
            </w:tr>
            <w:tr w14:paraId="6A80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869" w:type="pct"/>
                  <w:vMerge w:val="continue"/>
                  <w:noWrap w:val="0"/>
                  <w:vAlign w:val="center"/>
                </w:tcPr>
                <w:p w14:paraId="7475D756">
                  <w:pPr>
                    <w:pStyle w:val="58"/>
                    <w:bidi w:val="0"/>
                    <w:jc w:val="center"/>
                    <w:rPr>
                      <w:rFonts w:hint="default" w:ascii="Times New Roman" w:hAnsi="Times New Roman" w:cs="Times New Roman"/>
                      <w:lang w:val="en-US" w:eastAsia="zh-CN"/>
                    </w:rPr>
                  </w:pPr>
                </w:p>
              </w:tc>
              <w:tc>
                <w:tcPr>
                  <w:tcW w:w="450" w:type="pct"/>
                  <w:noWrap w:val="0"/>
                  <w:vAlign w:val="center"/>
                </w:tcPr>
                <w:p w14:paraId="0E12B0B9">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产业定位</w:t>
                  </w:r>
                </w:p>
              </w:tc>
              <w:tc>
                <w:tcPr>
                  <w:tcW w:w="2036" w:type="pct"/>
                  <w:noWrap w:val="0"/>
                  <w:vAlign w:val="center"/>
                </w:tcPr>
                <w:p w14:paraId="39D0806D">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规划主导产业为机械电子、新型材料和大健康三大主导产业。江南大道以北的沿江用地，重点发展以机械电子为主的高技术产业</w:t>
                  </w:r>
                </w:p>
              </w:tc>
              <w:tc>
                <w:tcPr>
                  <w:tcW w:w="1183" w:type="pct"/>
                  <w:vMerge w:val="continue"/>
                  <w:noWrap w:val="0"/>
                  <w:vAlign w:val="center"/>
                </w:tcPr>
                <w:p w14:paraId="59DCFB97">
                  <w:pPr>
                    <w:pStyle w:val="58"/>
                    <w:keepNext w:val="0"/>
                    <w:keepLines w:val="0"/>
                    <w:pageBreakBefore w:val="0"/>
                    <w:widowControl/>
                    <w:kinsoku/>
                    <w:wordWrap/>
                    <w:overflowPunct/>
                    <w:topLinePunct w:val="0"/>
                    <w:autoSpaceDE/>
                    <w:autoSpaceDN/>
                    <w:bidi w:val="0"/>
                    <w:adjustRightInd w:val="0"/>
                    <w:snapToGrid w:val="0"/>
                    <w:ind w:firstLine="420" w:firstLineChars="200"/>
                    <w:jc w:val="center"/>
                    <w:textAlignment w:val="auto"/>
                    <w:rPr>
                      <w:rFonts w:hint="default" w:ascii="Times New Roman" w:hAnsi="Times New Roman" w:cs="Times New Roman"/>
                      <w:sz w:val="21"/>
                      <w:szCs w:val="21"/>
                      <w:lang w:val="en-US" w:eastAsia="zh-CN"/>
                    </w:rPr>
                  </w:pPr>
                </w:p>
              </w:tc>
              <w:tc>
                <w:tcPr>
                  <w:tcW w:w="460" w:type="pct"/>
                  <w:noWrap w:val="0"/>
                  <w:vAlign w:val="center"/>
                </w:tcPr>
                <w:p w14:paraId="1A0EF62C">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符合</w:t>
                  </w:r>
                </w:p>
              </w:tc>
            </w:tr>
            <w:tr w14:paraId="33C8B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869" w:type="pct"/>
                  <w:vMerge w:val="continue"/>
                  <w:noWrap w:val="0"/>
                  <w:vAlign w:val="center"/>
                </w:tcPr>
                <w:p w14:paraId="7AC1F6E5">
                  <w:pPr>
                    <w:pStyle w:val="58"/>
                    <w:bidi w:val="0"/>
                    <w:jc w:val="center"/>
                    <w:rPr>
                      <w:rFonts w:hint="default" w:ascii="Times New Roman" w:hAnsi="Times New Roman" w:cs="Times New Roman"/>
                      <w:lang w:val="en-US" w:eastAsia="zh-CN"/>
                    </w:rPr>
                  </w:pPr>
                </w:p>
              </w:tc>
              <w:tc>
                <w:tcPr>
                  <w:tcW w:w="450" w:type="pct"/>
                  <w:noWrap w:val="0"/>
                  <w:vAlign w:val="center"/>
                </w:tcPr>
                <w:p w14:paraId="766F387B">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给水工程</w:t>
                  </w:r>
                </w:p>
              </w:tc>
              <w:tc>
                <w:tcPr>
                  <w:tcW w:w="2036" w:type="pct"/>
                  <w:noWrap w:val="0"/>
                  <w:vAlign w:val="center"/>
                </w:tcPr>
                <w:p w14:paraId="7BC39602">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集中区内规划自来水厂现状未建，集中区用水来自池州市江口水厂，水源为长江，该水厂位于池州经济开发区滨江大道以南、牧之路以东，规划用地面积100亩，包括取水工程和净水厂工程。现状已建一期工程日供水能力为7.5万吨/日，远期建设规模为15万吨/日，另外预留规模为30万吨/日的用地。现状供水管网管径为DN300~DN1400，主干管沿龙腾大道、凤鸣大道等布置，次干管分布于区内皖江路、洛河路等现状道路，管径以DN300为主。</w:t>
                  </w:r>
                </w:p>
              </w:tc>
              <w:tc>
                <w:tcPr>
                  <w:tcW w:w="1183" w:type="pct"/>
                  <w:noWrap w:val="0"/>
                  <w:vAlign w:val="center"/>
                </w:tcPr>
                <w:p w14:paraId="40901B0B">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本项目生活用水和生产用水主要由池州市江口水厂进行供给，供水水源有保障。</w:t>
                  </w:r>
                </w:p>
              </w:tc>
              <w:tc>
                <w:tcPr>
                  <w:tcW w:w="460" w:type="pct"/>
                  <w:noWrap w:val="0"/>
                  <w:vAlign w:val="center"/>
                </w:tcPr>
                <w:p w14:paraId="2058A14E">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符合</w:t>
                  </w:r>
                </w:p>
              </w:tc>
            </w:tr>
            <w:tr w14:paraId="1CCF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9" w:type="pct"/>
                  <w:vMerge w:val="continue"/>
                  <w:noWrap w:val="0"/>
                  <w:vAlign w:val="center"/>
                </w:tcPr>
                <w:p w14:paraId="56A6F63F">
                  <w:pPr>
                    <w:pStyle w:val="58"/>
                    <w:bidi w:val="0"/>
                    <w:jc w:val="center"/>
                    <w:rPr>
                      <w:rFonts w:hint="default" w:ascii="Times New Roman" w:hAnsi="Times New Roman" w:cs="Times New Roman"/>
                      <w:lang w:val="en-US" w:eastAsia="zh-CN"/>
                    </w:rPr>
                  </w:pPr>
                </w:p>
              </w:tc>
              <w:tc>
                <w:tcPr>
                  <w:tcW w:w="450" w:type="pct"/>
                  <w:noWrap w:val="0"/>
                  <w:vAlign w:val="center"/>
                </w:tcPr>
                <w:p w14:paraId="703E2A93">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排水工程</w:t>
                  </w:r>
                </w:p>
              </w:tc>
              <w:tc>
                <w:tcPr>
                  <w:tcW w:w="2036" w:type="pct"/>
                  <w:noWrap w:val="0"/>
                  <w:vAlign w:val="center"/>
                </w:tcPr>
                <w:p w14:paraId="08F5E659">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both"/>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根据集中区总体规划，江南集中区第一污水处理厂规划总建设规模为20.0万m/d，需分期进行建设，一期工程建设规模5万m/d，分为两组，每组建设规模2.5万m/d，其出水执行《城镇污水处理厂污染物排放标准》GB18918-2002)一级A标准，处理达标后排入九华河</w:t>
                  </w:r>
                </w:p>
              </w:tc>
              <w:tc>
                <w:tcPr>
                  <w:tcW w:w="1183" w:type="pct"/>
                  <w:noWrap w:val="0"/>
                  <w:vAlign w:val="center"/>
                </w:tcPr>
                <w:p w14:paraId="71D89262">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lang w:val="en-US" w:eastAsia="zh-CN"/>
                    </w:rPr>
                  </w:pPr>
                  <w:r>
                    <w:rPr>
                      <w:rFonts w:hint="eastAsia" w:ascii="Times New Roman" w:hAnsi="Times New Roman" w:eastAsia="宋体" w:cs="Times New Roman"/>
                      <w:caps w:val="0"/>
                      <w:smallCaps w:val="0"/>
                      <w:color w:val="auto"/>
                      <w:spacing w:val="0"/>
                      <w:w w:val="100"/>
                      <w:position w:val="0"/>
                      <w:sz w:val="21"/>
                      <w:szCs w:val="21"/>
                      <w:lang w:val="en-US" w:eastAsia="zh-CN" w:bidi="ar-SA"/>
                    </w:rPr>
                    <w:t>本项目仅</w:t>
                  </w:r>
                  <w:r>
                    <w:rPr>
                      <w:rFonts w:hint="default" w:ascii="Times New Roman" w:hAnsi="Times New Roman" w:eastAsia="宋体" w:cs="Times New Roman"/>
                      <w:caps w:val="0"/>
                      <w:smallCaps w:val="0"/>
                      <w:color w:val="auto"/>
                      <w:spacing w:val="0"/>
                      <w:w w:val="100"/>
                      <w:position w:val="0"/>
                      <w:sz w:val="21"/>
                      <w:szCs w:val="21"/>
                      <w:lang w:val="en-US" w:eastAsia="zh-CN" w:bidi="ar-SA"/>
                    </w:rPr>
                    <w:t>生活污水进入</w:t>
                  </w:r>
                  <w:r>
                    <w:rPr>
                      <w:rFonts w:hint="default" w:ascii="Times New Roman" w:hAnsi="Times New Roman" w:eastAsia="宋体" w:cs="Times New Roman"/>
                      <w:caps w:val="0"/>
                      <w:smallCaps w:val="0"/>
                      <w:color w:val="auto"/>
                      <w:spacing w:val="0"/>
                      <w:w w:val="100"/>
                      <w:position w:val="0"/>
                      <w:sz w:val="21"/>
                      <w:szCs w:val="21"/>
                      <w:lang w:val="zh-CN" w:eastAsia="zh-CN" w:bidi="ar-SA"/>
                    </w:rPr>
                    <w:t>皖江江南新兴产业集中区第一污水处理厂处理，</w:t>
                  </w:r>
                  <w:r>
                    <w:rPr>
                      <w:rFonts w:hint="default" w:ascii="Times New Roman" w:hAnsi="Times New Roman" w:eastAsia="宋体" w:cs="Times New Roman"/>
                      <w:caps w:val="0"/>
                      <w:smallCaps w:val="0"/>
                      <w:color w:val="auto"/>
                      <w:spacing w:val="0"/>
                      <w:w w:val="100"/>
                      <w:position w:val="0"/>
                      <w:sz w:val="21"/>
                      <w:szCs w:val="21"/>
                      <w:lang w:val="en-US" w:eastAsia="zh-CN" w:bidi="ar-SA"/>
                    </w:rPr>
                    <w:t>尾水</w:t>
                  </w:r>
                  <w:r>
                    <w:rPr>
                      <w:rFonts w:hint="default" w:ascii="Times New Roman" w:hAnsi="Times New Roman" w:eastAsia="宋体" w:cs="Times New Roman"/>
                      <w:caps w:val="0"/>
                      <w:smallCaps w:val="0"/>
                      <w:color w:val="auto"/>
                      <w:spacing w:val="0"/>
                      <w:w w:val="100"/>
                      <w:position w:val="0"/>
                      <w:sz w:val="21"/>
                      <w:szCs w:val="21"/>
                      <w:lang w:val="zh-CN" w:eastAsia="zh-CN" w:bidi="ar-SA"/>
                    </w:rPr>
                    <w:t>达到《城镇污水处理厂污染物排放标准》（GB18918-2002）一级A标准后排入九华河</w:t>
                  </w:r>
                  <w:r>
                    <w:rPr>
                      <w:rFonts w:hint="default" w:ascii="Times New Roman" w:hAnsi="Times New Roman" w:cs="Times New Roman"/>
                      <w:lang w:val="en-US" w:eastAsia="zh-CN"/>
                    </w:rPr>
                    <w:t>。</w:t>
                  </w:r>
                </w:p>
              </w:tc>
              <w:tc>
                <w:tcPr>
                  <w:tcW w:w="460" w:type="pct"/>
                  <w:noWrap w:val="0"/>
                  <w:vAlign w:val="center"/>
                </w:tcPr>
                <w:p w14:paraId="67362D81">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符合</w:t>
                  </w:r>
                </w:p>
              </w:tc>
            </w:tr>
            <w:tr w14:paraId="0D87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869" w:type="pct"/>
                  <w:vMerge w:val="continue"/>
                  <w:noWrap w:val="0"/>
                  <w:vAlign w:val="center"/>
                </w:tcPr>
                <w:p w14:paraId="649A9DFD">
                  <w:pPr>
                    <w:pStyle w:val="58"/>
                    <w:bidi w:val="0"/>
                    <w:jc w:val="center"/>
                    <w:rPr>
                      <w:rFonts w:hint="default" w:ascii="Times New Roman" w:hAnsi="Times New Roman" w:cs="Times New Roman"/>
                      <w:lang w:val="en-US" w:eastAsia="zh-CN"/>
                    </w:rPr>
                  </w:pPr>
                </w:p>
              </w:tc>
              <w:tc>
                <w:tcPr>
                  <w:tcW w:w="450" w:type="pct"/>
                  <w:noWrap w:val="0"/>
                  <w:vAlign w:val="center"/>
                </w:tcPr>
                <w:p w14:paraId="2C1783A1">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燃气工程</w:t>
                  </w:r>
                </w:p>
              </w:tc>
              <w:tc>
                <w:tcPr>
                  <w:tcW w:w="2036" w:type="pct"/>
                  <w:noWrap w:val="0"/>
                  <w:vAlign w:val="center"/>
                </w:tcPr>
                <w:p w14:paraId="6D17EF4C">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现状建成区燃气气源为“川气东送”工程，已建观前门站建设工程位于凤鸣大道与嘉陵江路交叉口处，占地面积为13625m</w:t>
                  </w:r>
                  <w:r>
                    <w:rPr>
                      <w:rFonts w:hint="default" w:ascii="Times New Roman" w:hAnsi="Times New Roman" w:cs="Times New Roman"/>
                      <w:vertAlign w:val="superscript"/>
                      <w:lang w:val="en-US" w:eastAsia="zh-CN"/>
                    </w:rPr>
                    <w:t>2</w:t>
                  </w:r>
                  <w:r>
                    <w:rPr>
                      <w:rFonts w:hint="default" w:ascii="Times New Roman" w:hAnsi="Times New Roman" w:cs="Times New Roman"/>
                      <w:lang w:val="en-US" w:eastAsia="zh-CN"/>
                    </w:rPr>
                    <w:t>，输气规模为4.4×10000m</w:t>
                  </w:r>
                  <w:r>
                    <w:rPr>
                      <w:rFonts w:hint="default" w:ascii="Times New Roman" w:hAnsi="Times New Roman" w:cs="Times New Roman"/>
                      <w:vertAlign w:val="superscript"/>
                      <w:lang w:val="en-US" w:eastAsia="zh-CN"/>
                    </w:rPr>
                    <w:t>3</w:t>
                  </w:r>
                  <w:r>
                    <w:rPr>
                      <w:rFonts w:hint="default" w:ascii="Times New Roman" w:hAnsi="Times New Roman" w:cs="Times New Roman"/>
                      <w:lang w:val="en-US" w:eastAsia="zh-CN"/>
                    </w:rPr>
                    <w:t>/h，高峰小时供气量22000m</w:t>
                  </w:r>
                  <w:r>
                    <w:rPr>
                      <w:rFonts w:hint="default" w:ascii="Times New Roman" w:hAnsi="Times New Roman" w:cs="Times New Roman"/>
                      <w:vertAlign w:val="superscript"/>
                      <w:lang w:val="en-US" w:eastAsia="zh-CN"/>
                    </w:rPr>
                    <w:t>3</w:t>
                  </w:r>
                  <w:r>
                    <w:rPr>
                      <w:rFonts w:hint="default" w:ascii="Times New Roman" w:hAnsi="Times New Roman" w:cs="Times New Roman"/>
                      <w:lang w:val="en-US" w:eastAsia="zh-CN"/>
                    </w:rPr>
                    <w:t>/h。建成区内凤鸣大道（滨江大道-龙腾大道)、皖江路（乐山北路-凤鸣大道)、龙腾大道（凤鸣大道-池州大道)、松花江路（凤鸣大道-九华河大堤)、池州大道（龙腾大道-皖江西路）、凤鸣大道（龙腾大道-嘉陵江路）等路段市政中压燃气管线已建成，总建设长度为28.5km，为各用气单位提供基础设施保障。</w:t>
                  </w:r>
                </w:p>
              </w:tc>
              <w:tc>
                <w:tcPr>
                  <w:tcW w:w="1183" w:type="pct"/>
                  <w:noWrap w:val="0"/>
                  <w:vAlign w:val="center"/>
                </w:tcPr>
                <w:p w14:paraId="45360DA5">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color w:val="000000" w:themeColor="text1"/>
                      <w:lang w:val="en-US" w:eastAsia="zh-CN"/>
                      <w14:textFill>
                        <w14:solidFill>
                          <w14:schemeClr w14:val="tx1"/>
                        </w14:solidFill>
                      </w14:textFill>
                    </w:rPr>
                    <w:t>本项目天然气</w:t>
                  </w:r>
                  <w:r>
                    <w:rPr>
                      <w:rFonts w:hint="eastAsia" w:cs="Times New Roman"/>
                      <w:color w:val="000000" w:themeColor="text1"/>
                      <w:lang w:val="en-US" w:eastAsia="zh-CN"/>
                      <w14:textFill>
                        <w14:solidFill>
                          <w14:schemeClr w14:val="tx1"/>
                        </w14:solidFill>
                      </w14:textFill>
                    </w:rPr>
                    <w:t>用量约为18万m</w:t>
                  </w:r>
                  <w:r>
                    <w:rPr>
                      <w:rFonts w:hint="eastAsia" w:cs="Times New Roman"/>
                      <w:color w:val="000000" w:themeColor="text1"/>
                      <w:vertAlign w:val="superscript"/>
                      <w:lang w:val="en-US" w:eastAsia="zh-CN"/>
                      <w14:textFill>
                        <w14:solidFill>
                          <w14:schemeClr w14:val="tx1"/>
                        </w14:solidFill>
                      </w14:textFill>
                    </w:rPr>
                    <w:t>3</w:t>
                  </w:r>
                  <w:r>
                    <w:rPr>
                      <w:rFonts w:hint="eastAsia" w:cs="Times New Roman"/>
                      <w:color w:val="000000" w:themeColor="text1"/>
                      <w:lang w:val="en-US" w:eastAsia="zh-CN"/>
                      <w14:textFill>
                        <w14:solidFill>
                          <w14:schemeClr w14:val="tx1"/>
                        </w14:solidFill>
                      </w14:textFill>
                    </w:rPr>
                    <w:t>/a，天然气燃烧废气</w:t>
                  </w:r>
                  <w:r>
                    <w:rPr>
                      <w:rFonts w:hint="eastAsia" w:cs="Times New Roman"/>
                      <w:lang w:val="en-US" w:eastAsia="zh-CN"/>
                    </w:rPr>
                    <w:t>经管道收集通过1根15m高的排气筒排放</w:t>
                  </w:r>
                  <w:r>
                    <w:rPr>
                      <w:rFonts w:hint="default" w:ascii="Times New Roman" w:hAnsi="Times New Roman" w:cs="Times New Roman"/>
                      <w:lang w:val="en-US" w:eastAsia="zh-CN"/>
                    </w:rPr>
                    <w:t>。</w:t>
                  </w:r>
                </w:p>
              </w:tc>
              <w:tc>
                <w:tcPr>
                  <w:tcW w:w="460" w:type="pct"/>
                  <w:noWrap w:val="0"/>
                  <w:vAlign w:val="center"/>
                </w:tcPr>
                <w:p w14:paraId="61E28EFB">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符合</w:t>
                  </w:r>
                </w:p>
              </w:tc>
            </w:tr>
            <w:tr w14:paraId="4BAE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1319" w:type="pct"/>
                  <w:gridSpan w:val="2"/>
                  <w:vMerge w:val="restart"/>
                  <w:noWrap w:val="0"/>
                  <w:vAlign w:val="center"/>
                </w:tcPr>
                <w:p w14:paraId="41C81671">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《安徽省江南产业集中区产业发展规划（2019~2030）环境影响报告书》审查意见要求</w:t>
                  </w:r>
                </w:p>
              </w:tc>
              <w:tc>
                <w:tcPr>
                  <w:tcW w:w="2036" w:type="pct"/>
                  <w:noWrap w:val="0"/>
                  <w:vAlign w:val="center"/>
                </w:tcPr>
                <w:p w14:paraId="570DFC41">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一）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1183" w:type="pct"/>
                  <w:noWrap w:val="0"/>
                  <w:vAlign w:val="center"/>
                </w:tcPr>
                <w:p w14:paraId="21C5BC69">
                  <w:pPr>
                    <w:pStyle w:val="58"/>
                    <w:keepNext w:val="0"/>
                    <w:keepLines w:val="0"/>
                    <w:pageBreakBefore w:val="0"/>
                    <w:widowControl/>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lang w:val="en-US" w:eastAsia="zh-CN"/>
                    </w:rPr>
                  </w:pPr>
                  <w:r>
                    <w:rPr>
                      <w:rFonts w:hint="eastAsia" w:ascii="Times New Roman" w:hAnsi="Times New Roman" w:cs="Times New Roman"/>
                      <w:lang w:val="en-US" w:eastAsia="zh-CN"/>
                    </w:rPr>
                    <w:t>本</w:t>
                  </w:r>
                  <w:r>
                    <w:rPr>
                      <w:rFonts w:hint="default" w:ascii="Times New Roman" w:hAnsi="Times New Roman" w:cs="Times New Roman"/>
                      <w:lang w:val="en-US" w:eastAsia="zh-CN"/>
                    </w:rPr>
                    <w:t>项目</w:t>
                  </w:r>
                  <w:r>
                    <w:rPr>
                      <w:rFonts w:hint="eastAsia" w:ascii="Times New Roman" w:hAnsi="Times New Roman" w:cs="Times New Roman"/>
                      <w:lang w:val="en-US" w:eastAsia="zh-CN"/>
                    </w:rPr>
                    <w:t>无</w:t>
                  </w:r>
                  <w:r>
                    <w:rPr>
                      <w:rFonts w:hint="default" w:ascii="Times New Roman" w:hAnsi="Times New Roman" w:cs="Times New Roman"/>
                      <w:lang w:val="en-US" w:eastAsia="zh-CN"/>
                    </w:rPr>
                    <w:t>生产废水</w:t>
                  </w:r>
                  <w:r>
                    <w:rPr>
                      <w:rFonts w:hint="eastAsia" w:ascii="Times New Roman" w:hAnsi="Times New Roman" w:cs="Times New Roman"/>
                      <w:lang w:val="en-US" w:eastAsia="zh-CN"/>
                    </w:rPr>
                    <w:t>排放</w:t>
                  </w:r>
                  <w:r>
                    <w:rPr>
                      <w:rFonts w:hint="default" w:ascii="Times New Roman" w:hAnsi="Times New Roman" w:cs="Times New Roman"/>
                      <w:lang w:val="en-US" w:eastAsia="zh-CN"/>
                    </w:rPr>
                    <w:t>，生活污水经化粪池收集后通过市政管网进入皖江江南新兴产业集中区第一污水处理厂接管标准达到《城镇污水处理厂污染物排放标准》（GB18918-2002）一级A标准后排入九华河。满足规划要求。</w:t>
                  </w:r>
                </w:p>
              </w:tc>
              <w:tc>
                <w:tcPr>
                  <w:tcW w:w="460" w:type="pct"/>
                  <w:noWrap w:val="0"/>
                  <w:vAlign w:val="center"/>
                </w:tcPr>
                <w:p w14:paraId="0AE8853B">
                  <w:pPr>
                    <w:pStyle w:val="58"/>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符合</w:t>
                  </w:r>
                </w:p>
              </w:tc>
            </w:tr>
            <w:tr w14:paraId="5117C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319" w:type="pct"/>
                  <w:gridSpan w:val="2"/>
                  <w:vMerge w:val="continue"/>
                  <w:noWrap w:val="0"/>
                  <w:vAlign w:val="center"/>
                </w:tcPr>
                <w:p w14:paraId="55A09EEA">
                  <w:pPr>
                    <w:pStyle w:val="58"/>
                    <w:bidi w:val="0"/>
                    <w:jc w:val="center"/>
                    <w:rPr>
                      <w:rFonts w:hint="default" w:ascii="Times New Roman" w:hAnsi="Times New Roman" w:cs="Times New Roman"/>
                      <w:lang w:val="en-US" w:eastAsia="zh-CN"/>
                    </w:rPr>
                  </w:pPr>
                </w:p>
              </w:tc>
              <w:tc>
                <w:tcPr>
                  <w:tcW w:w="2036" w:type="pct"/>
                  <w:noWrap w:val="0"/>
                  <w:vAlign w:val="center"/>
                </w:tcPr>
                <w:p w14:paraId="20697E6C">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二）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183" w:type="pct"/>
                  <w:vMerge w:val="restart"/>
                  <w:noWrap w:val="0"/>
                  <w:vAlign w:val="center"/>
                </w:tcPr>
                <w:p w14:paraId="60D2BC11">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本项目污染物均经过相应处理设施处理后可达标排放。</w:t>
                  </w:r>
                </w:p>
              </w:tc>
              <w:tc>
                <w:tcPr>
                  <w:tcW w:w="460" w:type="pct"/>
                  <w:vMerge w:val="restart"/>
                  <w:noWrap w:val="0"/>
                  <w:vAlign w:val="center"/>
                </w:tcPr>
                <w:p w14:paraId="63897102">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符合</w:t>
                  </w:r>
                </w:p>
              </w:tc>
            </w:tr>
            <w:tr w14:paraId="5F82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319" w:type="pct"/>
                  <w:gridSpan w:val="2"/>
                  <w:vMerge w:val="continue"/>
                  <w:noWrap w:val="0"/>
                  <w:vAlign w:val="center"/>
                </w:tcPr>
                <w:p w14:paraId="2250F5DB">
                  <w:pPr>
                    <w:pStyle w:val="58"/>
                    <w:bidi w:val="0"/>
                    <w:jc w:val="center"/>
                    <w:rPr>
                      <w:rFonts w:hint="default" w:ascii="Times New Roman" w:hAnsi="Times New Roman" w:cs="Times New Roman"/>
                      <w:lang w:val="en-US" w:eastAsia="zh-CN"/>
                    </w:rPr>
                  </w:pPr>
                </w:p>
              </w:tc>
              <w:tc>
                <w:tcPr>
                  <w:tcW w:w="2036" w:type="pct"/>
                  <w:noWrap w:val="0"/>
                  <w:vAlign w:val="center"/>
                </w:tcPr>
                <w:p w14:paraId="10DA73D7">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（三）要坚决落实关于“共抓大保护，不搞大开发”的要求，在规划确定的集中区产业定位总体框架下，充分考虑与区域产业布局的互补，进一步优化发展重点，最大限度控制集中区污染物排放量和排放强度。</w:t>
                  </w:r>
                </w:p>
              </w:tc>
              <w:tc>
                <w:tcPr>
                  <w:tcW w:w="1183" w:type="pct"/>
                  <w:vMerge w:val="continue"/>
                  <w:noWrap w:val="0"/>
                  <w:vAlign w:val="center"/>
                </w:tcPr>
                <w:p w14:paraId="47B6159A">
                  <w:pPr>
                    <w:pStyle w:val="58"/>
                    <w:bidi w:val="0"/>
                    <w:ind w:left="0" w:leftChars="0" w:firstLine="0" w:firstLineChars="0"/>
                    <w:jc w:val="center"/>
                    <w:rPr>
                      <w:rFonts w:hint="default" w:ascii="Times New Roman" w:hAnsi="Times New Roman" w:eastAsia="宋体" w:cs="Times New Roman"/>
                      <w:lang w:val="en-US" w:eastAsia="zh-CN"/>
                    </w:rPr>
                  </w:pPr>
                </w:p>
              </w:tc>
              <w:tc>
                <w:tcPr>
                  <w:tcW w:w="460" w:type="pct"/>
                  <w:vMerge w:val="continue"/>
                  <w:noWrap w:val="0"/>
                  <w:vAlign w:val="center"/>
                </w:tcPr>
                <w:p w14:paraId="3CBE125F">
                  <w:pPr>
                    <w:pStyle w:val="58"/>
                    <w:bidi w:val="0"/>
                    <w:ind w:left="0" w:leftChars="0" w:firstLine="0" w:firstLineChars="0"/>
                    <w:jc w:val="center"/>
                    <w:rPr>
                      <w:rFonts w:hint="default" w:ascii="Times New Roman" w:hAnsi="Times New Roman" w:eastAsia="宋体" w:cs="Times New Roman"/>
                      <w:lang w:val="en-US" w:eastAsia="zh-CN"/>
                    </w:rPr>
                  </w:pPr>
                </w:p>
              </w:tc>
            </w:tr>
            <w:tr w14:paraId="46A6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19" w:type="pct"/>
                  <w:gridSpan w:val="2"/>
                  <w:vMerge w:val="continue"/>
                  <w:noWrap w:val="0"/>
                  <w:vAlign w:val="center"/>
                </w:tcPr>
                <w:p w14:paraId="267ED761">
                  <w:pPr>
                    <w:pStyle w:val="58"/>
                    <w:bidi w:val="0"/>
                    <w:jc w:val="center"/>
                    <w:rPr>
                      <w:rFonts w:hint="default" w:ascii="Times New Roman" w:hAnsi="Times New Roman" w:cs="Times New Roman"/>
                      <w:lang w:val="en-US" w:eastAsia="zh-CN"/>
                    </w:rPr>
                  </w:pPr>
                </w:p>
              </w:tc>
              <w:tc>
                <w:tcPr>
                  <w:tcW w:w="2036" w:type="pct"/>
                  <w:noWrap w:val="0"/>
                  <w:vAlign w:val="center"/>
                </w:tcPr>
                <w:p w14:paraId="0816C715">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四）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183" w:type="pct"/>
                  <w:noWrap w:val="0"/>
                  <w:vAlign w:val="center"/>
                </w:tcPr>
                <w:p w14:paraId="54EFAAB7">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项目生活污水经化粪池收集后，达到皖江江南新兴产业集中区第一污水处理厂接管标准及《污水综合排放标准》（GB8978-1996）表4中三级标准，经市政污水管网进入皖江江南新兴产业集中区第一污水处理厂处理，达到《城镇污水处理厂污染物排放标准》（GB18918-2002）一级A标准后排入九华河。</w:t>
                  </w:r>
                </w:p>
              </w:tc>
              <w:tc>
                <w:tcPr>
                  <w:tcW w:w="460" w:type="pct"/>
                  <w:noWrap w:val="0"/>
                  <w:vAlign w:val="center"/>
                </w:tcPr>
                <w:p w14:paraId="5131FA8F">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符合</w:t>
                  </w:r>
                </w:p>
              </w:tc>
            </w:tr>
            <w:tr w14:paraId="09DF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319" w:type="pct"/>
                  <w:gridSpan w:val="2"/>
                  <w:vMerge w:val="continue"/>
                  <w:noWrap w:val="0"/>
                  <w:vAlign w:val="center"/>
                </w:tcPr>
                <w:p w14:paraId="70C02366">
                  <w:pPr>
                    <w:pStyle w:val="58"/>
                    <w:bidi w:val="0"/>
                    <w:jc w:val="center"/>
                    <w:rPr>
                      <w:rFonts w:hint="default" w:ascii="Times New Roman" w:hAnsi="Times New Roman" w:cs="Times New Roman"/>
                      <w:lang w:val="en-US" w:eastAsia="zh-CN"/>
                    </w:rPr>
                  </w:pPr>
                </w:p>
              </w:tc>
              <w:tc>
                <w:tcPr>
                  <w:tcW w:w="2036" w:type="pct"/>
                  <w:noWrap w:val="0"/>
                  <w:vAlign w:val="center"/>
                </w:tcPr>
                <w:p w14:paraId="1EEF8D25">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五）加快集中区燃气、集中供气等清洁能源规划实施进度，全面落实《安徽省大气污染防治行动计划实施方案》各项要求。按规定落实各类固体废物的收集和处理处置，特别是危险废物的收集、暂存、转运、处置。</w:t>
                  </w:r>
                </w:p>
              </w:tc>
              <w:tc>
                <w:tcPr>
                  <w:tcW w:w="1183" w:type="pct"/>
                  <w:noWrap w:val="0"/>
                  <w:vAlign w:val="center"/>
                </w:tcPr>
                <w:p w14:paraId="38D4E378">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项目产生的各类固体废物均能实现收集和处理，产生的危险废物委托有资质单位处理。</w:t>
                  </w:r>
                </w:p>
              </w:tc>
              <w:tc>
                <w:tcPr>
                  <w:tcW w:w="460" w:type="pct"/>
                  <w:noWrap w:val="0"/>
                  <w:vAlign w:val="center"/>
                </w:tcPr>
                <w:p w14:paraId="5A3B1903">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符合</w:t>
                  </w:r>
                </w:p>
              </w:tc>
            </w:tr>
            <w:tr w14:paraId="4131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319" w:type="pct"/>
                  <w:gridSpan w:val="2"/>
                  <w:vMerge w:val="continue"/>
                  <w:noWrap w:val="0"/>
                  <w:vAlign w:val="center"/>
                </w:tcPr>
                <w:p w14:paraId="335AC3FC">
                  <w:pPr>
                    <w:pStyle w:val="58"/>
                    <w:bidi w:val="0"/>
                    <w:jc w:val="center"/>
                    <w:rPr>
                      <w:rFonts w:hint="default" w:ascii="Times New Roman" w:hAnsi="Times New Roman" w:cs="Times New Roman"/>
                      <w:lang w:val="en-US" w:eastAsia="zh-CN"/>
                    </w:rPr>
                  </w:pPr>
                </w:p>
              </w:tc>
              <w:tc>
                <w:tcPr>
                  <w:tcW w:w="2036" w:type="pct"/>
                  <w:noWrap w:val="0"/>
                  <w:vAlign w:val="center"/>
                </w:tcPr>
                <w:p w14:paraId="3EF6E87E">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（六）建立健全集中区环境监控体系，坚持预防为主、防控结合，制定并落实集中区综合环境风险防范、预警和应急体系，及时更新升级各类突发环境事件应急预案，做好应急软硬件建设和储备。</w:t>
                  </w:r>
                </w:p>
              </w:tc>
              <w:tc>
                <w:tcPr>
                  <w:tcW w:w="1183" w:type="pct"/>
                  <w:noWrap w:val="0"/>
                  <w:vAlign w:val="center"/>
                </w:tcPr>
                <w:p w14:paraId="70B93AA4">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本次评价要求本项目建成后立即制定环境风险应急预案，做到预防为主，防控结合。</w:t>
                  </w:r>
                </w:p>
              </w:tc>
              <w:tc>
                <w:tcPr>
                  <w:tcW w:w="460" w:type="pct"/>
                  <w:noWrap w:val="0"/>
                  <w:vAlign w:val="center"/>
                </w:tcPr>
                <w:p w14:paraId="3F0C9CE3">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符合</w:t>
                  </w:r>
                </w:p>
              </w:tc>
            </w:tr>
            <w:tr w14:paraId="5D56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1319" w:type="pct"/>
                  <w:gridSpan w:val="2"/>
                  <w:vMerge w:val="continue"/>
                  <w:noWrap w:val="0"/>
                  <w:vAlign w:val="center"/>
                </w:tcPr>
                <w:p w14:paraId="3D33EFB2">
                  <w:pPr>
                    <w:pStyle w:val="58"/>
                    <w:bidi w:val="0"/>
                    <w:jc w:val="center"/>
                    <w:rPr>
                      <w:rFonts w:hint="default" w:ascii="Times New Roman" w:hAnsi="Times New Roman" w:cs="Times New Roman"/>
                      <w:lang w:val="en-US" w:eastAsia="zh-CN"/>
                    </w:rPr>
                  </w:pPr>
                </w:p>
              </w:tc>
              <w:tc>
                <w:tcPr>
                  <w:tcW w:w="2036" w:type="pct"/>
                  <w:noWrap w:val="0"/>
                  <w:vAlign w:val="center"/>
                </w:tcPr>
                <w:p w14:paraId="59430990">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七）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1183" w:type="pct"/>
                  <w:noWrap w:val="0"/>
                  <w:vAlign w:val="center"/>
                </w:tcPr>
                <w:p w14:paraId="11D2D8A6">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本次评价要求项目严格按照“三同时”制度，新增污染物总量来源明确。</w:t>
                  </w:r>
                </w:p>
              </w:tc>
              <w:tc>
                <w:tcPr>
                  <w:tcW w:w="460" w:type="pct"/>
                  <w:noWrap w:val="0"/>
                  <w:vAlign w:val="center"/>
                </w:tcPr>
                <w:p w14:paraId="2D376D66">
                  <w:pPr>
                    <w:pStyle w:val="58"/>
                    <w:bidi w:val="0"/>
                    <w:ind w:left="0" w:lef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符合</w:t>
                  </w:r>
                </w:p>
              </w:tc>
            </w:tr>
          </w:tbl>
          <w:p w14:paraId="554A5E5F">
            <w:pPr>
              <w:pStyle w:val="43"/>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综上所述，项目建设符合规划及规划环评要求。</w:t>
            </w:r>
          </w:p>
        </w:tc>
      </w:tr>
      <w:tr w14:paraId="0D5710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4"/>
            <w:noWrap w:val="0"/>
            <w:vAlign w:val="center"/>
          </w:tcPr>
          <w:p w14:paraId="535EE9DC">
            <w:pPr>
              <w:pStyle w:val="43"/>
              <w:bidi w:val="0"/>
              <w:rPr>
                <w:rFonts w:hint="default"/>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其他符合性分析：</w:t>
            </w:r>
          </w:p>
          <w:p w14:paraId="6C1D4D90">
            <w:pPr>
              <w:pStyle w:val="43"/>
              <w:bidi w:val="0"/>
              <w:rPr>
                <w:rFonts w:hint="eastAsia"/>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1、“三线</w:t>
            </w:r>
            <w:r>
              <w:rPr>
                <w:rFonts w:hint="eastAsia"/>
                <w:b/>
                <w:bCs/>
                <w:color w:val="000000" w:themeColor="text1"/>
                <w:highlight w:val="none"/>
                <w:lang w:val="en-US" w:eastAsia="zh-CN"/>
                <w14:textFill>
                  <w14:solidFill>
                    <w14:schemeClr w14:val="tx1"/>
                  </w14:solidFill>
                </w14:textFill>
              </w:rPr>
              <w:t>一单</w:t>
            </w:r>
            <w:r>
              <w:rPr>
                <w:rFonts w:hint="eastAsia"/>
                <w:b/>
                <w:bCs/>
                <w:color w:val="000000" w:themeColor="text1"/>
                <w:lang w:val="en-US" w:eastAsia="zh-CN"/>
                <w14:textFill>
                  <w14:solidFill>
                    <w14:schemeClr w14:val="tx1"/>
                  </w14:solidFill>
                </w14:textFill>
              </w:rPr>
              <w:t>”符合性分析</w:t>
            </w:r>
          </w:p>
          <w:p w14:paraId="35F960D5">
            <w:pPr>
              <w:keepNext w:val="0"/>
              <w:keepLines w:val="0"/>
              <w:pageBreakBefore w:val="0"/>
              <w:widowControl w:val="0"/>
              <w:kinsoku/>
              <w:wordWrap/>
              <w:overflowPunct/>
              <w:topLinePunct w:val="0"/>
              <w:autoSpaceDE/>
              <w:autoSpaceDN/>
              <w:bidi w:val="0"/>
              <w:adjustRightInd w:val="0"/>
              <w:snapToGrid w:val="0"/>
              <w:spacing w:line="360" w:lineRule="auto"/>
              <w:ind w:firstLine="476" w:firstLineChars="200"/>
              <w:textAlignment w:val="auto"/>
              <w:rPr>
                <w:rFonts w:hint="eastAsia"/>
                <w:spacing w:val="6"/>
                <w:sz w:val="24"/>
                <w:szCs w:val="24"/>
                <w:highlight w:val="none"/>
              </w:rPr>
            </w:pPr>
            <w:r>
              <w:rPr>
                <w:spacing w:val="-1"/>
                <w:sz w:val="24"/>
                <w:szCs w:val="24"/>
                <w:highlight w:val="none"/>
              </w:rPr>
              <w:t>根</w:t>
            </w:r>
            <w:r>
              <w:rPr>
                <w:rFonts w:hint="eastAsia" w:ascii="Times New Roman" w:hAnsi="Times New Roman" w:eastAsia="宋体" w:cs="Times New Roman"/>
                <w:snapToGrid/>
                <w:color w:val="auto"/>
                <w:kern w:val="2"/>
                <w:sz w:val="24"/>
                <w:szCs w:val="24"/>
                <w:highlight w:val="none"/>
                <w:lang w:val="en-US" w:eastAsia="zh-CN" w:bidi="ar-SA"/>
              </w:rPr>
              <w:t>据《安徽省“三线一单”生态环境分区管控管理办法（暂行）》（皖环发）〔2022〕5</w:t>
            </w:r>
            <w:r>
              <w:rPr>
                <w:spacing w:val="-1"/>
                <w:sz w:val="24"/>
                <w:szCs w:val="24"/>
                <w:highlight w:val="none"/>
              </w:rPr>
              <w:t>号）要求：在建设项目环评中，做好与“三线一单”生态环境</w:t>
            </w:r>
            <w:r>
              <w:rPr>
                <w:spacing w:val="7"/>
                <w:sz w:val="24"/>
                <w:szCs w:val="24"/>
                <w:highlight w:val="none"/>
              </w:rPr>
              <w:t>分区管控相符性分析，充分论证是否符合生</w:t>
            </w:r>
            <w:r>
              <w:rPr>
                <w:spacing w:val="6"/>
                <w:sz w:val="24"/>
                <w:szCs w:val="24"/>
                <w:highlight w:val="none"/>
              </w:rPr>
              <w:t>态环境准入清单要求，对不符合</w:t>
            </w:r>
            <w:r>
              <w:rPr>
                <w:rFonts w:hint="eastAsia"/>
                <w:spacing w:val="6"/>
                <w:sz w:val="24"/>
                <w:szCs w:val="24"/>
                <w:highlight w:val="none"/>
              </w:rPr>
              <w:t>的依法不予审批；生态环境部《关于以改善环境质量为核心加强环境影响评价管理的通知》（环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05B3B78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b/>
                <w:bCs/>
                <w:color w:val="auto"/>
                <w:sz w:val="24"/>
                <w:szCs w:val="24"/>
                <w:lang w:eastAsia="zh-CN"/>
              </w:rPr>
              <w:t>（1）池州市“三线一单”成果及池州市生态环境分区管控相符性分析</w:t>
            </w:r>
          </w:p>
          <w:p w14:paraId="5D4C069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本次评价结合池州市“三线一单”成果及池州市生态环境分区管控（2023）相符性，开展“三线一单”相符性分析，本项目与生态保护红线及生态分区管控、环境质量底线及分区管控及资源利用上线及自然资源开发分区管控符合性分析详见</w:t>
            </w:r>
            <w:r>
              <w:rPr>
                <w:rFonts w:hint="eastAsia" w:ascii="Times New Roman" w:hAnsi="Times New Roman" w:eastAsia="宋体" w:cs="Times New Roman"/>
                <w:color w:val="auto"/>
                <w:sz w:val="24"/>
                <w:szCs w:val="24"/>
                <w:lang w:val="en-US" w:eastAsia="zh-CN"/>
              </w:rPr>
              <w:t>下表</w:t>
            </w:r>
            <w:r>
              <w:rPr>
                <w:rFonts w:hint="eastAsia" w:ascii="Times New Roman" w:hAnsi="Times New Roman" w:eastAsia="宋体" w:cs="Times New Roman"/>
                <w:color w:val="auto"/>
                <w:sz w:val="24"/>
                <w:szCs w:val="24"/>
                <w:lang w:eastAsia="zh-CN"/>
              </w:rPr>
              <w:t>。</w:t>
            </w:r>
          </w:p>
          <w:p w14:paraId="65C551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eastAsia="zh-CN"/>
              </w:rPr>
              <w:t>表</w:t>
            </w:r>
            <w:r>
              <w:rPr>
                <w:rFonts w:hint="eastAsia" w:ascii="Times New Roman" w:hAnsi="Times New Roman" w:eastAsia="宋体" w:cs="Times New Roman"/>
                <w:b/>
                <w:bCs/>
                <w:color w:val="auto"/>
                <w:sz w:val="24"/>
                <w:szCs w:val="24"/>
                <w:highlight w:val="none"/>
                <w:lang w:val="en-US" w:eastAsia="zh-CN"/>
              </w:rPr>
              <w:t>1-</w:t>
            </w:r>
            <w:r>
              <w:rPr>
                <w:rFonts w:hint="eastAsia" w:cs="Times New Roman"/>
                <w:b/>
                <w:bCs/>
                <w:color w:val="auto"/>
                <w:sz w:val="24"/>
                <w:szCs w:val="24"/>
                <w:highlight w:val="none"/>
                <w:lang w:val="en-US" w:eastAsia="zh-CN"/>
              </w:rPr>
              <w:t>4</w:t>
            </w:r>
            <w:r>
              <w:rPr>
                <w:rFonts w:hint="eastAsia" w:ascii="Times New Roman" w:hAnsi="Times New Roman" w:eastAsia="宋体" w:cs="Times New Roman"/>
                <w:b/>
                <w:bCs/>
                <w:color w:val="auto"/>
                <w:sz w:val="24"/>
                <w:szCs w:val="24"/>
                <w:highlight w:val="none"/>
                <w:lang w:val="en-US" w:eastAsia="zh-CN"/>
              </w:rPr>
              <w:t xml:space="preserve">  “三线一单”相符性分析</w:t>
            </w:r>
            <w:r>
              <w:rPr>
                <w:rFonts w:hint="eastAsia" w:ascii="宋体" w:hAnsi="宋体" w:eastAsia="宋体" w:cs="宋体"/>
                <w:b/>
                <w:bCs/>
                <w:color w:val="000000"/>
                <w:kern w:val="0"/>
                <w:sz w:val="24"/>
                <w:szCs w:val="24"/>
                <w:lang w:val="en-US" w:eastAsia="zh-CN" w:bidi="ar"/>
              </w:rPr>
              <w:t>及池州市生态环境分区管控相符性分析</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829"/>
              <w:gridCol w:w="3671"/>
              <w:gridCol w:w="2349"/>
              <w:gridCol w:w="752"/>
              <w:gridCol w:w="6"/>
            </w:tblGrid>
            <w:tr w14:paraId="0DE4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887" w:type="pct"/>
                  <w:gridSpan w:val="2"/>
                  <w:noWrap w:val="0"/>
                  <w:vAlign w:val="center"/>
                </w:tcPr>
                <w:p w14:paraId="4E579233">
                  <w:pPr>
                    <w:spacing w:line="240" w:lineRule="auto"/>
                    <w:jc w:val="center"/>
                    <w:rPr>
                      <w:rFonts w:hint="default" w:ascii="Times New Roman" w:hAnsi="Times New Roman" w:eastAsia="宋体" w:cs="Times New Roman"/>
                      <w:b/>
                      <w:bCs/>
                      <w:sz w:val="21"/>
                      <w:szCs w:val="21"/>
                      <w:highlight w:val="none"/>
                      <w:lang w:eastAsia="zh-CN"/>
                    </w:rPr>
                  </w:pPr>
                  <w:r>
                    <w:rPr>
                      <w:rFonts w:hint="default" w:ascii="Times New Roman" w:hAnsi="Times New Roman" w:eastAsia="宋体" w:cs="Times New Roman"/>
                      <w:b/>
                      <w:bCs/>
                      <w:sz w:val="21"/>
                      <w:szCs w:val="21"/>
                      <w:highlight w:val="none"/>
                    </w:rPr>
                    <w:t>内容</w:t>
                  </w:r>
                </w:p>
              </w:tc>
              <w:tc>
                <w:tcPr>
                  <w:tcW w:w="2227" w:type="pct"/>
                  <w:noWrap w:val="0"/>
                  <w:vAlign w:val="center"/>
                </w:tcPr>
                <w:p w14:paraId="45045B07">
                  <w:pPr>
                    <w:spacing w:line="240" w:lineRule="auto"/>
                    <w:jc w:val="center"/>
                    <w:rPr>
                      <w:rFonts w:hint="default" w:ascii="Times New Roman" w:hAnsi="Times New Roman" w:eastAsia="宋体" w:cs="Times New Roman"/>
                      <w:b/>
                      <w:bCs/>
                      <w:sz w:val="21"/>
                      <w:szCs w:val="21"/>
                      <w:highlight w:val="none"/>
                      <w:lang w:val="en-US" w:eastAsia="zh-CN"/>
                    </w:rPr>
                  </w:pPr>
                  <w:r>
                    <w:rPr>
                      <w:rFonts w:hint="default" w:ascii="Times New Roman" w:hAnsi="Times New Roman" w:eastAsia="宋体" w:cs="Times New Roman"/>
                      <w:b/>
                      <w:bCs/>
                      <w:color w:val="000000"/>
                      <w:kern w:val="0"/>
                      <w:sz w:val="21"/>
                      <w:szCs w:val="21"/>
                      <w:lang w:val="en-US" w:eastAsia="zh-CN" w:bidi="ar"/>
                    </w:rPr>
                    <w:t>《长江经济带战略环境评价池州市“三线一单”文本》要求</w:t>
                  </w:r>
                </w:p>
              </w:tc>
              <w:tc>
                <w:tcPr>
                  <w:tcW w:w="1425" w:type="pct"/>
                  <w:noWrap w:val="0"/>
                  <w:vAlign w:val="center"/>
                </w:tcPr>
                <w:p w14:paraId="3E7F4CB4">
                  <w:pPr>
                    <w:spacing w:line="240" w:lineRule="auto"/>
                    <w:jc w:val="center"/>
                    <w:rPr>
                      <w:rFonts w:hint="default" w:ascii="Times New Roman" w:hAnsi="Times New Roman" w:eastAsia="宋体" w:cs="Times New Roman"/>
                      <w:b/>
                      <w:bCs/>
                      <w:sz w:val="21"/>
                      <w:szCs w:val="21"/>
                      <w:highlight w:val="none"/>
                      <w:lang w:eastAsia="zh-CN"/>
                    </w:rPr>
                  </w:pPr>
                  <w:r>
                    <w:rPr>
                      <w:rFonts w:hint="eastAsia" w:ascii="Times New Roman" w:hAnsi="Times New Roman" w:eastAsia="宋体" w:cs="Times New Roman"/>
                      <w:b/>
                      <w:bCs/>
                      <w:sz w:val="21"/>
                      <w:szCs w:val="21"/>
                      <w:highlight w:val="none"/>
                      <w:lang w:eastAsia="zh-CN"/>
                    </w:rPr>
                    <w:t>本项目情况</w:t>
                  </w:r>
                </w:p>
              </w:tc>
              <w:tc>
                <w:tcPr>
                  <w:tcW w:w="459" w:type="pct"/>
                  <w:gridSpan w:val="2"/>
                  <w:noWrap w:val="0"/>
                  <w:vAlign w:val="center"/>
                </w:tcPr>
                <w:p w14:paraId="34B94D99">
                  <w:pPr>
                    <w:spacing w:line="240" w:lineRule="auto"/>
                    <w:jc w:val="center"/>
                    <w:rPr>
                      <w:rFonts w:hint="default" w:ascii="Times New Roman" w:hAnsi="Times New Roman" w:eastAsia="宋体" w:cs="Times New Roman"/>
                      <w:b/>
                      <w:bCs/>
                      <w:sz w:val="21"/>
                      <w:szCs w:val="21"/>
                      <w:highlight w:val="none"/>
                      <w:lang w:eastAsia="zh-CN"/>
                    </w:rPr>
                  </w:pPr>
                  <w:r>
                    <w:rPr>
                      <w:rFonts w:hint="eastAsia" w:ascii="Times New Roman" w:hAnsi="Times New Roman" w:eastAsia="宋体" w:cs="Times New Roman"/>
                      <w:b/>
                      <w:bCs/>
                      <w:sz w:val="21"/>
                      <w:szCs w:val="21"/>
                      <w:highlight w:val="none"/>
                      <w:lang w:eastAsia="zh-CN"/>
                    </w:rPr>
                    <w:t>相符性</w:t>
                  </w:r>
                </w:p>
              </w:tc>
            </w:tr>
            <w:tr w14:paraId="6BF30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887" w:type="pct"/>
                  <w:gridSpan w:val="2"/>
                  <w:noWrap w:val="0"/>
                  <w:vAlign w:val="center"/>
                </w:tcPr>
                <w:p w14:paraId="54318EE1">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生态保护红线</w:t>
                  </w:r>
                </w:p>
              </w:tc>
              <w:tc>
                <w:tcPr>
                  <w:tcW w:w="2227" w:type="pct"/>
                  <w:noWrap w:val="0"/>
                  <w:vAlign w:val="center"/>
                </w:tcPr>
                <w:p w14:paraId="7868DFDF">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根据《关于在全国开展“三区三线”划定工作的函》（自然资函〔2022〕47号）和《关于印发安徽省“三区三线”划定工作方案的通知》（皖自然资〔2022〕194号），池州市生态保护红线更新后面积为2640.17km</w:t>
                  </w:r>
                  <w:r>
                    <w:rPr>
                      <w:rFonts w:hint="default" w:ascii="Times New Roman" w:hAnsi="Times New Roman" w:eastAsia="宋体" w:cs="Times New Roman"/>
                      <w:sz w:val="21"/>
                      <w:szCs w:val="21"/>
                      <w:highlight w:val="none"/>
                      <w:vertAlign w:val="superscript"/>
                    </w:rPr>
                    <w:t>2</w:t>
                  </w:r>
                  <w:r>
                    <w:rPr>
                      <w:rFonts w:hint="default" w:ascii="Times New Roman" w:hAnsi="Times New Roman" w:eastAsia="宋体" w:cs="Times New Roman"/>
                      <w:sz w:val="21"/>
                      <w:szCs w:val="21"/>
                      <w:highlight w:val="none"/>
                    </w:rPr>
                    <w:t>，占全市国土面积的31.56%。池州市生态保护红线空间格局呈现为东部山区集中连</w:t>
                  </w:r>
                  <w:r>
                    <w:rPr>
                      <w:rFonts w:hint="eastAsia" w:ascii="Times New Roman" w:hAnsi="Times New Roman" w:eastAsia="宋体" w:cs="Times New Roman"/>
                      <w:sz w:val="21"/>
                      <w:szCs w:val="21"/>
                      <w:highlight w:val="none"/>
                      <w:lang w:eastAsia="zh-CN"/>
                    </w:rPr>
                    <w:t>片</w:t>
                  </w:r>
                  <w:r>
                    <w:rPr>
                      <w:rFonts w:hint="default" w:ascii="Times New Roman" w:hAnsi="Times New Roman" w:eastAsia="宋体" w:cs="Times New Roman"/>
                      <w:sz w:val="21"/>
                      <w:szCs w:val="21"/>
                      <w:highlight w:val="none"/>
                    </w:rPr>
                    <w:t>多，南北两翼分散的特点，其主要生态功能为水源涵养、水土保持和生物多样性维持</w:t>
                  </w:r>
                </w:p>
              </w:tc>
              <w:tc>
                <w:tcPr>
                  <w:tcW w:w="1425" w:type="pct"/>
                  <w:noWrap w:val="0"/>
                  <w:vAlign w:val="center"/>
                </w:tcPr>
                <w:p w14:paraId="60C78B02">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本项目位于</w:t>
                  </w:r>
                  <w:r>
                    <w:rPr>
                      <w:rFonts w:hint="eastAsia" w:ascii="Times New Roman" w:hAnsi="Times New Roman" w:cs="Times New Roman"/>
                      <w:sz w:val="21"/>
                      <w:szCs w:val="21"/>
                      <w:highlight w:val="none"/>
                      <w:lang w:val="en-US" w:eastAsia="zh-CN"/>
                    </w:rPr>
                    <w:t>皖江江南新兴产业集中区</w:t>
                  </w:r>
                  <w:r>
                    <w:rPr>
                      <w:rFonts w:hint="default" w:ascii="Times New Roman" w:hAnsi="Times New Roman" w:eastAsia="宋体" w:cs="Times New Roman"/>
                      <w:sz w:val="21"/>
                      <w:szCs w:val="21"/>
                      <w:highlight w:val="none"/>
                    </w:rPr>
                    <w:t>，不在池州市生态红线范围内，也不在当地饮用水源、风景区、自然保护区等生态保护区内</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-1</w:t>
                  </w:r>
                  <w:r>
                    <w:rPr>
                      <w:rFonts w:hint="default" w:ascii="Times New Roman" w:hAnsi="Times New Roman" w:eastAsia="宋体" w:cs="Times New Roman"/>
                      <w:color w:val="auto"/>
                      <w:sz w:val="21"/>
                      <w:szCs w:val="21"/>
                      <w:vertAlign w:val="baseline"/>
                      <w:lang w:eastAsia="zh-CN"/>
                    </w:rPr>
                    <w:t>）</w:t>
                  </w:r>
                  <w:r>
                    <w:rPr>
                      <w:rFonts w:hint="default" w:ascii="Times New Roman" w:hAnsi="Times New Roman" w:eastAsia="宋体" w:cs="Times New Roman"/>
                      <w:sz w:val="21"/>
                      <w:szCs w:val="21"/>
                      <w:highlight w:val="none"/>
                    </w:rPr>
                    <w:t>，符合生态保护红线要求</w:t>
                  </w:r>
                </w:p>
              </w:tc>
              <w:tc>
                <w:tcPr>
                  <w:tcW w:w="459" w:type="pct"/>
                  <w:gridSpan w:val="2"/>
                  <w:noWrap w:val="0"/>
                  <w:vAlign w:val="center"/>
                </w:tcPr>
                <w:p w14:paraId="19087135">
                  <w:pPr>
                    <w:spacing w:line="240" w:lineRule="auto"/>
                    <w:jc w:val="center"/>
                    <w:rPr>
                      <w:rFonts w:hint="default"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符合</w:t>
                  </w:r>
                </w:p>
              </w:tc>
            </w:tr>
            <w:tr w14:paraId="5499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384" w:type="pct"/>
                  <w:vMerge w:val="restart"/>
                  <w:noWrap w:val="0"/>
                  <w:vAlign w:val="center"/>
                </w:tcPr>
                <w:p w14:paraId="550AA6F5">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环境</w:t>
                  </w:r>
                  <w:r>
                    <w:rPr>
                      <w:rFonts w:hint="eastAsia" w:ascii="Times New Roman" w:hAnsi="Times New Roman" w:eastAsia="宋体" w:cs="Times New Roman"/>
                      <w:sz w:val="21"/>
                      <w:szCs w:val="21"/>
                      <w:highlight w:val="none"/>
                      <w:lang w:eastAsia="zh-CN"/>
                    </w:rPr>
                    <w:t>质</w:t>
                  </w:r>
                  <w:r>
                    <w:rPr>
                      <w:rFonts w:hint="default" w:ascii="Times New Roman" w:hAnsi="Times New Roman" w:eastAsia="宋体" w:cs="Times New Roman"/>
                      <w:sz w:val="21"/>
                      <w:szCs w:val="21"/>
                      <w:highlight w:val="none"/>
                    </w:rPr>
                    <w:t>量底线</w:t>
                  </w:r>
                </w:p>
              </w:tc>
              <w:tc>
                <w:tcPr>
                  <w:tcW w:w="503" w:type="pct"/>
                  <w:noWrap w:val="0"/>
                  <w:vAlign w:val="center"/>
                </w:tcPr>
                <w:p w14:paraId="7069D763">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水环境</w:t>
                  </w:r>
                </w:p>
              </w:tc>
              <w:tc>
                <w:tcPr>
                  <w:tcW w:w="2227" w:type="pct"/>
                  <w:noWrap w:val="0"/>
                  <w:vAlign w:val="center"/>
                </w:tcPr>
                <w:p w14:paraId="493E9B65">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水环境管控分区包括优先保护区、重点管控区和一般控制区。其中重点管控区要求如下：依据《中华人民共和国水污染防治法》《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十四五”生态环境保护规划》《安徽省“十四五”节能减排实施方案》《池州市“十四五”生态环境保护规划》《池州市“十四五”水生态环境保护专项规划》《池州市“十四五”节能减排方案》《池州市水污染防治工作方案》等要求；新建、改建和扩建项目水污染物实施“等量替代”</w:t>
                  </w:r>
                </w:p>
              </w:tc>
              <w:tc>
                <w:tcPr>
                  <w:tcW w:w="1425" w:type="pct"/>
                  <w:noWrap w:val="0"/>
                  <w:vAlign w:val="center"/>
                </w:tcPr>
                <w:p w14:paraId="3F1218AA">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项目位于</w:t>
                  </w:r>
                  <w:r>
                    <w:rPr>
                      <w:rFonts w:hint="default" w:ascii="Times New Roman" w:hAnsi="Times New Roman" w:eastAsia="宋体" w:cs="Times New Roman"/>
                      <w:b/>
                      <w:bCs/>
                      <w:sz w:val="21"/>
                      <w:szCs w:val="21"/>
                      <w:highlight w:val="none"/>
                    </w:rPr>
                    <w:t>水环境工业污染重点管控区</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auto"/>
                      <w:sz w:val="21"/>
                      <w:szCs w:val="21"/>
                      <w:vertAlign w:val="baseline"/>
                      <w:lang w:eastAsia="zh-CN"/>
                    </w:rPr>
                    <w:t>3）</w:t>
                  </w:r>
                  <w:r>
                    <w:rPr>
                      <w:rFonts w:hint="default" w:ascii="Times New Roman" w:hAnsi="Times New Roman" w:eastAsia="宋体" w:cs="Times New Roman"/>
                      <w:sz w:val="21"/>
                      <w:szCs w:val="21"/>
                      <w:highlight w:val="none"/>
                    </w:rPr>
                    <w:t>。区域污水受纳水体为</w:t>
                  </w:r>
                  <w:r>
                    <w:rPr>
                      <w:rFonts w:hint="eastAsia" w:cs="Times New Roman"/>
                      <w:sz w:val="21"/>
                      <w:szCs w:val="21"/>
                      <w:highlight w:val="none"/>
                      <w:lang w:val="en-US" w:eastAsia="zh-CN"/>
                    </w:rPr>
                    <w:t>九华河及</w:t>
                  </w:r>
                  <w:r>
                    <w:rPr>
                      <w:rFonts w:hint="default" w:ascii="Times New Roman" w:hAnsi="Times New Roman" w:eastAsia="宋体" w:cs="Times New Roman"/>
                      <w:sz w:val="21"/>
                      <w:szCs w:val="21"/>
                      <w:highlight w:val="none"/>
                    </w:rPr>
                    <w:t>长江，水质执行《地表水环境质量标准</w:t>
                  </w:r>
                  <w:r>
                    <w:rPr>
                      <w:rFonts w:hint="eastAsia"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（GB3838-2002）中的III类标准。</w:t>
                  </w:r>
                  <w:r>
                    <w:rPr>
                      <w:rFonts w:hint="eastAsia" w:cs="Times New Roman"/>
                      <w:color w:val="auto"/>
                      <w:highlight w:val="none"/>
                      <w:vertAlign w:val="baseline"/>
                      <w:lang w:val="en-US" w:eastAsia="zh-CN"/>
                    </w:rPr>
                    <w:t>项目</w:t>
                  </w:r>
                  <w:r>
                    <w:rPr>
                      <w:rFonts w:hint="eastAsia" w:ascii="Times New Roman" w:hAnsi="Times New Roman" w:eastAsia="宋体" w:cs="Times New Roman"/>
                      <w:sz w:val="21"/>
                      <w:szCs w:val="21"/>
                      <w:highlight w:val="none"/>
                      <w:lang w:eastAsia="zh-CN"/>
                    </w:rPr>
                    <w:t>采用</w:t>
                  </w:r>
                  <w:r>
                    <w:rPr>
                      <w:rFonts w:hint="default" w:ascii="Times New Roman" w:hAnsi="Times New Roman" w:cs="Times New Roman"/>
                      <w:color w:val="auto"/>
                      <w:szCs w:val="21"/>
                      <w:highlight w:val="none"/>
                    </w:rPr>
                    <w:t>雨污分流制</w:t>
                  </w:r>
                  <w:r>
                    <w:rPr>
                      <w:rFonts w:hint="eastAsia" w:ascii="Times New Roman" w:hAnsi="Times New Roman" w:cs="Times New Roman"/>
                      <w:color w:val="auto"/>
                      <w:szCs w:val="21"/>
                      <w:highlight w:val="none"/>
                      <w:lang w:eastAsia="zh-CN"/>
                    </w:rPr>
                    <w:t>，</w:t>
                  </w:r>
                  <w:r>
                    <w:rPr>
                      <w:rFonts w:hint="eastAsia" w:cs="Times New Roman"/>
                      <w:color w:val="auto"/>
                      <w:szCs w:val="21"/>
                      <w:highlight w:val="none"/>
                      <w:lang w:val="en-US" w:eastAsia="zh-CN"/>
                    </w:rPr>
                    <w:t>仅</w:t>
                  </w:r>
                  <w:r>
                    <w:rPr>
                      <w:rFonts w:hint="eastAsia" w:ascii="Times New Roman" w:hAnsi="Times New Roman" w:cs="Times New Roman"/>
                      <w:color w:val="auto"/>
                      <w:szCs w:val="21"/>
                      <w:highlight w:val="none"/>
                      <w:lang w:eastAsia="zh-CN"/>
                    </w:rPr>
                    <w:t>生活污水经污水管网排入江南产业集中区第一污水处理厂处理，处理达标后经九华河排入长江，</w:t>
                  </w:r>
                  <w:r>
                    <w:rPr>
                      <w:rFonts w:hint="default" w:ascii="Times New Roman" w:hAnsi="Times New Roman" w:eastAsia="宋体" w:cs="Times New Roman"/>
                      <w:sz w:val="21"/>
                      <w:szCs w:val="21"/>
                      <w:highlight w:val="none"/>
                    </w:rPr>
                    <w:t>对周边地表水环境基本不会产生影响，满足水环境质量底线及分区管控要求。</w:t>
                  </w:r>
                </w:p>
              </w:tc>
              <w:tc>
                <w:tcPr>
                  <w:tcW w:w="456" w:type="pct"/>
                  <w:noWrap w:val="0"/>
                  <w:vAlign w:val="center"/>
                </w:tcPr>
                <w:p w14:paraId="14FF8E2A">
                  <w:pPr>
                    <w:spacing w:line="240" w:lineRule="auto"/>
                    <w:jc w:val="center"/>
                    <w:rPr>
                      <w:rFonts w:hint="default"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符合</w:t>
                  </w:r>
                </w:p>
              </w:tc>
            </w:tr>
            <w:tr w14:paraId="4E34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384" w:type="pct"/>
                  <w:vMerge w:val="continue"/>
                  <w:noWrap w:val="0"/>
                  <w:vAlign w:val="center"/>
                </w:tcPr>
                <w:p w14:paraId="5510A8CE">
                  <w:pPr>
                    <w:spacing w:line="240" w:lineRule="auto"/>
                    <w:jc w:val="center"/>
                    <w:rPr>
                      <w:rFonts w:hint="default" w:ascii="Times New Roman" w:hAnsi="Times New Roman" w:eastAsia="宋体" w:cs="Times New Roman"/>
                      <w:sz w:val="21"/>
                      <w:szCs w:val="21"/>
                      <w:highlight w:val="none"/>
                      <w:lang w:eastAsia="zh-CN"/>
                    </w:rPr>
                  </w:pPr>
                </w:p>
              </w:tc>
              <w:tc>
                <w:tcPr>
                  <w:tcW w:w="503" w:type="pct"/>
                  <w:noWrap w:val="0"/>
                  <w:vAlign w:val="center"/>
                </w:tcPr>
                <w:p w14:paraId="682571B4">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大气环境</w:t>
                  </w:r>
                </w:p>
              </w:tc>
              <w:tc>
                <w:tcPr>
                  <w:tcW w:w="2227" w:type="pct"/>
                  <w:noWrap w:val="0"/>
                  <w:vAlign w:val="center"/>
                </w:tcPr>
                <w:p w14:paraId="1F19D988">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大气环境管控分区包括优先保护区、重点管控区和一般管控区。其中重点管控区要求如下：落实《安徽省大气污染防治条例》《安徽省碳达峰实施方案的通知》《安徽省工业领域碳达峰实施方案》《安徽省城乡建设领域碳达峰实施方案》《关于进一步加强新上“两高”项目管理的通知》《安徽省挥发性有机物污染整治工作方案》《关于进一步加强建设项目新增大气污染物总量控制指标管理工作的通知》《安徽省“十四五”节能减排实施方案》《深入打好污染防治攻坚战行动方案》《池州市“十四五”节能减排方案》要求；严格目标实施计划，加强环境监管，促进生态环境质量好转；大气主要污染物总量指标实行区域内等量或倍量削减替代，执行特别排放标准的行业实施提标升级改造</w:t>
                  </w:r>
                </w:p>
              </w:tc>
              <w:tc>
                <w:tcPr>
                  <w:tcW w:w="1425" w:type="pct"/>
                  <w:noWrap w:val="0"/>
                  <w:vAlign w:val="center"/>
                </w:tcPr>
                <w:p w14:paraId="1A8A41FE">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项目位于</w:t>
                  </w:r>
                  <w:r>
                    <w:rPr>
                      <w:rFonts w:hint="default" w:ascii="Times New Roman" w:hAnsi="Times New Roman" w:eastAsia="宋体" w:cs="Times New Roman"/>
                      <w:b/>
                      <w:bCs/>
                      <w:sz w:val="21"/>
                      <w:szCs w:val="21"/>
                      <w:highlight w:val="none"/>
                    </w:rPr>
                    <w:t>大气环境受体敏感重点管控区</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-2</w:t>
                  </w:r>
                  <w:r>
                    <w:rPr>
                      <w:rFonts w:hint="default" w:ascii="Times New Roman" w:hAnsi="Times New Roman" w:eastAsia="宋体" w:cs="Times New Roman"/>
                      <w:color w:val="auto"/>
                      <w:sz w:val="21"/>
                      <w:szCs w:val="21"/>
                      <w:vertAlign w:val="baseline"/>
                      <w:lang w:eastAsia="zh-CN"/>
                    </w:rPr>
                    <w:t>）</w:t>
                  </w:r>
                  <w:r>
                    <w:rPr>
                      <w:rFonts w:hint="default" w:ascii="Times New Roman" w:hAnsi="Times New Roman" w:eastAsia="宋体" w:cs="Times New Roman"/>
                      <w:sz w:val="21"/>
                      <w:szCs w:val="21"/>
                      <w:highlight w:val="none"/>
                    </w:rPr>
                    <w:t>。根据《202</w:t>
                  </w:r>
                  <w:r>
                    <w:rPr>
                      <w:rFonts w:hint="eastAsia" w:cs="Times New Roman"/>
                      <w:sz w:val="21"/>
                      <w:szCs w:val="21"/>
                      <w:highlight w:val="none"/>
                      <w:lang w:val="en-US" w:eastAsia="zh-CN"/>
                    </w:rPr>
                    <w:t>4</w:t>
                  </w:r>
                  <w:r>
                    <w:rPr>
                      <w:rFonts w:hint="default" w:ascii="Times New Roman" w:hAnsi="Times New Roman" w:eastAsia="宋体" w:cs="Times New Roman"/>
                      <w:sz w:val="21"/>
                      <w:szCs w:val="21"/>
                      <w:highlight w:val="none"/>
                    </w:rPr>
                    <w:t>年池州市环境质量状况公报》，池州市属于大气环境质量达标区，</w:t>
                  </w:r>
                  <w:r>
                    <w:rPr>
                      <w:rFonts w:hint="eastAsia" w:cs="Times New Roman"/>
                      <w:sz w:val="21"/>
                      <w:szCs w:val="21"/>
                      <w:highlight w:val="none"/>
                      <w:lang w:val="en-US" w:eastAsia="zh-CN"/>
                    </w:rPr>
                    <w:t>项目所在区域</w:t>
                  </w:r>
                  <w:r>
                    <w:rPr>
                      <w:rFonts w:hint="default" w:ascii="Times New Roman" w:hAnsi="Times New Roman" w:eastAsia="宋体" w:cs="Times New Roman"/>
                      <w:sz w:val="21"/>
                      <w:szCs w:val="21"/>
                      <w:highlight w:val="none"/>
                    </w:rPr>
                    <w:t>TSP满足《环境空气质量标准》（GB3095-2012）限值要求</w:t>
                  </w:r>
                  <w:r>
                    <w:rPr>
                      <w:rFonts w:hint="eastAsia" w:cs="Times New Roman"/>
                      <w:sz w:val="21"/>
                      <w:szCs w:val="21"/>
                      <w:highlight w:val="none"/>
                      <w:lang w:eastAsia="zh-CN"/>
                    </w:rPr>
                    <w:t>，运营期废气均经收集处理后达标排放，因此，在采取措施的情况下，对周边环境影响较小，</w:t>
                  </w:r>
                  <w:r>
                    <w:rPr>
                      <w:rFonts w:hint="default" w:ascii="Times New Roman" w:hAnsi="Times New Roman" w:cs="Times New Roman"/>
                      <w:color w:val="auto"/>
                      <w:szCs w:val="21"/>
                      <w:highlight w:val="none"/>
                    </w:rPr>
                    <w:t>项目建设满足大气环境质量底线及分区管控要求</w:t>
                  </w:r>
                </w:p>
              </w:tc>
              <w:tc>
                <w:tcPr>
                  <w:tcW w:w="456" w:type="pct"/>
                  <w:noWrap w:val="0"/>
                  <w:vAlign w:val="center"/>
                </w:tcPr>
                <w:p w14:paraId="57FCBA80">
                  <w:pPr>
                    <w:spacing w:line="240" w:lineRule="auto"/>
                    <w:jc w:val="center"/>
                    <w:rPr>
                      <w:rFonts w:hint="default"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符合</w:t>
                  </w:r>
                </w:p>
              </w:tc>
            </w:tr>
            <w:tr w14:paraId="1CAE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384" w:type="pct"/>
                  <w:vMerge w:val="continue"/>
                  <w:noWrap w:val="0"/>
                  <w:vAlign w:val="center"/>
                </w:tcPr>
                <w:p w14:paraId="7FD9ECBB">
                  <w:pPr>
                    <w:spacing w:line="360" w:lineRule="auto"/>
                    <w:jc w:val="center"/>
                    <w:rPr>
                      <w:rFonts w:hint="default" w:ascii="Times New Roman" w:hAnsi="Times New Roman" w:eastAsia="宋体" w:cs="Times New Roman"/>
                      <w:color w:val="auto"/>
                      <w:szCs w:val="21"/>
                      <w:highlight w:val="none"/>
                      <w:vertAlign w:val="baseline"/>
                      <w:lang w:eastAsia="zh-CN"/>
                    </w:rPr>
                  </w:pPr>
                </w:p>
              </w:tc>
              <w:tc>
                <w:tcPr>
                  <w:tcW w:w="503" w:type="pct"/>
                  <w:noWrap w:val="0"/>
                  <w:vAlign w:val="center"/>
                </w:tcPr>
                <w:p w14:paraId="13922598">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土壤环境</w:t>
                  </w:r>
                </w:p>
              </w:tc>
              <w:tc>
                <w:tcPr>
                  <w:tcW w:w="2227" w:type="pct"/>
                  <w:noWrap w:val="0"/>
                  <w:vAlign w:val="center"/>
                </w:tcPr>
                <w:p w14:paraId="7672ACD6">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土壤环境风险防控分区包括优先保护区、土壤环境风险重点防控区和一般防控区。其中重点管控区要求如下：依据《中华人民共和国土壤污染防治法》《土壤污染防治行动计划》《安徽省土壤污染防治工作方案》《安徽省“十四五”环境保护规划》《安徽省“十四五”土壤、地下水和农村生态环境保护规划》《安徽省重金属污染防控工作方案》《安徽省“十四五”危险废物工业固体废物污染环境防治规划》《安徽省土壤污染防治工作方案》《池州市“十四五”土壤污染防治专项规划》《池州市“十四五”农村生态环境保护专项规划》《贵池区土壤污染防治行动计划工作方案》（贵政办〔2017〕19号）、《青阳县人民政府关于印发青阳县土壤污染防治行动计划工作方案的通知》（青政秘〔2017〕21号）、《石台县人民政府办公室关于印发石台县土壤污染防治行动计划工作方案的通知》（石政办〔2017〕9号）等要求对一般管控区实施管控。</w:t>
                  </w:r>
                </w:p>
              </w:tc>
              <w:tc>
                <w:tcPr>
                  <w:tcW w:w="1425" w:type="pct"/>
                  <w:noWrap w:val="0"/>
                  <w:vAlign w:val="center"/>
                </w:tcPr>
                <w:p w14:paraId="7797860F">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项目位于</w:t>
                  </w:r>
                  <w:r>
                    <w:rPr>
                      <w:rFonts w:hint="eastAsia" w:cs="Times New Roman"/>
                      <w:b/>
                      <w:bCs/>
                      <w:sz w:val="21"/>
                      <w:szCs w:val="21"/>
                      <w:highlight w:val="none"/>
                      <w:lang w:eastAsia="zh-CN"/>
                    </w:rPr>
                    <w:t>土壤环境风险一般</w:t>
                  </w:r>
                  <w:r>
                    <w:rPr>
                      <w:rFonts w:hint="default" w:ascii="Times New Roman" w:hAnsi="Times New Roman" w:eastAsia="宋体" w:cs="Times New Roman"/>
                      <w:b/>
                      <w:bCs/>
                      <w:sz w:val="21"/>
                      <w:szCs w:val="21"/>
                      <w:highlight w:val="none"/>
                      <w:lang w:eastAsia="zh-CN"/>
                    </w:rPr>
                    <w:t>管控区</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-4</w:t>
                  </w:r>
                  <w:r>
                    <w:rPr>
                      <w:rFonts w:hint="default" w:ascii="Times New Roman" w:hAnsi="Times New Roman" w:eastAsia="宋体" w:cs="Times New Roman"/>
                      <w:color w:val="auto"/>
                      <w:sz w:val="21"/>
                      <w:szCs w:val="21"/>
                      <w:vertAlign w:val="baseline"/>
                      <w:lang w:eastAsia="zh-CN"/>
                    </w:rPr>
                    <w:t>）</w:t>
                  </w:r>
                  <w:r>
                    <w:rPr>
                      <w:rFonts w:hint="default" w:ascii="Times New Roman" w:hAnsi="Times New Roman" w:eastAsia="宋体" w:cs="Times New Roman"/>
                      <w:sz w:val="21"/>
                      <w:szCs w:val="21"/>
                      <w:highlight w:val="none"/>
                      <w:lang w:eastAsia="zh-CN"/>
                    </w:rPr>
                    <w:t>。根据皖江江南新兴产业集中区环境影响区域评估报告（2022版），项目范围土壤及周边土壤均满足《土壤环境质量建设用地土壤污染风险管控标准（试行）》（GB36600-2018）中筛选值标准。项目在严格落实防渗措施的情况下，对厂区及周边土壤环境影响较小，能够满足土壤环境风险防控底线及分区管控要求</w:t>
                  </w:r>
                </w:p>
              </w:tc>
              <w:tc>
                <w:tcPr>
                  <w:tcW w:w="456" w:type="pct"/>
                  <w:noWrap w:val="0"/>
                  <w:vAlign w:val="center"/>
                </w:tcPr>
                <w:p w14:paraId="21B44DEB">
                  <w:pPr>
                    <w:spacing w:line="360" w:lineRule="auto"/>
                    <w:jc w:val="center"/>
                    <w:rPr>
                      <w:rFonts w:hint="default" w:ascii="Times New Roman" w:hAnsi="Times New Roman" w:eastAsia="宋体" w:cs="Times New Roman"/>
                      <w:color w:val="auto"/>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r w14:paraId="4200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384" w:type="pct"/>
                  <w:vMerge w:val="restart"/>
                  <w:noWrap w:val="0"/>
                  <w:vAlign w:val="center"/>
                </w:tcPr>
                <w:p w14:paraId="76DE7BB1">
                  <w:pPr>
                    <w:spacing w:line="360" w:lineRule="auto"/>
                    <w:jc w:val="center"/>
                    <w:rPr>
                      <w:rFonts w:hint="default" w:ascii="Times New Roman" w:hAnsi="Times New Roman" w:eastAsia="宋体" w:cs="Times New Roman"/>
                      <w:color w:val="auto"/>
                      <w:szCs w:val="21"/>
                      <w:highlight w:val="none"/>
                      <w:vertAlign w:val="baseline"/>
                      <w:lang w:eastAsia="zh-CN"/>
                    </w:rPr>
                  </w:pPr>
                  <w:r>
                    <w:rPr>
                      <w:spacing w:val="-5"/>
                      <w:sz w:val="21"/>
                      <w:szCs w:val="21"/>
                      <w:highlight w:val="none"/>
                    </w:rPr>
                    <w:t>资源利</w:t>
                  </w:r>
                  <w:r>
                    <w:rPr>
                      <w:spacing w:val="-3"/>
                      <w:sz w:val="21"/>
                      <w:szCs w:val="21"/>
                      <w:highlight w:val="none"/>
                    </w:rPr>
                    <w:t>用上线</w:t>
                  </w:r>
                </w:p>
              </w:tc>
              <w:tc>
                <w:tcPr>
                  <w:tcW w:w="503" w:type="pct"/>
                  <w:noWrap w:val="0"/>
                  <w:vAlign w:val="center"/>
                </w:tcPr>
                <w:p w14:paraId="36B115A6">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煤炭资源利用上线</w:t>
                  </w:r>
                </w:p>
              </w:tc>
              <w:tc>
                <w:tcPr>
                  <w:tcW w:w="2227" w:type="pct"/>
                  <w:noWrap w:val="0"/>
                  <w:vAlign w:val="center"/>
                </w:tcPr>
                <w:p w14:paraId="16F1F881">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煤炭资源利用管控分区含重点管控区和一般管控区。其中高污染燃料禁燃区为重点管控区，其余为一般管控区。关于</w:t>
                  </w:r>
                  <w:r>
                    <w:rPr>
                      <w:rFonts w:hint="eastAsia" w:cs="Times New Roman"/>
                      <w:sz w:val="21"/>
                      <w:szCs w:val="21"/>
                      <w:highlight w:val="none"/>
                      <w:lang w:eastAsia="zh-CN"/>
                    </w:rPr>
                    <w:t>一般</w:t>
                  </w:r>
                  <w:r>
                    <w:rPr>
                      <w:rFonts w:hint="default" w:ascii="Times New Roman" w:hAnsi="Times New Roman" w:eastAsia="宋体" w:cs="Times New Roman"/>
                      <w:sz w:val="21"/>
                      <w:szCs w:val="21"/>
                      <w:highlight w:val="none"/>
                      <w:lang w:eastAsia="zh-CN"/>
                    </w:rPr>
                    <w:t>管控区要求如下：</w:t>
                  </w:r>
                  <w:r>
                    <w:rPr>
                      <w:rFonts w:hint="eastAsia" w:eastAsia="宋体" w:cs="Times New Roman"/>
                      <w:sz w:val="21"/>
                      <w:szCs w:val="21"/>
                      <w:highlight w:val="none"/>
                    </w:rPr>
                    <w:t>落实《安徽省“十四五”节能减排实施方案》《池州市“十四五”生态环境保护规划》《池州市“十四五”节能减排方案》要求。</w:t>
                  </w:r>
                </w:p>
              </w:tc>
              <w:tc>
                <w:tcPr>
                  <w:tcW w:w="1425" w:type="pct"/>
                  <w:noWrap w:val="0"/>
                  <w:vAlign w:val="center"/>
                </w:tcPr>
                <w:p w14:paraId="43D84EC3">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项目位于</w:t>
                  </w:r>
                  <w:r>
                    <w:rPr>
                      <w:rFonts w:hint="default" w:ascii="Times New Roman" w:hAnsi="Times New Roman" w:eastAsia="宋体" w:cs="Times New Roman"/>
                      <w:b/>
                      <w:bCs/>
                      <w:sz w:val="21"/>
                      <w:szCs w:val="21"/>
                      <w:highlight w:val="none"/>
                      <w:lang w:eastAsia="zh-CN"/>
                    </w:rPr>
                    <w:t>煤炭资源利用</w:t>
                  </w:r>
                  <w:r>
                    <w:rPr>
                      <w:rFonts w:hint="eastAsia" w:cs="Times New Roman"/>
                      <w:b/>
                      <w:bCs/>
                      <w:sz w:val="21"/>
                      <w:szCs w:val="21"/>
                      <w:highlight w:val="none"/>
                      <w:lang w:eastAsia="zh-CN"/>
                    </w:rPr>
                    <w:t>一般</w:t>
                  </w:r>
                  <w:r>
                    <w:rPr>
                      <w:rFonts w:hint="default" w:ascii="Times New Roman" w:hAnsi="Times New Roman" w:eastAsia="宋体" w:cs="Times New Roman"/>
                      <w:b/>
                      <w:bCs/>
                      <w:sz w:val="21"/>
                      <w:szCs w:val="21"/>
                      <w:highlight w:val="none"/>
                      <w:lang w:eastAsia="zh-CN"/>
                    </w:rPr>
                    <w:t>管控区</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-5</w:t>
                  </w:r>
                  <w:r>
                    <w:rPr>
                      <w:rFonts w:hint="default" w:ascii="Times New Roman" w:hAnsi="Times New Roman" w:eastAsia="宋体" w:cs="Times New Roman"/>
                      <w:color w:val="auto"/>
                      <w:sz w:val="21"/>
                      <w:szCs w:val="21"/>
                      <w:vertAlign w:val="baseline"/>
                      <w:lang w:eastAsia="zh-CN"/>
                    </w:rPr>
                    <w:t>）</w:t>
                  </w:r>
                  <w:r>
                    <w:rPr>
                      <w:rFonts w:hint="default" w:ascii="Times New Roman" w:hAnsi="Times New Roman" w:eastAsia="宋体" w:cs="Times New Roman"/>
                      <w:sz w:val="21"/>
                      <w:szCs w:val="21"/>
                      <w:highlight w:val="none"/>
                      <w:lang w:eastAsia="zh-CN"/>
                    </w:rPr>
                    <w:t>。</w:t>
                  </w:r>
                  <w:r>
                    <w:rPr>
                      <w:rFonts w:hint="default" w:cs="Times New Roman"/>
                      <w:sz w:val="21"/>
                      <w:szCs w:val="21"/>
                      <w:highlight w:val="none"/>
                      <w:lang w:eastAsia="zh-CN"/>
                    </w:rPr>
                    <w:t>本项目生产环节不涉及</w:t>
                  </w:r>
                  <w:r>
                    <w:rPr>
                      <w:rFonts w:hint="eastAsia" w:cs="Times New Roman"/>
                      <w:sz w:val="21"/>
                      <w:szCs w:val="21"/>
                      <w:highlight w:val="none"/>
                      <w:lang w:eastAsia="zh-CN"/>
                    </w:rPr>
                    <w:t>煤炭资源的使用</w:t>
                  </w:r>
                </w:p>
              </w:tc>
              <w:tc>
                <w:tcPr>
                  <w:tcW w:w="456" w:type="pct"/>
                  <w:noWrap w:val="0"/>
                  <w:vAlign w:val="center"/>
                </w:tcPr>
                <w:p w14:paraId="6B997E5B">
                  <w:pPr>
                    <w:spacing w:line="360" w:lineRule="auto"/>
                    <w:jc w:val="center"/>
                    <w:rPr>
                      <w:rFonts w:hint="default" w:ascii="Times New Roman" w:hAnsi="Times New Roman" w:eastAsia="宋体" w:cs="Times New Roman"/>
                      <w:color w:val="auto"/>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r w14:paraId="4517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384" w:type="pct"/>
                  <w:vMerge w:val="continue"/>
                  <w:noWrap w:val="0"/>
                  <w:vAlign w:val="center"/>
                </w:tcPr>
                <w:p w14:paraId="726A2A17">
                  <w:pPr>
                    <w:spacing w:line="360" w:lineRule="auto"/>
                    <w:jc w:val="center"/>
                    <w:rPr>
                      <w:rFonts w:hint="default" w:ascii="Times New Roman" w:hAnsi="Times New Roman" w:eastAsia="宋体" w:cs="Times New Roman"/>
                      <w:color w:val="auto"/>
                      <w:szCs w:val="21"/>
                      <w:highlight w:val="none"/>
                      <w:vertAlign w:val="baseline"/>
                      <w:lang w:eastAsia="zh-CN"/>
                    </w:rPr>
                  </w:pPr>
                </w:p>
              </w:tc>
              <w:tc>
                <w:tcPr>
                  <w:tcW w:w="503" w:type="pct"/>
                  <w:noWrap w:val="0"/>
                  <w:vAlign w:val="center"/>
                </w:tcPr>
                <w:p w14:paraId="7A889F34">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水资源利用上线</w:t>
                  </w:r>
                </w:p>
              </w:tc>
              <w:tc>
                <w:tcPr>
                  <w:tcW w:w="2227" w:type="pct"/>
                  <w:noWrap w:val="0"/>
                  <w:vAlign w:val="center"/>
                </w:tcPr>
                <w:p w14:paraId="5304B334">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水资源管控分区包括重点管控区和一般管控区。根据“三线一单”成果，池州市水资源管控分区皆为一般管控区。管控要求如下：落实《安徽省2025年用水总量和用水效率控制指标的函》《池州市水利发展“十四五”规划》《池州市“十四五”节能减排方案》《关于落实池州市“十四五”用水总量和强度双控目标的通知》等要求</w:t>
                  </w:r>
                </w:p>
              </w:tc>
              <w:tc>
                <w:tcPr>
                  <w:tcW w:w="1425" w:type="pct"/>
                  <w:noWrap w:val="0"/>
                  <w:vAlign w:val="center"/>
                </w:tcPr>
                <w:p w14:paraId="3BC63F03">
                  <w:pPr>
                    <w:spacing w:line="240" w:lineRule="auto"/>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eastAsia="zh-CN"/>
                    </w:rPr>
                    <w:t>项目位于</w:t>
                  </w:r>
                  <w:r>
                    <w:rPr>
                      <w:rFonts w:hint="default" w:ascii="Times New Roman" w:hAnsi="Times New Roman" w:eastAsia="宋体" w:cs="Times New Roman"/>
                      <w:b/>
                      <w:bCs/>
                      <w:sz w:val="21"/>
                      <w:szCs w:val="21"/>
                      <w:highlight w:val="none"/>
                      <w:lang w:eastAsia="zh-CN"/>
                    </w:rPr>
                    <w:t>水资源一般管控区</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-6</w:t>
                  </w:r>
                  <w:r>
                    <w:rPr>
                      <w:rFonts w:hint="default" w:ascii="Times New Roman" w:hAnsi="Times New Roman" w:eastAsia="宋体" w:cs="Times New Roman"/>
                      <w:color w:val="auto"/>
                      <w:sz w:val="21"/>
                      <w:szCs w:val="21"/>
                      <w:vertAlign w:val="baseline"/>
                      <w:lang w:eastAsia="zh-CN"/>
                    </w:rPr>
                    <w:t>）</w:t>
                  </w:r>
                  <w:r>
                    <w:rPr>
                      <w:rFonts w:hint="default" w:ascii="Times New Roman" w:hAnsi="Times New Roman" w:eastAsia="宋体" w:cs="Times New Roman"/>
                      <w:sz w:val="21"/>
                      <w:szCs w:val="21"/>
                      <w:highlight w:val="none"/>
                      <w:lang w:eastAsia="zh-CN"/>
                    </w:rPr>
                    <w:t>。本项目用水由市政给水管网提供，供水能力满足项目新鲜水使用需求；此外，项目不属于高耗水</w:t>
                  </w:r>
                  <w:r>
                    <w:rPr>
                      <w:rFonts w:hint="eastAsia"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eastAsia="zh-CN"/>
                    </w:rPr>
                    <w:t>高耗能行业项目，总体用水量较少，远低于区域水资源利用上线</w:t>
                  </w:r>
                </w:p>
              </w:tc>
              <w:tc>
                <w:tcPr>
                  <w:tcW w:w="456" w:type="pct"/>
                  <w:noWrap w:val="0"/>
                  <w:vAlign w:val="center"/>
                </w:tcPr>
                <w:p w14:paraId="494D030F">
                  <w:pPr>
                    <w:spacing w:line="360" w:lineRule="auto"/>
                    <w:jc w:val="center"/>
                    <w:rPr>
                      <w:rFonts w:hint="default" w:ascii="Times New Roman" w:hAnsi="Times New Roman" w:eastAsia="宋体" w:cs="Times New Roman"/>
                      <w:color w:val="auto"/>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r w14:paraId="58A6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384" w:type="pct"/>
                  <w:vMerge w:val="continue"/>
                  <w:noWrap w:val="0"/>
                  <w:vAlign w:val="center"/>
                </w:tcPr>
                <w:p w14:paraId="749C07E1">
                  <w:pPr>
                    <w:spacing w:line="360" w:lineRule="auto"/>
                    <w:jc w:val="center"/>
                    <w:rPr>
                      <w:rFonts w:hint="default" w:ascii="Times New Roman" w:hAnsi="Times New Roman" w:eastAsia="宋体" w:cs="Times New Roman"/>
                      <w:color w:val="auto"/>
                      <w:szCs w:val="21"/>
                      <w:highlight w:val="none"/>
                      <w:vertAlign w:val="baseline"/>
                      <w:lang w:eastAsia="zh-CN"/>
                    </w:rPr>
                  </w:pPr>
                </w:p>
              </w:tc>
              <w:tc>
                <w:tcPr>
                  <w:tcW w:w="503" w:type="pct"/>
                  <w:noWrap w:val="0"/>
                  <w:vAlign w:val="center"/>
                </w:tcPr>
                <w:p w14:paraId="0A10CC0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土地资源利用</w:t>
                  </w:r>
                </w:p>
                <w:p w14:paraId="36CE5540">
                  <w:pPr>
                    <w:spacing w:line="240" w:lineRule="auto"/>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color w:val="000000"/>
                      <w:kern w:val="0"/>
                      <w:sz w:val="21"/>
                      <w:szCs w:val="21"/>
                      <w:lang w:val="en-US" w:eastAsia="zh-CN" w:bidi="ar"/>
                    </w:rPr>
                    <w:t>上线</w:t>
                  </w:r>
                </w:p>
              </w:tc>
              <w:tc>
                <w:tcPr>
                  <w:tcW w:w="3671" w:type="dxa"/>
                  <w:noWrap w:val="0"/>
                  <w:vAlign w:val="center"/>
                </w:tcPr>
                <w:p w14:paraId="036310D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color w:val="000000"/>
                      <w:kern w:val="0"/>
                      <w:sz w:val="21"/>
                      <w:szCs w:val="21"/>
                      <w:lang w:val="en-US" w:eastAsia="zh-CN" w:bidi="ar"/>
                    </w:rPr>
                    <w:t>土地资源管控区划分为重点管控区和一般管控区。根据“三线一单”成果，池州市土地资源共划分4个管控区，其中重点管控区1个，一般管控区3个。土地资源分区管控要求如下：落实《安徽省土地利用总体规划（2006-2020年）调整方案》、《关于落实“十三五”单位国内生产总值建设用地使用面积下降目标的指导意见的通知》、《国土资源“十三五”规划纲要》、《安徽省国土资源“十三五”规划》等要求。</w:t>
                  </w:r>
                </w:p>
              </w:tc>
              <w:tc>
                <w:tcPr>
                  <w:tcW w:w="2349" w:type="dxa"/>
                  <w:noWrap w:val="0"/>
                  <w:vAlign w:val="center"/>
                </w:tcPr>
                <w:p w14:paraId="6D93B8A9">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color w:val="auto"/>
                      <w:sz w:val="21"/>
                      <w:szCs w:val="21"/>
                      <w:vertAlign w:val="baseline"/>
                      <w:lang w:eastAsia="zh-CN"/>
                    </w:rPr>
                    <w:t>项目位于</w:t>
                  </w:r>
                  <w:r>
                    <w:rPr>
                      <w:rFonts w:hint="default" w:ascii="Times New Roman" w:hAnsi="Times New Roman" w:eastAsia="宋体" w:cs="Times New Roman"/>
                      <w:b/>
                      <w:bCs/>
                      <w:color w:val="auto"/>
                      <w:sz w:val="21"/>
                      <w:szCs w:val="21"/>
                      <w:vertAlign w:val="baseline"/>
                      <w:lang w:eastAsia="zh-CN"/>
                    </w:rPr>
                    <w:t>土地资源重点管控区</w:t>
                  </w:r>
                  <w:r>
                    <w:rPr>
                      <w:rFonts w:hint="default" w:ascii="Times New Roman" w:hAnsi="Times New Roman" w:eastAsia="宋体" w:cs="Times New Roman"/>
                      <w:color w:val="auto"/>
                      <w:sz w:val="21"/>
                      <w:szCs w:val="21"/>
                      <w:vertAlign w:val="baseline"/>
                      <w:lang w:eastAsia="zh-CN"/>
                    </w:rPr>
                    <w:t>（见附图</w:t>
                  </w:r>
                  <w:r>
                    <w:rPr>
                      <w:rFonts w:hint="eastAsia" w:cs="Times New Roman"/>
                      <w:color w:val="auto"/>
                      <w:sz w:val="21"/>
                      <w:szCs w:val="21"/>
                      <w:vertAlign w:val="baseline"/>
                      <w:lang w:val="en-US" w:eastAsia="zh-CN"/>
                    </w:rPr>
                    <w:t>7</w:t>
                  </w:r>
                  <w:r>
                    <w:rPr>
                      <w:rFonts w:hint="eastAsia" w:ascii="Times New Roman" w:hAnsi="Times New Roman" w:eastAsia="宋体" w:cs="Times New Roman"/>
                      <w:color w:val="auto"/>
                      <w:sz w:val="21"/>
                      <w:szCs w:val="21"/>
                      <w:vertAlign w:val="baseline"/>
                      <w:lang w:val="en-US" w:eastAsia="zh-CN"/>
                    </w:rPr>
                    <w:t>-7</w:t>
                  </w:r>
                  <w:r>
                    <w:rPr>
                      <w:rFonts w:hint="default" w:ascii="Times New Roman" w:hAnsi="Times New Roman" w:eastAsia="宋体" w:cs="Times New Roman"/>
                      <w:color w:val="auto"/>
                      <w:sz w:val="21"/>
                      <w:szCs w:val="21"/>
                      <w:vertAlign w:val="baseline"/>
                      <w:lang w:eastAsia="zh-CN"/>
                    </w:rPr>
                    <w:t>）。本项目位于江南产业集中区兴业大道以西，创裕金属以南</w:t>
                  </w:r>
                  <w:r>
                    <w:rPr>
                      <w:rFonts w:hint="eastAsia" w:cs="Times New Roman"/>
                      <w:color w:val="auto"/>
                      <w:sz w:val="21"/>
                      <w:szCs w:val="21"/>
                      <w:vertAlign w:val="baseline"/>
                      <w:lang w:val="en-US" w:eastAsia="zh-CN"/>
                    </w:rPr>
                    <w:t>地块</w:t>
                  </w:r>
                  <w:r>
                    <w:rPr>
                      <w:rFonts w:hint="default" w:ascii="Times New Roman" w:hAnsi="Times New Roman" w:eastAsia="宋体" w:cs="Times New Roman"/>
                      <w:color w:val="auto"/>
                      <w:sz w:val="21"/>
                      <w:szCs w:val="21"/>
                      <w:vertAlign w:val="baseline"/>
                      <w:lang w:eastAsia="zh-CN"/>
                    </w:rPr>
                    <w:t>，本项目属于规划的工业用地。</w:t>
                  </w:r>
                </w:p>
              </w:tc>
              <w:tc>
                <w:tcPr>
                  <w:tcW w:w="456" w:type="pct"/>
                  <w:noWrap w:val="0"/>
                  <w:vAlign w:val="center"/>
                </w:tcPr>
                <w:p w14:paraId="4C316470">
                  <w:pPr>
                    <w:spacing w:line="360" w:lineRule="auto"/>
                    <w:jc w:val="center"/>
                    <w:rPr>
                      <w:rFonts w:hint="eastAsia" w:ascii="Times New Roman" w:hAnsi="Times New Roman" w:eastAsia="宋体" w:cs="Times New Roman"/>
                      <w:sz w:val="21"/>
                      <w:szCs w:val="21"/>
                      <w:highlight w:val="none"/>
                      <w:lang w:eastAsia="zh-CN"/>
                    </w:rPr>
                  </w:pPr>
                </w:p>
              </w:tc>
            </w:tr>
            <w:tr w14:paraId="5D69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69" w:hRule="atLeast"/>
              </w:trPr>
              <w:tc>
                <w:tcPr>
                  <w:tcW w:w="887" w:type="pct"/>
                  <w:gridSpan w:val="2"/>
                  <w:noWrap w:val="0"/>
                  <w:vAlign w:val="center"/>
                </w:tcPr>
                <w:p w14:paraId="0E58E45C">
                  <w:pPr>
                    <w:spacing w:line="240" w:lineRule="auto"/>
                    <w:jc w:val="center"/>
                    <w:rPr>
                      <w:rFonts w:hint="default" w:ascii="Times New Roman" w:hAnsi="Times New Roman" w:eastAsia="宋体" w:cs="Times New Roman"/>
                      <w:sz w:val="21"/>
                      <w:szCs w:val="21"/>
                      <w:highlight w:val="none"/>
                      <w:lang w:val="en-US" w:eastAsia="en-US"/>
                    </w:rPr>
                  </w:pPr>
                  <w:r>
                    <w:rPr>
                      <w:rFonts w:hint="default" w:ascii="Times New Roman" w:hAnsi="Times New Roman" w:eastAsia="宋体" w:cs="Times New Roman"/>
                      <w:sz w:val="21"/>
                      <w:szCs w:val="21"/>
                      <w:highlight w:val="none"/>
                      <w:lang w:eastAsia="zh-CN"/>
                    </w:rPr>
                    <w:t>生态环境准入清单</w:t>
                  </w:r>
                </w:p>
              </w:tc>
              <w:tc>
                <w:tcPr>
                  <w:tcW w:w="3652" w:type="pct"/>
                  <w:gridSpan w:val="2"/>
                  <w:noWrap w:val="0"/>
                  <w:vAlign w:val="center"/>
                </w:tcPr>
                <w:p w14:paraId="585D8B25">
                  <w:pPr>
                    <w:spacing w:line="240" w:lineRule="auto"/>
                    <w:jc w:val="center"/>
                    <w:rPr>
                      <w:rFonts w:hint="default" w:ascii="Times New Roman" w:hAnsi="Times New Roman" w:eastAsia="宋体" w:cs="Times New Roman"/>
                      <w:sz w:val="21"/>
                      <w:szCs w:val="21"/>
                      <w:highlight w:val="none"/>
                      <w:lang w:val="en-US" w:eastAsia="en-US"/>
                    </w:rPr>
                  </w:pPr>
                  <w:r>
                    <w:rPr>
                      <w:rFonts w:hint="default" w:ascii="Times New Roman" w:hAnsi="Times New Roman" w:eastAsia="宋体" w:cs="Times New Roman"/>
                      <w:sz w:val="21"/>
                      <w:szCs w:val="21"/>
                      <w:highlight w:val="none"/>
                      <w:lang w:eastAsia="zh-CN"/>
                    </w:rPr>
                    <w:t>本项目位于</w:t>
                  </w:r>
                  <w:r>
                    <w:rPr>
                      <w:rFonts w:hint="eastAsia" w:cs="Times New Roman"/>
                      <w:color w:val="auto"/>
                      <w:szCs w:val="21"/>
                      <w:highlight w:val="none"/>
                      <w:lang w:val="en-US" w:eastAsia="zh-CN"/>
                    </w:rPr>
                    <w:t>皖江江南新兴产业集中区</w:t>
                  </w:r>
                  <w:r>
                    <w:rPr>
                      <w:rFonts w:hint="default" w:ascii="Times New Roman" w:hAnsi="Times New Roman" w:eastAsia="宋体" w:cs="Times New Roman"/>
                      <w:sz w:val="21"/>
                      <w:szCs w:val="21"/>
                      <w:highlight w:val="none"/>
                      <w:lang w:eastAsia="zh-CN"/>
                    </w:rPr>
                    <w:t>内，属于</w:t>
                  </w:r>
                  <w:r>
                    <w:rPr>
                      <w:rFonts w:hint="eastAsia" w:cs="宋体"/>
                      <w:color w:val="000000" w:themeColor="text1"/>
                      <w:lang w:val="en-US" w:eastAsia="zh-CN" w:bidi="ar-SA"/>
                      <w14:textFill>
                        <w14:solidFill>
                          <w14:schemeClr w14:val="tx1"/>
                        </w14:solidFill>
                      </w14:textFill>
                    </w:rPr>
                    <w:t>铝压延加工项目</w:t>
                  </w:r>
                  <w:r>
                    <w:rPr>
                      <w:rFonts w:hint="default" w:ascii="Times New Roman" w:hAnsi="Times New Roman" w:eastAsia="宋体" w:cs="Times New Roman"/>
                      <w:sz w:val="21"/>
                      <w:szCs w:val="21"/>
                      <w:highlight w:val="none"/>
                      <w:lang w:eastAsia="zh-CN"/>
                    </w:rPr>
                    <w:t>，不属于《产业结构调整指导目录（20</w:t>
                  </w:r>
                  <w:r>
                    <w:rPr>
                      <w:rFonts w:hint="eastAsia" w:ascii="Times New Roman" w:hAnsi="Times New Roman" w:eastAsia="宋体" w:cs="Times New Roman"/>
                      <w:sz w:val="21"/>
                      <w:szCs w:val="21"/>
                      <w:highlight w:val="none"/>
                      <w:lang w:val="en-US" w:eastAsia="zh-CN"/>
                    </w:rPr>
                    <w:t>24</w:t>
                  </w:r>
                  <w:r>
                    <w:rPr>
                      <w:rFonts w:hint="default" w:ascii="Times New Roman" w:hAnsi="Times New Roman" w:eastAsia="宋体" w:cs="Times New Roman"/>
                      <w:sz w:val="21"/>
                      <w:szCs w:val="21"/>
                      <w:highlight w:val="none"/>
                      <w:lang w:eastAsia="zh-CN"/>
                    </w:rPr>
                    <w:t>年本）》以及《安徽省工业产业结构调整指导目录（2007年本）》中限制类和淘汰类项目；根据《市场准入负面清单（202</w:t>
                  </w:r>
                  <w:r>
                    <w:rPr>
                      <w:rFonts w:hint="eastAsia"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lang w:eastAsia="zh-CN"/>
                    </w:rPr>
                    <w:t>年版）》可知，拟建项目不属于其中规定的禁止准入类项目；根据《安徽省江南产业集中区产业发展规划（2019~2030）环境影响报告书》中产业发展环境准入负面清单可知，本项目不在其负面清单之内</w:t>
                  </w:r>
                </w:p>
              </w:tc>
              <w:tc>
                <w:tcPr>
                  <w:tcW w:w="456" w:type="pct"/>
                  <w:noWrap w:val="0"/>
                  <w:vAlign w:val="center"/>
                </w:tcPr>
                <w:p w14:paraId="219C2094">
                  <w:pPr>
                    <w:spacing w:line="360" w:lineRule="auto"/>
                    <w:jc w:val="center"/>
                    <w:rPr>
                      <w:rFonts w:hint="default" w:ascii="Times New Roman" w:hAnsi="Times New Roman" w:eastAsia="宋体" w:cs="Times New Roman"/>
                      <w:color w:val="auto"/>
                      <w:szCs w:val="21"/>
                      <w:highlight w:val="none"/>
                      <w:vertAlign w:val="baseline"/>
                      <w:lang w:eastAsia="zh-CN"/>
                    </w:rPr>
                  </w:pPr>
                  <w:r>
                    <w:rPr>
                      <w:rFonts w:hint="eastAsia" w:ascii="Times New Roman" w:hAnsi="Times New Roman" w:eastAsia="宋体" w:cs="Times New Roman"/>
                      <w:sz w:val="21"/>
                      <w:szCs w:val="21"/>
                      <w:highlight w:val="none"/>
                      <w:lang w:eastAsia="zh-CN"/>
                    </w:rPr>
                    <w:t>符合</w:t>
                  </w:r>
                </w:p>
              </w:tc>
            </w:tr>
          </w:tbl>
          <w:p w14:paraId="76604AFF">
            <w:pPr>
              <w:keepNext w:val="0"/>
              <w:keepLines w:val="0"/>
              <w:pageBreakBefore w:val="0"/>
              <w:widowControl w:val="0"/>
              <w:suppressLineNumbers w:val="0"/>
              <w:kinsoku/>
              <w:wordWrap/>
              <w:overflowPunct/>
              <w:topLinePunct w:val="0"/>
              <w:autoSpaceDE/>
              <w:autoSpaceDN/>
              <w:bidi w:val="0"/>
              <w:adjustRightInd/>
              <w:snapToGrid/>
              <w:spacing w:before="157" w:beforeLines="50" w:beforeAutospacing="0" w:after="0" w:afterAutospacing="0" w:line="240" w:lineRule="auto"/>
              <w:ind w:left="0" w:right="0"/>
              <w:jc w:val="center"/>
              <w:textAlignment w:val="auto"/>
              <w:rPr>
                <w:rFonts w:hint="default" w:ascii="Times New Roman" w:hAnsi="Times New Roman" w:eastAsia="宋体" w:cs="Times New Roman"/>
                <w:b/>
                <w:bCs/>
                <w:color w:val="auto"/>
                <w:kern w:val="0"/>
                <w:sz w:val="24"/>
                <w:szCs w:val="24"/>
                <w:highlight w:val="none"/>
                <w:lang w:val="en-US" w:eastAsia="zh-CN" w:bidi="ar"/>
              </w:rPr>
            </w:pPr>
            <w:r>
              <w:rPr>
                <w:rFonts w:hint="default" w:ascii="Times New Roman" w:hAnsi="Times New Roman" w:eastAsia="宋体" w:cs="Times New Roman"/>
                <w:b/>
                <w:bCs/>
                <w:color w:val="auto"/>
                <w:kern w:val="0"/>
                <w:sz w:val="24"/>
                <w:szCs w:val="24"/>
                <w:highlight w:val="none"/>
                <w:lang w:val="en-US" w:eastAsia="zh-CN" w:bidi="ar"/>
              </w:rPr>
              <w:t>表1-</w:t>
            </w:r>
            <w:r>
              <w:rPr>
                <w:rFonts w:hint="eastAsia" w:cs="Times New Roman"/>
                <w:b/>
                <w:bCs/>
                <w:color w:val="auto"/>
                <w:kern w:val="0"/>
                <w:sz w:val="24"/>
                <w:szCs w:val="24"/>
                <w:highlight w:val="none"/>
                <w:lang w:val="en-US" w:eastAsia="zh-CN" w:bidi="ar"/>
              </w:rPr>
              <w:t>5</w:t>
            </w:r>
            <w:r>
              <w:rPr>
                <w:rFonts w:hint="default" w:ascii="Times New Roman" w:hAnsi="Times New Roman" w:eastAsia="宋体" w:cs="Times New Roman"/>
                <w:b/>
                <w:bCs/>
                <w:color w:val="auto"/>
                <w:kern w:val="0"/>
                <w:sz w:val="24"/>
                <w:szCs w:val="24"/>
                <w:highlight w:val="none"/>
                <w:lang w:val="en-US" w:eastAsia="zh-CN" w:bidi="ar"/>
              </w:rPr>
              <w:t xml:space="preserve">  江南产业集中区生态环境准入清单</w:t>
            </w:r>
            <w:r>
              <w:rPr>
                <w:rFonts w:hint="eastAsia" w:ascii="Times New Roman" w:hAnsi="Times New Roman" w:eastAsia="宋体" w:cs="Times New Roman"/>
                <w:b/>
                <w:bCs/>
                <w:color w:val="auto"/>
                <w:kern w:val="0"/>
                <w:sz w:val="24"/>
                <w:szCs w:val="24"/>
                <w:highlight w:val="none"/>
                <w:lang w:val="en-US" w:eastAsia="zh-CN" w:bidi="ar"/>
              </w:rPr>
              <w:t>符合性分析</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960"/>
              <w:gridCol w:w="635"/>
              <w:gridCol w:w="3833"/>
              <w:gridCol w:w="1410"/>
              <w:gridCol w:w="641"/>
              <w:tblGridChange w:id="0">
                <w:tblGrid>
                  <w:gridCol w:w="426"/>
                  <w:gridCol w:w="338"/>
                  <w:gridCol w:w="161"/>
                  <w:gridCol w:w="299"/>
                  <w:gridCol w:w="500"/>
                  <w:gridCol w:w="635"/>
                  <w:gridCol w:w="1257"/>
                  <w:gridCol w:w="918"/>
                  <w:gridCol w:w="463"/>
                  <w:gridCol w:w="1195"/>
                  <w:gridCol w:w="1410"/>
                  <w:gridCol w:w="641"/>
                </w:tblGrid>
              </w:tblGridChange>
            </w:tblGrid>
            <w:tr w14:paraId="56A1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463" w:type="pct"/>
                  <w:noWrap/>
                  <w:vAlign w:val="center"/>
                </w:tcPr>
                <w:p w14:paraId="2E7648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清单类型</w:t>
                  </w:r>
                </w:p>
              </w:tc>
              <w:tc>
                <w:tcPr>
                  <w:tcW w:w="582" w:type="pct"/>
                  <w:noWrap/>
                  <w:vAlign w:val="center"/>
                </w:tcPr>
                <w:p w14:paraId="6CB879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管控类别</w:t>
                  </w:r>
                </w:p>
              </w:tc>
              <w:tc>
                <w:tcPr>
                  <w:tcW w:w="385" w:type="pct"/>
                  <w:noWrap/>
                  <w:vAlign w:val="center"/>
                </w:tcPr>
                <w:p w14:paraId="7043DE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序号</w:t>
                  </w:r>
                </w:p>
              </w:tc>
              <w:tc>
                <w:tcPr>
                  <w:tcW w:w="2325" w:type="pct"/>
                  <w:noWrap/>
                  <w:vAlign w:val="center"/>
                </w:tcPr>
                <w:p w14:paraId="157105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准入内容与管控要求</w:t>
                  </w:r>
                </w:p>
              </w:tc>
              <w:tc>
                <w:tcPr>
                  <w:tcW w:w="855" w:type="pct"/>
                  <w:noWrap/>
                  <w:vAlign w:val="center"/>
                </w:tcPr>
                <w:p w14:paraId="1FB074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本项目情况</w:t>
                  </w:r>
                </w:p>
              </w:tc>
              <w:tc>
                <w:tcPr>
                  <w:tcW w:w="388" w:type="pct"/>
                  <w:noWrap/>
                  <w:vAlign w:val="center"/>
                </w:tcPr>
                <w:p w14:paraId="508114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符合性</w:t>
                  </w:r>
                </w:p>
              </w:tc>
            </w:tr>
            <w:tr w14:paraId="18E6C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restart"/>
                  <w:noWrap w:val="0"/>
                  <w:vAlign w:val="center"/>
                </w:tcPr>
                <w:p w14:paraId="7A271E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空间布局约束</w:t>
                  </w:r>
                </w:p>
              </w:tc>
              <w:tc>
                <w:tcPr>
                  <w:tcW w:w="582" w:type="pct"/>
                  <w:vMerge w:val="restart"/>
                  <w:noWrap/>
                  <w:vAlign w:val="center"/>
                </w:tcPr>
                <w:p w14:paraId="1BED136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禁止开发建设活动的要求</w:t>
                  </w:r>
                </w:p>
              </w:tc>
              <w:tc>
                <w:tcPr>
                  <w:tcW w:w="385" w:type="pct"/>
                  <w:noWrap/>
                  <w:vAlign w:val="center"/>
                </w:tcPr>
                <w:p w14:paraId="1B5A5F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2325" w:type="pct"/>
                  <w:noWrap w:val="0"/>
                  <w:vAlign w:val="center"/>
                </w:tcPr>
                <w:p w14:paraId="35FC09D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长江干流及主要支流岸线1公里范围内，除必须实施的防洪护岸、河道治理、供水、航道整治、港口码头及疏运通道、道路及跨江桥隧、公共管理、生态环境治理、国家重要基础设施等事关公共安全及公众利益的建设项目，以及长江岸线规划确定的城市建设区内非工业项目外，不得新批建设项目，不得布局新的工业园区。</w:t>
                  </w:r>
                </w:p>
                <w:p w14:paraId="272309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禁止在长江干支流1公里范围内新建、扩建化工园区和化工项目。禁止在合规园区外新建、扩建钢铁、石化、化工、焦化、建材、有色等高污染项目。</w:t>
                  </w:r>
                </w:p>
              </w:tc>
              <w:tc>
                <w:tcPr>
                  <w:tcW w:w="855" w:type="pct"/>
                  <w:vMerge w:val="restart"/>
                  <w:noWrap w:val="0"/>
                  <w:vAlign w:val="center"/>
                </w:tcPr>
                <w:p w14:paraId="71E4A8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项目距长江干流</w:t>
                  </w: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km，</w:t>
                  </w:r>
                  <w:r>
                    <w:rPr>
                      <w:rFonts w:hint="default" w:ascii="Times New Roman" w:hAnsi="Times New Roman" w:eastAsia="宋体" w:cs="Times New Roman"/>
                      <w:color w:val="auto"/>
                      <w:sz w:val="21"/>
                      <w:szCs w:val="21"/>
                      <w:highlight w:val="none"/>
                    </w:rPr>
                    <w:t>选址不在长江干流及主要支流岸线1公里</w:t>
                  </w:r>
                  <w:r>
                    <w:rPr>
                      <w:rFonts w:hint="eastAsia" w:cs="Times New Roman"/>
                      <w:color w:val="auto"/>
                      <w:sz w:val="21"/>
                      <w:szCs w:val="21"/>
                      <w:highlight w:val="none"/>
                      <w:lang w:eastAsia="zh-CN"/>
                    </w:rPr>
                    <w:t>范围内</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且本</w:t>
                  </w:r>
                  <w:r>
                    <w:rPr>
                      <w:rFonts w:hint="default" w:ascii="Times New Roman" w:hAnsi="Times New Roman" w:eastAsia="宋体" w:cs="Times New Roman"/>
                      <w:color w:val="auto"/>
                      <w:sz w:val="21"/>
                      <w:szCs w:val="21"/>
                      <w:highlight w:val="none"/>
                    </w:rPr>
                    <w:t>项目为</w:t>
                  </w:r>
                  <w:r>
                    <w:rPr>
                      <w:rFonts w:hint="eastAsia" w:cs="Times New Roman"/>
                      <w:color w:val="auto"/>
                      <w:sz w:val="21"/>
                      <w:szCs w:val="21"/>
                      <w:highlight w:val="none"/>
                      <w:lang w:eastAsia="zh-CN"/>
                    </w:rPr>
                    <w:t>铝压延加工项目</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不属于化工建设项目。</w:t>
                  </w:r>
                </w:p>
              </w:tc>
              <w:tc>
                <w:tcPr>
                  <w:tcW w:w="388" w:type="pct"/>
                  <w:vMerge w:val="restart"/>
                  <w:noWrap w:val="0"/>
                  <w:vAlign w:val="center"/>
                </w:tcPr>
                <w:p w14:paraId="75CCEB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2E7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6A96B5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405232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noWrap/>
                  <w:vAlign w:val="center"/>
                </w:tcPr>
                <w:p w14:paraId="3D1987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r>
                    <w:rPr>
                      <w:rFonts w:hint="default" w:ascii="Times New Roman" w:hAnsi="Times New Roman" w:eastAsia="宋体" w:cs="Times New Roman"/>
                      <w:color w:val="auto"/>
                      <w:sz w:val="21"/>
                      <w:szCs w:val="21"/>
                      <w:highlight w:val="none"/>
                    </w:rPr>
                    <w:t>2</w:t>
                  </w:r>
                </w:p>
              </w:tc>
              <w:tc>
                <w:tcPr>
                  <w:tcW w:w="2325" w:type="pct"/>
                  <w:noWrap w:val="0"/>
                  <w:vAlign w:val="center"/>
                </w:tcPr>
                <w:p w14:paraId="1854B3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长江干流岸线5公里范围内严禁新建布局重化工园区。合规化工园区内，严禁新批环境基础设施不完善或长期不能稳定运行的企业新建和扩建化工项目。</w:t>
                  </w:r>
                </w:p>
              </w:tc>
              <w:tc>
                <w:tcPr>
                  <w:tcW w:w="855" w:type="pct"/>
                  <w:vMerge w:val="continue"/>
                  <w:noWrap w:val="0"/>
                  <w:vAlign w:val="center"/>
                </w:tcPr>
                <w:p w14:paraId="587B65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54614E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4"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2C66E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75271F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5"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54D9EC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6"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noWrap/>
                  <w:vAlign w:val="center"/>
                </w:tcPr>
                <w:p w14:paraId="45039E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7"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r>
                    <w:rPr>
                      <w:rFonts w:hint="default" w:ascii="Times New Roman" w:hAnsi="Times New Roman" w:eastAsia="宋体" w:cs="Times New Roman"/>
                      <w:color w:val="auto"/>
                      <w:sz w:val="21"/>
                      <w:szCs w:val="21"/>
                      <w:highlight w:val="none"/>
                    </w:rPr>
                    <w:t>3</w:t>
                  </w:r>
                </w:p>
              </w:tc>
              <w:tc>
                <w:tcPr>
                  <w:tcW w:w="2325" w:type="pct"/>
                  <w:noWrap w:val="0"/>
                  <w:vAlign w:val="center"/>
                </w:tcPr>
                <w:p w14:paraId="51CED60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长江干流及主要支流岸线15公里在岸线开发、河段利用、区域活动和产业发展等方面，全面执行国家长江经济带市场准入禁止限制目录。实施备案、环评、安评、能评等并联审批</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未落实生态环保、安全生产、能源节约要求的，一律不得开工建设。</w:t>
                  </w:r>
                </w:p>
              </w:tc>
              <w:tc>
                <w:tcPr>
                  <w:tcW w:w="855" w:type="pct"/>
                  <w:vMerge w:val="continue"/>
                  <w:noWrap w:val="0"/>
                  <w:vAlign w:val="center"/>
                </w:tcPr>
                <w:p w14:paraId="69EF97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6B21A9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8"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282B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408175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9"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1EC7FE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0"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restart"/>
                  <w:noWrap/>
                  <w:vAlign w:val="center"/>
                </w:tcPr>
                <w:p w14:paraId="77990A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1"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r>
                    <w:rPr>
                      <w:rFonts w:hint="default" w:ascii="Times New Roman" w:hAnsi="Times New Roman" w:eastAsia="宋体" w:cs="Times New Roman"/>
                      <w:color w:val="auto"/>
                      <w:sz w:val="21"/>
                      <w:szCs w:val="21"/>
                      <w:highlight w:val="none"/>
                    </w:rPr>
                    <w:t>4</w:t>
                  </w:r>
                </w:p>
              </w:tc>
              <w:tc>
                <w:tcPr>
                  <w:tcW w:w="2325" w:type="pct"/>
                  <w:noWrap w:val="0"/>
                  <w:vAlign w:val="center"/>
                </w:tcPr>
                <w:p w14:paraId="71983B6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855" w:type="pct"/>
                  <w:vMerge w:val="restart"/>
                  <w:noWrap w:val="0"/>
                  <w:vAlign w:val="center"/>
                </w:tcPr>
                <w:p w14:paraId="7FD4DA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项目位于集中区工业用地，项目用地不涉及生态保护红线和永久基本农田、饮用水水源地、岸线保护区内等敏感区域；项目建设不属于化工、钢铁等环境风险较大、严重过剩产能行业及相关政策明令禁止的落后产能项目</w:t>
                  </w:r>
                  <w:r>
                    <w:rPr>
                      <w:rFonts w:hint="default" w:ascii="Times New Roman" w:hAnsi="Times New Roman" w:eastAsia="宋体" w:cs="Times New Roman"/>
                      <w:color w:val="auto"/>
                      <w:sz w:val="21"/>
                      <w:szCs w:val="21"/>
                      <w:highlight w:val="none"/>
                      <w:lang w:eastAsia="zh-CN"/>
                    </w:rPr>
                    <w:t>。</w:t>
                  </w:r>
                </w:p>
              </w:tc>
              <w:tc>
                <w:tcPr>
                  <w:tcW w:w="388" w:type="pct"/>
                  <w:vMerge w:val="restart"/>
                  <w:noWrap w:val="0"/>
                  <w:vAlign w:val="center"/>
                </w:tcPr>
                <w:p w14:paraId="2A75390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44B1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60C4280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2"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2B0F67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3"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continue"/>
                  <w:noWrap w:val="0"/>
                  <w:vAlign w:val="center"/>
                </w:tcPr>
                <w:p w14:paraId="5F9570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4"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2325" w:type="pct"/>
                  <w:noWrap w:val="0"/>
                  <w:vAlign w:val="center"/>
                </w:tcPr>
                <w:p w14:paraId="34CA49F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在饮用水水源一级保护区的岸线和河段范围内新建、改建、扩建与供水设施和保护水源无关的项目，以及网箱养殖、旅游等可能污染饮用水水体的投资建设项目。禁止在饮用水水源二级保护区的岸线和河段范围内新建、改建、扩建排放污染物的投资建设项目。</w:t>
                  </w:r>
                </w:p>
              </w:tc>
              <w:tc>
                <w:tcPr>
                  <w:tcW w:w="855" w:type="pct"/>
                  <w:vMerge w:val="continue"/>
                  <w:noWrap w:val="0"/>
                  <w:vAlign w:val="center"/>
                </w:tcPr>
                <w:p w14:paraId="075CD9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5EA67F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5"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765D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514D2C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6"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2C243A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7"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continue"/>
                  <w:noWrap w:val="0"/>
                  <w:vAlign w:val="center"/>
                </w:tcPr>
                <w:p w14:paraId="494B00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8"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2325" w:type="pct"/>
                  <w:noWrap w:val="0"/>
                  <w:vAlign w:val="center"/>
                </w:tcPr>
                <w:p w14:paraId="232291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在《长江岸线保护和开发利用总体规划》划定的岸线保护区内投资建设除保障防洪安全、河势稳定、供水安全以及保护生态环境、已建重要枢纽工程以外的项目，禁止在岸线保留区内投资建设除保障防洪安全、河势稳定、供水安全、航道稳定以及保护生态环境以外的项目。</w:t>
                  </w:r>
                </w:p>
              </w:tc>
              <w:tc>
                <w:tcPr>
                  <w:tcW w:w="855" w:type="pct"/>
                  <w:vMerge w:val="continue"/>
                  <w:noWrap w:val="0"/>
                  <w:vAlign w:val="center"/>
                </w:tcPr>
                <w:p w14:paraId="49875B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40D37E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19"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2A91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677D00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0"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26ED297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1"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continue"/>
                  <w:noWrap w:val="0"/>
                  <w:vAlign w:val="center"/>
                </w:tcPr>
                <w:p w14:paraId="6A01A0C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2"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2325" w:type="pct"/>
                  <w:noWrap w:val="0"/>
                  <w:vAlign w:val="center"/>
                </w:tcPr>
                <w:p w14:paraId="4C5F63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禁止在生态保护红线和永久基本农田范围内投资建设除国家重大战略资源勘查项目、生态保护修复和环境治理项目、重大基础设施项目、军事国防项目以及农牧民基本生产生活等必要的民生项目以外的项目。</w:t>
                  </w:r>
                </w:p>
              </w:tc>
              <w:tc>
                <w:tcPr>
                  <w:tcW w:w="855" w:type="pct"/>
                  <w:vMerge w:val="continue"/>
                  <w:noWrap w:val="0"/>
                  <w:vAlign w:val="center"/>
                </w:tcPr>
                <w:p w14:paraId="0D81E3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783A098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3"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4F2F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55AA84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4"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0592B2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5"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continue"/>
                  <w:noWrap w:val="0"/>
                  <w:vAlign w:val="center"/>
                </w:tcPr>
                <w:p w14:paraId="593B99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6"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2325" w:type="pct"/>
                  <w:noWrap w:val="0"/>
                  <w:vAlign w:val="center"/>
                </w:tcPr>
                <w:p w14:paraId="2325FA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禁止新建、扩建不符合国家石化、现代煤化工等产业布局规划的项目。</w:t>
                  </w:r>
                </w:p>
              </w:tc>
              <w:tc>
                <w:tcPr>
                  <w:tcW w:w="855" w:type="pct"/>
                  <w:vMerge w:val="continue"/>
                  <w:noWrap w:val="0"/>
                  <w:vAlign w:val="center"/>
                </w:tcPr>
                <w:p w14:paraId="271D8D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29DA00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7"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3BD2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0F1D09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8"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78C50E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29"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continue"/>
                  <w:noWrap w:val="0"/>
                  <w:vAlign w:val="center"/>
                </w:tcPr>
                <w:p w14:paraId="72C3A5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0"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2325" w:type="pct"/>
                  <w:noWrap w:val="0"/>
                  <w:vAlign w:val="center"/>
                </w:tcPr>
                <w:p w14:paraId="08B2F8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禁止新建、扩建法律法规和相关政策明令禁止的落后产能项目。</w:t>
                  </w:r>
                </w:p>
              </w:tc>
              <w:tc>
                <w:tcPr>
                  <w:tcW w:w="855" w:type="pct"/>
                  <w:vMerge w:val="continue"/>
                  <w:noWrap w:val="0"/>
                  <w:vAlign w:val="center"/>
                </w:tcPr>
                <w:p w14:paraId="2D85D6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007C6E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1"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41FF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3091CA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2"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2807FE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3"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vMerge w:val="continue"/>
                  <w:noWrap w:val="0"/>
                  <w:vAlign w:val="center"/>
                </w:tcPr>
                <w:p w14:paraId="7BEF37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4"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2325" w:type="pct"/>
                  <w:noWrap w:val="0"/>
                  <w:vAlign w:val="center"/>
                </w:tcPr>
                <w:p w14:paraId="12B24B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禁止新建、扩建不符合国家产能置换要求的严重过剩产能行业的项目。</w:t>
                  </w:r>
                </w:p>
              </w:tc>
              <w:tc>
                <w:tcPr>
                  <w:tcW w:w="855" w:type="pct"/>
                  <w:vMerge w:val="continue"/>
                  <w:noWrap w:val="0"/>
                  <w:vAlign w:val="center"/>
                </w:tcPr>
                <w:p w14:paraId="1EF5D9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765491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5"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763B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07A43F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6"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11FAAC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7"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noWrap/>
                  <w:vAlign w:val="center"/>
                </w:tcPr>
                <w:p w14:paraId="6CCB49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8"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r>
                    <w:rPr>
                      <w:rFonts w:hint="default" w:ascii="Times New Roman" w:hAnsi="Times New Roman" w:eastAsia="宋体" w:cs="Times New Roman"/>
                      <w:color w:val="auto"/>
                      <w:sz w:val="21"/>
                      <w:szCs w:val="21"/>
                      <w:highlight w:val="none"/>
                    </w:rPr>
                    <w:t>5</w:t>
                  </w:r>
                </w:p>
              </w:tc>
              <w:tc>
                <w:tcPr>
                  <w:tcW w:w="2325" w:type="pct"/>
                  <w:noWrap w:val="0"/>
                  <w:vAlign w:val="center"/>
                </w:tcPr>
                <w:p w14:paraId="5A455A4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在饮用水水源二级保护区，采取禁止或者限制使用含磷洗涤剂、化肥、农药以及限制种植养殖等措施。</w:t>
                  </w:r>
                </w:p>
              </w:tc>
              <w:tc>
                <w:tcPr>
                  <w:tcW w:w="855" w:type="pct"/>
                  <w:vMerge w:val="continue"/>
                  <w:noWrap w:val="0"/>
                  <w:vAlign w:val="center"/>
                </w:tcPr>
                <w:p w14:paraId="57E7BC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0F1553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39"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02F72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0A162C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40"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582" w:type="pct"/>
                  <w:vMerge w:val="continue"/>
                  <w:noWrap w:val="0"/>
                  <w:vAlign w:val="center"/>
                </w:tcPr>
                <w:p w14:paraId="5F6E7F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41"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c>
                <w:tcPr>
                  <w:tcW w:w="385" w:type="pct"/>
                  <w:noWrap/>
                  <w:vAlign w:val="center"/>
                </w:tcPr>
                <w:p w14:paraId="4A6E81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42"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r>
                    <w:rPr>
                      <w:rFonts w:hint="default" w:ascii="Times New Roman" w:hAnsi="Times New Roman" w:eastAsia="宋体" w:cs="Times New Roman"/>
                      <w:color w:val="auto"/>
                      <w:sz w:val="21"/>
                      <w:szCs w:val="21"/>
                      <w:highlight w:val="none"/>
                    </w:rPr>
                    <w:t>6</w:t>
                  </w:r>
                </w:p>
              </w:tc>
              <w:tc>
                <w:tcPr>
                  <w:tcW w:w="2325" w:type="pct"/>
                  <w:noWrap w:val="0"/>
                  <w:vAlign w:val="center"/>
                </w:tcPr>
                <w:p w14:paraId="4D5DC8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禁止掺烧高硫石油焦。将工业炉窑治理作为环保强化督查重点任务，钙化合物和钙盐工业企业执行《无机化学工业污染物排放标准》（GB31576-2015），凡未列入清单的工业炉窑和未执行《无机化学工业污染物排放标准》的企业，均纳入秋冬季错峰生产方案。</w:t>
                  </w:r>
                </w:p>
              </w:tc>
              <w:tc>
                <w:tcPr>
                  <w:tcW w:w="855" w:type="pct"/>
                  <w:vMerge w:val="continue"/>
                  <w:noWrap w:val="0"/>
                  <w:vAlign w:val="center"/>
                </w:tcPr>
                <w:p w14:paraId="727833E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43B74E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Change w:id="43" w:author="Windows User" w:date="2021-09-01T10:01:00Z">
                      <w:pPr>
                        <w:keepNext w:val="0"/>
                        <w:keepLines w:val="0"/>
                        <w:pageBreakBefore w:val="0"/>
                        <w:widowControl/>
                        <w:kinsoku/>
                        <w:wordWrap/>
                        <w:overflowPunct/>
                        <w:topLinePunct w:val="0"/>
                        <w:autoSpaceDE/>
                        <w:autoSpaceDN/>
                        <w:bidi w:val="0"/>
                        <w:adjustRightInd/>
                        <w:snapToGrid/>
                        <w:spacing w:line="280" w:lineRule="exact"/>
                        <w:jc w:val="left"/>
                        <w:textAlignment w:val="auto"/>
                      </w:pPr>
                    </w:pPrChange>
                  </w:pPr>
                </w:p>
              </w:tc>
            </w:tr>
            <w:tr w14:paraId="2B24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5E0835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82" w:type="pct"/>
                  <w:vMerge w:val="restart"/>
                  <w:noWrap/>
                  <w:vAlign w:val="center"/>
                </w:tcPr>
                <w:p w14:paraId="4807605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限制开发建设活动的要求</w:t>
                  </w:r>
                </w:p>
              </w:tc>
              <w:tc>
                <w:tcPr>
                  <w:tcW w:w="385" w:type="pct"/>
                  <w:noWrap/>
                  <w:vAlign w:val="center"/>
                </w:tcPr>
                <w:p w14:paraId="33C2DE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p>
              </w:tc>
              <w:tc>
                <w:tcPr>
                  <w:tcW w:w="2325" w:type="pct"/>
                  <w:noWrap w:val="0"/>
                  <w:vAlign w:val="center"/>
                </w:tcPr>
                <w:p w14:paraId="4E3E70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实施严格的化工项目市场准入制度，除提升安全环保节能水平以及质量升级的改扩建项目外，严格控制新建石油化工和煤化工等重化工、重污染项目。</w:t>
                  </w:r>
                </w:p>
              </w:tc>
              <w:tc>
                <w:tcPr>
                  <w:tcW w:w="855" w:type="pct"/>
                  <w:vMerge w:val="restart"/>
                  <w:noWrap w:val="0"/>
                  <w:vAlign w:val="center"/>
                </w:tcPr>
                <w:p w14:paraId="5659FF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rPr>
                    <w:t>项目位于皖江江南新兴产业集中区，选址及布局均满足集中区规划产业布局要求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本项目废气主要是</w:t>
                  </w:r>
                  <w:r>
                    <w:rPr>
                      <w:rFonts w:hint="eastAsia" w:cs="Times New Roman"/>
                      <w:color w:val="auto"/>
                      <w:sz w:val="21"/>
                      <w:szCs w:val="21"/>
                      <w:highlight w:val="none"/>
                      <w:lang w:val="en-US" w:eastAsia="zh-CN"/>
                    </w:rPr>
                    <w:t>天然气燃烧废气和锯切废气</w:t>
                  </w:r>
                  <w:r>
                    <w:rPr>
                      <w:rFonts w:hint="default" w:ascii="Times New Roman" w:hAnsi="Times New Roman" w:eastAsia="宋体" w:cs="Times New Roman"/>
                      <w:color w:val="auto"/>
                      <w:sz w:val="21"/>
                      <w:szCs w:val="21"/>
                      <w:highlight w:val="none"/>
                      <w:lang w:val="en-US" w:eastAsia="zh-CN"/>
                    </w:rPr>
                    <w:t>。</w:t>
                  </w:r>
                </w:p>
              </w:tc>
              <w:tc>
                <w:tcPr>
                  <w:tcW w:w="388" w:type="pct"/>
                  <w:vMerge w:val="restart"/>
                  <w:noWrap w:val="0"/>
                  <w:vAlign w:val="center"/>
                </w:tcPr>
                <w:p w14:paraId="1190F5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02C5C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4" w:author="Smile" w:date="2023-09-05T17:41: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After w:w="0" w:type="auto"/>
                <w:trHeight w:val="340" w:hRule="atLeast"/>
                <w:jc w:val="center"/>
                <w:trPrChange w:id="44" w:author="Smile" w:date="2023-09-05T17:41:00Z">
                  <w:trPr>
                    <w:gridAfter w:val="3"/>
                    <w:wAfter w:w="3164" w:type="dxa"/>
                    <w:trHeight w:val="340" w:hRule="atLeast"/>
                  </w:trPr>
                </w:trPrChange>
              </w:trPr>
              <w:tc>
                <w:tcPr>
                  <w:tcW w:w="463" w:type="pct"/>
                  <w:vMerge w:val="continue"/>
                  <w:noWrap w:val="0"/>
                  <w:vAlign w:val="center"/>
                  <w:tcPrChange w:id="45" w:author="Smile" w:date="2023-09-05T17:41:00Z">
                    <w:tcPr>
                      <w:tcW w:w="426" w:type="pct"/>
                      <w:vMerge w:val="continue"/>
                      <w:noWrap w:val="0"/>
                      <w:vAlign w:val="center"/>
                    </w:tcPr>
                  </w:tcPrChange>
                </w:tcPr>
                <w:p w14:paraId="5345B60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82" w:type="pct"/>
                  <w:vMerge w:val="continue"/>
                  <w:noWrap w:val="0"/>
                  <w:vAlign w:val="center"/>
                  <w:tcPrChange w:id="46" w:author="Smile" w:date="2023-09-05T17:41:00Z">
                    <w:tcPr>
                      <w:tcW w:w="499" w:type="pct"/>
                      <w:gridSpan w:val="2"/>
                      <w:vMerge w:val="continue"/>
                      <w:noWrap w:val="0"/>
                      <w:vAlign w:val="center"/>
                    </w:tcPr>
                  </w:tcPrChange>
                </w:tcPr>
                <w:p w14:paraId="1D3390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5" w:type="pct"/>
                  <w:noWrap/>
                  <w:vAlign w:val="center"/>
                  <w:tcPrChange w:id="47" w:author="Smile" w:date="2023-09-05T17:41:00Z">
                    <w:tcPr>
                      <w:tcW w:w="299" w:type="pct"/>
                      <w:noWrap/>
                      <w:vAlign w:val="center"/>
                    </w:tcPr>
                  </w:tcPrChange>
                </w:tcPr>
                <w:p w14:paraId="0A6C71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w:t>
                  </w:r>
                </w:p>
              </w:tc>
              <w:tc>
                <w:tcPr>
                  <w:tcW w:w="2325" w:type="pct"/>
                  <w:noWrap w:val="0"/>
                  <w:vAlign w:val="center"/>
                  <w:tcPrChange w:id="48" w:author="Smile" w:date="2023-09-05T17:41:00Z">
                    <w:tcPr>
                      <w:tcW w:w="2392" w:type="pct"/>
                      <w:gridSpan w:val="3"/>
                      <w:noWrap w:val="0"/>
                      <w:vAlign w:val="center"/>
                    </w:tcPr>
                  </w:tcPrChange>
                </w:tcPr>
                <w:p w14:paraId="5EAB55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长江干流岸线15公里范围内新建工业项目原则上全部进园区，其中化工项目进化工园区或主导产业为化工的开发区。严把各类项目准入门槛，严格执行环境保护标准，把主要污染物和重点重金属排放总量控制目标作为新(改、扩)建项目环评审批的前置条件。</w:t>
                  </w:r>
                </w:p>
              </w:tc>
              <w:tc>
                <w:tcPr>
                  <w:tcW w:w="855" w:type="pct"/>
                  <w:vMerge w:val="continue"/>
                  <w:noWrap w:val="0"/>
                  <w:vAlign w:val="center"/>
                  <w:tcPrChange w:id="49" w:author="Smile" w:date="2023-09-05T17:41:00Z">
                    <w:tcPr>
                      <w:tcW w:w="918" w:type="pct"/>
                      <w:vMerge w:val="continue"/>
                      <w:noWrap w:val="0"/>
                      <w:vAlign w:val="center"/>
                    </w:tcPr>
                  </w:tcPrChange>
                </w:tcPr>
                <w:p w14:paraId="36C260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Change w:id="50" w:author="Smile" w:date="2023-09-05T17:41:00Z">
                    <w:tcPr>
                      <w:tcW w:w="463" w:type="pct"/>
                      <w:vMerge w:val="continue"/>
                      <w:noWrap w:val="0"/>
                      <w:vAlign w:val="center"/>
                    </w:tcPr>
                  </w:tcPrChange>
                </w:tcPr>
                <w:p w14:paraId="2838DB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5F68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707EE5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82" w:type="pct"/>
                  <w:vMerge w:val="continue"/>
                  <w:noWrap w:val="0"/>
                  <w:vAlign w:val="center"/>
                </w:tcPr>
                <w:p w14:paraId="46B64E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5" w:type="pct"/>
                  <w:noWrap/>
                  <w:vAlign w:val="center"/>
                </w:tcPr>
                <w:p w14:paraId="2D3E6A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w:t>
                  </w:r>
                </w:p>
              </w:tc>
              <w:tc>
                <w:tcPr>
                  <w:tcW w:w="2325" w:type="pct"/>
                  <w:noWrap w:val="0"/>
                  <w:vAlign w:val="center"/>
                </w:tcPr>
                <w:p w14:paraId="346606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长江干流及主要支流岸线1公里范围内严格限制施用化肥，全面施用低毒低风险农药，并确保年使用量负增长。</w:t>
                  </w:r>
                </w:p>
              </w:tc>
              <w:tc>
                <w:tcPr>
                  <w:tcW w:w="855" w:type="pct"/>
                  <w:vMerge w:val="continue"/>
                  <w:noWrap w:val="0"/>
                  <w:vAlign w:val="center"/>
                </w:tcPr>
                <w:p w14:paraId="6E8FA8E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6A6587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0662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490FDB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82" w:type="pct"/>
                  <w:vMerge w:val="continue"/>
                  <w:noWrap w:val="0"/>
                  <w:vAlign w:val="center"/>
                </w:tcPr>
                <w:p w14:paraId="5CC826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5" w:type="pct"/>
                  <w:noWrap/>
                  <w:vAlign w:val="center"/>
                </w:tcPr>
                <w:p w14:paraId="2E2563C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2325" w:type="pct"/>
                  <w:noWrap w:val="0"/>
                  <w:vAlign w:val="center"/>
                </w:tcPr>
                <w:p w14:paraId="07A6F1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严禁新增钢铁、火电等高耗水行业产能。</w:t>
                  </w:r>
                </w:p>
              </w:tc>
              <w:tc>
                <w:tcPr>
                  <w:tcW w:w="855" w:type="pct"/>
                  <w:vMerge w:val="continue"/>
                  <w:noWrap w:val="0"/>
                  <w:vAlign w:val="center"/>
                </w:tcPr>
                <w:p w14:paraId="2FE699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03FC10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574AF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111B2F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82" w:type="pct"/>
                  <w:noWrap/>
                  <w:vAlign w:val="center"/>
                </w:tcPr>
                <w:p w14:paraId="26F5F0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其他空间布局约束要求</w:t>
                  </w:r>
                </w:p>
              </w:tc>
              <w:tc>
                <w:tcPr>
                  <w:tcW w:w="385" w:type="pct"/>
                  <w:noWrap/>
                  <w:vAlign w:val="center"/>
                </w:tcPr>
                <w:p w14:paraId="7D2912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2325" w:type="pct"/>
                  <w:noWrap w:val="0"/>
                  <w:vAlign w:val="center"/>
                </w:tcPr>
                <w:p w14:paraId="529689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对主要污染物排放总量实行区域和企业排放总量控制制度，新增主要污染物排放的建设项目，需取得主要污染物排放总量指标，其中，新、改、扩建项目的重点重金属、挥发性有机物等排放指标，实行等量削减替代。</w:t>
                  </w:r>
                </w:p>
              </w:tc>
              <w:tc>
                <w:tcPr>
                  <w:tcW w:w="855" w:type="pct"/>
                  <w:vMerge w:val="continue"/>
                  <w:noWrap w:val="0"/>
                  <w:vAlign w:val="center"/>
                </w:tcPr>
                <w:p w14:paraId="5F6F68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275EC0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6F95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noWrap w:val="0"/>
                  <w:vAlign w:val="center"/>
                </w:tcPr>
                <w:p w14:paraId="1AA424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污染物排放管控</w:t>
                  </w:r>
                </w:p>
              </w:tc>
              <w:tc>
                <w:tcPr>
                  <w:tcW w:w="582" w:type="pct"/>
                  <w:noWrap/>
                  <w:vAlign w:val="center"/>
                </w:tcPr>
                <w:p w14:paraId="6BFE8B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其他污染物排放管控要求</w:t>
                  </w:r>
                </w:p>
              </w:tc>
              <w:tc>
                <w:tcPr>
                  <w:tcW w:w="385" w:type="pct"/>
                  <w:noWrap/>
                  <w:vAlign w:val="center"/>
                </w:tcPr>
                <w:p w14:paraId="4E4BCB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2325" w:type="pct"/>
                  <w:noWrap w:val="0"/>
                  <w:vAlign w:val="center"/>
                </w:tcPr>
                <w:p w14:paraId="7EE9B6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新建、改建和扩建项目大气污染物实施“倍量替代”，执行特别排放标准的行业实施提标升级改造。</w:t>
                  </w:r>
                </w:p>
              </w:tc>
              <w:tc>
                <w:tcPr>
                  <w:tcW w:w="855" w:type="pct"/>
                  <w:vMerge w:val="continue"/>
                  <w:noWrap w:val="0"/>
                  <w:vAlign w:val="center"/>
                </w:tcPr>
                <w:p w14:paraId="6B0945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Merge w:val="continue"/>
                  <w:noWrap w:val="0"/>
                  <w:vAlign w:val="center"/>
                </w:tcPr>
                <w:p w14:paraId="4CFCD8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7106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restart"/>
                  <w:noWrap w:val="0"/>
                  <w:vAlign w:val="center"/>
                </w:tcPr>
                <w:p w14:paraId="0BFF8A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环境风险防控</w:t>
                  </w:r>
                </w:p>
              </w:tc>
              <w:tc>
                <w:tcPr>
                  <w:tcW w:w="582" w:type="pct"/>
                  <w:vMerge w:val="restart"/>
                  <w:noWrap/>
                  <w:vAlign w:val="center"/>
                </w:tcPr>
                <w:p w14:paraId="2BEC57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环境风险防控要求</w:t>
                  </w:r>
                </w:p>
              </w:tc>
              <w:tc>
                <w:tcPr>
                  <w:tcW w:w="385" w:type="pct"/>
                  <w:noWrap/>
                  <w:vAlign w:val="center"/>
                </w:tcPr>
                <w:p w14:paraId="5D0415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w:t>
                  </w:r>
                </w:p>
              </w:tc>
              <w:tc>
                <w:tcPr>
                  <w:tcW w:w="2325" w:type="pct"/>
                  <w:noWrap w:val="0"/>
                  <w:vAlign w:val="center"/>
                </w:tcPr>
                <w:p w14:paraId="734A95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将土壤污染防治纳入环境风险防控体系，严格依法依规建设和运营污染治理设施，确保重点污染物稳定达标排放。造成土壤污染的，应承担损害评估、治理与修复的法律责任。逐步建立土壤污染治理与修复企业行业自律机制。</w:t>
                  </w:r>
                </w:p>
              </w:tc>
              <w:tc>
                <w:tcPr>
                  <w:tcW w:w="855" w:type="pct"/>
                  <w:noWrap w:val="0"/>
                  <w:vAlign w:val="center"/>
                </w:tcPr>
                <w:p w14:paraId="3DE0EB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本项目通过采取分区防渗等措施对区域土壤的影响较小可接受</w:t>
                  </w:r>
                </w:p>
              </w:tc>
              <w:tc>
                <w:tcPr>
                  <w:tcW w:w="388" w:type="pct"/>
                  <w:noWrap w:val="0"/>
                  <w:vAlign w:val="center"/>
                </w:tcPr>
                <w:p w14:paraId="06B3CA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14:paraId="7BCF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3" w:type="pct"/>
                  <w:vMerge w:val="continue"/>
                  <w:noWrap w:val="0"/>
                  <w:vAlign w:val="center"/>
                </w:tcPr>
                <w:p w14:paraId="248019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82" w:type="pct"/>
                  <w:vMerge w:val="continue"/>
                  <w:noWrap w:val="0"/>
                  <w:vAlign w:val="center"/>
                </w:tcPr>
                <w:p w14:paraId="598CFD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5" w:type="pct"/>
                  <w:noWrap/>
                  <w:vAlign w:val="center"/>
                </w:tcPr>
                <w:p w14:paraId="2CE386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w:t>
                  </w:r>
                </w:p>
              </w:tc>
              <w:tc>
                <w:tcPr>
                  <w:tcW w:w="2325" w:type="pct"/>
                  <w:noWrap w:val="0"/>
                  <w:vAlign w:val="center"/>
                </w:tcPr>
                <w:p w14:paraId="0E7669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集中区内紧邻居住、科教等环境敏感目标的工业用地，禁止新建环境风险潜势等级高的建设项目。</w:t>
                  </w:r>
                </w:p>
              </w:tc>
              <w:tc>
                <w:tcPr>
                  <w:tcW w:w="855" w:type="pct"/>
                  <w:noWrap w:val="0"/>
                  <w:vAlign w:val="center"/>
                </w:tcPr>
                <w:p w14:paraId="4A2870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本</w:t>
                  </w:r>
                  <w:r>
                    <w:rPr>
                      <w:rFonts w:hint="default" w:ascii="Times New Roman" w:hAnsi="Times New Roman" w:eastAsia="宋体" w:cs="Times New Roman"/>
                      <w:color w:val="auto"/>
                      <w:sz w:val="21"/>
                      <w:szCs w:val="21"/>
                      <w:highlight w:val="none"/>
                    </w:rPr>
                    <w:t>项目位于</w:t>
                  </w:r>
                  <w:r>
                    <w:rPr>
                      <w:rFonts w:hint="default" w:ascii="Times New Roman" w:hAnsi="Times New Roman" w:eastAsia="宋体" w:cs="Times New Roman"/>
                      <w:color w:val="auto"/>
                      <w:sz w:val="21"/>
                      <w:szCs w:val="21"/>
                      <w:highlight w:val="none"/>
                      <w:lang w:val="en-US" w:eastAsia="zh-CN"/>
                    </w:rPr>
                    <w:t>皖江江南新兴产业集中皖兴业大道以西，创裕金属以南地块，</w:t>
                  </w:r>
                  <w:r>
                    <w:rPr>
                      <w:rFonts w:hint="eastAsia"/>
                      <w:color w:val="auto"/>
                      <w:sz w:val="21"/>
                      <w:szCs w:val="21"/>
                      <w:highlight w:val="none"/>
                      <w:lang w:val="en-US" w:eastAsia="zh-CN"/>
                    </w:rPr>
                    <w:t>厂界周围500m范围内无环境敏感点</w:t>
                  </w:r>
                </w:p>
              </w:tc>
              <w:tc>
                <w:tcPr>
                  <w:tcW w:w="388" w:type="pct"/>
                  <w:noWrap w:val="0"/>
                  <w:vAlign w:val="center"/>
                </w:tcPr>
                <w:p w14:paraId="28F275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14:paraId="3E7BB57E">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cs="Times New Roman"/>
                <w:color w:val="auto"/>
                <w:sz w:val="24"/>
                <w:szCs w:val="24"/>
                <w:lang w:eastAsia="zh-CN"/>
              </w:rPr>
            </w:pPr>
            <w:r>
              <w:rPr>
                <w:rFonts w:hint="default" w:ascii="Times New Roman" w:hAnsi="Times New Roman" w:eastAsia="宋体" w:cs="Times New Roman"/>
                <w:color w:val="auto"/>
                <w:kern w:val="0"/>
                <w:sz w:val="24"/>
                <w:szCs w:val="24"/>
                <w:lang w:val="en-US" w:eastAsia="zh-CN" w:bidi="ar"/>
              </w:rPr>
              <w:t>（</w:t>
            </w:r>
            <w:r>
              <w:rPr>
                <w:rFonts w:hint="eastAsia" w:ascii="Times New Roman" w:hAnsi="Times New Roman" w:eastAsia="宋体" w:cs="Times New Roman"/>
                <w:color w:val="auto"/>
                <w:kern w:val="0"/>
                <w:sz w:val="24"/>
                <w:szCs w:val="24"/>
                <w:lang w:val="en-US" w:eastAsia="zh-CN" w:bidi="ar"/>
              </w:rPr>
              <w:t>2</w:t>
            </w:r>
            <w:r>
              <w:rPr>
                <w:rFonts w:hint="default" w:ascii="Times New Roman" w:hAnsi="Times New Roman" w:eastAsia="宋体" w:cs="Times New Roman"/>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rPr>
              <w:t>查询</w:t>
            </w:r>
            <w:r>
              <w:rPr>
                <w:rFonts w:hint="default" w:ascii="Times New Roman" w:hAnsi="Times New Roman" w:eastAsia="宋体" w:cs="Times New Roman"/>
                <w:color w:val="auto"/>
                <w:kern w:val="0"/>
                <w:sz w:val="24"/>
                <w:szCs w:val="24"/>
                <w:lang w:eastAsia="zh-CN"/>
              </w:rPr>
              <w:t>安徽省</w:t>
            </w:r>
            <w:r>
              <w:rPr>
                <w:rFonts w:hint="eastAsia" w:ascii="Times New Roman" w:hAnsi="Times New Roman" w:eastAsia="宋体" w:cs="Times New Roman"/>
                <w:color w:val="auto"/>
                <w:kern w:val="0"/>
                <w:sz w:val="24"/>
                <w:szCs w:val="24"/>
                <w:lang w:eastAsia="zh-CN"/>
              </w:rPr>
              <w:t>“</w:t>
            </w:r>
            <w:r>
              <w:rPr>
                <w:rFonts w:hint="default" w:ascii="Times New Roman" w:hAnsi="Times New Roman" w:eastAsia="宋体" w:cs="Times New Roman"/>
                <w:color w:val="auto"/>
                <w:kern w:val="0"/>
                <w:sz w:val="24"/>
                <w:szCs w:val="24"/>
                <w:lang w:eastAsia="zh-CN"/>
              </w:rPr>
              <w:t>三线一单</w:t>
            </w:r>
            <w:r>
              <w:rPr>
                <w:rFonts w:hint="eastAsia" w:ascii="Times New Roman" w:hAnsi="Times New Roman" w:eastAsia="宋体" w:cs="Times New Roman"/>
                <w:color w:val="auto"/>
                <w:kern w:val="0"/>
                <w:sz w:val="24"/>
                <w:szCs w:val="24"/>
                <w:lang w:eastAsia="zh-CN"/>
              </w:rPr>
              <w:t>”</w:t>
            </w:r>
            <w:r>
              <w:rPr>
                <w:rFonts w:hint="default" w:ascii="Times New Roman" w:hAnsi="Times New Roman" w:eastAsia="宋体" w:cs="Times New Roman"/>
                <w:color w:val="auto"/>
                <w:kern w:val="0"/>
                <w:sz w:val="24"/>
                <w:szCs w:val="24"/>
                <w:lang w:eastAsia="zh-CN"/>
              </w:rPr>
              <w:t>公众服务平台，本项目</w:t>
            </w:r>
            <w:r>
              <w:rPr>
                <w:rFonts w:hint="default" w:ascii="Times New Roman" w:hAnsi="Times New Roman" w:eastAsia="宋体" w:cs="Times New Roman"/>
                <w:color w:val="auto"/>
                <w:kern w:val="0"/>
                <w:sz w:val="24"/>
                <w:szCs w:val="24"/>
                <w:lang w:val="en-US" w:eastAsia="zh-CN"/>
              </w:rPr>
              <w:t>位于</w:t>
            </w:r>
            <w:r>
              <w:rPr>
                <w:rFonts w:hint="default" w:ascii="Times New Roman" w:hAnsi="Times New Roman" w:eastAsia="宋体" w:cs="Times New Roman"/>
                <w:color w:val="auto"/>
                <w:kern w:val="0"/>
                <w:sz w:val="24"/>
                <w:szCs w:val="24"/>
                <w:lang w:eastAsia="zh-CN"/>
              </w:rPr>
              <w:t>重点管控单元（编码：ZH34170220006）</w:t>
            </w:r>
            <w:r>
              <w:rPr>
                <w:rFonts w:hint="default" w:ascii="Times New Roman" w:hAnsi="Times New Roman" w:eastAsia="宋体" w:cs="Times New Roman"/>
                <w:color w:val="auto"/>
                <w:kern w:val="0"/>
                <w:sz w:val="24"/>
                <w:szCs w:val="24"/>
                <w:lang w:val="en-US" w:eastAsia="zh-CN"/>
              </w:rPr>
              <w:t>。</w:t>
            </w:r>
          </w:p>
          <w:p w14:paraId="2142E165">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0" w:firstLineChars="0"/>
              <w:jc w:val="center"/>
              <w:textAlignment w:val="auto"/>
              <w:rPr>
                <w:rFonts w:hint="eastAsia" w:ascii="Times New Roman" w:hAnsi="Times New Roman" w:eastAsia="宋体" w:cs="Times New Roman"/>
                <w:color w:val="auto"/>
                <w:sz w:val="24"/>
                <w:szCs w:val="24"/>
                <w:lang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1548130</wp:posOffset>
                      </wp:positionH>
                      <wp:positionV relativeFrom="paragraph">
                        <wp:posOffset>1139825</wp:posOffset>
                      </wp:positionV>
                      <wp:extent cx="789305" cy="285750"/>
                      <wp:effectExtent l="6350" t="6350" r="23495" b="222250"/>
                      <wp:wrapNone/>
                      <wp:docPr id="4" name="矩形标注 4"/>
                      <wp:cNvGraphicFramePr/>
                      <a:graphic xmlns:a="http://schemas.openxmlformats.org/drawingml/2006/main">
                        <a:graphicData uri="http://schemas.microsoft.com/office/word/2010/wordprocessingShape">
                          <wps:wsp>
                            <wps:cNvSpPr/>
                            <wps:spPr>
                              <a:xfrm>
                                <a:off x="2849245" y="4796790"/>
                                <a:ext cx="789305" cy="285750"/>
                              </a:xfrm>
                              <a:prstGeom prst="wedgeRectCallout">
                                <a:avLst>
                                  <a:gd name="adj1" fmla="val -45552"/>
                                  <a:gd name="adj2" fmla="val 117515"/>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14:paraId="71DB2861">
                                  <w:pPr>
                                    <w:keepNext w:val="0"/>
                                    <w:keepLines w:val="0"/>
                                    <w:pageBreakBefore w:val="0"/>
                                    <w:widowControl w:val="0"/>
                                    <w:kinsoku/>
                                    <w:wordWrap/>
                                    <w:overflowPunct/>
                                    <w:topLinePunct w:val="0"/>
                                    <w:bidi w:val="0"/>
                                    <w:adjustRightInd w:val="0"/>
                                    <w:snapToGrid w:val="0"/>
                                    <w:jc w:val="center"/>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21.9pt;margin-top:89.75pt;height:22.5pt;width:62.15pt;z-index:251660288;v-text-anchor:middle;mso-width-relative:page;mso-height-relative:page;" filled="f" stroked="t" coordsize="21600,21600" o:gfxdata="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sO4sFdoAAAAL&#10;AQAADwAAAAAAAAABACAAAAAiAAAAZHJzL2Rvd25yZXYueG1sUEsBAhQAFAAAAAgAh07iQFzU6a/F&#10;AgAAaAUAAA4AAAAAAAAAAQAgAAAAKQEAAGRycy9lMm9Eb2MueG1sUEsFBgAAAAAGAAYAWQEAAGAG&#10;AAAAAA==&#10;" adj="961,36183">
                      <v:fill on="f" focussize="0,0"/>
                      <v:stroke weight="1pt" color="#2E75B6 [2404]" miterlimit="8" joinstyle="miter"/>
                      <v:imagedata o:title=""/>
                      <o:lock v:ext="edit" aspectratio="f"/>
                      <v:textbox>
                        <w:txbxContent>
                          <w:p w14:paraId="71DB2861">
                            <w:pPr>
                              <w:keepNext w:val="0"/>
                              <w:keepLines w:val="0"/>
                              <w:pageBreakBefore w:val="0"/>
                              <w:widowControl w:val="0"/>
                              <w:kinsoku/>
                              <w:wordWrap/>
                              <w:overflowPunct/>
                              <w:topLinePunct w:val="0"/>
                              <w:bidi w:val="0"/>
                              <w:adjustRightInd w:val="0"/>
                              <w:snapToGrid w:val="0"/>
                              <w:jc w:val="center"/>
                              <w:textAlignment w:val="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项目位置</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1569720</wp:posOffset>
                      </wp:positionH>
                      <wp:positionV relativeFrom="paragraph">
                        <wp:posOffset>1662430</wp:posOffset>
                      </wp:positionV>
                      <wp:extent cx="1050925" cy="408305"/>
                      <wp:effectExtent l="2540" t="5715" r="13335" b="24130"/>
                      <wp:wrapNone/>
                      <wp:docPr id="6" name="直接箭头连接符 6"/>
                      <wp:cNvGraphicFramePr/>
                      <a:graphic xmlns:a="http://schemas.openxmlformats.org/drawingml/2006/main">
                        <a:graphicData uri="http://schemas.microsoft.com/office/word/2010/wordprocessingShape">
                          <wps:wsp>
                            <wps:cNvCnPr/>
                            <wps:spPr>
                              <a:xfrm>
                                <a:off x="2732405" y="2591435"/>
                                <a:ext cx="1050925" cy="408305"/>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23.6pt;margin-top:130.9pt;height:32.15pt;width:82.75pt;z-index:251662336;mso-width-relative:page;mso-height-relative:page;" filled="f" stroked="t" coordsize="21600,21600" o:gfxdata="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Q1+nJ2AAAAAsBAAAPAAAA&#10;AAAAAAEAIAAAACIAAABkcnMvZG93bnJldi54bWxQSwECFAAUAAAACACHTuJAgHGHHRUCAADwAwAA&#10;DgAAAAAAAAABACAAAAAnAQAAZHJzL2Uyb0RvYy54bWxQSwUGAAAAAAYABgBZAQAArgUAAAAA&#10;">
                      <v:fill on="f" focussize="0,0"/>
                      <v:stroke weight="1pt" color="#000000 [3213]"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2616835</wp:posOffset>
                      </wp:positionH>
                      <wp:positionV relativeFrom="paragraph">
                        <wp:posOffset>2042795</wp:posOffset>
                      </wp:positionV>
                      <wp:extent cx="1066165" cy="875665"/>
                      <wp:effectExtent l="6350" t="6350" r="13335" b="13335"/>
                      <wp:wrapNone/>
                      <wp:docPr id="5" name="矩形 5"/>
                      <wp:cNvGraphicFramePr/>
                      <a:graphic xmlns:a="http://schemas.openxmlformats.org/drawingml/2006/main">
                        <a:graphicData uri="http://schemas.microsoft.com/office/word/2010/wordprocessingShape">
                          <wps:wsp>
                            <wps:cNvSpPr/>
                            <wps:spPr>
                              <a:xfrm>
                                <a:off x="3994785" y="3248660"/>
                                <a:ext cx="1066165" cy="875665"/>
                              </a:xfrm>
                              <a:prstGeom prst="rect">
                                <a:avLst/>
                              </a:prstGeom>
                              <a:blipFill rotWithShape="1">
                                <a:blip r:embed="rId8"/>
                                <a:stretch>
                                  <a:fillRect/>
                                </a:stretch>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6.05pt;margin-top:160.85pt;height:68.95pt;width:83.95pt;z-index:251661312;v-text-anchor:middle;mso-width-relative:page;mso-height-relative:page;" filled="t" stroked="t" coordsize="21600,21600" o:gfxdata="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CqJg6+tgAAACEB&#10;AAAZAAAAZHJzL19yZWxzL2Uyb0RvYy54bWwucmVsc4WPQWrDMBBF94XcQcw+lp1FKMWyN6HgbUgO&#10;MEhjWcQaCUkt9e0jyCaBQJfzP/89ph///Cp+KWUXWEHXtCCIdTCOrYLr5Xv/CSIXZINrYFKwUYZx&#10;2H30Z1qx1FFeXMyiUjgrWEqJX1JmvZDH3IRIXJs5JI+lnsnKiPqGluShbY8yPTNgeGGKyShIk+lA&#10;XLZYzf+zwzw7TaegfzxxeaOQzld3BWKyVBR4Mg4fYddEtiCHXr48NtwB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">
                      <v:fill type="frame" on="t" focussize="0,0" recolor="t" rotate="t" r:id="rId8"/>
                      <v:stroke weight="1pt" color="#2E75B6 [2404]" miterlimit="8" joinstyle="miter"/>
                      <v:imagedata o:title=""/>
                      <o:lock v:ext="edit" aspectratio="f"/>
                    </v:rect>
                  </w:pict>
                </mc:Fallback>
              </mc:AlternateContent>
            </w:r>
            <w:r>
              <w:rPr>
                <w:rFonts w:hint="eastAsia" w:ascii="Times New Roman" w:hAnsi="Times New Roman" w:eastAsia="宋体" w:cs="Times New Roman"/>
                <w:color w:val="auto"/>
                <w:sz w:val="24"/>
                <w:szCs w:val="24"/>
                <w:lang w:eastAsia="zh-CN"/>
              </w:rPr>
              <w:drawing>
                <wp:inline distT="0" distB="0" distL="114300" distR="114300">
                  <wp:extent cx="5240020" cy="2839085"/>
                  <wp:effectExtent l="0" t="0" r="17780" b="18415"/>
                  <wp:docPr id="2" name="图片 2" descr="三线一单公共服务平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三线一单公共服务平台"/>
                          <pic:cNvPicPr>
                            <a:picLocks noChangeAspect="1"/>
                          </pic:cNvPicPr>
                        </pic:nvPicPr>
                        <pic:blipFill>
                          <a:blip r:embed="rId9"/>
                          <a:stretch>
                            <a:fillRect/>
                          </a:stretch>
                        </pic:blipFill>
                        <pic:spPr>
                          <a:xfrm>
                            <a:off x="0" y="0"/>
                            <a:ext cx="5240020" cy="2839085"/>
                          </a:xfrm>
                          <a:prstGeom prst="rect">
                            <a:avLst/>
                          </a:prstGeom>
                        </pic:spPr>
                      </pic:pic>
                    </a:graphicData>
                  </a:graphic>
                </wp:inline>
              </w:drawing>
            </w:r>
          </w:p>
          <w:p w14:paraId="7AE10A8A">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图1-1  项目与池州市生态环境管控单元位置关系图</w:t>
            </w:r>
          </w:p>
          <w:p w14:paraId="6B681FC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本项目区域位于“重点管控单元6”（编码为：ZH34170220006），相关要求对照详见下表</w:t>
            </w:r>
            <w:r>
              <w:rPr>
                <w:rFonts w:hint="default" w:ascii="Times New Roman" w:hAnsi="Times New Roman" w:eastAsia="宋体" w:cs="Times New Roman"/>
                <w:kern w:val="0"/>
                <w:sz w:val="24"/>
                <w:szCs w:val="20"/>
                <w:lang w:val="en-US" w:eastAsia="zh-CN" w:bidi="ar-SA"/>
              </w:rPr>
              <w:t>。</w:t>
            </w:r>
          </w:p>
          <w:p w14:paraId="59948262">
            <w:pPr>
              <w:pStyle w:val="22"/>
              <w:spacing w:line="240" w:lineRule="auto"/>
              <w:ind w:firstLine="480"/>
              <w:jc w:val="center"/>
              <w:rPr>
                <w:rFonts w:hint="default" w:ascii="Times New Roman" w:hAnsi="Times New Roman" w:cs="Times New Roman"/>
                <w:color w:val="auto"/>
                <w:lang w:eastAsia="zh-CN"/>
              </w:rPr>
            </w:pPr>
            <w:r>
              <w:rPr>
                <w:rFonts w:hint="default" w:ascii="Times New Roman" w:hAnsi="Times New Roman" w:eastAsia="宋体" w:cs="Times New Roman"/>
                <w:b/>
                <w:bCs/>
                <w:color w:val="auto"/>
                <w:spacing w:val="-2"/>
                <w:sz w:val="24"/>
                <w:szCs w:val="24"/>
              </w:rPr>
              <w:t>表</w:t>
            </w:r>
            <w:r>
              <w:rPr>
                <w:rFonts w:hint="eastAsia" w:cs="Times New Roman"/>
                <w:b/>
                <w:bCs/>
                <w:color w:val="auto"/>
                <w:spacing w:val="-2"/>
                <w:sz w:val="24"/>
                <w:szCs w:val="24"/>
                <w:lang w:val="en-US" w:eastAsia="zh-CN"/>
              </w:rPr>
              <w:t>1</w:t>
            </w:r>
            <w:r>
              <w:rPr>
                <w:rFonts w:hint="default" w:ascii="Times New Roman" w:hAnsi="Times New Roman" w:eastAsia="宋体" w:cs="Times New Roman"/>
                <w:b/>
                <w:bCs/>
                <w:color w:val="auto"/>
                <w:spacing w:val="-2"/>
                <w:sz w:val="24"/>
                <w:szCs w:val="24"/>
              </w:rPr>
              <w:t>-</w:t>
            </w:r>
            <w:r>
              <w:rPr>
                <w:rFonts w:hint="eastAsia" w:cs="Times New Roman"/>
                <w:b/>
                <w:bCs/>
                <w:color w:val="auto"/>
                <w:spacing w:val="-2"/>
                <w:sz w:val="24"/>
                <w:szCs w:val="24"/>
                <w:lang w:val="en-US" w:eastAsia="zh-CN"/>
              </w:rPr>
              <w:t>6</w:t>
            </w:r>
            <w:r>
              <w:rPr>
                <w:rFonts w:hint="default" w:ascii="Times New Roman" w:hAnsi="Times New Roman" w:eastAsia="宋体" w:cs="Times New Roman"/>
                <w:b/>
                <w:bCs/>
                <w:color w:val="auto"/>
                <w:spacing w:val="-2"/>
                <w:sz w:val="24"/>
                <w:szCs w:val="24"/>
              </w:rPr>
              <w:t xml:space="preserve">  </w:t>
            </w:r>
            <w:r>
              <w:rPr>
                <w:rFonts w:hint="eastAsia" w:ascii="Times New Roman" w:hAnsi="Times New Roman" w:eastAsia="宋体" w:cs="Times New Roman"/>
                <w:b/>
                <w:bCs/>
                <w:color w:val="auto"/>
                <w:spacing w:val="-2"/>
                <w:sz w:val="24"/>
                <w:szCs w:val="24"/>
                <w:lang w:val="en-US" w:eastAsia="zh-CN"/>
              </w:rPr>
              <w:t>本项目</w:t>
            </w:r>
            <w:r>
              <w:rPr>
                <w:rFonts w:hint="default" w:ascii="Times New Roman" w:hAnsi="Times New Roman" w:eastAsia="宋体" w:cs="Times New Roman"/>
                <w:b/>
                <w:bCs/>
                <w:color w:val="auto"/>
                <w:spacing w:val="-2"/>
                <w:sz w:val="24"/>
                <w:szCs w:val="24"/>
              </w:rPr>
              <w:t>与</w:t>
            </w:r>
            <w:r>
              <w:rPr>
                <w:rFonts w:hint="default" w:ascii="Times New Roman" w:hAnsi="Times New Roman" w:eastAsia="宋体" w:cs="Times New Roman"/>
                <w:b/>
                <w:bCs/>
                <w:color w:val="auto"/>
                <w:spacing w:val="-2"/>
                <w:sz w:val="24"/>
                <w:szCs w:val="24"/>
                <w:lang w:eastAsia="zh-CN"/>
              </w:rPr>
              <w:t>分区管控</w:t>
            </w:r>
            <w:r>
              <w:rPr>
                <w:rFonts w:hint="default" w:ascii="Times New Roman" w:hAnsi="Times New Roman" w:eastAsia="宋体" w:cs="Times New Roman"/>
                <w:b/>
                <w:bCs/>
                <w:color w:val="auto"/>
                <w:spacing w:val="-2"/>
                <w:sz w:val="24"/>
                <w:szCs w:val="24"/>
              </w:rPr>
              <w:t>符合性分析</w:t>
            </w:r>
            <w:r>
              <w:rPr>
                <w:rFonts w:hint="eastAsia" w:ascii="Times New Roman" w:hAnsi="Times New Roman" w:eastAsia="宋体" w:cs="Times New Roman"/>
                <w:b/>
                <w:bCs/>
                <w:color w:val="auto"/>
                <w:spacing w:val="-2"/>
                <w:sz w:val="24"/>
                <w:szCs w:val="24"/>
                <w:lang w:val="en-US" w:eastAsia="zh-CN"/>
              </w:rPr>
              <w:t>对照</w:t>
            </w:r>
            <w:r>
              <w:rPr>
                <w:rFonts w:hint="default" w:ascii="Times New Roman" w:hAnsi="Times New Roman" w:eastAsia="宋体" w:cs="Times New Roman"/>
                <w:b/>
                <w:bCs/>
                <w:color w:val="auto"/>
                <w:spacing w:val="-1"/>
                <w:sz w:val="24"/>
                <w:szCs w:val="24"/>
              </w:rPr>
              <w:t>表</w:t>
            </w:r>
          </w:p>
          <w:tbl>
            <w:tblPr>
              <w:tblStyle w:val="24"/>
              <w:tblW w:w="4995"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1"/>
              <w:gridCol w:w="640"/>
              <w:gridCol w:w="4508"/>
              <w:gridCol w:w="1869"/>
              <w:gridCol w:w="527"/>
            </w:tblGrid>
            <w:tr w14:paraId="312C5B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5" w:type="pct"/>
                  <w:tcBorders>
                    <w:tl2br w:val="nil"/>
                    <w:tr2bl w:val="nil"/>
                  </w:tcBorders>
                  <w:noWrap w:val="0"/>
                  <w:vAlign w:val="center"/>
                </w:tcPr>
                <w:p w14:paraId="64E6DC9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auto"/>
                      <w:sz w:val="21"/>
                      <w:szCs w:val="21"/>
                      <w:vertAlign w:val="baseline"/>
                      <w:lang w:val="en-US" w:eastAsia="zh-CN"/>
                    </w:rPr>
                    <w:t>区域名称</w:t>
                  </w:r>
                </w:p>
              </w:tc>
              <w:tc>
                <w:tcPr>
                  <w:tcW w:w="388" w:type="pct"/>
                  <w:tcBorders>
                    <w:tl2br w:val="nil"/>
                    <w:tr2bl w:val="nil"/>
                  </w:tcBorders>
                  <w:noWrap w:val="0"/>
                  <w:vAlign w:val="center"/>
                </w:tcPr>
                <w:p w14:paraId="00D8C77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kern w:val="2"/>
                      <w:sz w:val="21"/>
                      <w:szCs w:val="21"/>
                      <w:vertAlign w:val="baseline"/>
                      <w:lang w:val="en-US" w:eastAsia="zh-CN" w:bidi="ar-SA"/>
                    </w:rPr>
                  </w:pPr>
                  <w:r>
                    <w:rPr>
                      <w:rFonts w:hint="eastAsia" w:ascii="Times New Roman" w:hAnsi="Times New Roman" w:cs="Times New Roman"/>
                      <w:color w:val="auto"/>
                      <w:sz w:val="21"/>
                      <w:szCs w:val="21"/>
                      <w:vertAlign w:val="baseline"/>
                      <w:lang w:val="en-US" w:eastAsia="zh-CN"/>
                    </w:rPr>
                    <w:t>管控类别</w:t>
                  </w:r>
                </w:p>
              </w:tc>
              <w:tc>
                <w:tcPr>
                  <w:tcW w:w="2732" w:type="pct"/>
                  <w:tcBorders>
                    <w:tl2br w:val="nil"/>
                    <w:tr2bl w:val="nil"/>
                  </w:tcBorders>
                  <w:noWrap w:val="0"/>
                  <w:vAlign w:val="center"/>
                </w:tcPr>
                <w:p w14:paraId="0BBA300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kern w:val="2"/>
                      <w:sz w:val="21"/>
                      <w:szCs w:val="21"/>
                      <w:vertAlign w:val="baseline"/>
                      <w:lang w:val="en-US" w:eastAsia="zh-CN" w:bidi="ar-SA"/>
                    </w:rPr>
                  </w:pPr>
                  <w:r>
                    <w:rPr>
                      <w:rFonts w:hint="eastAsia" w:ascii="Times New Roman" w:hAnsi="Times New Roman" w:cs="Times New Roman"/>
                      <w:color w:val="auto"/>
                      <w:sz w:val="21"/>
                      <w:szCs w:val="21"/>
                      <w:vertAlign w:val="baseline"/>
                      <w:lang w:val="en-US" w:eastAsia="zh-CN"/>
                    </w:rPr>
                    <w:t>管控要求</w:t>
                  </w:r>
                </w:p>
              </w:tc>
              <w:tc>
                <w:tcPr>
                  <w:tcW w:w="1133" w:type="pct"/>
                  <w:tcBorders>
                    <w:tl2br w:val="nil"/>
                    <w:tr2bl w:val="nil"/>
                  </w:tcBorders>
                  <w:noWrap w:val="0"/>
                  <w:vAlign w:val="center"/>
                </w:tcPr>
                <w:p w14:paraId="413410C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kern w:val="2"/>
                      <w:sz w:val="21"/>
                      <w:szCs w:val="21"/>
                      <w:vertAlign w:val="baseline"/>
                      <w:lang w:val="en-US" w:eastAsia="zh-CN" w:bidi="ar-SA"/>
                    </w:rPr>
                  </w:pPr>
                  <w:r>
                    <w:rPr>
                      <w:rFonts w:hint="eastAsia" w:ascii="Times New Roman" w:hAnsi="Times New Roman" w:cs="Times New Roman"/>
                      <w:color w:val="auto"/>
                      <w:sz w:val="21"/>
                      <w:szCs w:val="21"/>
                      <w:vertAlign w:val="baseline"/>
                      <w:lang w:val="en-US" w:eastAsia="zh-CN"/>
                    </w:rPr>
                    <w:t>本项目情况</w:t>
                  </w:r>
                </w:p>
              </w:tc>
              <w:tc>
                <w:tcPr>
                  <w:tcW w:w="319" w:type="pct"/>
                  <w:tcBorders>
                    <w:tl2br w:val="nil"/>
                    <w:tr2bl w:val="nil"/>
                  </w:tcBorders>
                  <w:noWrap w:val="0"/>
                  <w:vAlign w:val="center"/>
                </w:tcPr>
                <w:p w14:paraId="54C1F0A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auto"/>
                      <w:sz w:val="21"/>
                      <w:szCs w:val="21"/>
                      <w:vertAlign w:val="baseline"/>
                      <w:lang w:val="en-US" w:eastAsia="zh-CN"/>
                    </w:rPr>
                    <w:t>符合性</w:t>
                  </w:r>
                </w:p>
              </w:tc>
            </w:tr>
            <w:tr w14:paraId="4AA7FF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5" w:type="pct"/>
                  <w:vMerge w:val="restart"/>
                  <w:tcBorders>
                    <w:tl2br w:val="nil"/>
                    <w:tr2bl w:val="nil"/>
                  </w:tcBorders>
                  <w:noWrap w:val="0"/>
                  <w:vAlign w:val="center"/>
                </w:tcPr>
                <w:p w14:paraId="185BF6A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重点管控单元6</w:t>
                  </w:r>
                </w:p>
              </w:tc>
              <w:tc>
                <w:tcPr>
                  <w:tcW w:w="388" w:type="pct"/>
                  <w:tcBorders>
                    <w:tl2br w:val="nil"/>
                    <w:tr2bl w:val="nil"/>
                  </w:tcBorders>
                  <w:noWrap w:val="0"/>
                  <w:vAlign w:val="center"/>
                </w:tcPr>
                <w:p w14:paraId="38AAA63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eastAsia="zh-CN"/>
                    </w:rPr>
                  </w:pPr>
                  <w:r>
                    <w:rPr>
                      <w:rFonts w:hint="default" w:ascii="Times New Roman" w:hAnsi="Times New Roman" w:cs="Times New Roman"/>
                      <w:color w:val="auto"/>
                      <w:sz w:val="21"/>
                      <w:szCs w:val="21"/>
                      <w:vertAlign w:val="baseline"/>
                      <w:lang w:val="en-US" w:eastAsia="zh-CN"/>
                    </w:rPr>
                    <w:t>空间布局约束</w:t>
                  </w:r>
                </w:p>
              </w:tc>
              <w:tc>
                <w:tcPr>
                  <w:tcW w:w="2732" w:type="pct"/>
                  <w:tcBorders>
                    <w:tl2br w:val="nil"/>
                    <w:tr2bl w:val="nil"/>
                  </w:tcBorders>
                  <w:noWrap w:val="0"/>
                  <w:vAlign w:val="center"/>
                </w:tcPr>
                <w:p w14:paraId="00B60931">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禁止开发建设活动的要求：</w:t>
                  </w:r>
                </w:p>
                <w:p w14:paraId="528386AD">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1严格城市规划蓝线管理，城市规划区范围内应保留一定比例的水域面积，现有水域面积不得减少。新建项目一律不得违规占用水域。</w:t>
                  </w:r>
                </w:p>
                <w:p w14:paraId="15B3C760">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2落实磷石膏综合利用途径，综合利用不畅的可利用现有磷石膏库堆存，不得新建、扩建磷石膏库(暂存场除外)。允许开发建设活动的特殊要求：3坚持以水定城、以水定地、以水定人、以水定产，严格控制缺水地区、水污染严重地区和敏感区域高耗水、高污染行业发展，鼓励推动高耗水企业向水资源条件允许的工业园区集中。</w:t>
                  </w:r>
                </w:p>
                <w:p w14:paraId="46100EA7">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4引导石化、化工、钢铁、建材、有色金属等重点行业合理布局，提高化工、有色金属、农副食品加工、印染、制革、原料药制造、电镀等行业集聚水平。</w:t>
                  </w:r>
                </w:p>
                <w:p w14:paraId="7A375235">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5严格控制缺水地区、水污染严重地区和敏感区域高耗水、高污染行业发展，鼓励推动高耗水企业向水资源条件允许的工业园区集中。</w:t>
                  </w:r>
                </w:p>
                <w:p w14:paraId="65AAECDE">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6新建、扩建磷化工项目应布设在依法合规设立的化工园区或具有化工定位的产业园区内，所在化工园区或产业园区应依法开展规划环境影响评价工作，磷化工建设项目应符合园区规划及规划环评要求。不符合空间布局要求活动的退出要求：7持续开展涉水“散乱污”企业 清理整治，严把能耗、环保等标准，促使一批达不到标准或淘汰类产能的企业，依法依规关停退出。</w:t>
                  </w:r>
                </w:p>
                <w:p w14:paraId="22948425">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8推动污染企业退出。城市建成区内现有钢铁、有色金属、造纸、印染、原料药制造、化工等污染较重的企业应有序搬迁改造或依法关闭。</w:t>
                  </w:r>
                </w:p>
                <w:p w14:paraId="7C6BF9A9">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9严格水域岸线用途管制，土地开发利用应按照有关法律法规和技术标准要求，留足河道、湖泊的管理和保护范围，非法挤占的应限期退出。</w:t>
                  </w:r>
                </w:p>
                <w:p w14:paraId="02157193">
                  <w:pPr>
                    <w:keepNext w:val="0"/>
                    <w:keepLines w:val="0"/>
                    <w:widowControl/>
                    <w:suppressLineNumbers w:val="0"/>
                    <w:spacing w:line="240" w:lineRule="auto"/>
                    <w:jc w:val="both"/>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10国家禁止新建不符合国家产业政策的小型造纸、制革、印染、染料、炼焦、炼硫、炼砷、炼汞、炼油、电镀、农药、石棉、水泥、玻璃、钢铁、火电以及其他严重污染水环境的生产项目。</w:t>
                  </w:r>
                </w:p>
              </w:tc>
              <w:tc>
                <w:tcPr>
                  <w:tcW w:w="1133" w:type="pct"/>
                  <w:tcBorders>
                    <w:tl2br w:val="nil"/>
                    <w:tr2bl w:val="nil"/>
                  </w:tcBorders>
                  <w:noWrap w:val="0"/>
                  <w:vAlign w:val="center"/>
                </w:tcPr>
                <w:p w14:paraId="1FD3B91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auto"/>
                      <w:sz w:val="21"/>
                      <w:szCs w:val="21"/>
                      <w:vertAlign w:val="baseline"/>
                      <w:lang w:val="en-US" w:eastAsia="zh-CN"/>
                    </w:rPr>
                    <w:t>本项目为</w:t>
                  </w:r>
                  <w:r>
                    <w:rPr>
                      <w:rFonts w:hint="eastAsia" w:cs="Times New Roman"/>
                      <w:color w:val="auto"/>
                      <w:sz w:val="21"/>
                      <w:szCs w:val="21"/>
                      <w:vertAlign w:val="baseline"/>
                      <w:lang w:val="en-US" w:eastAsia="zh-CN"/>
                    </w:rPr>
                    <w:t>铝压延加工项目</w:t>
                  </w:r>
                  <w:r>
                    <w:rPr>
                      <w:rFonts w:hint="eastAsia" w:ascii="Times New Roman" w:hAnsi="Times New Roman" w:cs="Times New Roman"/>
                      <w:color w:val="auto"/>
                      <w:sz w:val="21"/>
                      <w:szCs w:val="21"/>
                      <w:vertAlign w:val="baseline"/>
                      <w:lang w:val="en-US" w:eastAsia="zh-CN"/>
                    </w:rPr>
                    <w:t>，项目位于皖江江南产业集中区，不涉及饮用水水源保护区及自然保护区、风景名胜区等环境敏感地区，不属于“两高”项目</w:t>
                  </w:r>
                  <w:r>
                    <w:rPr>
                      <w:rFonts w:hint="eastAsia" w:cs="Times New Roman"/>
                      <w:color w:val="auto"/>
                      <w:sz w:val="21"/>
                      <w:szCs w:val="21"/>
                      <w:vertAlign w:val="baseline"/>
                      <w:lang w:val="en-US" w:eastAsia="zh-CN"/>
                    </w:rPr>
                    <w:t>，</w:t>
                  </w:r>
                  <w:r>
                    <w:rPr>
                      <w:rFonts w:hint="eastAsia" w:ascii="Times New Roman" w:hAnsi="Times New Roman" w:cs="Times New Roman"/>
                      <w:color w:val="auto"/>
                      <w:sz w:val="21"/>
                      <w:szCs w:val="21"/>
                      <w:vertAlign w:val="baseline"/>
                      <w:lang w:val="en-US" w:eastAsia="zh-CN"/>
                    </w:rPr>
                    <w:t>项目建设符合集中区规划要求；项目符合“三线一单”管控要求；且项目相关污染物均做到达标排放</w:t>
                  </w:r>
                </w:p>
              </w:tc>
              <w:tc>
                <w:tcPr>
                  <w:tcW w:w="319" w:type="pct"/>
                  <w:tcBorders>
                    <w:tl2br w:val="nil"/>
                    <w:tr2bl w:val="nil"/>
                  </w:tcBorders>
                  <w:noWrap w:val="0"/>
                  <w:vAlign w:val="center"/>
                </w:tcPr>
                <w:p w14:paraId="191D7D0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auto"/>
                      <w:sz w:val="21"/>
                      <w:szCs w:val="21"/>
                      <w:vertAlign w:val="baseline"/>
                      <w:lang w:val="en-US" w:eastAsia="zh-CN"/>
                    </w:rPr>
                    <w:t>符合</w:t>
                  </w:r>
                </w:p>
              </w:tc>
            </w:tr>
            <w:tr w14:paraId="76F6B4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5" w:type="pct"/>
                  <w:vMerge w:val="continue"/>
                  <w:tcBorders>
                    <w:tl2br w:val="nil"/>
                    <w:tr2bl w:val="nil"/>
                  </w:tcBorders>
                  <w:noWrap w:val="0"/>
                  <w:vAlign w:val="center"/>
                </w:tcPr>
                <w:p w14:paraId="673057B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388" w:type="pct"/>
                  <w:tcBorders>
                    <w:tl2br w:val="nil"/>
                    <w:tr2bl w:val="nil"/>
                  </w:tcBorders>
                  <w:noWrap w:val="0"/>
                  <w:vAlign w:val="center"/>
                </w:tcPr>
                <w:p w14:paraId="132B068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auto"/>
                      <w:sz w:val="21"/>
                      <w:szCs w:val="21"/>
                      <w:vertAlign w:val="baseline"/>
                      <w:lang w:val="en-US" w:eastAsia="zh-CN"/>
                    </w:rPr>
                    <w:t>污染物排放管控</w:t>
                  </w:r>
                </w:p>
              </w:tc>
              <w:tc>
                <w:tcPr>
                  <w:tcW w:w="2732" w:type="pct"/>
                  <w:tcBorders>
                    <w:tl2br w:val="nil"/>
                    <w:tr2bl w:val="nil"/>
                  </w:tcBorders>
                  <w:noWrap w:val="0"/>
                  <w:vAlign w:val="center"/>
                </w:tcPr>
                <w:p w14:paraId="51EEB465">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1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14:paraId="5B484B6B">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2积极推进清洁生产审核，对焦化、有色金属、石化、化工、电镀、制革、石油开采、造纸、印染、 农副食品加工等行业，全面推进清洁生产改造或清洁化改造。</w:t>
                  </w:r>
                </w:p>
                <w:p w14:paraId="7397D409">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3建设项目所在水环境控制单元或断面总磷超标的，实施总磷排放量2倍或以上削减替代。所在水环境控制单元或断面总磷达标的，实施总磷排放量等量或以上削减替代。替代量应来源于项目同一水环境控制单元或断面上游拟实施关停、升级改造的工业企业，不得来源于农业源、城镇污水处理厂或已列入流域环境质量改善计划的工业企业。相应的减排措施应确保在项目投产前完成。现有源提标改造：</w:t>
                  </w:r>
                </w:p>
                <w:p w14:paraId="05F8A151">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4专项整治十大重点行业。制定造纸、焦化、氮肥、有色金属、印染、农副食品加工、原料药制造、制革、农药、电镀等行业专项治理方案，对重点行业企业实施清洁化改造。</w:t>
                  </w:r>
                </w:p>
                <w:p w14:paraId="3992FAB2">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5实施技术、工艺、设备等生态化、循环化改造，加快布局分散的企业向园区集中，按要求设置生态隔离带，建设相应的防护工程。</w:t>
                  </w:r>
                </w:p>
                <w:p w14:paraId="50FD19C4">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水污染控制措施要求：</w:t>
                  </w:r>
                </w:p>
                <w:p w14:paraId="2B9C44A8">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6所有排污单位必须依法实现全面达标排放。逐一排查工业企业排污情况，达标企业应采取措施确保稳定达标；对超标和超总量的企业予以“黄牌”警示，一律限制生产或停产整治；对整治仍不能达到要求且情节严重的企业予以“红牌”处罚，一律停业、关闭。</w:t>
                  </w:r>
                </w:p>
                <w:p w14:paraId="68C276EB">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7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w:t>
                  </w:r>
                </w:p>
              </w:tc>
              <w:tc>
                <w:tcPr>
                  <w:tcW w:w="1133" w:type="pct"/>
                  <w:tcBorders>
                    <w:tl2br w:val="nil"/>
                    <w:tr2bl w:val="nil"/>
                  </w:tcBorders>
                  <w:noWrap w:val="0"/>
                  <w:vAlign w:val="center"/>
                </w:tcPr>
                <w:p w14:paraId="564BE83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本项目建成后将按照环境主管部门核定的总量进行排污；项目不涉及总磷排放量替代；</w:t>
                  </w:r>
                  <w:r>
                    <w:rPr>
                      <w:rFonts w:hint="eastAsia" w:cs="Times New Roman"/>
                      <w:color w:val="000000" w:themeColor="text1"/>
                      <w:kern w:val="0"/>
                      <w:sz w:val="21"/>
                      <w:szCs w:val="21"/>
                      <w:lang w:val="en-US" w:eastAsia="zh-CN" w:bidi="ar"/>
                      <w14:textFill>
                        <w14:solidFill>
                          <w14:schemeClr w14:val="tx1"/>
                        </w14:solidFill>
                      </w14:textFill>
                    </w:rPr>
                    <w:t>项目不属于十大重点行业。</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项目无生产废水排放；项目生活污水将排至皖江江南产业集中区第一污水处理厂处理后排放</w:t>
                  </w:r>
                </w:p>
              </w:tc>
              <w:tc>
                <w:tcPr>
                  <w:tcW w:w="319" w:type="pct"/>
                  <w:tcBorders>
                    <w:tl2br w:val="nil"/>
                    <w:tr2bl w:val="nil"/>
                  </w:tcBorders>
                  <w:noWrap w:val="0"/>
                  <w:vAlign w:val="center"/>
                </w:tcPr>
                <w:p w14:paraId="79FED5F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cs="Times New Roman"/>
                      <w:color w:val="auto"/>
                      <w:sz w:val="21"/>
                      <w:szCs w:val="21"/>
                      <w:vertAlign w:val="baseline"/>
                      <w:lang w:val="en-US" w:eastAsia="zh-CN"/>
                    </w:rPr>
                  </w:pPr>
                </w:p>
              </w:tc>
            </w:tr>
            <w:tr w14:paraId="703910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5" w:type="pct"/>
                  <w:vMerge w:val="continue"/>
                  <w:tcBorders>
                    <w:tl2br w:val="nil"/>
                    <w:tr2bl w:val="nil"/>
                  </w:tcBorders>
                  <w:noWrap w:val="0"/>
                  <w:vAlign w:val="center"/>
                </w:tcPr>
                <w:p w14:paraId="54AFA9D2">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388" w:type="pct"/>
                  <w:tcBorders>
                    <w:tl2br w:val="nil"/>
                    <w:tr2bl w:val="nil"/>
                  </w:tcBorders>
                  <w:noWrap w:val="0"/>
                  <w:vAlign w:val="center"/>
                </w:tcPr>
                <w:p w14:paraId="1036123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auto"/>
                      <w:sz w:val="21"/>
                      <w:szCs w:val="21"/>
                      <w:vertAlign w:val="baseline"/>
                      <w:lang w:val="en-US" w:eastAsia="zh-CN"/>
                    </w:rPr>
                    <w:t>资源开发效率要求</w:t>
                  </w:r>
                </w:p>
              </w:tc>
              <w:tc>
                <w:tcPr>
                  <w:tcW w:w="2732" w:type="pct"/>
                  <w:tcBorders>
                    <w:tl2br w:val="nil"/>
                    <w:tr2bl w:val="nil"/>
                  </w:tcBorders>
                  <w:noWrap w:val="0"/>
                  <w:vAlign w:val="center"/>
                </w:tcPr>
                <w:p w14:paraId="4BF66BE5">
                  <w:pPr>
                    <w:keepNext w:val="0"/>
                    <w:keepLines w:val="0"/>
                    <w:widowControl/>
                    <w:suppressLineNumbers w:val="0"/>
                    <w:spacing w:line="240" w:lineRule="auto"/>
                    <w:jc w:val="both"/>
                    <w:rPr>
                      <w:rFonts w:hint="eastAsia" w:ascii="宋体" w:hAnsi="宋体" w:eastAsia="宋体" w:cs="宋体"/>
                      <w:sz w:val="21"/>
                      <w:szCs w:val="21"/>
                    </w:rPr>
                  </w:pPr>
                  <w:r>
                    <w:rPr>
                      <w:rFonts w:hint="eastAsia" w:ascii="宋体" w:hAnsi="宋体" w:eastAsia="宋体" w:cs="宋体"/>
                      <w:sz w:val="21"/>
                      <w:szCs w:val="21"/>
                    </w:rPr>
                    <w:t>1坚持集中式与分布式建设并举，因地制宜建设集中式光伏发电项目，推动整县（市、区）屋顶分布式光伏发电试点工作。坚持集中式和分散式相结合，有序推进皖北平原连片风电项目建设，稳妥推进皖西南地区集中式风电项目建设，鼓励分散式风电商业模式创新。大力推进风光储一体化建设。加快建设一批抽水蓄能电站，打造千万千瓦级绿色储能基地。多元高效利用生物质能，推进农林生物质热电联产项目新建和供热改造，合理规划城镇生活垃圾焚烧发电项目，统筹布局生物燃料乙醇项目，适度发展先进生物质液体燃料。到2025年，非化石能源占能源消费总量比重达到15.5%以上。</w:t>
                  </w:r>
                </w:p>
                <w:p w14:paraId="41647AE5">
                  <w:pPr>
                    <w:keepNext w:val="0"/>
                    <w:keepLines w:val="0"/>
                    <w:widowControl/>
                    <w:suppressLineNumbers w:val="0"/>
                    <w:spacing w:line="240" w:lineRule="auto"/>
                    <w:jc w:val="both"/>
                    <w:rPr>
                      <w:rFonts w:hint="eastAsia" w:ascii="宋体" w:hAnsi="宋体" w:eastAsia="宋体" w:cs="宋体"/>
                      <w:sz w:val="21"/>
                      <w:szCs w:val="21"/>
                    </w:rPr>
                  </w:pPr>
                  <w:r>
                    <w:rPr>
                      <w:rFonts w:hint="eastAsia" w:ascii="宋体" w:hAnsi="宋体" w:eastAsia="宋体" w:cs="宋体"/>
                      <w:sz w:val="21"/>
                      <w:szCs w:val="21"/>
                    </w:rPr>
                    <w:t>2推动煤电行业实施节能降耗改造、供热改造和灵活性改造“三改联动”。加快供热管网建设，淘汰管网覆盖范围内的燃煤锅炉和散煤。到2025年，火电平均供电煤耗降至295克标煤/千瓦时，散煤基本清零。</w:t>
                  </w:r>
                </w:p>
                <w:p w14:paraId="1C49C24B">
                  <w:pPr>
                    <w:keepNext w:val="0"/>
                    <w:keepLines w:val="0"/>
                    <w:widowControl/>
                    <w:suppressLineNumbers w:val="0"/>
                    <w:spacing w:line="240" w:lineRule="auto"/>
                    <w:jc w:val="both"/>
                    <w:rPr>
                      <w:rFonts w:hint="default" w:ascii="Times New Roman" w:hAnsi="Times New Roman" w:cs="Times New Roman"/>
                      <w:color w:val="auto"/>
                      <w:sz w:val="21"/>
                      <w:szCs w:val="21"/>
                      <w:vertAlign w:val="baseline"/>
                      <w:lang w:val="en-US" w:eastAsia="zh-CN"/>
                    </w:rPr>
                  </w:pPr>
                  <w:r>
                    <w:rPr>
                      <w:rFonts w:hint="eastAsia" w:ascii="宋体" w:hAnsi="宋体" w:eastAsia="宋体" w:cs="宋体"/>
                      <w:sz w:val="21"/>
                      <w:szCs w:val="21"/>
                    </w:rPr>
                    <w:t>3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w:t>
                  </w:r>
                </w:p>
              </w:tc>
              <w:tc>
                <w:tcPr>
                  <w:tcW w:w="1133" w:type="pct"/>
                  <w:tcBorders>
                    <w:tl2br w:val="nil"/>
                    <w:tr2bl w:val="nil"/>
                  </w:tcBorders>
                  <w:noWrap w:val="0"/>
                  <w:vAlign w:val="center"/>
                </w:tcPr>
                <w:p w14:paraId="5893375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本项目位于皖江江南产业集中区，</w:t>
                  </w:r>
                  <w:r>
                    <w:rPr>
                      <w:rFonts w:hint="eastAsia" w:cs="Times New Roman"/>
                      <w:color w:val="auto"/>
                      <w:sz w:val="21"/>
                      <w:szCs w:val="21"/>
                      <w:vertAlign w:val="baseline"/>
                      <w:lang w:val="en-US" w:eastAsia="zh-CN"/>
                    </w:rPr>
                    <w:t>项目使用能源为电能、天然气，</w:t>
                  </w:r>
                  <w:r>
                    <w:rPr>
                      <w:rFonts w:hint="default" w:ascii="Times New Roman" w:hAnsi="Times New Roman" w:eastAsia="宋体" w:cs="Times New Roman"/>
                      <w:color w:val="auto"/>
                      <w:sz w:val="21"/>
                      <w:szCs w:val="21"/>
                      <w:vertAlign w:val="baseline"/>
                      <w:lang w:val="en-US" w:eastAsia="zh-CN"/>
                    </w:rPr>
                    <w:t>项目供水、供电</w:t>
                  </w:r>
                  <w:r>
                    <w:rPr>
                      <w:rFonts w:hint="eastAsia" w:cs="Times New Roman"/>
                      <w:color w:val="auto"/>
                      <w:sz w:val="21"/>
                      <w:szCs w:val="21"/>
                      <w:vertAlign w:val="baseline"/>
                      <w:lang w:val="en-US" w:eastAsia="zh-CN"/>
                    </w:rPr>
                    <w:t>、供气</w:t>
                  </w:r>
                  <w:r>
                    <w:rPr>
                      <w:rFonts w:hint="default" w:ascii="Times New Roman" w:hAnsi="Times New Roman" w:eastAsia="宋体" w:cs="Times New Roman"/>
                      <w:color w:val="auto"/>
                      <w:sz w:val="21"/>
                      <w:szCs w:val="21"/>
                      <w:vertAlign w:val="baseline"/>
                      <w:lang w:val="en-US" w:eastAsia="zh-CN"/>
                    </w:rPr>
                    <w:t>依托园区管网，资源用量相较于园区总量较低，同时项目生活污水经</w:t>
                  </w:r>
                  <w:r>
                    <w:rPr>
                      <w:rFonts w:hint="default" w:ascii="Times New Roman" w:hAnsi="Times New Roman" w:eastAsia="宋体" w:cs="Times New Roman"/>
                      <w:color w:val="auto"/>
                      <w:kern w:val="0"/>
                      <w:sz w:val="21"/>
                      <w:szCs w:val="21"/>
                      <w:lang w:val="en-US" w:eastAsia="zh-CN" w:bidi="ar"/>
                    </w:rPr>
                    <w:t>皖江江南产业集中区第一污水处理厂处理后排放</w:t>
                  </w:r>
                </w:p>
              </w:tc>
              <w:tc>
                <w:tcPr>
                  <w:tcW w:w="319" w:type="pct"/>
                  <w:tcBorders>
                    <w:tl2br w:val="nil"/>
                    <w:tr2bl w:val="nil"/>
                  </w:tcBorders>
                  <w:noWrap w:val="0"/>
                  <w:vAlign w:val="center"/>
                </w:tcPr>
                <w:p w14:paraId="3BD944D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cs="Times New Roman"/>
                      <w:color w:val="auto"/>
                      <w:sz w:val="21"/>
                      <w:szCs w:val="21"/>
                      <w:vertAlign w:val="baseline"/>
                      <w:lang w:val="en-US" w:eastAsia="zh-CN"/>
                    </w:rPr>
                  </w:pPr>
                </w:p>
              </w:tc>
            </w:tr>
          </w:tbl>
          <w:p w14:paraId="1F2E469B">
            <w:pPr>
              <w:pStyle w:val="22"/>
              <w:keepNext w:val="0"/>
              <w:keepLines w:val="0"/>
              <w:pageBreakBefore w:val="0"/>
              <w:widowControl w:val="0"/>
              <w:kinsoku/>
              <w:wordWrap/>
              <w:overflowPunct/>
              <w:topLinePunct w:val="0"/>
              <w:autoSpaceDE/>
              <w:autoSpaceDN/>
              <w:bidi w:val="0"/>
              <w:adjustRightInd w:val="0"/>
              <w:snapToGrid w:val="0"/>
              <w:spacing w:before="157" w:beforeLines="50" w:after="0" w:line="360" w:lineRule="auto"/>
              <w:ind w:firstLine="44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经对照本项目满足该区域满足优先管控单元相关要求。</w:t>
            </w:r>
          </w:p>
          <w:p w14:paraId="6FC2E890">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4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val="en-US" w:eastAsia="zh-CN"/>
              </w:rPr>
              <w:t>综上所述，拟建项目建设符合生态保护红线要求；符合环境质量底线要求；符合资源利用上线要求；符合池州市“三线一单”分区管控的要求；项目符合“三线一单”管理要求</w:t>
            </w:r>
            <w:r>
              <w:rPr>
                <w:rFonts w:hint="eastAsia" w:cs="Times New Roman"/>
                <w:color w:val="auto"/>
                <w:sz w:val="24"/>
                <w:szCs w:val="24"/>
                <w:lang w:val="en-US" w:eastAsia="zh-CN"/>
              </w:rPr>
              <w:t>。</w:t>
            </w:r>
          </w:p>
          <w:p w14:paraId="09AFDB4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rPr>
              <w:t>产业政策符合性分析</w:t>
            </w:r>
          </w:p>
          <w:p w14:paraId="4CAE1AE4">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本项目属于《国民经济行业分类》</w:t>
            </w:r>
            <w:r>
              <w:rPr>
                <w:rFonts w:hint="default" w:ascii="宋体" w:hAnsi="宋体" w:eastAsia="宋体" w:cs="宋体"/>
                <w:color w:val="auto"/>
                <w:kern w:val="0"/>
                <w:sz w:val="24"/>
                <w:szCs w:val="24"/>
                <w:highlight w:val="none"/>
              </w:rPr>
              <w:t>(</w:t>
            </w:r>
            <w:r>
              <w:rPr>
                <w:rFonts w:hint="default" w:ascii="Times New Roman" w:hAnsi="Times New Roman" w:eastAsia="宋体" w:cs="Times New Roman"/>
                <w:color w:val="auto"/>
                <w:kern w:val="0"/>
                <w:sz w:val="24"/>
                <w:szCs w:val="24"/>
                <w:highlight w:val="none"/>
              </w:rPr>
              <w:t>GBT4754-2017</w:t>
            </w:r>
            <w:r>
              <w:rPr>
                <w:rFonts w:hint="default" w:ascii="宋体" w:hAnsi="宋体" w:eastAsia="宋体" w:cs="宋体"/>
                <w:color w:val="auto"/>
                <w:kern w:val="0"/>
                <w:sz w:val="24"/>
                <w:szCs w:val="24"/>
                <w:highlight w:val="none"/>
              </w:rPr>
              <w:t>)</w:t>
            </w:r>
            <w:r>
              <w:rPr>
                <w:rFonts w:hint="default" w:ascii="Times New Roman" w:hAnsi="Times New Roman" w:eastAsia="宋体" w:cs="Times New Roman"/>
                <w:color w:val="auto"/>
                <w:kern w:val="0"/>
                <w:sz w:val="24"/>
                <w:szCs w:val="24"/>
                <w:highlight w:val="none"/>
              </w:rPr>
              <w:t>2019年修改版中的C</w:t>
            </w:r>
            <w:r>
              <w:rPr>
                <w:rFonts w:hint="eastAsia" w:cs="Times New Roman"/>
                <w:color w:val="auto"/>
                <w:kern w:val="0"/>
                <w:sz w:val="24"/>
                <w:szCs w:val="24"/>
                <w:highlight w:val="none"/>
                <w:lang w:val="en-US" w:eastAsia="zh-CN"/>
              </w:rPr>
              <w:t>3252 铝压延加工项目</w:t>
            </w:r>
            <w:r>
              <w:rPr>
                <w:rFonts w:hint="default" w:ascii="Times New Roman" w:hAnsi="Times New Roman" w:eastAsia="宋体" w:cs="Times New Roman"/>
                <w:color w:val="auto"/>
                <w:kern w:val="0"/>
                <w:sz w:val="24"/>
                <w:szCs w:val="24"/>
                <w:highlight w:val="none"/>
              </w:rPr>
              <w:t>。根据《产业结构调整指导目录》</w:t>
            </w:r>
            <w:r>
              <w:rPr>
                <w:rFonts w:hint="default" w:ascii="宋体" w:hAnsi="宋体" w:eastAsia="宋体" w:cs="宋体"/>
                <w:color w:val="auto"/>
                <w:kern w:val="0"/>
                <w:sz w:val="24"/>
                <w:szCs w:val="24"/>
                <w:highlight w:val="none"/>
              </w:rPr>
              <w:t>(</w:t>
            </w:r>
            <w:r>
              <w:rPr>
                <w:rFonts w:hint="default" w:ascii="Times New Roman" w:hAnsi="Times New Roman" w:eastAsia="宋体" w:cs="Times New Roman"/>
                <w:color w:val="auto"/>
                <w:kern w:val="0"/>
                <w:sz w:val="24"/>
                <w:szCs w:val="24"/>
                <w:highlight w:val="none"/>
              </w:rPr>
              <w:t>202</w:t>
            </w:r>
            <w:r>
              <w:rPr>
                <w:rFonts w:hint="eastAsia"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年本</w:t>
            </w:r>
            <w:r>
              <w:rPr>
                <w:rFonts w:hint="default" w:ascii="宋体" w:hAnsi="宋体" w:eastAsia="宋体" w:cs="宋体"/>
                <w:color w:val="auto"/>
                <w:kern w:val="0"/>
                <w:sz w:val="24"/>
                <w:szCs w:val="24"/>
                <w:highlight w:val="none"/>
              </w:rPr>
              <w:t>)</w:t>
            </w:r>
            <w:r>
              <w:rPr>
                <w:rFonts w:hint="default" w:ascii="Times New Roman" w:hAnsi="Times New Roman" w:eastAsia="宋体" w:cs="Times New Roman"/>
                <w:color w:val="auto"/>
                <w:kern w:val="0"/>
                <w:sz w:val="24"/>
                <w:szCs w:val="24"/>
                <w:highlight w:val="none"/>
              </w:rPr>
              <w:t>，本项目生产规模、工艺技术、装备不属于其中的“限制类”和“淘汰类”，因此本项目符合国家产业政策</w:t>
            </w:r>
            <w:r>
              <w:rPr>
                <w:rFonts w:hint="eastAsia" w:ascii="Times New Roman" w:hAnsi="Times New Roman" w:eastAsia="宋体" w:cs="Times New Roman"/>
                <w:color w:val="auto"/>
                <w:kern w:val="0"/>
                <w:sz w:val="24"/>
                <w:szCs w:val="24"/>
                <w:highlight w:val="none"/>
                <w:lang w:eastAsia="zh-CN"/>
              </w:rPr>
              <w:t>。</w:t>
            </w:r>
          </w:p>
          <w:p w14:paraId="66839EB2">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对照《安徽省“两高”项目重点管理范围（2025年版）》，本项目不属于“两高”项目。</w:t>
            </w:r>
            <w:r>
              <w:rPr>
                <w:rFonts w:hint="eastAsia" w:ascii="Times New Roman" w:hAnsi="Times New Roman" w:cs="Times New Roman"/>
                <w:kern w:val="0"/>
                <w:sz w:val="24"/>
                <w:szCs w:val="20"/>
                <w:lang w:val="en-US" w:eastAsia="zh-CN" w:bidi="ar-SA"/>
              </w:rPr>
              <w:t>且</w:t>
            </w:r>
            <w:r>
              <w:rPr>
                <w:rFonts w:hint="default" w:ascii="Times New Roman" w:hAnsi="Times New Roman" w:eastAsia="宋体" w:cs="Times New Roman"/>
                <w:color w:val="auto"/>
                <w:kern w:val="0"/>
                <w:sz w:val="24"/>
                <w:szCs w:val="24"/>
                <w:highlight w:val="none"/>
              </w:rPr>
              <w:t>本项目已在皖江江南新兴产业集中区产业发展部备案，</w:t>
            </w:r>
            <w:r>
              <w:rPr>
                <w:rFonts w:hint="eastAsia" w:cs="Times New Roman"/>
                <w:color w:val="auto"/>
                <w:kern w:val="0"/>
                <w:sz w:val="24"/>
                <w:szCs w:val="24"/>
                <w:highlight w:val="none"/>
                <w:lang w:val="en-US" w:eastAsia="zh-CN"/>
              </w:rPr>
              <w:t>项目代码</w:t>
            </w:r>
            <w:r>
              <w:rPr>
                <w:rFonts w:hint="default" w:ascii="Times New Roman" w:hAnsi="Times New Roman" w:cs="Times New Roman"/>
                <w:color w:val="auto"/>
                <w:kern w:val="0"/>
                <w:sz w:val="24"/>
                <w:szCs w:val="24"/>
                <w:highlight w:val="none"/>
                <w:lang w:val="en-US" w:eastAsia="zh-CN"/>
              </w:rPr>
              <w:t>：</w:t>
            </w:r>
            <w:r>
              <w:rPr>
                <w:rFonts w:hint="default"/>
                <w:color w:val="000000" w:themeColor="text1"/>
                <w:sz w:val="24"/>
                <w:szCs w:val="24"/>
                <w:lang w:val="en-US" w:eastAsia="zh-CN"/>
                <w14:textFill>
                  <w14:solidFill>
                    <w14:schemeClr w14:val="tx1"/>
                  </w14:solidFill>
                </w14:textFill>
              </w:rPr>
              <w:t>2310-341763-04-01-736922</w:t>
            </w:r>
            <w:r>
              <w:rPr>
                <w:rFonts w:hint="default" w:ascii="Times New Roman" w:hAnsi="Times New Roman" w:eastAsia="宋体" w:cs="Times New Roman"/>
                <w:color w:val="auto"/>
                <w:kern w:val="0"/>
                <w:sz w:val="24"/>
                <w:szCs w:val="24"/>
                <w:highlight w:val="none"/>
              </w:rPr>
              <w:t>。因此，项目建设符合国家和地方产业政策要求。</w:t>
            </w:r>
          </w:p>
          <w:p w14:paraId="0E5EC3D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FF0000"/>
                <w:lang w:val="en-US" w:eastAsia="zh-CN"/>
              </w:rPr>
            </w:pPr>
            <w:r>
              <w:rPr>
                <w:rFonts w:hint="eastAsia"/>
                <w:b/>
                <w:bCs/>
                <w:color w:val="000000" w:themeColor="text1"/>
                <w:lang w:val="en-US" w:eastAsia="zh-CN"/>
                <w14:textFill>
                  <w14:solidFill>
                    <w14:schemeClr w14:val="tx1"/>
                  </w14:solidFill>
                </w14:textFill>
              </w:rPr>
              <w:t>3、其他政策符合性分析</w:t>
            </w:r>
          </w:p>
          <w:p w14:paraId="0B081B47">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3.1  与《长江经济带生态环境保护规划》相符性</w:t>
            </w:r>
          </w:p>
          <w:p w14:paraId="4790AD0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2017年7月13日，环境保护部、发展改革委、水利部联合印发了《长江经济带生态环境保护规划》（环规财〔2017〕88号），《长江经济带生态环境保护规划》提出实行负面清单管理。即：</w:t>
            </w:r>
          </w:p>
          <w:p w14:paraId="158E82C9">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表1-7  与《长江经济带生态保护规划》相符性分析</w:t>
            </w:r>
          </w:p>
          <w:tbl>
            <w:tblPr>
              <w:tblStyle w:val="24"/>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40" w:type="dxa"/>
                <w:bottom w:w="0" w:type="dxa"/>
                <w:right w:w="40" w:type="dxa"/>
              </w:tblCellMar>
            </w:tblPr>
            <w:tblGrid>
              <w:gridCol w:w="6093"/>
              <w:gridCol w:w="1444"/>
              <w:gridCol w:w="713"/>
            </w:tblGrid>
            <w:tr w14:paraId="4E8D12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3692" w:type="pct"/>
                  <w:tcBorders>
                    <w:tl2br w:val="nil"/>
                    <w:tr2bl w:val="nil"/>
                  </w:tcBorders>
                  <w:vAlign w:val="center"/>
                </w:tcPr>
                <w:p w14:paraId="44EB389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文件内容</w:t>
                  </w:r>
                </w:p>
              </w:tc>
              <w:tc>
                <w:tcPr>
                  <w:tcW w:w="875" w:type="pct"/>
                  <w:tcBorders>
                    <w:tl2br w:val="nil"/>
                    <w:tr2bl w:val="nil"/>
                  </w:tcBorders>
                  <w:vAlign w:val="center"/>
                </w:tcPr>
                <w:p w14:paraId="2FB5475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本项目情况</w:t>
                  </w:r>
                </w:p>
              </w:tc>
              <w:tc>
                <w:tcPr>
                  <w:tcW w:w="432" w:type="pct"/>
                  <w:tcBorders>
                    <w:tl2br w:val="nil"/>
                    <w:tr2bl w:val="nil"/>
                  </w:tcBorders>
                  <w:vAlign w:val="center"/>
                </w:tcPr>
                <w:p w14:paraId="511FB7E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相符性</w:t>
                  </w:r>
                </w:p>
              </w:tc>
            </w:tr>
            <w:tr w14:paraId="5EBD8D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25" w:hRule="atLeast"/>
              </w:trPr>
              <w:tc>
                <w:tcPr>
                  <w:tcW w:w="3692" w:type="pct"/>
                  <w:tcBorders>
                    <w:tl2br w:val="nil"/>
                    <w:tr2bl w:val="nil"/>
                  </w:tcBorders>
                  <w:vAlign w:val="center"/>
                </w:tcPr>
                <w:p w14:paraId="7E992E0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长江沿线一切经济活动都要以不破坏生态环境为前提，抓紧制定产业准入负面清单，明确空间准入和环境准入清单式管理要求。提出长江沿线限制开发和禁止开发的岸线、河段、区域、产业以及相关管理措施。不符合要求占用岸线、河段、土地和布局的产业，必须无条件退出。除在建项目外，严禁在干流及主要支流岸线1公里范围内布局新建重化工园区，严控在中上游沿岸地区新建石油化工和煤化工项目。严控下游高污染、高排放企业向上游转移。</w:t>
                  </w:r>
                </w:p>
              </w:tc>
              <w:tc>
                <w:tcPr>
                  <w:tcW w:w="875" w:type="pct"/>
                  <w:tcBorders>
                    <w:tl2br w:val="nil"/>
                    <w:tr2bl w:val="nil"/>
                  </w:tcBorders>
                  <w:vAlign w:val="center"/>
                </w:tcPr>
                <w:p w14:paraId="58B70F3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拟建项目的建设不在岸线1公里范围内，</w:t>
                  </w:r>
                  <w:r>
                    <w:rPr>
                      <w:rFonts w:hint="eastAsia" w:cs="宋体"/>
                      <w:color w:val="000000" w:themeColor="text1"/>
                      <w:lang w:val="en-US" w:eastAsia="zh-CN" w:bidi="ar-SA"/>
                      <w14:textFill>
                        <w14:solidFill>
                          <w14:schemeClr w14:val="tx1"/>
                        </w14:solidFill>
                      </w14:textFill>
                    </w:rPr>
                    <w:t>项目</w:t>
                  </w:r>
                  <w:r>
                    <w:rPr>
                      <w:rFonts w:hint="eastAsia" w:ascii="Times New Roman" w:hAnsi="Times New Roman" w:eastAsia="宋体" w:cs="宋体"/>
                      <w:color w:val="000000" w:themeColor="text1"/>
                      <w:lang w:val="en-US" w:eastAsia="zh-CN" w:bidi="ar-SA"/>
                      <w14:textFill>
                        <w14:solidFill>
                          <w14:schemeClr w14:val="tx1"/>
                        </w14:solidFill>
                      </w14:textFill>
                    </w:rPr>
                    <w:t>不在相关负面清单范围内，不属于新建石油化工和煤化工项目。</w:t>
                  </w:r>
                </w:p>
              </w:tc>
              <w:tc>
                <w:tcPr>
                  <w:tcW w:w="432" w:type="pct"/>
                  <w:tcBorders>
                    <w:tl2br w:val="nil"/>
                    <w:tr2bl w:val="nil"/>
                  </w:tcBorders>
                  <w:vAlign w:val="center"/>
                </w:tcPr>
                <w:p w14:paraId="13DB78E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bl>
          <w:p w14:paraId="0F278545">
            <w:pPr>
              <w:pStyle w:val="43"/>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综上所述，拟建项目与《长江经济带生态保护规划》相符合。</w:t>
            </w:r>
          </w:p>
          <w:p w14:paraId="5EF94ABE">
            <w:pPr>
              <w:pStyle w:val="43"/>
              <w:bidi w:val="0"/>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3.2  与《关于打造水清岸绿产业优美丽长江（安徽）经济带的实施意见（升级版）》（皖发〔2021〕19号）相符性</w:t>
            </w:r>
          </w:p>
          <w:p w14:paraId="00F8C79F">
            <w:pPr>
              <w:pStyle w:val="43"/>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2021年8月9日，中共安徽省委、省政府印发了《关于打造水清岸绿产业优美丽长江（安徽）经济带的实施意见（升级版）》。</w:t>
            </w:r>
          </w:p>
          <w:p w14:paraId="0780D66C">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表1-8  与皖发〔2021〕19号文相符性分析</w:t>
            </w:r>
          </w:p>
          <w:tbl>
            <w:tblPr>
              <w:tblStyle w:val="24"/>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34" w:type="dxa"/>
                <w:bottom w:w="0" w:type="dxa"/>
                <w:right w:w="34" w:type="dxa"/>
              </w:tblCellMar>
            </w:tblPr>
            <w:tblGrid>
              <w:gridCol w:w="510"/>
              <w:gridCol w:w="5292"/>
              <w:gridCol w:w="1748"/>
              <w:gridCol w:w="700"/>
            </w:tblGrid>
            <w:tr w14:paraId="3540FF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09" w:type="pct"/>
                  <w:tcBorders>
                    <w:tl2br w:val="nil"/>
                    <w:tr2bl w:val="nil"/>
                  </w:tcBorders>
                  <w:vAlign w:val="center"/>
                </w:tcPr>
                <w:p w14:paraId="28865D9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序号</w:t>
                  </w:r>
                </w:p>
              </w:tc>
              <w:tc>
                <w:tcPr>
                  <w:tcW w:w="3206" w:type="pct"/>
                  <w:tcBorders>
                    <w:tl2br w:val="nil"/>
                    <w:tr2bl w:val="nil"/>
                  </w:tcBorders>
                  <w:vAlign w:val="center"/>
                </w:tcPr>
                <w:p w14:paraId="5642C03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文件内容</w:t>
                  </w:r>
                </w:p>
              </w:tc>
              <w:tc>
                <w:tcPr>
                  <w:tcW w:w="1059" w:type="pct"/>
                  <w:tcBorders>
                    <w:tl2br w:val="nil"/>
                    <w:tr2bl w:val="nil"/>
                  </w:tcBorders>
                  <w:vAlign w:val="center"/>
                </w:tcPr>
                <w:p w14:paraId="016E39C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本项目情况</w:t>
                  </w:r>
                </w:p>
              </w:tc>
              <w:tc>
                <w:tcPr>
                  <w:tcW w:w="424" w:type="pct"/>
                  <w:tcBorders>
                    <w:tl2br w:val="nil"/>
                    <w:tr2bl w:val="nil"/>
                  </w:tcBorders>
                  <w:vAlign w:val="center"/>
                </w:tcPr>
                <w:p w14:paraId="5320FFF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相符性</w:t>
                  </w:r>
                </w:p>
              </w:tc>
            </w:tr>
            <w:tr w14:paraId="76AF34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09" w:type="pct"/>
                  <w:tcBorders>
                    <w:tl2br w:val="nil"/>
                    <w:tr2bl w:val="nil"/>
                  </w:tcBorders>
                  <w:vAlign w:val="center"/>
                </w:tcPr>
                <w:p w14:paraId="414158A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w:t>
                  </w:r>
                </w:p>
              </w:tc>
              <w:tc>
                <w:tcPr>
                  <w:tcW w:w="3206" w:type="pct"/>
                  <w:tcBorders>
                    <w:tl2br w:val="nil"/>
                    <w:tr2bl w:val="nil"/>
                  </w:tcBorders>
                  <w:vAlign w:val="center"/>
                </w:tcPr>
                <w:p w14:paraId="4F6E63A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严禁1公里范围内新建化工项目。长江干支流岸线1公里范围内，严禁新建、扩建化工项目。已批未开工项目，依法停止建设，支持重新选址。已经开工建设的项目，严格进行检查评估，不符合岸线规划和环保、安全要求的，全部依法依规停建搬迁。</w:t>
                  </w:r>
                </w:p>
              </w:tc>
              <w:tc>
                <w:tcPr>
                  <w:tcW w:w="1059" w:type="pct"/>
                  <w:tcBorders>
                    <w:tl2br w:val="nil"/>
                    <w:tr2bl w:val="nil"/>
                  </w:tcBorders>
                  <w:vAlign w:val="center"/>
                </w:tcPr>
                <w:p w14:paraId="1817C41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项目厂界距离长江约</w:t>
                  </w:r>
                  <w:r>
                    <w:rPr>
                      <w:rFonts w:hint="eastAsia" w:cs="宋体"/>
                      <w:color w:val="000000" w:themeColor="text1"/>
                      <w:lang w:val="en-US" w:eastAsia="zh-CN" w:bidi="ar-SA"/>
                      <w14:textFill>
                        <w14:solidFill>
                          <w14:schemeClr w14:val="tx1"/>
                        </w14:solidFill>
                      </w14:textFill>
                    </w:rPr>
                    <w:t>5公里，且</w:t>
                  </w:r>
                  <w:r>
                    <w:rPr>
                      <w:rFonts w:hint="eastAsia" w:ascii="Times New Roman" w:hAnsi="Times New Roman" w:eastAsia="宋体" w:cs="宋体"/>
                      <w:color w:val="000000" w:themeColor="text1"/>
                      <w:lang w:val="en-US" w:eastAsia="zh-CN" w:bidi="ar-SA"/>
                      <w14:textFill>
                        <w14:solidFill>
                          <w14:schemeClr w14:val="tx1"/>
                        </w14:solidFill>
                      </w14:textFill>
                    </w:rPr>
                    <w:t>不属于化工项目。</w:t>
                  </w:r>
                </w:p>
              </w:tc>
              <w:tc>
                <w:tcPr>
                  <w:tcW w:w="424" w:type="pct"/>
                  <w:tcBorders>
                    <w:tl2br w:val="nil"/>
                    <w:tr2bl w:val="nil"/>
                  </w:tcBorders>
                  <w:vAlign w:val="center"/>
                </w:tcPr>
                <w:p w14:paraId="4F589FD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1A7CB4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09" w:type="pct"/>
                  <w:tcBorders>
                    <w:tl2br w:val="nil"/>
                    <w:tr2bl w:val="nil"/>
                  </w:tcBorders>
                  <w:vAlign w:val="center"/>
                </w:tcPr>
                <w:p w14:paraId="1F11208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2</w:t>
                  </w:r>
                </w:p>
              </w:tc>
              <w:tc>
                <w:tcPr>
                  <w:tcW w:w="3206" w:type="pct"/>
                  <w:tcBorders>
                    <w:tl2br w:val="nil"/>
                    <w:tr2bl w:val="nil"/>
                  </w:tcBorders>
                  <w:vAlign w:val="center"/>
                </w:tcPr>
                <w:p w14:paraId="25DE23F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和规划园区内，严禁新批环境基础设施不完善或长期不能稳定运行的企业新建和扩建化工项目。</w:t>
                  </w:r>
                </w:p>
              </w:tc>
              <w:tc>
                <w:tcPr>
                  <w:tcW w:w="1059" w:type="pct"/>
                  <w:tcBorders>
                    <w:tl2br w:val="nil"/>
                    <w:tr2bl w:val="nil"/>
                  </w:tcBorders>
                  <w:vAlign w:val="center"/>
                </w:tcPr>
                <w:p w14:paraId="6DECBDD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项目厂界距离长江约</w:t>
                  </w:r>
                  <w:r>
                    <w:rPr>
                      <w:rFonts w:hint="eastAsia" w:cs="宋体"/>
                      <w:color w:val="000000" w:themeColor="text1"/>
                      <w:lang w:val="en-US" w:eastAsia="zh-CN" w:bidi="ar-SA"/>
                      <w14:textFill>
                        <w14:solidFill>
                          <w14:schemeClr w14:val="tx1"/>
                        </w14:solidFill>
                      </w14:textFill>
                    </w:rPr>
                    <w:t>5公里，</w:t>
                  </w:r>
                  <w:r>
                    <w:rPr>
                      <w:rFonts w:hint="eastAsia" w:ascii="Times New Roman" w:hAnsi="Times New Roman" w:eastAsia="宋体" w:cs="宋体"/>
                      <w:color w:val="000000" w:themeColor="text1"/>
                      <w:lang w:val="en-US" w:eastAsia="zh-CN" w:bidi="ar-SA"/>
                      <w14:textFill>
                        <w14:solidFill>
                          <w14:schemeClr w14:val="tx1"/>
                        </w14:solidFill>
                      </w14:textFill>
                    </w:rPr>
                    <w:t>项目不属于重化工、重污染项目。生产过程的废气、废水均能做到有效处理达标排放。</w:t>
                  </w:r>
                </w:p>
              </w:tc>
              <w:tc>
                <w:tcPr>
                  <w:tcW w:w="424" w:type="pct"/>
                  <w:tcBorders>
                    <w:tl2br w:val="nil"/>
                    <w:tr2bl w:val="nil"/>
                  </w:tcBorders>
                  <w:vAlign w:val="center"/>
                </w:tcPr>
                <w:p w14:paraId="04C2E60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786A0A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09" w:type="pct"/>
                  <w:tcBorders>
                    <w:tl2br w:val="nil"/>
                    <w:tr2bl w:val="nil"/>
                  </w:tcBorders>
                  <w:vAlign w:val="center"/>
                </w:tcPr>
                <w:p w14:paraId="64E9329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3</w:t>
                  </w:r>
                </w:p>
              </w:tc>
              <w:tc>
                <w:tcPr>
                  <w:tcW w:w="3206" w:type="pct"/>
                  <w:tcBorders>
                    <w:tl2br w:val="nil"/>
                    <w:tr2bl w:val="nil"/>
                  </w:tcBorders>
                  <w:vAlign w:val="center"/>
                </w:tcPr>
                <w:p w14:paraId="42A8193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在岸线开发、河段利用、区域活动和产业发展等方面，严格执行《长江经济带发展负面清单指南（试行）》《安徽省长江经济带发展负面清单实施细则（试行）》。实施备案、环评、安评、能评等并联审批，未落实生态环保、安全生产、能源节约要求的，一律不得开工建设。</w:t>
                  </w:r>
                </w:p>
              </w:tc>
              <w:tc>
                <w:tcPr>
                  <w:tcW w:w="1059" w:type="pct"/>
                  <w:tcBorders>
                    <w:tl2br w:val="nil"/>
                    <w:tr2bl w:val="nil"/>
                  </w:tcBorders>
                  <w:vAlign w:val="center"/>
                </w:tcPr>
                <w:p w14:paraId="445865A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建设单位将按要求向生态环境部门申请排放总量，并按核定的总量进行排污。</w:t>
                  </w:r>
                </w:p>
              </w:tc>
              <w:tc>
                <w:tcPr>
                  <w:tcW w:w="424" w:type="pct"/>
                  <w:tcBorders>
                    <w:tl2br w:val="nil"/>
                    <w:tr2bl w:val="nil"/>
                  </w:tcBorders>
                  <w:vAlign w:val="center"/>
                </w:tcPr>
                <w:p w14:paraId="33F9A55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bl>
          <w:p w14:paraId="263571BD">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综上所述，项目与《水清岸绿产业</w:t>
            </w:r>
            <w:r>
              <w:rPr>
                <w:rFonts w:hint="eastAsia"/>
                <w:color w:val="000000" w:themeColor="text1"/>
                <w:highlight w:val="none"/>
                <w:lang w:val="en-US" w:eastAsia="zh-CN"/>
                <w14:textFill>
                  <w14:solidFill>
                    <w14:schemeClr w14:val="tx1"/>
                  </w14:solidFill>
                </w14:textFill>
              </w:rPr>
              <w:t>优</w:t>
            </w:r>
            <w:r>
              <w:rPr>
                <w:rFonts w:hint="eastAsia"/>
                <w:color w:val="000000" w:themeColor="text1"/>
                <w:lang w:val="en-US" w:eastAsia="zh-CN"/>
                <w14:textFill>
                  <w14:solidFill>
                    <w14:schemeClr w14:val="tx1"/>
                  </w14:solidFill>
                </w14:textFill>
              </w:rPr>
              <w:t>美丽长江（安徽）经济带的实施意见（升级版）》（皖发〔2021〕19号）相符。</w:t>
            </w:r>
          </w:p>
          <w:p w14:paraId="14C69546">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3.3  与《中华人民共和国长江保护法》相符性分析</w:t>
            </w:r>
          </w:p>
          <w:p w14:paraId="5A2351C2">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表1-9  与《中华人民共和国长江保护法》相符性分析</w:t>
            </w:r>
          </w:p>
          <w:tbl>
            <w:tblPr>
              <w:tblStyle w:val="24"/>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34" w:type="dxa"/>
                <w:bottom w:w="0" w:type="dxa"/>
                <w:right w:w="34" w:type="dxa"/>
              </w:tblCellMar>
            </w:tblPr>
            <w:tblGrid>
              <w:gridCol w:w="516"/>
              <w:gridCol w:w="3734"/>
              <w:gridCol w:w="3209"/>
              <w:gridCol w:w="791"/>
            </w:tblGrid>
            <w:tr w14:paraId="07668A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45398D0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序号</w:t>
                  </w:r>
                </w:p>
              </w:tc>
              <w:tc>
                <w:tcPr>
                  <w:tcW w:w="2262" w:type="pct"/>
                  <w:tcBorders>
                    <w:tl2br w:val="nil"/>
                    <w:tr2bl w:val="nil"/>
                  </w:tcBorders>
                  <w:vAlign w:val="center"/>
                </w:tcPr>
                <w:p w14:paraId="10AEC97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文件内容</w:t>
                  </w:r>
                </w:p>
              </w:tc>
              <w:tc>
                <w:tcPr>
                  <w:tcW w:w="1944" w:type="pct"/>
                  <w:tcBorders>
                    <w:tl2br w:val="nil"/>
                    <w:tr2bl w:val="nil"/>
                  </w:tcBorders>
                  <w:vAlign w:val="center"/>
                </w:tcPr>
                <w:p w14:paraId="6F33442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本项目情况</w:t>
                  </w:r>
                </w:p>
              </w:tc>
              <w:tc>
                <w:tcPr>
                  <w:tcW w:w="479" w:type="pct"/>
                  <w:tcBorders>
                    <w:tl2br w:val="nil"/>
                    <w:tr2bl w:val="nil"/>
                  </w:tcBorders>
                  <w:vAlign w:val="center"/>
                </w:tcPr>
                <w:p w14:paraId="6E83059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相符性</w:t>
                  </w:r>
                </w:p>
              </w:tc>
            </w:tr>
            <w:tr w14:paraId="063314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08E2E60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w:t>
                  </w:r>
                </w:p>
              </w:tc>
              <w:tc>
                <w:tcPr>
                  <w:tcW w:w="2262" w:type="pct"/>
                  <w:tcBorders>
                    <w:tl2br w:val="nil"/>
                    <w:tr2bl w:val="nil"/>
                  </w:tcBorders>
                  <w:vAlign w:val="center"/>
                </w:tcPr>
                <w:p w14:paraId="3FDD95B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禁止在长江干支流岸线一公里范围内新建、扩建化工园区和化工项目。</w:t>
                  </w:r>
                </w:p>
              </w:tc>
              <w:tc>
                <w:tcPr>
                  <w:tcW w:w="1944" w:type="pct"/>
                  <w:tcBorders>
                    <w:tl2br w:val="nil"/>
                    <w:tr2bl w:val="nil"/>
                  </w:tcBorders>
                  <w:vAlign w:val="center"/>
                </w:tcPr>
                <w:p w14:paraId="6B4FA77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本项目规划厂界距离长江（池州段）</w:t>
                  </w:r>
                  <w:r>
                    <w:rPr>
                      <w:rFonts w:hint="eastAsia" w:cs="宋体"/>
                      <w:color w:val="000000" w:themeColor="text1"/>
                      <w:lang w:val="en-US" w:eastAsia="zh-CN" w:bidi="ar-SA"/>
                      <w14:textFill>
                        <w14:solidFill>
                          <w14:schemeClr w14:val="tx1"/>
                        </w14:solidFill>
                      </w14:textFill>
                    </w:rPr>
                    <w:t>5</w:t>
                  </w:r>
                  <w:r>
                    <w:rPr>
                      <w:rFonts w:hint="eastAsia" w:ascii="Times New Roman" w:hAnsi="Times New Roman" w:eastAsia="宋体" w:cs="宋体"/>
                      <w:color w:val="000000" w:themeColor="text1"/>
                      <w:lang w:val="en-US" w:eastAsia="zh-CN" w:bidi="ar-SA"/>
                      <w14:textFill>
                        <w14:solidFill>
                          <w14:schemeClr w14:val="tx1"/>
                        </w14:solidFill>
                      </w14:textFill>
                    </w:rPr>
                    <w:t>公里，距离九华河</w:t>
                  </w:r>
                  <w:r>
                    <w:rPr>
                      <w:rFonts w:hint="eastAsia" w:cs="宋体"/>
                      <w:color w:val="000000" w:themeColor="text1"/>
                      <w:lang w:val="en-US" w:eastAsia="zh-CN" w:bidi="ar-SA"/>
                      <w14:textFill>
                        <w14:solidFill>
                          <w14:schemeClr w14:val="tx1"/>
                        </w14:solidFill>
                      </w14:textFill>
                    </w:rPr>
                    <w:t>1.3</w:t>
                  </w:r>
                  <w:r>
                    <w:rPr>
                      <w:rFonts w:hint="eastAsia" w:ascii="Times New Roman" w:hAnsi="Times New Roman" w:eastAsia="宋体" w:cs="宋体"/>
                      <w:color w:val="000000" w:themeColor="text1"/>
                      <w:lang w:val="en-US" w:eastAsia="zh-CN" w:bidi="ar-SA"/>
                      <w14:textFill>
                        <w14:solidFill>
                          <w14:schemeClr w14:val="tx1"/>
                        </w14:solidFill>
                      </w14:textFill>
                    </w:rPr>
                    <w:t>公里，项目不属于化工园区和化工项目。</w:t>
                  </w:r>
                </w:p>
              </w:tc>
              <w:tc>
                <w:tcPr>
                  <w:tcW w:w="479" w:type="pct"/>
                  <w:tcBorders>
                    <w:tl2br w:val="nil"/>
                    <w:tr2bl w:val="nil"/>
                  </w:tcBorders>
                  <w:vAlign w:val="center"/>
                </w:tcPr>
                <w:p w14:paraId="69196DF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692C1B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5097158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2</w:t>
                  </w:r>
                </w:p>
              </w:tc>
              <w:tc>
                <w:tcPr>
                  <w:tcW w:w="2262" w:type="pct"/>
                  <w:tcBorders>
                    <w:tl2br w:val="nil"/>
                    <w:tr2bl w:val="nil"/>
                  </w:tcBorders>
                  <w:vAlign w:val="center"/>
                </w:tcPr>
                <w:p w14:paraId="587E107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禁止在长江干支流岸线三公里范围内和重要支流岸线一公里范围内新建、改建、扩建尾矿库；但是以提升安全、生态环境保护水平为目的的改建除外。</w:t>
                  </w:r>
                </w:p>
              </w:tc>
              <w:tc>
                <w:tcPr>
                  <w:tcW w:w="1944" w:type="pct"/>
                  <w:tcBorders>
                    <w:tl2br w:val="nil"/>
                    <w:tr2bl w:val="nil"/>
                  </w:tcBorders>
                  <w:vAlign w:val="center"/>
                </w:tcPr>
                <w:p w14:paraId="34DAA47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本项目为</w:t>
                  </w:r>
                  <w:r>
                    <w:rPr>
                      <w:rFonts w:hint="eastAsia" w:cs="宋体"/>
                      <w:color w:val="000000" w:themeColor="text1"/>
                      <w:lang w:val="en-US" w:eastAsia="zh-CN" w:bidi="ar-SA"/>
                      <w14:textFill>
                        <w14:solidFill>
                          <w14:schemeClr w14:val="tx1"/>
                        </w14:solidFill>
                      </w14:textFill>
                    </w:rPr>
                    <w:t>铝压延加工项目，不涉及尾矿库</w:t>
                  </w:r>
                  <w:r>
                    <w:rPr>
                      <w:rFonts w:hint="eastAsia" w:ascii="Times New Roman" w:hAnsi="Times New Roman" w:eastAsia="宋体" w:cs="宋体"/>
                      <w:color w:val="000000" w:themeColor="text1"/>
                      <w:lang w:val="en-US" w:eastAsia="zh-CN" w:bidi="ar-SA"/>
                      <w14:textFill>
                        <w14:solidFill>
                          <w14:schemeClr w14:val="tx1"/>
                        </w14:solidFill>
                      </w14:textFill>
                    </w:rPr>
                    <w:t>。</w:t>
                  </w:r>
                </w:p>
              </w:tc>
              <w:tc>
                <w:tcPr>
                  <w:tcW w:w="479" w:type="pct"/>
                  <w:tcBorders>
                    <w:tl2br w:val="nil"/>
                    <w:tr2bl w:val="nil"/>
                  </w:tcBorders>
                  <w:vAlign w:val="center"/>
                </w:tcPr>
                <w:p w14:paraId="0C0A1EF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7AE44B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3A37119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3</w:t>
                  </w:r>
                </w:p>
              </w:tc>
              <w:tc>
                <w:tcPr>
                  <w:tcW w:w="2262" w:type="pct"/>
                  <w:tcBorders>
                    <w:tl2br w:val="nil"/>
                    <w:tr2bl w:val="nil"/>
                  </w:tcBorders>
                  <w:vAlign w:val="center"/>
                </w:tcPr>
                <w:p w14:paraId="529D44E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长江水域水质超标的水功能区，应当实施更严格的污染物排放总量削减要求。企业事业单位应当按照要求，采取污染物排放总量控制措施。</w:t>
                  </w:r>
                </w:p>
              </w:tc>
              <w:tc>
                <w:tcPr>
                  <w:tcW w:w="1944" w:type="pct"/>
                  <w:tcBorders>
                    <w:tl2br w:val="nil"/>
                    <w:tr2bl w:val="nil"/>
                  </w:tcBorders>
                  <w:vAlign w:val="center"/>
                </w:tcPr>
                <w:p w14:paraId="49F8FF1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建设项目污水污染物排放总量指标，纳入皖江江南新兴产业集中区第一污水处理厂总量指标，不单独进行申请。</w:t>
                  </w:r>
                </w:p>
              </w:tc>
              <w:tc>
                <w:tcPr>
                  <w:tcW w:w="479" w:type="pct"/>
                  <w:tcBorders>
                    <w:tl2br w:val="nil"/>
                    <w:tr2bl w:val="nil"/>
                  </w:tcBorders>
                  <w:vAlign w:val="center"/>
                </w:tcPr>
                <w:p w14:paraId="6260595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719767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77BDECF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4</w:t>
                  </w:r>
                </w:p>
              </w:tc>
              <w:tc>
                <w:tcPr>
                  <w:tcW w:w="2262" w:type="pct"/>
                  <w:tcBorders>
                    <w:tl2br w:val="nil"/>
                    <w:tr2bl w:val="nil"/>
                  </w:tcBorders>
                  <w:vAlign w:val="center"/>
                </w:tcPr>
                <w:p w14:paraId="4A1D7BE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禁止在长江流域重点生态功能区布局对生态系统有严重影响的产业。禁止重污染企业和项目向长江中上游转移。</w:t>
                  </w:r>
                </w:p>
              </w:tc>
              <w:tc>
                <w:tcPr>
                  <w:tcW w:w="1944" w:type="pct"/>
                  <w:tcBorders>
                    <w:tl2br w:val="nil"/>
                    <w:tr2bl w:val="nil"/>
                  </w:tcBorders>
                  <w:vAlign w:val="center"/>
                </w:tcPr>
                <w:p w14:paraId="6FD86C4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本项目符合国家产业政策，项目选址位于池州皖江江南新兴产业集中区，不位于自然保护区、水源保护区、风景名胜区、森林公园、重要湿地、生态敏感区和其他重要生态功能区。</w:t>
                  </w:r>
                </w:p>
              </w:tc>
              <w:tc>
                <w:tcPr>
                  <w:tcW w:w="479" w:type="pct"/>
                  <w:tcBorders>
                    <w:tl2br w:val="nil"/>
                    <w:tr2bl w:val="nil"/>
                  </w:tcBorders>
                  <w:vAlign w:val="center"/>
                </w:tcPr>
                <w:p w14:paraId="7369EFB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1E9F49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233DE1B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5</w:t>
                  </w:r>
                </w:p>
              </w:tc>
              <w:tc>
                <w:tcPr>
                  <w:tcW w:w="2262" w:type="pct"/>
                  <w:tcBorders>
                    <w:tl2br w:val="nil"/>
                    <w:tr2bl w:val="nil"/>
                  </w:tcBorders>
                  <w:vAlign w:val="center"/>
                </w:tcPr>
                <w:p w14:paraId="09E8724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禁止在长江流域河湖管理范围内倾倒、填埋、堆放、弃置、处理固体废物。</w:t>
                  </w:r>
                </w:p>
              </w:tc>
              <w:tc>
                <w:tcPr>
                  <w:tcW w:w="1944" w:type="pct"/>
                  <w:tcBorders>
                    <w:tl2br w:val="nil"/>
                    <w:tr2bl w:val="nil"/>
                  </w:tcBorders>
                  <w:vAlign w:val="center"/>
                </w:tcPr>
                <w:p w14:paraId="620F2F7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本项目产生的固体废物均能做到妥善处置，固体废弃物经过处理和处置后不会对环境产生不利影响。</w:t>
                  </w:r>
                </w:p>
              </w:tc>
              <w:tc>
                <w:tcPr>
                  <w:tcW w:w="479" w:type="pct"/>
                  <w:tcBorders>
                    <w:tl2br w:val="nil"/>
                    <w:tr2bl w:val="nil"/>
                  </w:tcBorders>
                  <w:vAlign w:val="center"/>
                </w:tcPr>
                <w:p w14:paraId="754E8B5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5FAF0B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313" w:type="pct"/>
                  <w:tcBorders>
                    <w:tl2br w:val="nil"/>
                    <w:tr2bl w:val="nil"/>
                  </w:tcBorders>
                  <w:vAlign w:val="center"/>
                </w:tcPr>
                <w:p w14:paraId="1854FBD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6</w:t>
                  </w:r>
                </w:p>
              </w:tc>
              <w:tc>
                <w:tcPr>
                  <w:tcW w:w="2262" w:type="pct"/>
                  <w:tcBorders>
                    <w:tl2br w:val="nil"/>
                    <w:tr2bl w:val="nil"/>
                  </w:tcBorders>
                  <w:vAlign w:val="center"/>
                </w:tcPr>
                <w:p w14:paraId="4D0FABB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禁止在长江流域水土流失严重、生态脆弱区域开展可能造成水土流失的生产建设活动。确因国家发展战略和国民生计需要建设的，应当经科学论证，并依法办理审批手续。</w:t>
                  </w:r>
                </w:p>
              </w:tc>
              <w:tc>
                <w:tcPr>
                  <w:tcW w:w="1944" w:type="pct"/>
                  <w:tcBorders>
                    <w:tl2br w:val="nil"/>
                    <w:tr2bl w:val="nil"/>
                  </w:tcBorders>
                  <w:vAlign w:val="center"/>
                </w:tcPr>
                <w:p w14:paraId="146435E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拟建项目不属于长江流域水土流失严重、生态脆弱区域。</w:t>
                  </w:r>
                </w:p>
              </w:tc>
              <w:tc>
                <w:tcPr>
                  <w:tcW w:w="479" w:type="pct"/>
                  <w:tcBorders>
                    <w:tl2br w:val="nil"/>
                    <w:tr2bl w:val="nil"/>
                  </w:tcBorders>
                  <w:vAlign w:val="center"/>
                </w:tcPr>
                <w:p w14:paraId="6C6E7AA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bl>
          <w:p w14:paraId="6614AECB">
            <w:pPr>
              <w:pStyle w:val="43"/>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综上所述，项目与《中华人民共和国长江保护法》相符合。</w:t>
            </w:r>
          </w:p>
          <w:p w14:paraId="706032F3">
            <w:pPr>
              <w:pStyle w:val="43"/>
              <w:bidi w:val="0"/>
              <w:rPr>
                <w:rFonts w:hint="eastAsia"/>
                <w:b w:val="0"/>
                <w:bCs w:val="0"/>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3.4  与《长江经济带发展负面清单指南（试行，2022年版）》（长江办〔2022〕7号）相符性分析</w:t>
            </w:r>
          </w:p>
          <w:p w14:paraId="16225221">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表1-10  与长江办〔2022〕7号文相符性分析</w:t>
            </w:r>
          </w:p>
          <w:tbl>
            <w:tblPr>
              <w:tblStyle w:val="24"/>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34" w:type="dxa"/>
                <w:bottom w:w="0" w:type="dxa"/>
                <w:right w:w="34" w:type="dxa"/>
              </w:tblCellMar>
            </w:tblPr>
            <w:tblGrid>
              <w:gridCol w:w="512"/>
              <w:gridCol w:w="4295"/>
              <w:gridCol w:w="2702"/>
              <w:gridCol w:w="742"/>
            </w:tblGrid>
            <w:tr w14:paraId="179554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6ACDBBB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序号</w:t>
                  </w:r>
                </w:p>
              </w:tc>
              <w:tc>
                <w:tcPr>
                  <w:tcW w:w="4295" w:type="dxa"/>
                  <w:tcBorders>
                    <w:tl2br w:val="nil"/>
                    <w:tr2bl w:val="nil"/>
                  </w:tcBorders>
                  <w:vAlign w:val="center"/>
                </w:tcPr>
                <w:p w14:paraId="10013B4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文件内容</w:t>
                  </w:r>
                </w:p>
              </w:tc>
              <w:tc>
                <w:tcPr>
                  <w:tcW w:w="2702" w:type="dxa"/>
                  <w:tcBorders>
                    <w:tl2br w:val="nil"/>
                    <w:tr2bl w:val="nil"/>
                  </w:tcBorders>
                  <w:vAlign w:val="center"/>
                </w:tcPr>
                <w:p w14:paraId="4F9F8DB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本项目情况</w:t>
                  </w:r>
                </w:p>
              </w:tc>
              <w:tc>
                <w:tcPr>
                  <w:tcW w:w="742" w:type="dxa"/>
                  <w:tcBorders>
                    <w:tl2br w:val="nil"/>
                    <w:tr2bl w:val="nil"/>
                  </w:tcBorders>
                  <w:vAlign w:val="center"/>
                </w:tcPr>
                <w:p w14:paraId="34D2D7B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相符性</w:t>
                  </w:r>
                </w:p>
              </w:tc>
            </w:tr>
            <w:tr w14:paraId="4362B3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7FC1713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w:t>
                  </w:r>
                </w:p>
              </w:tc>
              <w:tc>
                <w:tcPr>
                  <w:tcW w:w="4295" w:type="dxa"/>
                  <w:tcBorders>
                    <w:tl2br w:val="nil"/>
                    <w:tr2bl w:val="nil"/>
                  </w:tcBorders>
                  <w:vAlign w:val="center"/>
                </w:tcPr>
                <w:p w14:paraId="06D1BF6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禁止建设不符合全国和省级港口布局规划以及港口总体规划的码头项目，禁止建设不符合《长江干线过江通道布局规划》的长江通道项目。</w:t>
                  </w:r>
                </w:p>
              </w:tc>
              <w:tc>
                <w:tcPr>
                  <w:tcW w:w="2702" w:type="dxa"/>
                  <w:tcBorders>
                    <w:tl2br w:val="nil"/>
                    <w:tr2bl w:val="nil"/>
                  </w:tcBorders>
                  <w:vAlign w:val="center"/>
                </w:tcPr>
                <w:p w14:paraId="20970C4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拟建项目为</w:t>
                  </w:r>
                  <w:r>
                    <w:rPr>
                      <w:rFonts w:hint="eastAsia" w:cs="Times New Roman"/>
                      <w:color w:val="auto"/>
                      <w:sz w:val="21"/>
                      <w:szCs w:val="21"/>
                      <w:vertAlign w:val="baseline"/>
                      <w:lang w:val="en-US" w:eastAsia="zh-CN"/>
                    </w:rPr>
                    <w:t>铝压延加工项目</w:t>
                  </w:r>
                  <w:r>
                    <w:rPr>
                      <w:rFonts w:hint="eastAsia" w:ascii="Times New Roman" w:hAnsi="Times New Roman" w:eastAsia="宋体" w:cs="宋体"/>
                      <w:color w:val="000000" w:themeColor="text1"/>
                      <w:lang w:val="en-US" w:eastAsia="zh-CN" w:bidi="ar-SA"/>
                      <w14:textFill>
                        <w14:solidFill>
                          <w14:schemeClr w14:val="tx1"/>
                        </w14:solidFill>
                      </w14:textFill>
                    </w:rPr>
                    <w:t>，不属于码头项目。</w:t>
                  </w:r>
                </w:p>
              </w:tc>
              <w:tc>
                <w:tcPr>
                  <w:tcW w:w="742" w:type="dxa"/>
                  <w:tcBorders>
                    <w:tl2br w:val="nil"/>
                    <w:tr2bl w:val="nil"/>
                  </w:tcBorders>
                  <w:vAlign w:val="center"/>
                </w:tcPr>
                <w:p w14:paraId="1DB54EC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238810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rPr>
                <w:trHeight w:val="90" w:hRule="atLeast"/>
              </w:trPr>
              <w:tc>
                <w:tcPr>
                  <w:tcW w:w="512" w:type="dxa"/>
                  <w:tcBorders>
                    <w:tl2br w:val="nil"/>
                    <w:tr2bl w:val="nil"/>
                  </w:tcBorders>
                  <w:vAlign w:val="center"/>
                </w:tcPr>
                <w:p w14:paraId="07135B7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2</w:t>
                  </w:r>
                </w:p>
              </w:tc>
              <w:tc>
                <w:tcPr>
                  <w:tcW w:w="4295" w:type="dxa"/>
                  <w:tcBorders>
                    <w:tl2br w:val="nil"/>
                    <w:tr2bl w:val="nil"/>
                  </w:tcBorders>
                  <w:vAlign w:val="center"/>
                </w:tcPr>
                <w:p w14:paraId="35D3CC4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禁止在自然保护区核心区、缓冲区的岸线和河段范围内投资建设旅游和生产经营项目。禁止在风景名胜区核心景区的岸线和河段范围内投资建设与风景名胜资源保护无关的项目。</w:t>
                  </w:r>
                </w:p>
              </w:tc>
              <w:tc>
                <w:tcPr>
                  <w:tcW w:w="2702" w:type="dxa"/>
                  <w:tcBorders>
                    <w:tl2br w:val="nil"/>
                    <w:tr2bl w:val="nil"/>
                  </w:tcBorders>
                  <w:vAlign w:val="center"/>
                </w:tcPr>
                <w:p w14:paraId="150BC05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拟建项目位于皖江江南新兴产业集中区，项目厂界距离长江（池州段）约</w:t>
                  </w:r>
                  <w:r>
                    <w:rPr>
                      <w:rFonts w:hint="eastAsia" w:cs="宋体"/>
                      <w:color w:val="000000" w:themeColor="text1"/>
                      <w:lang w:val="en-US" w:eastAsia="zh-CN" w:bidi="ar-SA"/>
                      <w14:textFill>
                        <w14:solidFill>
                          <w14:schemeClr w14:val="tx1"/>
                        </w14:solidFill>
                      </w14:textFill>
                    </w:rPr>
                    <w:t>5公里</w:t>
                  </w:r>
                  <w:r>
                    <w:rPr>
                      <w:rFonts w:hint="eastAsia" w:ascii="Times New Roman" w:hAnsi="Times New Roman" w:eastAsia="宋体" w:cs="宋体"/>
                      <w:color w:val="000000" w:themeColor="text1"/>
                      <w:lang w:val="en-US" w:eastAsia="zh-CN" w:bidi="ar-SA"/>
                      <w14:textFill>
                        <w14:solidFill>
                          <w14:schemeClr w14:val="tx1"/>
                        </w14:solidFill>
                      </w14:textFill>
                    </w:rPr>
                    <w:t>，项目周边不涉及自然保护区、风景名胜区等。</w:t>
                  </w:r>
                </w:p>
              </w:tc>
              <w:tc>
                <w:tcPr>
                  <w:tcW w:w="742" w:type="dxa"/>
                  <w:tcBorders>
                    <w:tl2br w:val="nil"/>
                    <w:tr2bl w:val="nil"/>
                  </w:tcBorders>
                  <w:vAlign w:val="center"/>
                </w:tcPr>
                <w:p w14:paraId="16C59B4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71C4E8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54987E5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3</w:t>
                  </w:r>
                </w:p>
              </w:tc>
              <w:tc>
                <w:tcPr>
                  <w:tcW w:w="4295" w:type="dxa"/>
                  <w:tcBorders>
                    <w:tl2br w:val="nil"/>
                    <w:tr2bl w:val="nil"/>
                  </w:tcBorders>
                  <w:vAlign w:val="center"/>
                </w:tcPr>
                <w:p w14:paraId="70F168F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饮用水水源一级保护区的岸线和河段范围内新建、改建、扩建与供水设施和保护水源无关的项目，一级网箱养殖、旅游等可能污染饮用水水体的投资建设项目。禁止在饮用水水源二级保护区的岸线和河段范围内新建、改建、扩建排放污染物的投资建设项目。</w:t>
                  </w:r>
                </w:p>
              </w:tc>
              <w:tc>
                <w:tcPr>
                  <w:tcW w:w="2702" w:type="dxa"/>
                  <w:tcBorders>
                    <w:tl2br w:val="nil"/>
                    <w:tr2bl w:val="nil"/>
                  </w:tcBorders>
                  <w:vAlign w:val="center"/>
                </w:tcPr>
                <w:p w14:paraId="0C09D10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拟建项目不在饮用水水源一级或二级保护区岸线和河段范围内。</w:t>
                  </w:r>
                </w:p>
              </w:tc>
              <w:tc>
                <w:tcPr>
                  <w:tcW w:w="742" w:type="dxa"/>
                  <w:tcBorders>
                    <w:tl2br w:val="nil"/>
                    <w:tr2bl w:val="nil"/>
                  </w:tcBorders>
                  <w:vAlign w:val="center"/>
                </w:tcPr>
                <w:p w14:paraId="3FA4703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56D2D0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36D5F46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4</w:t>
                  </w:r>
                </w:p>
              </w:tc>
              <w:tc>
                <w:tcPr>
                  <w:tcW w:w="4295" w:type="dxa"/>
                  <w:tcBorders>
                    <w:tl2br w:val="nil"/>
                    <w:tr2bl w:val="nil"/>
                  </w:tcBorders>
                  <w:vAlign w:val="center"/>
                </w:tcPr>
                <w:p w14:paraId="10512FB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2702" w:type="dxa"/>
                  <w:tcBorders>
                    <w:tl2br w:val="nil"/>
                    <w:tr2bl w:val="nil"/>
                  </w:tcBorders>
                  <w:vAlign w:val="center"/>
                </w:tcPr>
                <w:p w14:paraId="6A6656D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拟建项目为</w:t>
                  </w:r>
                  <w:r>
                    <w:rPr>
                      <w:rFonts w:hint="eastAsia" w:cs="Times New Roman"/>
                      <w:color w:val="auto"/>
                      <w:sz w:val="21"/>
                      <w:szCs w:val="21"/>
                      <w:vertAlign w:val="baseline"/>
                      <w:lang w:val="en-US" w:eastAsia="zh-CN"/>
                    </w:rPr>
                    <w:t>铝压延加工</w:t>
                  </w:r>
                  <w:r>
                    <w:rPr>
                      <w:rFonts w:hint="eastAsia" w:ascii="Times New Roman" w:hAnsi="Times New Roman" w:cs="Times New Roman"/>
                      <w:color w:val="auto"/>
                      <w:sz w:val="21"/>
                      <w:szCs w:val="21"/>
                      <w:vertAlign w:val="baseline"/>
                      <w:lang w:val="en-US" w:eastAsia="zh-CN"/>
                    </w:rPr>
                    <w:t>项目</w:t>
                  </w:r>
                  <w:r>
                    <w:rPr>
                      <w:rFonts w:hint="eastAsia" w:ascii="Times New Roman" w:hAnsi="Times New Roman" w:eastAsia="宋体" w:cs="宋体"/>
                      <w:color w:val="000000" w:themeColor="text1"/>
                      <w:lang w:val="en-US" w:eastAsia="zh-CN" w:bidi="ar-SA"/>
                      <w14:textFill>
                        <w14:solidFill>
                          <w14:schemeClr w14:val="tx1"/>
                        </w14:solidFill>
                      </w14:textFill>
                    </w:rPr>
                    <w:t>，周边不涉及国家湿地公园。</w:t>
                  </w:r>
                </w:p>
              </w:tc>
              <w:tc>
                <w:tcPr>
                  <w:tcW w:w="742" w:type="dxa"/>
                  <w:tcBorders>
                    <w:tl2br w:val="nil"/>
                    <w:tr2bl w:val="nil"/>
                  </w:tcBorders>
                  <w:vAlign w:val="center"/>
                </w:tcPr>
                <w:p w14:paraId="189597E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1D9667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20F89ED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5</w:t>
                  </w:r>
                </w:p>
              </w:tc>
              <w:tc>
                <w:tcPr>
                  <w:tcW w:w="4295" w:type="dxa"/>
                  <w:tcBorders>
                    <w:tl2br w:val="nil"/>
                    <w:tr2bl w:val="nil"/>
                  </w:tcBorders>
                  <w:vAlign w:val="center"/>
                </w:tcPr>
                <w:p w14:paraId="5F31A70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2702" w:type="dxa"/>
                  <w:tcBorders>
                    <w:tl2br w:val="nil"/>
                    <w:tr2bl w:val="nil"/>
                  </w:tcBorders>
                  <w:vAlign w:val="center"/>
                </w:tcPr>
                <w:p w14:paraId="7B463B1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拟建项目不涉及长江流域河湖岸线、周边不涉及湖泊保护区。</w:t>
                  </w:r>
                </w:p>
              </w:tc>
              <w:tc>
                <w:tcPr>
                  <w:tcW w:w="742" w:type="dxa"/>
                  <w:tcBorders>
                    <w:tl2br w:val="nil"/>
                    <w:tr2bl w:val="nil"/>
                  </w:tcBorders>
                  <w:vAlign w:val="center"/>
                </w:tcPr>
                <w:p w14:paraId="315DF26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6EB196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47F8DA0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6</w:t>
                  </w:r>
                </w:p>
              </w:tc>
              <w:tc>
                <w:tcPr>
                  <w:tcW w:w="4295" w:type="dxa"/>
                  <w:tcBorders>
                    <w:tl2br w:val="nil"/>
                    <w:tr2bl w:val="nil"/>
                  </w:tcBorders>
                  <w:vAlign w:val="center"/>
                </w:tcPr>
                <w:p w14:paraId="5C00E00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禁止未经许可在长江干支流及湖泊新设、改设或扩大排污口。</w:t>
                  </w:r>
                </w:p>
              </w:tc>
              <w:tc>
                <w:tcPr>
                  <w:tcW w:w="2702" w:type="dxa"/>
                  <w:tcBorders>
                    <w:tl2br w:val="nil"/>
                    <w:tr2bl w:val="nil"/>
                  </w:tcBorders>
                  <w:vAlign w:val="center"/>
                </w:tcPr>
                <w:p w14:paraId="17084FB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拟建项目不在长江干支流及湖泊新设、改设或扩大排污口。</w:t>
                  </w:r>
                </w:p>
              </w:tc>
              <w:tc>
                <w:tcPr>
                  <w:tcW w:w="742" w:type="dxa"/>
                  <w:tcBorders>
                    <w:tl2br w:val="nil"/>
                    <w:tr2bl w:val="nil"/>
                  </w:tcBorders>
                  <w:vAlign w:val="center"/>
                </w:tcPr>
                <w:p w14:paraId="063B3D9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5F7B1D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7B5ADAC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7</w:t>
                  </w:r>
                </w:p>
              </w:tc>
              <w:tc>
                <w:tcPr>
                  <w:tcW w:w="4295" w:type="dxa"/>
                  <w:tcBorders>
                    <w:tl2br w:val="nil"/>
                    <w:tr2bl w:val="nil"/>
                  </w:tcBorders>
                  <w:vAlign w:val="center"/>
                </w:tcPr>
                <w:p w14:paraId="348D726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禁止在“一江一口两湖七河”和332个水生生物保护区开展生产性捕捞。</w:t>
                  </w:r>
                </w:p>
              </w:tc>
              <w:tc>
                <w:tcPr>
                  <w:tcW w:w="2702" w:type="dxa"/>
                  <w:tcBorders>
                    <w:tl2br w:val="nil"/>
                    <w:tr2bl w:val="nil"/>
                  </w:tcBorders>
                  <w:vAlign w:val="center"/>
                </w:tcPr>
                <w:p w14:paraId="41E3CB1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拟建项目不涉及捕捞。</w:t>
                  </w:r>
                </w:p>
              </w:tc>
              <w:tc>
                <w:tcPr>
                  <w:tcW w:w="742" w:type="dxa"/>
                  <w:tcBorders>
                    <w:tl2br w:val="nil"/>
                    <w:tr2bl w:val="nil"/>
                  </w:tcBorders>
                  <w:vAlign w:val="center"/>
                </w:tcPr>
                <w:p w14:paraId="07ED220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4857E1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12B0743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8</w:t>
                  </w:r>
                </w:p>
              </w:tc>
              <w:tc>
                <w:tcPr>
                  <w:tcW w:w="4295" w:type="dxa"/>
                  <w:tcBorders>
                    <w:tl2br w:val="nil"/>
                    <w:tr2bl w:val="nil"/>
                  </w:tcBorders>
                  <w:vAlign w:val="center"/>
                </w:tcPr>
                <w:p w14:paraId="280778B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干支流、重要湖泊岸线一公里范围内新建、扩建化工园区和化工项目。禁止在长江干流岸线三公里范围内和重要支流岸线一公里范围内新建、改建、扩建尾矿库、冶炼矿渣和磷石膏库，以提升安全、生态环境保护水平为目的的改建除外。</w:t>
                  </w:r>
                </w:p>
              </w:tc>
              <w:tc>
                <w:tcPr>
                  <w:tcW w:w="2702" w:type="dxa"/>
                  <w:tcBorders>
                    <w:tl2br w:val="nil"/>
                    <w:tr2bl w:val="nil"/>
                  </w:tcBorders>
                  <w:vAlign w:val="center"/>
                </w:tcPr>
                <w:p w14:paraId="390AA0D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拟建项目位于皖江江南新兴产业集中区，为</w:t>
                  </w:r>
                  <w:r>
                    <w:rPr>
                      <w:rFonts w:hint="eastAsia" w:cs="宋体"/>
                      <w:color w:val="000000" w:themeColor="text1"/>
                      <w:lang w:val="en-US" w:eastAsia="zh-CN" w:bidi="ar-SA"/>
                      <w14:textFill>
                        <w14:solidFill>
                          <w14:schemeClr w14:val="tx1"/>
                        </w14:solidFill>
                      </w14:textFill>
                    </w:rPr>
                    <w:t>铝压延加工项目</w:t>
                  </w:r>
                  <w:r>
                    <w:rPr>
                      <w:rFonts w:hint="eastAsia" w:ascii="Times New Roman" w:hAnsi="Times New Roman" w:eastAsia="宋体" w:cs="宋体"/>
                      <w:color w:val="000000" w:themeColor="text1"/>
                      <w:lang w:val="en-US" w:eastAsia="zh-CN" w:bidi="ar-SA"/>
                      <w14:textFill>
                        <w14:solidFill>
                          <w14:schemeClr w14:val="tx1"/>
                        </w14:solidFill>
                      </w14:textFill>
                    </w:rPr>
                    <w:t>，规划厂界距离长江（池州段）约</w:t>
                  </w:r>
                  <w:r>
                    <w:rPr>
                      <w:rFonts w:hint="eastAsia" w:cs="宋体"/>
                      <w:color w:val="000000" w:themeColor="text1"/>
                      <w:lang w:val="en-US" w:eastAsia="zh-CN" w:bidi="ar-SA"/>
                      <w14:textFill>
                        <w14:solidFill>
                          <w14:schemeClr w14:val="tx1"/>
                        </w14:solidFill>
                      </w14:textFill>
                    </w:rPr>
                    <w:t>5</w:t>
                  </w:r>
                  <w:r>
                    <w:rPr>
                      <w:rFonts w:hint="eastAsia" w:ascii="Times New Roman" w:hAnsi="Times New Roman" w:eastAsia="宋体" w:cs="宋体"/>
                      <w:color w:val="000000" w:themeColor="text1"/>
                      <w:lang w:val="en-US" w:eastAsia="zh-CN" w:bidi="ar-SA"/>
                      <w14:textFill>
                        <w14:solidFill>
                          <w14:schemeClr w14:val="tx1"/>
                        </w14:solidFill>
                      </w14:textFill>
                    </w:rPr>
                    <w:t>公里。</w:t>
                  </w:r>
                </w:p>
              </w:tc>
              <w:tc>
                <w:tcPr>
                  <w:tcW w:w="742" w:type="dxa"/>
                  <w:tcBorders>
                    <w:tl2br w:val="nil"/>
                    <w:tr2bl w:val="nil"/>
                  </w:tcBorders>
                  <w:vAlign w:val="center"/>
                </w:tcPr>
                <w:p w14:paraId="442B9D5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4DD89F6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4AB0BC3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9</w:t>
                  </w:r>
                </w:p>
              </w:tc>
              <w:tc>
                <w:tcPr>
                  <w:tcW w:w="4295" w:type="dxa"/>
                  <w:tcBorders>
                    <w:tl2br w:val="nil"/>
                    <w:tr2bl w:val="nil"/>
                  </w:tcBorders>
                  <w:vAlign w:val="center"/>
                </w:tcPr>
                <w:p w14:paraId="315CE58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禁止在合规园区外新建、扩建钢铁、石化、化工、焦化、建材、有色、制浆造纸等高污染项目。</w:t>
                  </w:r>
                </w:p>
              </w:tc>
              <w:tc>
                <w:tcPr>
                  <w:tcW w:w="2702" w:type="dxa"/>
                  <w:tcBorders>
                    <w:tl2br w:val="nil"/>
                    <w:tr2bl w:val="nil"/>
                  </w:tcBorders>
                  <w:vAlign w:val="center"/>
                </w:tcPr>
                <w:p w14:paraId="5C3F8B8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拟建项目不属于钢铁、石化、化工、焦化、建材、有色、制浆造纸等高污染项目。</w:t>
                  </w:r>
                </w:p>
              </w:tc>
              <w:tc>
                <w:tcPr>
                  <w:tcW w:w="742" w:type="dxa"/>
                  <w:tcBorders>
                    <w:tl2br w:val="nil"/>
                    <w:tr2bl w:val="nil"/>
                  </w:tcBorders>
                  <w:vAlign w:val="center"/>
                </w:tcPr>
                <w:p w14:paraId="7CF55BA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02995C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2B8C2AC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10</w:t>
                  </w:r>
                </w:p>
              </w:tc>
              <w:tc>
                <w:tcPr>
                  <w:tcW w:w="4295" w:type="dxa"/>
                  <w:tcBorders>
                    <w:tl2br w:val="nil"/>
                    <w:tr2bl w:val="nil"/>
                  </w:tcBorders>
                  <w:vAlign w:val="center"/>
                </w:tcPr>
                <w:p w14:paraId="0C2B84B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禁止新建、扩建不符合国家石化、现代煤工业等产业布局规划的项目。</w:t>
                  </w:r>
                </w:p>
              </w:tc>
              <w:tc>
                <w:tcPr>
                  <w:tcW w:w="2702" w:type="dxa"/>
                  <w:tcBorders>
                    <w:tl2br w:val="nil"/>
                    <w:tr2bl w:val="nil"/>
                  </w:tcBorders>
                  <w:vAlign w:val="center"/>
                </w:tcPr>
                <w:p w14:paraId="4D5F925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拟建项目为</w:t>
                  </w:r>
                  <w:r>
                    <w:rPr>
                      <w:rFonts w:hint="eastAsia" w:cs="宋体"/>
                      <w:color w:val="000000" w:themeColor="text1"/>
                      <w:lang w:val="en-US" w:eastAsia="zh-CN" w:bidi="ar-SA"/>
                      <w14:textFill>
                        <w14:solidFill>
                          <w14:schemeClr w14:val="tx1"/>
                        </w14:solidFill>
                      </w14:textFill>
                    </w:rPr>
                    <w:t>铝压延加工项目</w:t>
                  </w:r>
                  <w:r>
                    <w:rPr>
                      <w:rFonts w:hint="eastAsia" w:ascii="Times New Roman" w:hAnsi="Times New Roman" w:eastAsia="宋体" w:cs="宋体"/>
                      <w:color w:val="000000" w:themeColor="text1"/>
                      <w:lang w:val="en-US" w:eastAsia="zh-CN" w:bidi="ar-SA"/>
                      <w14:textFill>
                        <w14:solidFill>
                          <w14:schemeClr w14:val="tx1"/>
                        </w14:solidFill>
                      </w14:textFill>
                    </w:rPr>
                    <w:t>，不属于石化、现代煤化工等产业。</w:t>
                  </w:r>
                </w:p>
              </w:tc>
              <w:tc>
                <w:tcPr>
                  <w:tcW w:w="742" w:type="dxa"/>
                  <w:tcBorders>
                    <w:tl2br w:val="nil"/>
                    <w:tr2bl w:val="nil"/>
                  </w:tcBorders>
                  <w:vAlign w:val="center"/>
                </w:tcPr>
                <w:p w14:paraId="5E348F4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4F7ABE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4" w:type="dxa"/>
                  <w:bottom w:w="0" w:type="dxa"/>
                  <w:right w:w="34" w:type="dxa"/>
                </w:tblCellMar>
              </w:tblPrEx>
              <w:tc>
                <w:tcPr>
                  <w:tcW w:w="512" w:type="dxa"/>
                  <w:tcBorders>
                    <w:tl2br w:val="nil"/>
                    <w:tr2bl w:val="nil"/>
                  </w:tcBorders>
                  <w:vAlign w:val="center"/>
                </w:tcPr>
                <w:p w14:paraId="16DED14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11</w:t>
                  </w:r>
                </w:p>
              </w:tc>
              <w:tc>
                <w:tcPr>
                  <w:tcW w:w="4295" w:type="dxa"/>
                  <w:tcBorders>
                    <w:tl2br w:val="nil"/>
                    <w:tr2bl w:val="nil"/>
                  </w:tcBorders>
                  <w:vAlign w:val="center"/>
                </w:tcPr>
                <w:p w14:paraId="7463C19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禁止新建、扩建法律法规和相关政策明令禁止的落后产能项目。禁止新建、扩建不符合国家产能置换要求的严重过剩产能行业的项目。禁止新建、扩建不符合要求的高耗能项目。</w:t>
                  </w:r>
                </w:p>
              </w:tc>
              <w:tc>
                <w:tcPr>
                  <w:tcW w:w="2702" w:type="dxa"/>
                  <w:tcBorders>
                    <w:tl2br w:val="nil"/>
                    <w:tr2bl w:val="nil"/>
                  </w:tcBorders>
                  <w:vAlign w:val="center"/>
                </w:tcPr>
                <w:p w14:paraId="5F6B281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对照《产业结构调整指导目录（2024年本）》，本项目不属于其中的鼓励类、限制类和淘汰类范畴，视为允许建设项目，本项目符合国家相关产业政策。</w:t>
                  </w:r>
                </w:p>
              </w:tc>
              <w:tc>
                <w:tcPr>
                  <w:tcW w:w="742" w:type="dxa"/>
                  <w:tcBorders>
                    <w:tl2br w:val="nil"/>
                    <w:tr2bl w:val="nil"/>
                  </w:tcBorders>
                  <w:vAlign w:val="center"/>
                </w:tcPr>
                <w:p w14:paraId="2AC7E2B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bl>
          <w:p w14:paraId="074D3161">
            <w:pPr>
              <w:pStyle w:val="43"/>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综上所述，项目与《长江经济带发展负面清单指南实施细则（试行，2022年版）》（长江办〔2022〕7号）相符。</w:t>
            </w:r>
          </w:p>
          <w:p w14:paraId="0C5DF102">
            <w:pPr>
              <w:pStyle w:val="43"/>
              <w:bidi w:val="0"/>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3.5  与《安徽省长江经济带发展负面清单实施细则（试行，2022年版）》（皖长江办〔2022〕10号）相符性</w:t>
            </w:r>
          </w:p>
          <w:p w14:paraId="228F83D4">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lang w:val="en-US" w:eastAsia="zh-CN"/>
              </w:rPr>
            </w:pPr>
            <w:r>
              <w:rPr>
                <w:rFonts w:hint="eastAsia"/>
                <w:lang w:val="en-US" w:eastAsia="zh-CN"/>
              </w:rPr>
              <w:t>表1-11  与“皖长江办〔2022〕10号”相符性分析</w:t>
            </w:r>
          </w:p>
          <w:tbl>
            <w:tblPr>
              <w:tblStyle w:val="24"/>
              <w:tblW w:w="8251"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40" w:type="dxa"/>
                <w:bottom w:w="0" w:type="dxa"/>
                <w:right w:w="40" w:type="dxa"/>
              </w:tblCellMar>
            </w:tblPr>
            <w:tblGrid>
              <w:gridCol w:w="368"/>
              <w:gridCol w:w="5384"/>
              <w:gridCol w:w="1977"/>
              <w:gridCol w:w="522"/>
            </w:tblGrid>
            <w:tr w14:paraId="4C6F7C1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3B9FC34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序号</w:t>
                  </w:r>
                </w:p>
              </w:tc>
              <w:tc>
                <w:tcPr>
                  <w:tcW w:w="5384" w:type="dxa"/>
                  <w:tcBorders>
                    <w:tl2br w:val="nil"/>
                    <w:tr2bl w:val="nil"/>
                  </w:tcBorders>
                  <w:vAlign w:val="center"/>
                </w:tcPr>
                <w:p w14:paraId="71CD212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相关内容</w:t>
                  </w:r>
                </w:p>
              </w:tc>
              <w:tc>
                <w:tcPr>
                  <w:tcW w:w="1977" w:type="dxa"/>
                  <w:tcBorders>
                    <w:tl2br w:val="nil"/>
                    <w:tr2bl w:val="nil"/>
                  </w:tcBorders>
                  <w:vAlign w:val="center"/>
                </w:tcPr>
                <w:p w14:paraId="5EE9793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本项目情况</w:t>
                  </w:r>
                </w:p>
              </w:tc>
              <w:tc>
                <w:tcPr>
                  <w:tcW w:w="522" w:type="dxa"/>
                  <w:tcBorders>
                    <w:tl2br w:val="nil"/>
                    <w:tr2bl w:val="nil"/>
                  </w:tcBorders>
                  <w:vAlign w:val="center"/>
                </w:tcPr>
                <w:p w14:paraId="7577A68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相符性</w:t>
                  </w:r>
                </w:p>
              </w:tc>
            </w:tr>
            <w:tr w14:paraId="5E9D5B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06FEF55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w:t>
                  </w:r>
                </w:p>
              </w:tc>
              <w:tc>
                <w:tcPr>
                  <w:tcW w:w="5384" w:type="dxa"/>
                  <w:tcBorders>
                    <w:tl2br w:val="nil"/>
                    <w:tr2bl w:val="nil"/>
                  </w:tcBorders>
                  <w:vAlign w:val="center"/>
                </w:tcPr>
                <w:p w14:paraId="0A3D23D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禁止未经许可在长江（安徽段）干支流、湖泊新设、改设或扩大排污口。</w:t>
                  </w:r>
                </w:p>
              </w:tc>
              <w:tc>
                <w:tcPr>
                  <w:tcW w:w="1977" w:type="dxa"/>
                  <w:tcBorders>
                    <w:tl2br w:val="nil"/>
                    <w:tr2bl w:val="nil"/>
                  </w:tcBorders>
                  <w:vAlign w:val="center"/>
                </w:tcPr>
                <w:p w14:paraId="40AB705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本项目不在长江（安徽段）干支流、湖泊范围内涉及排污口。</w:t>
                  </w:r>
                </w:p>
              </w:tc>
              <w:tc>
                <w:tcPr>
                  <w:tcW w:w="522" w:type="dxa"/>
                  <w:tcBorders>
                    <w:tl2br w:val="nil"/>
                    <w:tr2bl w:val="nil"/>
                  </w:tcBorders>
                  <w:vAlign w:val="center"/>
                </w:tcPr>
                <w:p w14:paraId="4CBC0AF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0B4773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1431E0B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2</w:t>
                  </w:r>
                </w:p>
              </w:tc>
              <w:tc>
                <w:tcPr>
                  <w:tcW w:w="5384" w:type="dxa"/>
                  <w:tcBorders>
                    <w:tl2br w:val="nil"/>
                    <w:tr2bl w:val="nil"/>
                  </w:tcBorders>
                  <w:vAlign w:val="center"/>
                </w:tcPr>
                <w:p w14:paraId="7C4E545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干流安徽段及华阳河、水阳江、皖河、青弋江、漳河、滁河干流及菜子湖（包括白兔湖、嬉子湖、长河）、巢湖（包括巢湖主体、裕溪河）等8个主要支流和44个全面禁捕水生生物保护区开展生产性捕捞。</w:t>
                  </w:r>
                </w:p>
              </w:tc>
              <w:tc>
                <w:tcPr>
                  <w:tcW w:w="1977" w:type="dxa"/>
                  <w:tcBorders>
                    <w:tl2br w:val="nil"/>
                    <w:tr2bl w:val="nil"/>
                  </w:tcBorders>
                  <w:vAlign w:val="center"/>
                </w:tcPr>
                <w:p w14:paraId="2D475FD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项目不涉及捕捞活动。</w:t>
                  </w:r>
                </w:p>
              </w:tc>
              <w:tc>
                <w:tcPr>
                  <w:tcW w:w="522" w:type="dxa"/>
                  <w:tcBorders>
                    <w:tl2br w:val="nil"/>
                    <w:tr2bl w:val="nil"/>
                  </w:tcBorders>
                  <w:vAlign w:val="center"/>
                </w:tcPr>
                <w:p w14:paraId="6CF3342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107425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3AAC119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3</w:t>
                  </w:r>
                </w:p>
              </w:tc>
              <w:tc>
                <w:tcPr>
                  <w:tcW w:w="5384" w:type="dxa"/>
                  <w:tcBorders>
                    <w:tl2br w:val="nil"/>
                    <w:tr2bl w:val="nil"/>
                  </w:tcBorders>
                  <w:vAlign w:val="center"/>
                </w:tcPr>
                <w:p w14:paraId="0FB4D27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安徽段）干支流、巢湖岸线一公里范围内新建、扩建化工园区和化工项目。已批未开工项目，依法停止建设，支持重新选址。已经开工建设项目，严格进行检查评估，不符合岸线规划和环保、安全要求的，全部依法依规停建搬迁。</w:t>
                  </w:r>
                </w:p>
              </w:tc>
              <w:tc>
                <w:tcPr>
                  <w:tcW w:w="1977" w:type="dxa"/>
                  <w:tcBorders>
                    <w:tl2br w:val="nil"/>
                    <w:tr2bl w:val="nil"/>
                  </w:tcBorders>
                  <w:vAlign w:val="center"/>
                </w:tcPr>
                <w:p w14:paraId="4A46879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项目主要为</w:t>
                  </w:r>
                  <w:r>
                    <w:rPr>
                      <w:rFonts w:hint="eastAsia" w:cs="宋体"/>
                      <w:color w:val="000000" w:themeColor="text1"/>
                      <w:lang w:val="en-US" w:eastAsia="zh-CN" w:bidi="ar-SA"/>
                      <w14:textFill>
                        <w14:solidFill>
                          <w14:schemeClr w14:val="tx1"/>
                        </w14:solidFill>
                      </w14:textFill>
                    </w:rPr>
                    <w:t>铝压延加工</w:t>
                  </w:r>
                  <w:r>
                    <w:rPr>
                      <w:rFonts w:hint="eastAsia" w:ascii="Times New Roman" w:hAnsi="Times New Roman" w:eastAsia="宋体" w:cs="宋体"/>
                      <w:color w:val="000000" w:themeColor="text1"/>
                      <w:lang w:val="en-US" w:eastAsia="zh-CN" w:bidi="ar-SA"/>
                      <w14:textFill>
                        <w14:solidFill>
                          <w14:schemeClr w14:val="tx1"/>
                        </w14:solidFill>
                      </w14:textFill>
                    </w:rPr>
                    <w:t>项目，项目不属于化工园区和化工项目。</w:t>
                  </w:r>
                </w:p>
              </w:tc>
              <w:tc>
                <w:tcPr>
                  <w:tcW w:w="522" w:type="dxa"/>
                  <w:tcBorders>
                    <w:tl2br w:val="nil"/>
                    <w:tr2bl w:val="nil"/>
                  </w:tcBorders>
                  <w:vAlign w:val="center"/>
                </w:tcPr>
                <w:p w14:paraId="4D0FFFD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61CCE40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5C46DF1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4</w:t>
                  </w:r>
                </w:p>
              </w:tc>
              <w:tc>
                <w:tcPr>
                  <w:tcW w:w="5384" w:type="dxa"/>
                  <w:tcBorders>
                    <w:tl2br w:val="nil"/>
                    <w:tr2bl w:val="nil"/>
                  </w:tcBorders>
                  <w:vAlign w:val="center"/>
                </w:tcPr>
                <w:p w14:paraId="534A581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禁止在长江干流岸线三公里范围内和主要支流岸线一公里范围内新建、改建、扩建尾矿库、冶炼渣库和磷石膏库，以提升安全、生态环境保护水平为目的的改扩建除外。</w:t>
                  </w:r>
                </w:p>
              </w:tc>
              <w:tc>
                <w:tcPr>
                  <w:tcW w:w="1977" w:type="dxa"/>
                  <w:tcBorders>
                    <w:tl2br w:val="nil"/>
                    <w:tr2bl w:val="nil"/>
                  </w:tcBorders>
                  <w:vAlign w:val="center"/>
                </w:tcPr>
                <w:p w14:paraId="3D8FF1D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w:t>
                  </w:r>
                  <w:r>
                    <w:rPr>
                      <w:rFonts w:hint="eastAsia" w:cs="宋体"/>
                      <w:color w:val="000000" w:themeColor="text1"/>
                      <w:lang w:val="en-US" w:eastAsia="zh-CN" w:bidi="ar-SA"/>
                      <w14:textFill>
                        <w14:solidFill>
                          <w14:schemeClr w14:val="tx1"/>
                        </w14:solidFill>
                      </w14:textFill>
                    </w:rPr>
                    <w:t>为铝压延加工</w:t>
                  </w:r>
                  <w:r>
                    <w:rPr>
                      <w:rFonts w:hint="eastAsia" w:ascii="Times New Roman" w:hAnsi="Times New Roman" w:eastAsia="宋体" w:cs="宋体"/>
                      <w:color w:val="000000" w:themeColor="text1"/>
                      <w:lang w:val="en-US" w:eastAsia="zh-CN" w:bidi="ar-SA"/>
                      <w14:textFill>
                        <w14:solidFill>
                          <w14:schemeClr w14:val="tx1"/>
                        </w14:solidFill>
                      </w14:textFill>
                    </w:rPr>
                    <w:t>项目，不涉及尾矿库、冶炼渣库和磷石膏库。</w:t>
                  </w:r>
                </w:p>
              </w:tc>
              <w:tc>
                <w:tcPr>
                  <w:tcW w:w="522" w:type="dxa"/>
                  <w:tcBorders>
                    <w:tl2br w:val="nil"/>
                    <w:tr2bl w:val="nil"/>
                  </w:tcBorders>
                  <w:vAlign w:val="center"/>
                </w:tcPr>
                <w:p w14:paraId="0810A05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03C40A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108F14D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5</w:t>
                  </w:r>
                </w:p>
              </w:tc>
              <w:tc>
                <w:tcPr>
                  <w:tcW w:w="5384" w:type="dxa"/>
                  <w:tcBorders>
                    <w:tl2br w:val="nil"/>
                    <w:tr2bl w:val="nil"/>
                  </w:tcBorders>
                  <w:vAlign w:val="center"/>
                </w:tcPr>
                <w:p w14:paraId="098C4DA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禁止在合规园区外新建、扩建钢铁、石化、化工、焦化、建材、有色、制浆造纸等高污染项目。</w:t>
                  </w:r>
                </w:p>
              </w:tc>
              <w:tc>
                <w:tcPr>
                  <w:tcW w:w="1977" w:type="dxa"/>
                  <w:tcBorders>
                    <w:tl2br w:val="nil"/>
                    <w:tr2bl w:val="nil"/>
                  </w:tcBorders>
                  <w:vAlign w:val="center"/>
                </w:tcPr>
                <w:p w14:paraId="64E38B9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项目位于皖江江南新兴产业集中区，是合规园区。</w:t>
                  </w:r>
                </w:p>
              </w:tc>
              <w:tc>
                <w:tcPr>
                  <w:tcW w:w="522" w:type="dxa"/>
                  <w:tcBorders>
                    <w:tl2br w:val="nil"/>
                    <w:tr2bl w:val="nil"/>
                  </w:tcBorders>
                  <w:vAlign w:val="center"/>
                </w:tcPr>
                <w:p w14:paraId="7527ADF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1C97DA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2131C41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6</w:t>
                  </w:r>
                </w:p>
              </w:tc>
              <w:tc>
                <w:tcPr>
                  <w:tcW w:w="5384" w:type="dxa"/>
                  <w:tcBorders>
                    <w:tl2br w:val="nil"/>
                    <w:tr2bl w:val="nil"/>
                  </w:tcBorders>
                  <w:vAlign w:val="center"/>
                </w:tcPr>
                <w:p w14:paraId="5678991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禁止新建、扩建法律法规和相关政策明令禁止的落后产能项目。</w:t>
                  </w:r>
                </w:p>
              </w:tc>
              <w:tc>
                <w:tcPr>
                  <w:tcW w:w="1977" w:type="dxa"/>
                  <w:tcBorders>
                    <w:tl2br w:val="nil"/>
                    <w:tr2bl w:val="nil"/>
                  </w:tcBorders>
                  <w:vAlign w:val="center"/>
                </w:tcPr>
                <w:p w14:paraId="5C77BE6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项目不属于法律法规和相关政策明令禁止的落后产能项目。</w:t>
                  </w:r>
                </w:p>
              </w:tc>
              <w:tc>
                <w:tcPr>
                  <w:tcW w:w="522" w:type="dxa"/>
                  <w:tcBorders>
                    <w:tl2br w:val="nil"/>
                    <w:tr2bl w:val="nil"/>
                  </w:tcBorders>
                  <w:vAlign w:val="center"/>
                </w:tcPr>
                <w:p w14:paraId="7992D02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44E1BE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2287801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7</w:t>
                  </w:r>
                </w:p>
              </w:tc>
              <w:tc>
                <w:tcPr>
                  <w:tcW w:w="5384" w:type="dxa"/>
                  <w:tcBorders>
                    <w:tl2br w:val="nil"/>
                    <w:tr2bl w:val="nil"/>
                  </w:tcBorders>
                  <w:vAlign w:val="center"/>
                </w:tcPr>
                <w:p w14:paraId="5053461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严格执行国家《产业结构调整指导目录》淘汰类和限制类有关规定，禁止投资建设属于淘汰类项目，禁止投资新建属于限制类的项目。对属于限制类的现有生产能力，允许企业在一定期限内采取措施改造升级。</w:t>
                  </w:r>
                </w:p>
              </w:tc>
              <w:tc>
                <w:tcPr>
                  <w:tcW w:w="1977" w:type="dxa"/>
                  <w:tcBorders>
                    <w:tl2br w:val="nil"/>
                    <w:tr2bl w:val="nil"/>
                  </w:tcBorders>
                  <w:vAlign w:val="center"/>
                </w:tcPr>
                <w:p w14:paraId="1033BEF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对照《产业结构调整指导目录（2024年本）》，本项目不属于其中的鼓励类、限制类和淘汰类范畴，视为允许建设项目。</w:t>
                  </w:r>
                </w:p>
              </w:tc>
              <w:tc>
                <w:tcPr>
                  <w:tcW w:w="522" w:type="dxa"/>
                  <w:tcBorders>
                    <w:tl2br w:val="nil"/>
                    <w:tr2bl w:val="nil"/>
                  </w:tcBorders>
                  <w:vAlign w:val="center"/>
                </w:tcPr>
                <w:p w14:paraId="6B0F997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217FF9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c>
                <w:tcPr>
                  <w:tcW w:w="368" w:type="dxa"/>
                  <w:tcBorders>
                    <w:tl2br w:val="nil"/>
                    <w:tr2bl w:val="nil"/>
                  </w:tcBorders>
                  <w:vAlign w:val="center"/>
                </w:tcPr>
                <w:p w14:paraId="14A27A4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8</w:t>
                  </w:r>
                </w:p>
              </w:tc>
              <w:tc>
                <w:tcPr>
                  <w:tcW w:w="5384" w:type="dxa"/>
                  <w:tcBorders>
                    <w:tl2br w:val="nil"/>
                    <w:tr2bl w:val="nil"/>
                  </w:tcBorders>
                  <w:vAlign w:val="center"/>
                </w:tcPr>
                <w:p w14:paraId="250670A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禁止新建、扩建不符合国家产能置换要求的严重过剩产能行业的项目。</w:t>
                  </w:r>
                </w:p>
              </w:tc>
              <w:tc>
                <w:tcPr>
                  <w:tcW w:w="1977" w:type="dxa"/>
                  <w:tcBorders>
                    <w:tl2br w:val="nil"/>
                    <w:tr2bl w:val="nil"/>
                  </w:tcBorders>
                  <w:vAlign w:val="center"/>
                </w:tcPr>
                <w:p w14:paraId="2DA0BAF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项目不属于严重过剩产能行业的项目。</w:t>
                  </w:r>
                </w:p>
              </w:tc>
              <w:tc>
                <w:tcPr>
                  <w:tcW w:w="522" w:type="dxa"/>
                  <w:tcBorders>
                    <w:tl2br w:val="nil"/>
                    <w:tr2bl w:val="nil"/>
                  </w:tcBorders>
                  <w:vAlign w:val="center"/>
                </w:tcPr>
                <w:p w14:paraId="50A2D4D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bl>
          <w:p w14:paraId="20B15698">
            <w:pPr>
              <w:pStyle w:val="43"/>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综上所述，项目与《安徽省长江经济带发展负面清单实施细则（试行，2022年版）》（皖长江办〔2022〕10号）相符。</w:t>
            </w:r>
          </w:p>
          <w:p w14:paraId="40CCD7DB">
            <w:pPr>
              <w:pStyle w:val="43"/>
              <w:bidi w:val="0"/>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3.6  与《深入打好污染防治攻坚战的意见》相符性</w:t>
            </w:r>
          </w:p>
          <w:p w14:paraId="1A1EF24B">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表1-12  与《深入打好污染防治攻坚战的意见》相符性分析</w:t>
            </w:r>
          </w:p>
          <w:tbl>
            <w:tblPr>
              <w:tblStyle w:val="24"/>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6"/>
              <w:gridCol w:w="4319"/>
              <w:gridCol w:w="2264"/>
              <w:gridCol w:w="961"/>
            </w:tblGrid>
            <w:tr w14:paraId="7F62E9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tcBorders>
                    <w:tl2br w:val="nil"/>
                    <w:tr2bl w:val="nil"/>
                  </w:tcBorders>
                  <w:vAlign w:val="center"/>
                </w:tcPr>
                <w:p w14:paraId="6DF711B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序号</w:t>
                  </w:r>
                </w:p>
              </w:tc>
              <w:tc>
                <w:tcPr>
                  <w:tcW w:w="2617" w:type="pct"/>
                  <w:tcBorders>
                    <w:tl2br w:val="nil"/>
                    <w:tr2bl w:val="nil"/>
                  </w:tcBorders>
                  <w:vAlign w:val="center"/>
                </w:tcPr>
                <w:p w14:paraId="31C22E2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文件内容</w:t>
                  </w:r>
                </w:p>
              </w:tc>
              <w:tc>
                <w:tcPr>
                  <w:tcW w:w="1372" w:type="pct"/>
                  <w:tcBorders>
                    <w:tl2br w:val="nil"/>
                    <w:tr2bl w:val="nil"/>
                  </w:tcBorders>
                  <w:vAlign w:val="center"/>
                </w:tcPr>
                <w:p w14:paraId="2F3D72F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本项目情况</w:t>
                  </w:r>
                </w:p>
              </w:tc>
              <w:tc>
                <w:tcPr>
                  <w:tcW w:w="582" w:type="pct"/>
                  <w:tcBorders>
                    <w:tl2br w:val="nil"/>
                    <w:tr2bl w:val="nil"/>
                  </w:tcBorders>
                  <w:vAlign w:val="center"/>
                </w:tcPr>
                <w:p w14:paraId="4D1971F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相符性</w:t>
                  </w:r>
                </w:p>
              </w:tc>
            </w:tr>
            <w:tr w14:paraId="2BDFA5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tcBorders>
                    <w:tl2br w:val="nil"/>
                    <w:tr2bl w:val="nil"/>
                  </w:tcBorders>
                  <w:vAlign w:val="center"/>
                </w:tcPr>
                <w:p w14:paraId="41D534A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w:t>
                  </w:r>
                </w:p>
              </w:tc>
              <w:tc>
                <w:tcPr>
                  <w:tcW w:w="2617" w:type="pct"/>
                  <w:tcBorders>
                    <w:tl2br w:val="nil"/>
                    <w:tr2bl w:val="nil"/>
                  </w:tcBorders>
                  <w:vAlign w:val="center"/>
                </w:tcPr>
                <w:p w14:paraId="65A6DA6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坚决遏制高耗能高排放项目盲目发展。严把高耗能高排放项目准入关口，严格落实污染物排放区域削减要求，对不符合规定的项目坚决停批停建。依法依规淘汰落后产能和化解过剩产能。推动高炉－转炉长流程炼钢转型为电炉短流程炼钢。重点区域严禁新增钢铁、焦化、水泥熟料、平板玻璃、电解铝、氧化铝、煤化工产能，合理控制煤制油气产能规模，严控新增炼油产能。</w:t>
                  </w:r>
                </w:p>
              </w:tc>
              <w:tc>
                <w:tcPr>
                  <w:tcW w:w="1372" w:type="pct"/>
                  <w:tcBorders>
                    <w:tl2br w:val="nil"/>
                    <w:tr2bl w:val="nil"/>
                  </w:tcBorders>
                  <w:vAlign w:val="center"/>
                </w:tcPr>
                <w:p w14:paraId="207E609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根据《安徽省“两高”项目重点管理范围（2025年版）》，本项目不属于“两高”项目。</w:t>
                  </w:r>
                </w:p>
              </w:tc>
              <w:tc>
                <w:tcPr>
                  <w:tcW w:w="582" w:type="pct"/>
                  <w:tcBorders>
                    <w:tl2br w:val="nil"/>
                    <w:tr2bl w:val="nil"/>
                  </w:tcBorders>
                  <w:vAlign w:val="center"/>
                </w:tcPr>
                <w:p w14:paraId="6C942B8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r w14:paraId="34A7C0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tcBorders>
                    <w:tl2br w:val="nil"/>
                    <w:tr2bl w:val="nil"/>
                  </w:tcBorders>
                  <w:vAlign w:val="center"/>
                </w:tcPr>
                <w:p w14:paraId="1DA41E8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2</w:t>
                  </w:r>
                </w:p>
              </w:tc>
              <w:tc>
                <w:tcPr>
                  <w:tcW w:w="2617" w:type="pct"/>
                  <w:tcBorders>
                    <w:tl2br w:val="nil"/>
                    <w:tr2bl w:val="nil"/>
                  </w:tcBorders>
                  <w:vAlign w:val="center"/>
                </w:tcPr>
                <w:p w14:paraId="3DC1686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加强生态环境分区管控。衔接国土空间规划分区和用途管制要求，将生态保护红线、环境质量底线、资源利用上线的硬约束落实到环境管控单元，建立差别化的生态环境准入清单，加强“三线一单”成果在政策制定、环境准入、园区管理、执法监管等方面的应用。健全以环评制度为主体的源头预防体系，严格规划环评审查和项目环评准入，开展重大经济技术政策的生态环境影响分析和重大生态环境政策的社会经济影响评估。</w:t>
                  </w:r>
                </w:p>
              </w:tc>
              <w:tc>
                <w:tcPr>
                  <w:tcW w:w="1372" w:type="pct"/>
                  <w:tcBorders>
                    <w:tl2br w:val="nil"/>
                    <w:tr2bl w:val="nil"/>
                  </w:tcBorders>
                  <w:vAlign w:val="center"/>
                </w:tcPr>
                <w:p w14:paraId="006AAE0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根据前文分析，本项目建设符合“三线一单”的要求</w:t>
                  </w:r>
                </w:p>
              </w:tc>
              <w:tc>
                <w:tcPr>
                  <w:tcW w:w="582" w:type="pct"/>
                  <w:tcBorders>
                    <w:tl2br w:val="nil"/>
                    <w:tr2bl w:val="nil"/>
                  </w:tcBorders>
                  <w:vAlign w:val="center"/>
                </w:tcPr>
                <w:p w14:paraId="00160F8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符合</w:t>
                  </w:r>
                </w:p>
              </w:tc>
            </w:tr>
          </w:tbl>
          <w:p w14:paraId="476FF89A">
            <w:pPr>
              <w:pStyle w:val="43"/>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综上所述，本项目与《深入打好污染防治攻坚战的意见》相符。</w:t>
            </w:r>
          </w:p>
          <w:p w14:paraId="421BD97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3.7</w:t>
            </w:r>
            <w:r>
              <w:rPr>
                <w:rFonts w:hint="default" w:ascii="Times New Roman" w:hAnsi="Times New Roman" w:eastAsia="宋体" w:cs="Times New Roman"/>
                <w:b/>
                <w:bCs/>
                <w:color w:val="auto"/>
                <w:kern w:val="2"/>
                <w:sz w:val="24"/>
                <w:szCs w:val="24"/>
                <w:highlight w:val="none"/>
                <w:lang w:val="en-US" w:eastAsia="zh-CN" w:bidi="ar-SA"/>
              </w:rPr>
              <w:t xml:space="preserve">  项目与《工业炉窑大气污染综合治理方案》（环大气〔2019〕56号）符合性分析</w:t>
            </w:r>
          </w:p>
          <w:p w14:paraId="5CF871B5">
            <w:pPr>
              <w:pStyle w:val="2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本项目铝棒</w:t>
            </w:r>
            <w:r>
              <w:rPr>
                <w:rFonts w:hint="eastAsia" w:cs="Times New Roman"/>
                <w:color w:val="auto"/>
                <w:kern w:val="2"/>
                <w:sz w:val="24"/>
                <w:szCs w:val="24"/>
                <w:highlight w:val="none"/>
                <w:lang w:val="en-US" w:eastAsia="zh-CN"/>
              </w:rPr>
              <w:t>单棒炉</w:t>
            </w:r>
            <w:r>
              <w:rPr>
                <w:rFonts w:hint="default" w:ascii="Times New Roman" w:hAnsi="Times New Roman" w:eastAsia="宋体" w:cs="Times New Roman"/>
                <w:color w:val="auto"/>
                <w:kern w:val="2"/>
                <w:sz w:val="24"/>
                <w:szCs w:val="24"/>
                <w:highlight w:val="none"/>
                <w:lang w:val="en-US" w:eastAsia="zh-CN"/>
              </w:rPr>
              <w:t>、时效炉属于工业炉窑，</w:t>
            </w:r>
            <w:r>
              <w:rPr>
                <w:rFonts w:hint="eastAsia" w:ascii="Times New Roman" w:hAnsi="Times New Roman" w:eastAsia="宋体" w:cs="Times New Roman"/>
                <w:color w:val="auto"/>
                <w:kern w:val="2"/>
                <w:sz w:val="24"/>
                <w:szCs w:val="24"/>
                <w:highlight w:val="none"/>
                <w:lang w:val="en-US" w:eastAsia="zh-CN"/>
              </w:rPr>
              <w:t>项目</w:t>
            </w:r>
            <w:r>
              <w:rPr>
                <w:rFonts w:hint="eastAsia" w:cs="Times New Roman"/>
                <w:color w:val="auto"/>
                <w:kern w:val="2"/>
                <w:sz w:val="24"/>
                <w:szCs w:val="24"/>
                <w:highlight w:val="none"/>
                <w:lang w:val="en-US" w:eastAsia="zh-CN"/>
              </w:rPr>
              <w:t>单棒炉</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时效炉天然气燃烧废气经低氮燃烧后通过密闭管道收集，由一根15m高排气筒排放；</w:t>
            </w:r>
            <w:r>
              <w:rPr>
                <w:rFonts w:hint="eastAsia" w:ascii="Times New Roman" w:hAnsi="Times New Roman" w:eastAsia="宋体" w:cs="Times New Roman"/>
                <w:color w:val="auto"/>
                <w:kern w:val="2"/>
                <w:sz w:val="24"/>
                <w:szCs w:val="24"/>
                <w:highlight w:val="none"/>
                <w:lang w:val="en-US" w:eastAsia="zh-CN"/>
              </w:rPr>
              <w:t>本项</w:t>
            </w:r>
            <w:r>
              <w:rPr>
                <w:rFonts w:hint="eastAsia" w:cs="Times New Roman"/>
                <w:color w:val="auto"/>
                <w:kern w:val="2"/>
                <w:sz w:val="24"/>
                <w:szCs w:val="24"/>
                <w:highlight w:val="none"/>
                <w:lang w:val="en-US" w:eastAsia="zh-CN"/>
              </w:rPr>
              <w:t>目</w:t>
            </w:r>
            <w:r>
              <w:rPr>
                <w:rFonts w:hint="default" w:ascii="Times New Roman" w:hAnsi="Times New Roman" w:eastAsia="宋体" w:cs="Times New Roman"/>
                <w:color w:val="auto"/>
                <w:kern w:val="2"/>
                <w:sz w:val="24"/>
                <w:szCs w:val="24"/>
                <w:highlight w:val="none"/>
                <w:lang w:val="en-US" w:eastAsia="zh-CN"/>
              </w:rPr>
              <w:t>与《工业炉窑大气污染综合治理方案》（环大气〔2019〕56号）分析详见下表。</w:t>
            </w:r>
          </w:p>
          <w:p w14:paraId="721B1273">
            <w:pPr>
              <w:spacing w:line="240" w:lineRule="auto"/>
              <w:jc w:val="center"/>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b/>
                <w:color w:val="auto"/>
                <w:sz w:val="24"/>
                <w:szCs w:val="24"/>
                <w:highlight w:val="none"/>
                <w:lang w:eastAsia="zh-CN"/>
              </w:rPr>
              <w:t>表</w:t>
            </w:r>
            <w:r>
              <w:rPr>
                <w:rFonts w:hint="default" w:ascii="Times New Roman" w:hAnsi="Times New Roman" w:eastAsia="宋体" w:cs="Times New Roman"/>
                <w:b/>
                <w:color w:val="auto"/>
                <w:spacing w:val="-61"/>
                <w:sz w:val="24"/>
                <w:szCs w:val="24"/>
                <w:highlight w:val="none"/>
                <w:lang w:eastAsia="zh-CN"/>
              </w:rPr>
              <w:t xml:space="preserve"> </w:t>
            </w:r>
            <w:r>
              <w:rPr>
                <w:rFonts w:hint="default" w:ascii="Times New Roman" w:hAnsi="Times New Roman" w:eastAsia="宋体" w:cs="Times New Roman"/>
                <w:b/>
                <w:color w:val="auto"/>
                <w:sz w:val="24"/>
                <w:szCs w:val="24"/>
                <w:highlight w:val="none"/>
                <w:lang w:eastAsia="zh-CN"/>
              </w:rPr>
              <w:t>1</w:t>
            </w:r>
            <w:r>
              <w:rPr>
                <w:rFonts w:hint="eastAsia" w:ascii="Times New Roman" w:hAnsi="Times New Roman" w:eastAsia="宋体" w:cs="Times New Roman"/>
                <w:b/>
                <w:color w:val="auto"/>
                <w:sz w:val="24"/>
                <w:szCs w:val="24"/>
                <w:highlight w:val="none"/>
                <w:lang w:val="en-US" w:eastAsia="zh-CN"/>
              </w:rPr>
              <w:t>-1</w:t>
            </w:r>
            <w:r>
              <w:rPr>
                <w:rFonts w:hint="eastAsia"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eastAsia="zh-CN"/>
              </w:rPr>
              <w:t xml:space="preserve">  项目与</w:t>
            </w:r>
            <w:r>
              <w:rPr>
                <w:rFonts w:hint="default" w:ascii="Times New Roman" w:hAnsi="Times New Roman" w:eastAsia="宋体" w:cs="Times New Roman"/>
                <w:b/>
                <w:color w:val="auto"/>
                <w:sz w:val="24"/>
                <w:szCs w:val="24"/>
                <w:highlight w:val="none"/>
                <w:lang w:val="en-US" w:eastAsia="zh-CN"/>
              </w:rPr>
              <w:t>《工业炉窑大气污染综合治理方案》</w:t>
            </w:r>
            <w:r>
              <w:rPr>
                <w:rFonts w:hint="default" w:ascii="Times New Roman" w:hAnsi="Times New Roman" w:eastAsia="宋体" w:cs="Times New Roman"/>
                <w:b/>
                <w:color w:val="auto"/>
                <w:sz w:val="24"/>
                <w:szCs w:val="24"/>
                <w:highlight w:val="none"/>
                <w:lang w:eastAsia="zh-CN"/>
              </w:rPr>
              <w:t>相符性分析</w:t>
            </w:r>
          </w:p>
          <w:tbl>
            <w:tblPr>
              <w:tblStyle w:val="23"/>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5221"/>
              <w:gridCol w:w="2370"/>
              <w:gridCol w:w="659"/>
            </w:tblGrid>
            <w:tr w14:paraId="68070A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3164" w:type="pct"/>
                  <w:tcBorders>
                    <w:tl2br w:val="nil"/>
                    <w:tr2bl w:val="nil"/>
                  </w:tcBorders>
                  <w:noWrap w:val="0"/>
                  <w:vAlign w:val="center"/>
                </w:tcPr>
                <w:p w14:paraId="44AD2032">
                  <w:pPr>
                    <w:pStyle w:val="41"/>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标准规定</w:t>
                  </w:r>
                </w:p>
              </w:tc>
              <w:tc>
                <w:tcPr>
                  <w:tcW w:w="1436" w:type="pct"/>
                  <w:tcBorders>
                    <w:tl2br w:val="nil"/>
                    <w:tr2bl w:val="nil"/>
                  </w:tcBorders>
                  <w:noWrap w:val="0"/>
                  <w:vAlign w:val="center"/>
                </w:tcPr>
                <w:p w14:paraId="270CA8A7">
                  <w:pPr>
                    <w:pStyle w:val="41"/>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项目情况</w:t>
                  </w:r>
                </w:p>
              </w:tc>
              <w:tc>
                <w:tcPr>
                  <w:tcW w:w="399" w:type="pct"/>
                  <w:tcBorders>
                    <w:tl2br w:val="nil"/>
                    <w:tr2bl w:val="nil"/>
                  </w:tcBorders>
                  <w:noWrap w:val="0"/>
                  <w:vAlign w:val="center"/>
                </w:tcPr>
                <w:p w14:paraId="361C0148">
                  <w:pPr>
                    <w:pStyle w:val="41"/>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是否符合</w:t>
                  </w:r>
                </w:p>
              </w:tc>
            </w:tr>
            <w:tr w14:paraId="6302EE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3164" w:type="pct"/>
                  <w:tcBorders>
                    <w:tl2br w:val="nil"/>
                    <w:tr2bl w:val="nil"/>
                  </w:tcBorders>
                  <w:noWrap w:val="0"/>
                  <w:vAlign w:val="center"/>
                </w:tcPr>
                <w:p w14:paraId="2F27A29D">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加大产业结构调整力度。严格建设项目环境准入。新建涉工业炉窑的建设项目，原则上要入园区，配套建设高效环保治理设施。重点区域严格控制涉工业炉窑建设项目，严禁新增钢铁、焦化、电解铝、铸造、水泥和平板玻璃等产能；严格执行钢铁、水泥、平板玻璃等行业产能置换实施办法；原则上禁止新建燃料类煤气发生炉（园区现有企业统一建设的清洁煤制气中心除外）。</w:t>
                  </w:r>
                </w:p>
              </w:tc>
              <w:tc>
                <w:tcPr>
                  <w:tcW w:w="1436" w:type="pct"/>
                  <w:tcBorders>
                    <w:tl2br w:val="nil"/>
                    <w:tr2bl w:val="nil"/>
                  </w:tcBorders>
                  <w:noWrap w:val="0"/>
                  <w:vAlign w:val="center"/>
                </w:tcPr>
                <w:p w14:paraId="6CDA64ED">
                  <w:pPr>
                    <w:pStyle w:val="41"/>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本项目位于</w:t>
                  </w:r>
                  <w:r>
                    <w:rPr>
                      <w:rFonts w:hint="eastAsia" w:ascii="Times New Roman" w:hAnsi="Times New Roman" w:eastAsia="宋体" w:cs="Times New Roman"/>
                      <w:color w:val="auto"/>
                      <w:highlight w:val="none"/>
                      <w:lang w:val="en-US" w:eastAsia="zh-CN"/>
                    </w:rPr>
                    <w:t>皖江江南新兴产业集中区</w:t>
                  </w:r>
                  <w:r>
                    <w:rPr>
                      <w:rFonts w:hint="default" w:ascii="Times New Roman" w:hAnsi="Times New Roman" w:eastAsia="宋体" w:cs="Times New Roman"/>
                      <w:color w:val="auto"/>
                      <w:highlight w:val="none"/>
                      <w:lang w:val="zh-CN"/>
                    </w:rPr>
                    <w:t>，本项目不属于</w:t>
                  </w:r>
                  <w:r>
                    <w:rPr>
                      <w:rFonts w:hint="default" w:ascii="Times New Roman" w:hAnsi="Times New Roman" w:eastAsia="宋体" w:cs="Times New Roman"/>
                      <w:color w:val="auto"/>
                      <w:highlight w:val="none"/>
                    </w:rPr>
                    <w:t>钢铁、焦化、电解铝、铸造、水泥和平板玻璃等</w:t>
                  </w:r>
                  <w:r>
                    <w:rPr>
                      <w:rFonts w:hint="default" w:ascii="Times New Roman" w:hAnsi="Times New Roman" w:eastAsia="宋体" w:cs="Times New Roman"/>
                      <w:color w:val="auto"/>
                      <w:highlight w:val="none"/>
                      <w:lang w:val="en-US" w:eastAsia="zh-CN"/>
                    </w:rPr>
                    <w:t>重点</w:t>
                  </w:r>
                  <w:r>
                    <w:rPr>
                      <w:rFonts w:hint="default" w:ascii="Times New Roman" w:hAnsi="Times New Roman" w:eastAsia="宋体" w:cs="Times New Roman"/>
                      <w:color w:val="auto"/>
                      <w:highlight w:val="none"/>
                    </w:rPr>
                    <w:t>行业；</w:t>
                  </w:r>
                  <w:r>
                    <w:rPr>
                      <w:rFonts w:hint="default" w:ascii="Times New Roman" w:hAnsi="Times New Roman" w:eastAsia="宋体" w:cs="Times New Roman"/>
                      <w:color w:val="auto"/>
                      <w:highlight w:val="none"/>
                      <w:lang w:val="en-US" w:eastAsia="zh-CN"/>
                    </w:rPr>
                    <w:t>项目</w:t>
                  </w:r>
                  <w:r>
                    <w:rPr>
                      <w:rFonts w:hint="default" w:ascii="Times New Roman" w:hAnsi="Times New Roman" w:eastAsia="宋体" w:cs="Times New Roman"/>
                      <w:color w:val="auto"/>
                      <w:highlight w:val="none"/>
                    </w:rPr>
                    <w:t>对产生的废气进行治理，达标后排放</w:t>
                  </w:r>
                </w:p>
              </w:tc>
              <w:tc>
                <w:tcPr>
                  <w:tcW w:w="399" w:type="pct"/>
                  <w:tcBorders>
                    <w:tl2br w:val="nil"/>
                    <w:tr2bl w:val="nil"/>
                  </w:tcBorders>
                  <w:noWrap w:val="0"/>
                  <w:vAlign w:val="center"/>
                </w:tcPr>
                <w:p w14:paraId="213E8E77">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符合</w:t>
                  </w:r>
                </w:p>
              </w:tc>
            </w:tr>
            <w:tr w14:paraId="436432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3164" w:type="pct"/>
                  <w:tcBorders>
                    <w:tl2br w:val="nil"/>
                    <w:tr2bl w:val="nil"/>
                  </w:tcBorders>
                  <w:noWrap w:val="0"/>
                  <w:vAlign w:val="center"/>
                </w:tcPr>
                <w:p w14:paraId="13C3E9F9">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实施污染深度治理。推进工业炉窑全面达标排放。已有行业排放标准的工业炉窑，严格执行行业排放标准相关规定，配套建设高效脱硫脱硝除尘设施（见附件4），确保稳定达标排放。已制定更严格地方排放标准的，按地方标准执行。重点区域钢铁、水泥、焦化、石化、化工、有色等行业，二氧化硫、氮氧化物、颗粒物、挥发性有机物（VOCs）排放全面执行大气污染物特别排放限值。已核发排污许可证的，应严格执行许可要求。</w:t>
                  </w:r>
                </w:p>
                <w:p w14:paraId="6283CFEF">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暂未制订行业排放标准的工业炉窑，包括铸造，日用玻璃，玻璃纤维、耐火材料、石灰、矿物棉等建材行业，钨、工业硅、金属冶炼废渣（灰）二次提取等有色金属行业，氮肥、电石、无机磷、活性炭等化工行业，应参照相关行业已出台的标准，全面加大污染治理力度，铸造行业烧结、高炉工序污染排放控制按照钢铁行业相关标准要求执行；重点区域原则上按照颗粒物、二氧化硫、氮氧化物排放限值分别不高于30、200、300毫克/立方米实施改造，其中，日用玻璃、玻璃棉氮氧化物排放限值不高于400毫克/立方米；已制定更严格地方排放标准的地区，执行地方排放标准。</w:t>
                  </w:r>
                </w:p>
                <w:p w14:paraId="2AD3FBD0">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全面加强无组织排放管理。严格控制工业炉窑生产工艺过程及相关物料储存、输送等无组织排放，在保障生产安全的前提下，采取密闭、封闭等有效措施，有效提高废气收集率，产尘点及车间不得有可见烟粉尘外逸。生产工艺产尘点（装置）应采取密闭、封闭或设置集气罩等措施。煤粉、粉煤灰、石灰、除尘灰、脱硫灰等粉状物料应密闭或封闭储存，采用密闭皮带、封闭通廊、管状带式输送机或密闭车厢、真空罐车、气力输送等方式输送。粒状、块状物料应采用入棚入仓或建设防风抑尘网等方式进行储存，粒状物料采用密闭、封闭等方式输送。物料输送过程中产尘点应采取有效抑尘措施。</w:t>
                  </w:r>
                </w:p>
                <w:p w14:paraId="3E28E665">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推进重点行业污染深度治理。落实《关于推进实施钢铁行业超低排放的意见》，加快推进钢铁行业超低排放改造。积极推进电解铝、平板玻璃、水泥、焦化等行业污染治理升级改造。重点区域内电解铝企业全面推进烟气脱硫设施建设；全面加大热残极冷却过程无组织排放治理力度，建设封闭高效的烟气收集系统，实现残极冷却烟气有效处理。重点区域内平板玻璃、建筑陶瓷企业应逐步取消脱硫脱硝烟气旁路或设置备用脱硫脱硝等设施，鼓励水泥企业实施全流程污染深度治理。推进具备条件的焦化企业实施干熄焦改造，在保证安全生产前提下，重点区域城市建成区内焦炉实施炉体加罩封闭，并对废气进行收集处理。</w:t>
                  </w:r>
                </w:p>
                <w:p w14:paraId="3450DF26">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加大煤气发生炉VOCs治理力度。酚水系统应封闭，产生的废气应收集处理，鼓励送至煤气发生炉鼓风机入口进行再利用；酚水应送至煤气发生炉处置，或回收酚、氨后深度处理，或送至水煤浆炉进行焚烧等。禁止含酚废水直接作为煤气水封水、冲渣水。氮肥等行业采用固定床间歇式煤气化炉的，加快推进煤气冷却由直接水洗改为间接冷却；其他区域采用直接水洗冷却方式的，造气循环水集输、储存、处理系统应封闭，收集的废气送至三废炉处理。吹风气、弛放气应全部收集利用</w:t>
                  </w:r>
                </w:p>
              </w:tc>
              <w:tc>
                <w:tcPr>
                  <w:tcW w:w="1436" w:type="pct"/>
                  <w:tcBorders>
                    <w:tl2br w:val="nil"/>
                    <w:tr2bl w:val="nil"/>
                  </w:tcBorders>
                  <w:noWrap w:val="0"/>
                  <w:vAlign w:val="center"/>
                </w:tcPr>
                <w:p w14:paraId="217D37D2">
                  <w:pPr>
                    <w:pStyle w:val="41"/>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rPr>
                    <w:t>本项目排放执行</w:t>
                  </w:r>
                  <w:r>
                    <w:rPr>
                      <w:rFonts w:hint="default" w:ascii="Times New Roman" w:hAnsi="Times New Roman" w:eastAsia="宋体" w:cs="Times New Roman"/>
                      <w:color w:val="auto"/>
                      <w:highlight w:val="none"/>
                      <w:lang w:val="en-US" w:eastAsia="zh-CN"/>
                    </w:rPr>
                    <w:t>相关国家标准</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rPr>
                    <w:t>颗粒物、二氧化硫、氮氧化物排放限值分别不高于30、200、300毫克/立方米</w:t>
                  </w:r>
                  <w:r>
                    <w:rPr>
                      <w:rFonts w:hint="eastAsia" w:ascii="Times New Roman" w:hAnsi="Times New Roman" w:eastAsia="宋体" w:cs="Times New Roman"/>
                      <w:color w:val="auto"/>
                      <w:highlight w:val="none"/>
                      <w:lang w:val="en-US" w:eastAsia="zh-CN"/>
                    </w:rPr>
                    <w:t>限值要求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项目</w:t>
                  </w:r>
                  <w:r>
                    <w:rPr>
                      <w:rFonts w:hint="default" w:ascii="Times New Roman" w:hAnsi="Times New Roman" w:eastAsia="宋体" w:cs="Times New Roman"/>
                      <w:color w:val="auto"/>
                      <w:highlight w:val="none"/>
                      <w:lang w:val="en-US" w:eastAsia="zh-CN"/>
                    </w:rPr>
                    <w:t>将按照相关要求</w:t>
                  </w:r>
                  <w:r>
                    <w:rPr>
                      <w:rFonts w:hint="default" w:ascii="Times New Roman" w:hAnsi="Times New Roman" w:eastAsia="宋体" w:cs="Times New Roman"/>
                      <w:color w:val="auto"/>
                      <w:highlight w:val="none"/>
                    </w:rPr>
                    <w:t>申领《排污许可证》</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并落实排污许可制度</w:t>
                  </w:r>
                </w:p>
              </w:tc>
              <w:tc>
                <w:tcPr>
                  <w:tcW w:w="399" w:type="pct"/>
                  <w:tcBorders>
                    <w:tl2br w:val="nil"/>
                    <w:tr2bl w:val="nil"/>
                  </w:tcBorders>
                  <w:noWrap w:val="0"/>
                  <w:vAlign w:val="center"/>
                </w:tcPr>
                <w:p w14:paraId="54E9ADE1">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符合</w:t>
                  </w:r>
                </w:p>
              </w:tc>
            </w:tr>
            <w:tr w14:paraId="41D948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3164" w:type="pct"/>
                  <w:tcBorders>
                    <w:tl2br w:val="nil"/>
                    <w:tr2bl w:val="nil"/>
                  </w:tcBorders>
                  <w:noWrap w:val="0"/>
                  <w:vAlign w:val="center"/>
                </w:tcPr>
                <w:p w14:paraId="2C56EA1A">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（三）加强排污许可管理。按照排污许可管理名录规定按期完成涉工业炉窑行业排污许可证核发。开展固定污染源排污许可清理整顿工作，</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核发一个行业、清理一个行业、达标一个行业、规范一个行业</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加大依证监管执法和处罚力度，确保排污单位落实持证排污、按证排污的环境管理主体责任。对无证排污、超标超总量排放以及逃避监管方式排放大气污染物的，依法予以停产整治，情节严重的，报经有批准权的人民政府批准，责令停业、关闭。建立企业信用记录，对于无证排污、不按规定提交执行报告和严重超标超总量排污的，纳入全国信用信息共享平台，通过</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信用中国</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等网站定期向社会公布</w:t>
                  </w:r>
                </w:p>
              </w:tc>
              <w:tc>
                <w:tcPr>
                  <w:tcW w:w="1436" w:type="pct"/>
                  <w:tcBorders>
                    <w:tl2br w:val="nil"/>
                    <w:tr2bl w:val="nil"/>
                  </w:tcBorders>
                  <w:noWrap w:val="0"/>
                  <w:vAlign w:val="center"/>
                </w:tcPr>
                <w:p w14:paraId="5845AE39">
                  <w:pPr>
                    <w:pStyle w:val="41"/>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本项目将按照要求申领</w:t>
                  </w:r>
                  <w:r>
                    <w:rPr>
                      <w:rFonts w:hint="default" w:ascii="Times New Roman" w:hAnsi="Times New Roman" w:eastAsia="宋体" w:cs="Times New Roman"/>
                      <w:color w:val="auto"/>
                      <w:highlight w:val="none"/>
                    </w:rPr>
                    <w:t>《排污许可证》</w:t>
                  </w:r>
                  <w:r>
                    <w:rPr>
                      <w:rFonts w:hint="default" w:ascii="Times New Roman" w:hAnsi="Times New Roman" w:eastAsia="宋体" w:cs="Times New Roman"/>
                      <w:color w:val="auto"/>
                      <w:highlight w:val="none"/>
                      <w:lang w:val="en-US" w:eastAsia="zh-CN"/>
                    </w:rPr>
                    <w:t>并按证排污</w:t>
                  </w:r>
                </w:p>
              </w:tc>
              <w:tc>
                <w:tcPr>
                  <w:tcW w:w="399" w:type="pct"/>
                  <w:tcBorders>
                    <w:tl2br w:val="nil"/>
                    <w:tr2bl w:val="nil"/>
                  </w:tcBorders>
                  <w:noWrap w:val="0"/>
                  <w:vAlign w:val="center"/>
                </w:tcPr>
                <w:p w14:paraId="72C9F962">
                  <w:pPr>
                    <w:pStyle w:val="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符合</w:t>
                  </w:r>
                </w:p>
              </w:tc>
            </w:tr>
          </w:tbl>
          <w:p w14:paraId="5535BBBD">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default" w:ascii="Times New Roman" w:hAnsi="Times New Roman" w:cs="Times New Roman"/>
                <w:b/>
                <w:bCs/>
                <w:color w:val="auto"/>
                <w:lang w:val="en-US" w:eastAsia="zh-CN"/>
              </w:rPr>
            </w:pPr>
            <w:r>
              <w:rPr>
                <w:rFonts w:hint="eastAsia" w:ascii="Times New Roman" w:hAnsi="Times New Roman"/>
                <w:sz w:val="24"/>
                <w:szCs w:val="24"/>
              </w:rPr>
              <w:t>综上所述，项目与《工业炉窑大气污染综合治理方案》（环大气〔2019〕56号）相符。</w:t>
            </w:r>
          </w:p>
          <w:p w14:paraId="11758FB7">
            <w:pPr>
              <w:pStyle w:val="43"/>
              <w:bidi w:val="0"/>
              <w:rPr>
                <w:rFonts w:hint="default"/>
                <w:color w:val="000000" w:themeColor="text1"/>
                <w:lang w:val="en-US" w:eastAsia="zh-CN"/>
                <w14:textFill>
                  <w14:solidFill>
                    <w14:schemeClr w14:val="tx1"/>
                  </w14:solidFill>
                </w14:textFill>
              </w:rPr>
            </w:pPr>
          </w:p>
        </w:tc>
      </w:tr>
    </w:tbl>
    <w:p w14:paraId="7EF5C4E2">
      <w:pPr>
        <w:jc w:val="both"/>
        <w:rPr>
          <w:rFonts w:hint="default" w:ascii="黑体" w:hAnsi="黑体" w:eastAsia="黑体" w:cs="黑体"/>
          <w:color w:val="000000" w:themeColor="text1"/>
          <w:sz w:val="30"/>
          <w:szCs w:val="30"/>
          <w:lang w:val="en-US" w:eastAsia="zh-CN"/>
          <w14:textFill>
            <w14:solidFill>
              <w14:schemeClr w14:val="tx1"/>
            </w14:solidFill>
          </w14:textFill>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1F2229FD">
      <w:pPr>
        <w:jc w:val="center"/>
        <w:outlineLvl w:val="0"/>
        <w:rPr>
          <w:rFonts w:hint="default" w:ascii="黑体" w:hAnsi="黑体" w:eastAsia="黑体" w:cs="黑体"/>
          <w:color w:val="000000" w:themeColor="text1"/>
          <w:sz w:val="30"/>
          <w:szCs w:val="30"/>
          <w:lang w:val="en-US" w:eastAsia="zh-CN"/>
          <w14:textFill>
            <w14:solidFill>
              <w14:schemeClr w14:val="tx1"/>
            </w14:solidFill>
          </w14:textFill>
        </w:rPr>
      </w:pPr>
      <w:bookmarkStart w:id="9" w:name="_Toc8054"/>
      <w:r>
        <w:rPr>
          <w:rFonts w:hint="eastAsia" w:ascii="黑体" w:hAnsi="黑体" w:eastAsia="黑体" w:cs="黑体"/>
          <w:color w:val="000000" w:themeColor="text1"/>
          <w:sz w:val="30"/>
          <w:szCs w:val="30"/>
          <w:lang w:val="en-US" w:eastAsia="zh-CN"/>
          <w14:textFill>
            <w14:solidFill>
              <w14:schemeClr w14:val="tx1"/>
            </w14:solidFill>
          </w14:textFill>
        </w:rPr>
        <w:t>二、建设项目工程分析</w:t>
      </w:r>
      <w:bookmarkEnd w:id="9"/>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
        <w:gridCol w:w="8097"/>
      </w:tblGrid>
      <w:tr w14:paraId="5F52C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dxa"/>
            <w:vAlign w:val="center"/>
          </w:tcPr>
          <w:p w14:paraId="58B0D1D5">
            <w:pPr>
              <w:pStyle w:val="41"/>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建设内容</w:t>
            </w:r>
          </w:p>
        </w:tc>
        <w:tc>
          <w:tcPr>
            <w:tcW w:w="8099" w:type="dxa"/>
          </w:tcPr>
          <w:p w14:paraId="30452E92">
            <w:pPr>
              <w:pStyle w:val="43"/>
              <w:bidi w:val="0"/>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1、项目由来</w:t>
            </w:r>
          </w:p>
          <w:p w14:paraId="74B9E2E1">
            <w:pPr>
              <w:pStyle w:val="43"/>
              <w:bidi w:val="0"/>
              <w:jc w:val="both"/>
              <w:rPr>
                <w:rFonts w:hint="eastAsia" w:cs="Times New Roman"/>
                <w:color w:val="auto"/>
                <w:sz w:val="24"/>
                <w:szCs w:val="24"/>
                <w:lang w:val="en-US" w:eastAsia="zh-CN" w:bidi="ar-SA"/>
              </w:rPr>
            </w:pPr>
            <w:r>
              <w:rPr>
                <w:rFonts w:hint="eastAsia" w:cs="Times New Roman"/>
                <w:color w:val="auto"/>
                <w:sz w:val="24"/>
                <w:szCs w:val="24"/>
                <w:lang w:val="en-US" w:eastAsia="zh-CN" w:bidi="ar-SA"/>
              </w:rPr>
              <w:t>池州市金升铝业科技有限责任公司成立于2022年8月10日，注册地位于安徽省池州市江南产业集中区兴业大道以西、创裕金属以南，兴业大道25号部分厂房，法定代表人为代金平。经营范围包括：金属材料制造；有色金属压延加工；有色金属合金制造；新型金属功能材料销售；机械设备销售；高性能有色金属及合金材料销售；建筑用金属配件销售；有色金属合金销售；五金产品零售等。</w:t>
            </w:r>
          </w:p>
          <w:p w14:paraId="1413EB0F">
            <w:pPr>
              <w:pStyle w:val="43"/>
              <w:bidi w:val="0"/>
              <w:jc w:val="both"/>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池州市金升铝业科技有限责任公司拟建设年产10万吨电子、汽车、智能机器人等科技行业用铝型材项目，项目分二期实施，一期租用江南产业集中区兴业大道以西，创裕金属以南，兴业大道25号部分厂房，建设4条铝合金型材生产线，计划投资0.5亿元，其中设备投资1400万元，年税收500万元；二期投资2.5亿元，设备投资7000万元，拟需园区供地40亩，建设21条合金型材生产线，年税收2500万元。主要生产半导体封装用铝型材组件，机器人结构件铝型材、新能源用铝型材、汽车用铝型材、其他工业用铝型材等，项目建成投产后预计年产值30亿元，年税收3000万元。本项目已于2025年8月29日（首次备案时间：2023年10月18日）取得皖江江南新兴产业集中区产业发展部下发的项目备案表（项目代码2310-341763-04-01-736922）。</w:t>
            </w:r>
            <w:r>
              <w:rPr>
                <w:rFonts w:hint="eastAsia"/>
                <w:b/>
                <w:bCs/>
                <w:color w:val="000000" w:themeColor="text1"/>
                <w:lang w:val="en-US" w:eastAsia="zh-CN" w:bidi="ar-SA"/>
                <w14:textFill>
                  <w14:solidFill>
                    <w14:schemeClr w14:val="tx1"/>
                  </w14:solidFill>
                </w14:textFill>
              </w:rPr>
              <w:t>经建设单位确认，本项目二期建设地址暂未确定，因此本次评价内容只包括一期建设工程，二期建设时另行评价。</w:t>
            </w:r>
          </w:p>
          <w:p w14:paraId="7BDF1C40">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本项目对照《建设项目环境影响评价分类管理名录（2021年版）》（生态环境部令第16号），与本项目有关的条款主要为：</w:t>
            </w:r>
          </w:p>
          <w:p w14:paraId="7F9B8EFF">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表2-1  建设项目环境影响评价分类管理名录（2021年版）相关条款一览表</w:t>
            </w:r>
          </w:p>
          <w:tbl>
            <w:tblPr>
              <w:tblStyle w:val="23"/>
              <w:tblW w:w="4998" w:type="pct"/>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autofit"/>
              <w:tblCellMar>
                <w:top w:w="0" w:type="dxa"/>
                <w:left w:w="57" w:type="dxa"/>
                <w:bottom w:w="0" w:type="dxa"/>
                <w:right w:w="57" w:type="dxa"/>
              </w:tblCellMar>
            </w:tblPr>
            <w:tblGrid>
              <w:gridCol w:w="412"/>
              <w:gridCol w:w="2403"/>
              <w:gridCol w:w="2408"/>
              <w:gridCol w:w="1183"/>
              <w:gridCol w:w="895"/>
              <w:gridCol w:w="577"/>
            </w:tblGrid>
            <w:tr w14:paraId="536C7463">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57" w:type="dxa"/>
                  <w:bottom w:w="0" w:type="dxa"/>
                  <w:right w:w="57" w:type="dxa"/>
                </w:tblCellMar>
              </w:tblPrEx>
              <w:trPr>
                <w:trHeight w:val="510" w:hRule="atLeast"/>
                <w:jc w:val="center"/>
              </w:trPr>
              <w:tc>
                <w:tcPr>
                  <w:tcW w:w="1787" w:type="pct"/>
                  <w:gridSpan w:val="2"/>
                  <w:noWrap w:val="0"/>
                  <w:vAlign w:val="center"/>
                </w:tcPr>
                <w:p w14:paraId="46452C0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项目类别</w:t>
                  </w:r>
                </w:p>
              </w:tc>
              <w:tc>
                <w:tcPr>
                  <w:tcW w:w="1528" w:type="pct"/>
                  <w:noWrap w:val="0"/>
                  <w:vAlign w:val="center"/>
                </w:tcPr>
                <w:p w14:paraId="7333FDE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报告书</w:t>
                  </w:r>
                </w:p>
              </w:tc>
              <w:tc>
                <w:tcPr>
                  <w:tcW w:w="751" w:type="pct"/>
                  <w:noWrap w:val="0"/>
                  <w:vAlign w:val="center"/>
                </w:tcPr>
                <w:p w14:paraId="4E86BE49">
                  <w:pPr>
                    <w:pStyle w:val="41"/>
                    <w:keepNext w:val="0"/>
                    <w:keepLines w:val="0"/>
                    <w:pageBreakBefore w:val="0"/>
                    <w:widowControl w:val="0"/>
                    <w:tabs>
                      <w:tab w:val="left" w:pos="1081"/>
                    </w:tabs>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报告表</w:t>
                  </w:r>
                </w:p>
              </w:tc>
              <w:tc>
                <w:tcPr>
                  <w:tcW w:w="568" w:type="pct"/>
                  <w:noWrap w:val="0"/>
                  <w:vAlign w:val="center"/>
                </w:tcPr>
                <w:p w14:paraId="0D8C6EE4">
                  <w:pPr>
                    <w:pStyle w:val="41"/>
                    <w:keepNext w:val="0"/>
                    <w:keepLines w:val="0"/>
                    <w:pageBreakBefore w:val="0"/>
                    <w:widowControl w:val="0"/>
                    <w:tabs>
                      <w:tab w:val="left" w:pos="1081"/>
                    </w:tabs>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登记表</w:t>
                  </w:r>
                </w:p>
              </w:tc>
              <w:tc>
                <w:tcPr>
                  <w:tcW w:w="363" w:type="pct"/>
                  <w:noWrap w:val="0"/>
                  <w:vAlign w:val="center"/>
                </w:tcPr>
                <w:p w14:paraId="24F43DDD">
                  <w:pPr>
                    <w:pStyle w:val="41"/>
                    <w:keepNext w:val="0"/>
                    <w:keepLines w:val="0"/>
                    <w:pageBreakBefore w:val="0"/>
                    <w:widowControl w:val="0"/>
                    <w:tabs>
                      <w:tab w:val="left" w:pos="1081"/>
                    </w:tabs>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备注</w:t>
                  </w:r>
                </w:p>
              </w:tc>
            </w:tr>
            <w:tr w14:paraId="27ECE276">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57" w:type="dxa"/>
                  <w:bottom w:w="0" w:type="dxa"/>
                  <w:right w:w="57" w:type="dxa"/>
                </w:tblCellMar>
              </w:tblPrEx>
              <w:trPr>
                <w:trHeight w:val="510" w:hRule="atLeast"/>
                <w:jc w:val="center"/>
              </w:trPr>
              <w:tc>
                <w:tcPr>
                  <w:tcW w:w="5000" w:type="pct"/>
                  <w:gridSpan w:val="6"/>
                  <w:noWrap w:val="0"/>
                  <w:vAlign w:val="center"/>
                </w:tcPr>
                <w:p w14:paraId="600D3DDA">
                  <w:pPr>
                    <w:pStyle w:val="41"/>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bCs w:val="0"/>
                      <w:color w:val="auto"/>
                      <w:sz w:val="21"/>
                      <w:szCs w:val="21"/>
                      <w:lang w:val="en-US" w:eastAsia="zh-CN"/>
                    </w:rPr>
                    <w:t>二十九、有色金属冶炼和压延加工业32</w:t>
                  </w:r>
                </w:p>
              </w:tc>
            </w:tr>
            <w:tr w14:paraId="6A39B2AF">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57" w:type="dxa"/>
                  <w:bottom w:w="0" w:type="dxa"/>
                  <w:right w:w="57" w:type="dxa"/>
                </w:tblCellMar>
              </w:tblPrEx>
              <w:trPr>
                <w:trHeight w:val="510" w:hRule="atLeast"/>
                <w:jc w:val="center"/>
              </w:trPr>
              <w:tc>
                <w:tcPr>
                  <w:tcW w:w="262" w:type="pct"/>
                  <w:noWrap w:val="0"/>
                  <w:vAlign w:val="center"/>
                </w:tcPr>
                <w:p w14:paraId="4FB16A1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65</w:t>
                  </w:r>
                </w:p>
              </w:tc>
              <w:tc>
                <w:tcPr>
                  <w:tcW w:w="1525" w:type="pct"/>
                  <w:noWrap w:val="0"/>
                  <w:vAlign w:val="center"/>
                </w:tcPr>
                <w:p w14:paraId="0EF2AB3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有色金属压延加工 325</w:t>
                  </w:r>
                </w:p>
              </w:tc>
              <w:tc>
                <w:tcPr>
                  <w:tcW w:w="1528" w:type="pct"/>
                  <w:noWrap w:val="0"/>
                  <w:vAlign w:val="center"/>
                </w:tcPr>
                <w:p w14:paraId="3FC8CED2">
                  <w:pPr>
                    <w:keepNext w:val="0"/>
                    <w:keepLines w:val="0"/>
                    <w:widowControl/>
                    <w:suppressLineNumbers w:val="0"/>
                    <w:spacing w:line="240" w:lineRule="auto"/>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w:t>
                  </w:r>
                </w:p>
              </w:tc>
              <w:tc>
                <w:tcPr>
                  <w:tcW w:w="751" w:type="pct"/>
                  <w:noWrap w:val="0"/>
                  <w:vAlign w:val="center"/>
                </w:tcPr>
                <w:p w14:paraId="539AF56B">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b/>
                      <w:bCs/>
                      <w:color w:val="auto"/>
                      <w:sz w:val="21"/>
                      <w:szCs w:val="21"/>
                      <w:lang w:val="en-US" w:eastAsia="zh-CN"/>
                    </w:rPr>
                    <w:t>全部</w:t>
                  </w:r>
                </w:p>
              </w:tc>
              <w:tc>
                <w:tcPr>
                  <w:tcW w:w="568" w:type="pct"/>
                  <w:noWrap w:val="0"/>
                  <w:vAlign w:val="center"/>
                </w:tcPr>
                <w:p w14:paraId="5D9A442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363" w:type="pct"/>
                  <w:noWrap w:val="0"/>
                  <w:vAlign w:val="center"/>
                </w:tcPr>
                <w:p w14:paraId="02A39E4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auto"/>
                      <w:sz w:val="21"/>
                      <w:szCs w:val="21"/>
                      <w:lang w:val="en-US" w:eastAsia="zh-CN"/>
                    </w:rPr>
                  </w:pPr>
                </w:p>
              </w:tc>
            </w:tr>
          </w:tbl>
          <w:p w14:paraId="2FE36775">
            <w:pPr>
              <w:pStyle w:val="43"/>
              <w:bidi w:val="0"/>
              <w:rPr>
                <w:rFonts w:hint="eastAsia"/>
                <w:color w:val="000000" w:themeColor="text1"/>
                <w:lang w:val="en-US" w:eastAsia="zh-CN" w:bidi="ar-SA"/>
                <w14:textFill>
                  <w14:solidFill>
                    <w14:schemeClr w14:val="tx1"/>
                  </w14:solidFill>
                </w14:textFill>
              </w:rPr>
            </w:pPr>
            <w:r>
              <w:rPr>
                <w:rFonts w:hint="default" w:ascii="Times New Roman" w:hAnsi="Times New Roman" w:cs="Times New Roman"/>
                <w:color w:val="auto"/>
                <w:kern w:val="0"/>
                <w:lang w:val="en-US" w:eastAsia="zh-CN" w:bidi="ar-SA"/>
              </w:rPr>
              <w:t>对照上述条款，本项目</w:t>
            </w:r>
            <w:r>
              <w:rPr>
                <w:rFonts w:hint="eastAsia" w:ascii="Times New Roman" w:hAnsi="Times New Roman" w:cs="Times New Roman"/>
                <w:color w:val="auto"/>
                <w:kern w:val="0"/>
                <w:lang w:val="en-US" w:eastAsia="zh-CN" w:bidi="ar-SA"/>
              </w:rPr>
              <w:t>产品</w:t>
            </w:r>
            <w:r>
              <w:rPr>
                <w:rFonts w:hint="default" w:ascii="Times New Roman" w:hAnsi="Times New Roman" w:cs="Times New Roman"/>
                <w:color w:val="auto"/>
                <w:kern w:val="0"/>
                <w:lang w:val="en-US" w:eastAsia="zh-CN" w:bidi="ar-SA"/>
              </w:rPr>
              <w:t>主要</w:t>
            </w:r>
            <w:r>
              <w:rPr>
                <w:rFonts w:hint="eastAsia" w:ascii="Times New Roman" w:hAnsi="Times New Roman" w:cs="Times New Roman"/>
                <w:color w:val="auto"/>
                <w:kern w:val="0"/>
                <w:lang w:val="en-US" w:eastAsia="zh-CN" w:bidi="ar-SA"/>
              </w:rPr>
              <w:t>为铝型材</w:t>
            </w:r>
            <w:r>
              <w:rPr>
                <w:rFonts w:hint="eastAsia" w:cs="Times New Roman"/>
                <w:color w:val="auto"/>
                <w:kern w:val="0"/>
                <w:lang w:val="en-US" w:eastAsia="zh-CN" w:bidi="ar-SA"/>
              </w:rPr>
              <w:t>结构件</w:t>
            </w:r>
            <w:r>
              <w:rPr>
                <w:rFonts w:hint="eastAsia" w:ascii="Times New Roman" w:hAnsi="Times New Roman" w:cs="Times New Roman"/>
                <w:color w:val="auto"/>
                <w:kern w:val="0"/>
                <w:lang w:val="en-US" w:eastAsia="zh-CN" w:bidi="ar-SA"/>
              </w:rPr>
              <w:t>，且使用铝压延工艺</w:t>
            </w:r>
            <w:r>
              <w:rPr>
                <w:rFonts w:hint="default" w:ascii="Times New Roman" w:hAnsi="Times New Roman" w:cs="Times New Roman"/>
                <w:color w:val="auto"/>
                <w:kern w:val="0"/>
                <w:lang w:val="en-US" w:eastAsia="zh-CN" w:bidi="ar-SA"/>
              </w:rPr>
              <w:t>，</w:t>
            </w:r>
            <w:r>
              <w:rPr>
                <w:rFonts w:hint="eastAsia" w:ascii="Times New Roman" w:hAnsi="Times New Roman" w:cs="Times New Roman"/>
                <w:color w:val="auto"/>
                <w:kern w:val="0"/>
                <w:lang w:val="en-US" w:eastAsia="zh-CN" w:bidi="ar-SA"/>
              </w:rPr>
              <w:t>对照国民经济行业分类为C3252 铝压延加工，</w:t>
            </w:r>
            <w:r>
              <w:rPr>
                <w:rFonts w:hint="default" w:ascii="Times New Roman" w:hAnsi="Times New Roman" w:cs="Times New Roman"/>
                <w:color w:val="auto"/>
                <w:kern w:val="0"/>
                <w:lang w:val="en-US" w:eastAsia="zh-CN" w:bidi="ar-SA"/>
              </w:rPr>
              <w:t>故</w:t>
            </w:r>
            <w:r>
              <w:rPr>
                <w:rFonts w:hint="default" w:ascii="Times New Roman" w:hAnsi="Times New Roman" w:cs="Times New Roman"/>
                <w:color w:val="auto"/>
                <w:lang w:val="en-US" w:eastAsia="zh-CN" w:bidi="ar-SA"/>
              </w:rPr>
              <w:t>应编制环境影响报告表</w:t>
            </w:r>
            <w:r>
              <w:rPr>
                <w:rFonts w:hint="eastAsia"/>
                <w:color w:val="000000" w:themeColor="text1"/>
                <w:lang w:val="en-US" w:eastAsia="zh-CN" w:bidi="ar-SA"/>
                <w14:textFill>
                  <w14:solidFill>
                    <w14:schemeClr w14:val="tx1"/>
                  </w14:solidFill>
                </w14:textFill>
              </w:rPr>
              <w:t>。受建设单位委托，我单位承担项目环境影响评价工作。接受委托后，我公司组织人员对建设项目现场进行调研踏勘，收集了有关资料，在进行现场踏勘、工程分析和污染分析的基础上，依据《建设项目环境影响报告表编制技术指南（污染影响类）（试行）》的要求，编写了该项目环境影响报告表，报请相关主管部门审查、审批。</w:t>
            </w:r>
          </w:p>
          <w:p w14:paraId="1A59AD0E">
            <w:pPr>
              <w:pStyle w:val="43"/>
              <w:bidi w:val="0"/>
              <w:jc w:val="both"/>
              <w:rPr>
                <w:rFonts w:hint="eastAsia"/>
                <w:lang w:val="en-US" w:eastAsia="zh-CN" w:bidi="ar-SA"/>
              </w:rPr>
            </w:pPr>
            <w:r>
              <w:rPr>
                <w:rFonts w:hint="eastAsia"/>
                <w:lang w:val="en-US" w:eastAsia="zh-CN" w:bidi="ar-SA"/>
              </w:rPr>
              <w:t>根据《关于强化建设项目环评事中事后监管的实施意见》（环环评〔2018〕11号）、排污许可管理条例（中华人民共和国国务院令第736号）和《固定污染源排污许可分类管理名录（2019年版）》（环保部令2019年第11号），项目属于“二十七、有色金属冶炼和压延加工业 32-有色金属压延加工 325和五十一、通用工序-</w:t>
            </w:r>
            <w:r>
              <w:rPr>
                <w:rFonts w:hint="eastAsia" w:ascii="Times New Roman" w:hAnsi="Times New Roman" w:cs="Times New Roman" w:eastAsiaTheme="minorEastAsia"/>
                <w:lang w:val="en-US" w:eastAsia="zh-CN" w:bidi="ar-SA"/>
              </w:rPr>
              <w:t>工业炉窑</w:t>
            </w:r>
            <w:r>
              <w:rPr>
                <w:rFonts w:hint="eastAsia"/>
                <w:lang w:val="en-US" w:eastAsia="zh-CN" w:bidi="ar-SA"/>
              </w:rPr>
              <w:t>”，如下表：</w:t>
            </w:r>
          </w:p>
          <w:p w14:paraId="13785453">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lang w:val="en-US" w:eastAsia="zh-CN" w:bidi="ar-SA"/>
              </w:rPr>
            </w:pPr>
            <w:r>
              <w:rPr>
                <w:rFonts w:hint="eastAsia"/>
                <w:lang w:val="en-US" w:eastAsia="zh-CN" w:bidi="ar-SA"/>
              </w:rPr>
              <w:t>表2-2  项目固定污染源排污许可分类管理名录类别判定</w:t>
            </w:r>
          </w:p>
          <w:tbl>
            <w:tblPr>
              <w:tblStyle w:val="24"/>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45" w:type="dxa"/>
                <w:bottom w:w="0" w:type="dxa"/>
                <w:right w:w="45" w:type="dxa"/>
              </w:tblCellMar>
            </w:tblPr>
            <w:tblGrid>
              <w:gridCol w:w="783"/>
              <w:gridCol w:w="1515"/>
              <w:gridCol w:w="787"/>
              <w:gridCol w:w="2747"/>
              <w:gridCol w:w="2049"/>
            </w:tblGrid>
            <w:tr w14:paraId="4B5C3A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5000" w:type="pct"/>
                  <w:gridSpan w:val="5"/>
                  <w:tcBorders>
                    <w:tl2br w:val="nil"/>
                    <w:tr2bl w:val="nil"/>
                  </w:tcBorders>
                  <w:vAlign w:val="center"/>
                </w:tcPr>
                <w:p w14:paraId="2D9328DC">
                  <w:pPr>
                    <w:pStyle w:val="41"/>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lang w:val="en-US" w:eastAsia="zh-CN" w:bidi="ar-SA"/>
                    </w:rPr>
                  </w:pPr>
                  <w:r>
                    <w:rPr>
                      <w:rFonts w:hint="default"/>
                      <w:b/>
                      <w:bCs/>
                      <w:lang w:val="en-US" w:eastAsia="zh-CN" w:bidi="ar-SA"/>
                    </w:rPr>
                    <w:t>二十七、有色金属冶炼和压延加工业 32</w:t>
                  </w:r>
                </w:p>
              </w:tc>
            </w:tr>
            <w:tr w14:paraId="73377A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497" w:type="pct"/>
                  <w:tcBorders>
                    <w:tl2br w:val="nil"/>
                    <w:tr2bl w:val="nil"/>
                  </w:tcBorders>
                  <w:vAlign w:val="center"/>
                </w:tcPr>
                <w:p w14:paraId="23FC5282">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lang w:val="en-US" w:eastAsia="zh-CN" w:bidi="ar-SA"/>
                    </w:rPr>
                  </w:pPr>
                  <w:r>
                    <w:rPr>
                      <w:rFonts w:hint="eastAsia"/>
                      <w:b/>
                      <w:bCs/>
                      <w:lang w:val="en-US" w:eastAsia="zh-CN" w:bidi="ar-SA"/>
                    </w:rPr>
                    <w:t>序号</w:t>
                  </w:r>
                </w:p>
              </w:tc>
              <w:tc>
                <w:tcPr>
                  <w:tcW w:w="961" w:type="pct"/>
                  <w:tcBorders>
                    <w:tl2br w:val="nil"/>
                    <w:tr2bl w:val="nil"/>
                  </w:tcBorders>
                  <w:vAlign w:val="center"/>
                </w:tcPr>
                <w:p w14:paraId="3F1CD31E">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lang w:val="en-US" w:eastAsia="zh-CN" w:bidi="ar-SA"/>
                    </w:rPr>
                  </w:pPr>
                  <w:r>
                    <w:rPr>
                      <w:rFonts w:hint="eastAsia"/>
                      <w:b/>
                      <w:bCs/>
                      <w:lang w:val="en-US" w:eastAsia="zh-CN" w:bidi="ar-SA"/>
                    </w:rPr>
                    <w:t>行业类别</w:t>
                  </w:r>
                </w:p>
              </w:tc>
              <w:tc>
                <w:tcPr>
                  <w:tcW w:w="499" w:type="pct"/>
                  <w:tcBorders>
                    <w:tl2br w:val="nil"/>
                    <w:tr2bl w:val="nil"/>
                  </w:tcBorders>
                  <w:vAlign w:val="center"/>
                </w:tcPr>
                <w:p w14:paraId="578977C3">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lang w:val="en-US" w:eastAsia="zh-CN" w:bidi="ar-SA"/>
                    </w:rPr>
                  </w:pPr>
                  <w:r>
                    <w:rPr>
                      <w:rFonts w:hint="eastAsia"/>
                      <w:b/>
                      <w:bCs/>
                      <w:lang w:val="en-US" w:eastAsia="zh-CN" w:bidi="ar-SA"/>
                    </w:rPr>
                    <w:t>重点管理</w:t>
                  </w:r>
                </w:p>
              </w:tc>
              <w:tc>
                <w:tcPr>
                  <w:tcW w:w="1743" w:type="pct"/>
                  <w:tcBorders>
                    <w:tl2br w:val="nil"/>
                    <w:tr2bl w:val="nil"/>
                  </w:tcBorders>
                  <w:vAlign w:val="center"/>
                </w:tcPr>
                <w:p w14:paraId="7A10B240">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lang w:val="en-US" w:eastAsia="zh-CN" w:bidi="ar-SA"/>
                    </w:rPr>
                  </w:pPr>
                  <w:r>
                    <w:rPr>
                      <w:rFonts w:hint="eastAsia"/>
                      <w:b/>
                      <w:bCs/>
                      <w:lang w:val="en-US" w:eastAsia="zh-CN" w:bidi="ar-SA"/>
                    </w:rPr>
                    <w:t>简化管理</w:t>
                  </w:r>
                </w:p>
              </w:tc>
              <w:tc>
                <w:tcPr>
                  <w:tcW w:w="1298" w:type="pct"/>
                  <w:tcBorders>
                    <w:tl2br w:val="nil"/>
                    <w:tr2bl w:val="nil"/>
                  </w:tcBorders>
                  <w:vAlign w:val="center"/>
                </w:tcPr>
                <w:p w14:paraId="110934FF">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b/>
                      <w:bCs/>
                      <w:lang w:val="en-US" w:eastAsia="zh-CN" w:bidi="ar-SA"/>
                    </w:rPr>
                  </w:pPr>
                  <w:r>
                    <w:rPr>
                      <w:rFonts w:hint="eastAsia"/>
                      <w:b/>
                      <w:bCs/>
                      <w:lang w:val="en-US" w:eastAsia="zh-CN" w:bidi="ar-SA"/>
                    </w:rPr>
                    <w:t>登记管理</w:t>
                  </w:r>
                </w:p>
              </w:tc>
            </w:tr>
            <w:tr w14:paraId="3B1CEF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497" w:type="pct"/>
                  <w:tcBorders>
                    <w:tl2br w:val="nil"/>
                    <w:tr2bl w:val="nil"/>
                  </w:tcBorders>
                  <w:vAlign w:val="center"/>
                </w:tcPr>
                <w:p w14:paraId="45BF05FA">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eastAsiaTheme="minorEastAsia"/>
                      <w:lang w:val="en-US" w:eastAsia="zh-CN" w:bidi="ar-SA"/>
                    </w:rPr>
                  </w:pPr>
                  <w:r>
                    <w:rPr>
                      <w:rFonts w:hint="eastAsia" w:cs="Times New Roman" w:eastAsiaTheme="minorEastAsia"/>
                      <w:lang w:val="en-US" w:eastAsia="zh-CN" w:bidi="ar-SA"/>
                    </w:rPr>
                    <w:t>62</w:t>
                  </w:r>
                </w:p>
              </w:tc>
              <w:tc>
                <w:tcPr>
                  <w:tcW w:w="961" w:type="pct"/>
                  <w:tcBorders>
                    <w:tl2br w:val="nil"/>
                    <w:tr2bl w:val="nil"/>
                  </w:tcBorders>
                  <w:vAlign w:val="center"/>
                </w:tcPr>
                <w:p w14:paraId="0BA6EEB4">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eastAsiaTheme="minorEastAsia"/>
                      <w:lang w:val="en-US" w:eastAsia="zh-CN" w:bidi="ar-SA"/>
                    </w:rPr>
                  </w:pPr>
                  <w:r>
                    <w:rPr>
                      <w:rFonts w:hint="default" w:ascii="Times New Roman" w:hAnsi="Times New Roman" w:cs="Times New Roman" w:eastAsiaTheme="minorEastAsia"/>
                      <w:lang w:val="en-US" w:eastAsia="zh-CN" w:bidi="ar-SA"/>
                    </w:rPr>
                    <w:t>有色金属压延加工 325</w:t>
                  </w:r>
                </w:p>
              </w:tc>
              <w:tc>
                <w:tcPr>
                  <w:tcW w:w="499" w:type="pct"/>
                  <w:tcBorders>
                    <w:tl2br w:val="nil"/>
                    <w:tr2bl w:val="nil"/>
                  </w:tcBorders>
                  <w:vAlign w:val="center"/>
                </w:tcPr>
                <w:p w14:paraId="18CCCE25">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eastAsiaTheme="minorEastAsia"/>
                      <w:lang w:val="en-US" w:eastAsia="zh-CN" w:bidi="ar-SA"/>
                    </w:rPr>
                  </w:pPr>
                  <w:r>
                    <w:rPr>
                      <w:rFonts w:hint="eastAsia" w:ascii="Times New Roman" w:hAnsi="Times New Roman" w:cs="Times New Roman" w:eastAsiaTheme="minorEastAsia"/>
                      <w:lang w:val="en-US" w:eastAsia="zh-CN" w:bidi="ar-SA"/>
                    </w:rPr>
                    <w:t>/</w:t>
                  </w:r>
                </w:p>
              </w:tc>
              <w:tc>
                <w:tcPr>
                  <w:tcW w:w="1743" w:type="pct"/>
                  <w:tcBorders>
                    <w:tl2br w:val="nil"/>
                    <w:tr2bl w:val="nil"/>
                  </w:tcBorders>
                  <w:vAlign w:val="center"/>
                </w:tcPr>
                <w:p w14:paraId="062B96E6">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eastAsiaTheme="minorEastAsia"/>
                      <w:lang w:val="en-US" w:eastAsia="zh-CN" w:bidi="ar-SA"/>
                    </w:rPr>
                  </w:pPr>
                  <w:r>
                    <w:rPr>
                      <w:rFonts w:hint="default" w:ascii="Times New Roman" w:hAnsi="Times New Roman" w:cs="Times New Roman" w:eastAsiaTheme="minorEastAsia"/>
                      <w:lang w:val="en-US" w:eastAsia="zh-CN" w:bidi="ar-SA"/>
                    </w:rPr>
                    <w:t>有轧制或者退火工序的</w:t>
                  </w:r>
                </w:p>
              </w:tc>
              <w:tc>
                <w:tcPr>
                  <w:tcW w:w="1298" w:type="pct"/>
                  <w:tcBorders>
                    <w:tl2br w:val="nil"/>
                    <w:tr2bl w:val="nil"/>
                  </w:tcBorders>
                  <w:vAlign w:val="center"/>
                </w:tcPr>
                <w:p w14:paraId="1FAEA93B">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eastAsiaTheme="minorEastAsia"/>
                      <w:lang w:val="en-US" w:eastAsia="zh-CN" w:bidi="ar-SA"/>
                    </w:rPr>
                  </w:pPr>
                  <w:r>
                    <w:rPr>
                      <w:rFonts w:hint="eastAsia" w:ascii="Times New Roman" w:hAnsi="Times New Roman" w:cs="Times New Roman" w:eastAsiaTheme="minorEastAsia"/>
                      <w:b/>
                      <w:bCs/>
                      <w:lang w:val="en-US" w:eastAsia="zh-CN" w:bidi="ar-SA"/>
                    </w:rPr>
                    <w:t>其他</w:t>
                  </w:r>
                </w:p>
              </w:tc>
            </w:tr>
            <w:tr w14:paraId="759272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5000" w:type="pct"/>
                  <w:gridSpan w:val="5"/>
                  <w:tcBorders>
                    <w:tl2br w:val="nil"/>
                    <w:tr2bl w:val="nil"/>
                  </w:tcBorders>
                  <w:vAlign w:val="center"/>
                </w:tcPr>
                <w:p w14:paraId="498992A6">
                  <w:pPr>
                    <w:pStyle w:val="41"/>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Times New Roman" w:hAnsi="Times New Roman" w:cs="Times New Roman" w:eastAsiaTheme="minorEastAsia"/>
                      <w:b/>
                      <w:bCs/>
                      <w:lang w:val="en-US" w:eastAsia="zh-CN" w:bidi="ar-SA"/>
                    </w:rPr>
                  </w:pPr>
                  <w:r>
                    <w:rPr>
                      <w:rFonts w:hint="eastAsia" w:ascii="Times New Roman" w:hAnsi="Times New Roman" w:cs="Times New Roman" w:eastAsiaTheme="minorEastAsia"/>
                      <w:b/>
                      <w:bCs/>
                      <w:lang w:val="en-US" w:eastAsia="zh-CN" w:bidi="ar-SA"/>
                    </w:rPr>
                    <w:t>五十一、通用工序</w:t>
                  </w:r>
                </w:p>
              </w:tc>
            </w:tr>
            <w:tr w14:paraId="0473FE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54" w:hRule="atLeast"/>
                <w:jc w:val="center"/>
              </w:trPr>
              <w:tc>
                <w:tcPr>
                  <w:tcW w:w="497" w:type="pct"/>
                  <w:tcBorders>
                    <w:tl2br w:val="nil"/>
                    <w:tr2bl w:val="nil"/>
                  </w:tcBorders>
                  <w:vAlign w:val="center"/>
                </w:tcPr>
                <w:p w14:paraId="6FB95C60">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cs="Times New Roman" w:eastAsiaTheme="minorEastAsia"/>
                      <w:lang w:val="en-US" w:eastAsia="zh-CN" w:bidi="ar-SA"/>
                    </w:rPr>
                  </w:pPr>
                  <w:r>
                    <w:rPr>
                      <w:rFonts w:hint="eastAsia" w:cs="Times New Roman" w:eastAsiaTheme="minorEastAsia"/>
                      <w:lang w:val="en-US" w:eastAsia="zh-CN" w:bidi="ar-SA"/>
                    </w:rPr>
                    <w:t>110</w:t>
                  </w:r>
                </w:p>
              </w:tc>
              <w:tc>
                <w:tcPr>
                  <w:tcW w:w="961" w:type="pct"/>
                  <w:tcBorders>
                    <w:tl2br w:val="nil"/>
                    <w:tr2bl w:val="nil"/>
                  </w:tcBorders>
                  <w:vAlign w:val="center"/>
                </w:tcPr>
                <w:p w14:paraId="34D05629">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s="Times New Roman" w:eastAsiaTheme="minorEastAsia"/>
                      <w:lang w:val="en-US" w:eastAsia="zh-CN" w:bidi="ar-SA"/>
                    </w:rPr>
                  </w:pPr>
                  <w:r>
                    <w:rPr>
                      <w:rFonts w:hint="eastAsia" w:ascii="Times New Roman" w:hAnsi="Times New Roman" w:cs="Times New Roman" w:eastAsiaTheme="minorEastAsia"/>
                      <w:lang w:val="en-US" w:eastAsia="zh-CN" w:bidi="ar-SA"/>
                    </w:rPr>
                    <w:t>工业炉窑</w:t>
                  </w:r>
                </w:p>
              </w:tc>
              <w:tc>
                <w:tcPr>
                  <w:tcW w:w="499" w:type="pct"/>
                  <w:tcBorders>
                    <w:tl2br w:val="nil"/>
                    <w:tr2bl w:val="nil"/>
                  </w:tcBorders>
                  <w:vAlign w:val="center"/>
                </w:tcPr>
                <w:p w14:paraId="4464EAD7">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cs="Times New Roman" w:eastAsiaTheme="minorEastAsia"/>
                      <w:lang w:val="en-US" w:eastAsia="zh-CN" w:bidi="ar-SA"/>
                    </w:rPr>
                  </w:pPr>
                  <w:r>
                    <w:rPr>
                      <w:rFonts w:hint="default" w:ascii="Times New Roman" w:hAnsi="Times New Roman" w:cs="Times New Roman" w:eastAsiaTheme="minorEastAsia"/>
                      <w:lang w:val="en-US" w:eastAsia="zh-CN" w:bidi="ar-SA"/>
                    </w:rPr>
                    <w:t>纳入重点排污单位名录的</w:t>
                  </w:r>
                </w:p>
              </w:tc>
              <w:tc>
                <w:tcPr>
                  <w:tcW w:w="1743" w:type="pct"/>
                  <w:tcBorders>
                    <w:tl2br w:val="nil"/>
                    <w:tr2bl w:val="nil"/>
                  </w:tcBorders>
                  <w:vAlign w:val="center"/>
                </w:tcPr>
                <w:p w14:paraId="5D3B375B">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r>
                    <w:rPr>
                      <w:rFonts w:hint="eastAsia"/>
                    </w:rPr>
                    <w:t>除纳入重点排污单位名录的，除以天然气或者电为能源的加热炉、热处理炉、干燥炉（窑）以外的其他工业炉窑</w:t>
                  </w:r>
                </w:p>
              </w:tc>
              <w:tc>
                <w:tcPr>
                  <w:tcW w:w="1298" w:type="pct"/>
                  <w:tcBorders>
                    <w:tl2br w:val="nil"/>
                    <w:tr2bl w:val="nil"/>
                  </w:tcBorders>
                  <w:vAlign w:val="center"/>
                </w:tcPr>
                <w:p w14:paraId="2888F659">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s="Times New Roman" w:eastAsiaTheme="minorEastAsia"/>
                      <w:b/>
                      <w:bCs/>
                      <w:lang w:val="en-US" w:eastAsia="zh-CN" w:bidi="ar-SA"/>
                    </w:rPr>
                  </w:pPr>
                  <w:r>
                    <w:rPr>
                      <w:rFonts w:hint="eastAsia" w:ascii="Times New Roman" w:hAnsi="Times New Roman" w:cs="Times New Roman" w:eastAsiaTheme="minorEastAsia"/>
                      <w:b w:val="0"/>
                      <w:bCs w:val="0"/>
                      <w:lang w:val="en-US" w:eastAsia="zh-CN" w:bidi="ar-SA"/>
                    </w:rPr>
                    <w:t>除纳入重点排污单位名录的，</w:t>
                  </w:r>
                  <w:r>
                    <w:rPr>
                      <w:rFonts w:hint="eastAsia" w:ascii="Times New Roman" w:hAnsi="Times New Roman" w:cs="Times New Roman" w:eastAsiaTheme="minorEastAsia"/>
                      <w:b/>
                      <w:bCs/>
                      <w:lang w:val="en-US" w:eastAsia="zh-CN" w:bidi="ar-SA"/>
                    </w:rPr>
                    <w:t>以天然气</w:t>
                  </w:r>
                </w:p>
                <w:p w14:paraId="3216A9E8">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s="Times New Roman" w:eastAsiaTheme="minorEastAsia"/>
                      <w:b w:val="0"/>
                      <w:bCs w:val="0"/>
                      <w:lang w:val="en-US" w:eastAsia="zh-CN" w:bidi="ar-SA"/>
                    </w:rPr>
                  </w:pPr>
                  <w:r>
                    <w:rPr>
                      <w:rFonts w:hint="eastAsia" w:ascii="Times New Roman" w:hAnsi="Times New Roman" w:cs="Times New Roman" w:eastAsiaTheme="minorEastAsia"/>
                      <w:b/>
                      <w:bCs/>
                      <w:lang w:val="en-US" w:eastAsia="zh-CN" w:bidi="ar-SA"/>
                    </w:rPr>
                    <w:t>或者电为能源的加热炉</w:t>
                  </w:r>
                  <w:r>
                    <w:rPr>
                      <w:rFonts w:hint="eastAsia" w:ascii="Times New Roman" w:hAnsi="Times New Roman" w:cs="Times New Roman" w:eastAsiaTheme="minorEastAsia"/>
                      <w:b w:val="0"/>
                      <w:bCs w:val="0"/>
                      <w:lang w:val="en-US" w:eastAsia="zh-CN" w:bidi="ar-SA"/>
                    </w:rPr>
                    <w:t>、热处理炉或者</w:t>
                  </w:r>
                </w:p>
                <w:p w14:paraId="3899493B">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s="Times New Roman" w:eastAsiaTheme="minorEastAsia"/>
                      <w:b/>
                      <w:bCs/>
                      <w:lang w:val="en-US" w:eastAsia="zh-CN" w:bidi="ar-SA"/>
                    </w:rPr>
                  </w:pPr>
                  <w:r>
                    <w:rPr>
                      <w:rFonts w:hint="eastAsia" w:ascii="Times New Roman" w:hAnsi="Times New Roman" w:cs="Times New Roman" w:eastAsiaTheme="minorEastAsia"/>
                      <w:b w:val="0"/>
                      <w:bCs w:val="0"/>
                      <w:lang w:val="en-US" w:eastAsia="zh-CN" w:bidi="ar-SA"/>
                    </w:rPr>
                    <w:t>干燥炉（窑）</w:t>
                  </w:r>
                </w:p>
              </w:tc>
            </w:tr>
          </w:tbl>
          <w:p w14:paraId="7EFA72E2">
            <w:pPr>
              <w:pStyle w:val="43"/>
              <w:keepNext w:val="0"/>
              <w:keepLines w:val="0"/>
              <w:pageBreakBefore w:val="0"/>
              <w:widowControl/>
              <w:kinsoku/>
              <w:wordWrap/>
              <w:overflowPunct/>
              <w:topLinePunct w:val="0"/>
              <w:autoSpaceDE/>
              <w:autoSpaceDN/>
              <w:bidi w:val="0"/>
              <w:adjustRightInd/>
              <w:snapToGrid/>
              <w:ind w:left="0" w:leftChars="0" w:firstLine="480" w:firstLineChars="200"/>
              <w:jc w:val="both"/>
              <w:textAlignment w:val="auto"/>
              <w:rPr>
                <w:rFonts w:hint="eastAsia"/>
                <w:lang w:val="en-US" w:eastAsia="zh-CN" w:bidi="ar-SA"/>
              </w:rPr>
            </w:pPr>
            <w:r>
              <w:rPr>
                <w:rFonts w:hint="eastAsia"/>
                <w:lang w:val="en-US" w:eastAsia="zh-CN" w:bidi="ar-SA"/>
              </w:rPr>
              <w:t>综上，项目属于C3252 铝压延加工项目，项目无轧制和退火工序</w:t>
            </w:r>
            <w:r>
              <w:rPr>
                <w:rFonts w:hint="eastAsia" w:cs="Times New Roman" w:eastAsiaTheme="minorEastAsia"/>
                <w:lang w:val="en-US" w:eastAsia="zh-CN" w:bidi="ar-SA"/>
              </w:rPr>
              <w:t>；项目涉及通用工序中的</w:t>
            </w:r>
            <w:r>
              <w:rPr>
                <w:rFonts w:hint="eastAsia" w:ascii="Times New Roman" w:hAnsi="Times New Roman" w:cs="Times New Roman" w:eastAsiaTheme="minorEastAsia"/>
                <w:lang w:val="en-US" w:eastAsia="zh-CN" w:bidi="ar-SA"/>
              </w:rPr>
              <w:t>工业炉窑</w:t>
            </w:r>
            <w:r>
              <w:rPr>
                <w:rFonts w:hint="eastAsia" w:cs="Times New Roman" w:eastAsiaTheme="minorEastAsia"/>
                <w:lang w:val="en-US" w:eastAsia="zh-CN" w:bidi="ar-SA"/>
              </w:rPr>
              <w:t>，但未纳入重点排污单位名录，且使用天然气为能源的加热炉</w:t>
            </w:r>
            <w:r>
              <w:rPr>
                <w:rFonts w:hint="eastAsia"/>
                <w:lang w:val="en-US" w:eastAsia="zh-CN" w:bidi="ar-SA"/>
              </w:rPr>
              <w:t>。因此，本项目排污许可实施登记管理。</w:t>
            </w:r>
          </w:p>
          <w:p w14:paraId="21F6D640">
            <w:pPr>
              <w:pStyle w:val="43"/>
              <w:bidi w:val="0"/>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2、项目工程建设内容</w:t>
            </w:r>
          </w:p>
          <w:p w14:paraId="162F1BF3">
            <w:pPr>
              <w:pStyle w:val="43"/>
              <w:bidi w:val="0"/>
              <w:jc w:val="both"/>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项目一期租用江南产业集中区兴业大道以西，创裕金属以南，兴业大道25号安徽恒铝科技有限公司2#厂房（北部），建筑面积3123</w:t>
            </w:r>
            <w:r>
              <w:rPr>
                <w:rFonts w:hint="eastAsia" w:ascii="Times New Roman" w:hAnsi="Times New Roman" w:eastAsia="宋体" w:cs="Times New Roman"/>
                <w:color w:val="auto"/>
                <w:sz w:val="24"/>
                <w:szCs w:val="24"/>
                <w:lang w:val="en-US" w:eastAsia="zh-CN" w:bidi="ar-SA"/>
              </w:rPr>
              <w:t>m</w:t>
            </w:r>
            <w:r>
              <w:rPr>
                <w:rFonts w:hint="eastAsia" w:ascii="Times New Roman" w:hAnsi="Times New Roman" w:eastAsia="宋体" w:cs="Times New Roman"/>
                <w:color w:val="auto"/>
                <w:sz w:val="24"/>
                <w:szCs w:val="24"/>
                <w:vertAlign w:val="superscript"/>
                <w:lang w:val="en-US" w:eastAsia="zh-CN" w:bidi="ar-SA"/>
              </w:rPr>
              <w:t>2</w:t>
            </w:r>
            <w:r>
              <w:rPr>
                <w:rFonts w:hint="eastAsia" w:ascii="Times New Roman" w:hAnsi="Times New Roman" w:eastAsia="宋体" w:cs="Times New Roman"/>
                <w:color w:val="auto"/>
                <w:sz w:val="24"/>
                <w:szCs w:val="24"/>
                <w:vertAlign w:val="baseline"/>
                <w:lang w:val="en-US" w:eastAsia="zh-CN" w:bidi="ar-SA"/>
              </w:rPr>
              <w:t>。</w:t>
            </w:r>
            <w:r>
              <w:rPr>
                <w:rFonts w:hint="eastAsia"/>
                <w:color w:val="000000" w:themeColor="text1"/>
                <w:lang w:val="en-US" w:eastAsia="zh-CN" w:bidi="ar-SA"/>
                <w14:textFill>
                  <w14:solidFill>
                    <w14:schemeClr w14:val="tx1"/>
                  </w14:solidFill>
                </w14:textFill>
              </w:rPr>
              <w:t>购置牵引机、挤压机、棒炉、时效炉等设备，建设4条铝合金型材生产线，形成年产1.6万吨电子、汽车、智能机器人等科技行业用铝型材项目，建设项目主要建设内容详见下表。</w:t>
            </w:r>
          </w:p>
          <w:p w14:paraId="09C1007E">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表2-3  建设项目组成一览表</w:t>
            </w:r>
          </w:p>
          <w:tbl>
            <w:tblPr>
              <w:tblStyle w:val="23"/>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1496"/>
              <w:gridCol w:w="5006"/>
              <w:gridCol w:w="621"/>
            </w:tblGrid>
            <w:tr w14:paraId="6972A3D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noWrap w:val="0"/>
                  <w:vAlign w:val="center"/>
                </w:tcPr>
                <w:p w14:paraId="4AB05BD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类别</w:t>
                  </w:r>
                </w:p>
              </w:tc>
              <w:tc>
                <w:tcPr>
                  <w:tcW w:w="1496" w:type="dxa"/>
                  <w:noWrap w:val="0"/>
                  <w:vAlign w:val="center"/>
                </w:tcPr>
                <w:p w14:paraId="76BD37D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工程内容</w:t>
                  </w:r>
                </w:p>
              </w:tc>
              <w:tc>
                <w:tcPr>
                  <w:tcW w:w="5006" w:type="dxa"/>
                  <w:noWrap w:val="0"/>
                  <w:vAlign w:val="center"/>
                </w:tcPr>
                <w:p w14:paraId="05E3A157">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工程规模</w:t>
                  </w:r>
                </w:p>
              </w:tc>
              <w:tc>
                <w:tcPr>
                  <w:tcW w:w="621" w:type="dxa"/>
                  <w:noWrap w:val="0"/>
                  <w:vAlign w:val="center"/>
                </w:tcPr>
                <w:p w14:paraId="51E2ECD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备注</w:t>
                  </w:r>
                </w:p>
              </w:tc>
            </w:tr>
            <w:tr w14:paraId="192566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noWrap w:val="0"/>
                  <w:vAlign w:val="center"/>
                </w:tcPr>
                <w:p w14:paraId="2700B16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rPr>
                  </w:pPr>
                  <w:r>
                    <w:rPr>
                      <w:rFonts w:hint="default" w:ascii="Times New Roman" w:hAnsi="Times New Roman" w:eastAsia="宋体" w:cs="Times New Roman"/>
                      <w:bCs/>
                      <w:color w:val="auto"/>
                      <w:kern w:val="0"/>
                      <w:sz w:val="21"/>
                      <w:szCs w:val="21"/>
                    </w:rPr>
                    <w:t>主体</w:t>
                  </w:r>
                </w:p>
                <w:p w14:paraId="5EECEB2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Cs/>
                      <w:color w:val="auto"/>
                      <w:kern w:val="0"/>
                      <w:sz w:val="21"/>
                      <w:szCs w:val="21"/>
                    </w:rPr>
                    <w:t>工程</w:t>
                  </w:r>
                </w:p>
              </w:tc>
              <w:tc>
                <w:tcPr>
                  <w:tcW w:w="1496" w:type="dxa"/>
                  <w:noWrap w:val="0"/>
                  <w:vAlign w:val="center"/>
                </w:tcPr>
                <w:p w14:paraId="20C29B4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生产区</w:t>
                  </w:r>
                </w:p>
              </w:tc>
              <w:tc>
                <w:tcPr>
                  <w:tcW w:w="5006" w:type="dxa"/>
                  <w:noWrap w:val="0"/>
                  <w:vAlign w:val="center"/>
                </w:tcPr>
                <w:p w14:paraId="3B298BEA">
                  <w:pPr>
                    <w:keepNext w:val="0"/>
                    <w:keepLines w:val="0"/>
                    <w:pageBreakBefore w:val="0"/>
                    <w:widowControl w:val="0"/>
                    <w:kinsoku/>
                    <w:wordWrap/>
                    <w:overflowPunct/>
                    <w:topLinePunct w:val="0"/>
                    <w:autoSpaceDE/>
                    <w:autoSpaceDN/>
                    <w:bidi w:val="0"/>
                    <w:adjustRightInd w:val="0"/>
                    <w:snapToGrid w:val="0"/>
                    <w:spacing w:line="240" w:lineRule="auto"/>
                    <w:ind w:firstLine="0"/>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宋体"/>
                      <w:color w:val="000000" w:themeColor="text1"/>
                      <w:lang w:val="en-US" w:eastAsia="zh-CN" w:bidi="ar-SA"/>
                      <w14:textFill>
                        <w14:solidFill>
                          <w14:schemeClr w14:val="tx1"/>
                        </w14:solidFill>
                      </w14:textFill>
                    </w:rPr>
                    <w:t>位于</w:t>
                  </w:r>
                  <w:r>
                    <w:rPr>
                      <w:rFonts w:hint="eastAsia" w:ascii="Times New Roman" w:hAnsi="Times New Roman" w:eastAsia="宋体" w:cs="Times New Roman"/>
                      <w:color w:val="auto"/>
                      <w:sz w:val="21"/>
                      <w:szCs w:val="21"/>
                      <w:lang w:val="en-US" w:eastAsia="zh-CN"/>
                    </w:rPr>
                    <w:t>2#厂房</w:t>
                  </w:r>
                  <w:r>
                    <w:rPr>
                      <w:rFonts w:hint="eastAsia" w:cs="Times New Roman"/>
                      <w:color w:val="auto"/>
                      <w:sz w:val="21"/>
                      <w:szCs w:val="21"/>
                      <w:lang w:val="en-US" w:eastAsia="zh-CN"/>
                    </w:rPr>
                    <w:t>北部，</w:t>
                  </w:r>
                  <w:r>
                    <w:rPr>
                      <w:rFonts w:hint="eastAsia" w:ascii="Times New Roman" w:hAnsi="Times New Roman" w:eastAsia="宋体" w:cs="Times New Roman"/>
                      <w:color w:val="auto"/>
                      <w:sz w:val="21"/>
                      <w:szCs w:val="21"/>
                      <w:lang w:val="en-US" w:eastAsia="zh-CN"/>
                    </w:rPr>
                    <w:t>1层钢结构厂房，层高</w:t>
                  </w:r>
                  <w:r>
                    <w:rPr>
                      <w:rFonts w:hint="eastAsia" w:cs="Times New Roman"/>
                      <w:color w:val="auto"/>
                      <w:sz w:val="21"/>
                      <w:szCs w:val="21"/>
                      <w:lang w:val="en-US" w:eastAsia="zh-CN"/>
                    </w:rPr>
                    <w:t>12</w:t>
                  </w:r>
                  <w:r>
                    <w:rPr>
                      <w:rFonts w:hint="eastAsia" w:ascii="Times New Roman" w:hAnsi="Times New Roman" w:eastAsia="宋体" w:cs="Times New Roman"/>
                      <w:color w:val="auto"/>
                      <w:sz w:val="21"/>
                      <w:szCs w:val="21"/>
                      <w:lang w:val="en-US" w:eastAsia="zh-CN"/>
                    </w:rPr>
                    <w:t>m</w:t>
                  </w:r>
                  <w:r>
                    <w:rPr>
                      <w:rFonts w:hint="eastAsia" w:cs="Times New Roman"/>
                      <w:color w:val="auto"/>
                      <w:sz w:val="21"/>
                      <w:szCs w:val="21"/>
                      <w:lang w:val="en-US" w:eastAsia="zh-CN"/>
                    </w:rPr>
                    <w:t>，本项目</w:t>
                  </w:r>
                  <w:r>
                    <w:rPr>
                      <w:rFonts w:hint="eastAsia" w:ascii="Times New Roman" w:hAnsi="Times New Roman" w:eastAsia="宋体" w:cs="Times New Roman"/>
                      <w:color w:val="auto"/>
                      <w:sz w:val="21"/>
                      <w:szCs w:val="21"/>
                      <w:lang w:val="en-US" w:eastAsia="zh-CN"/>
                    </w:rPr>
                    <w:t>建筑面积约为</w:t>
                  </w:r>
                  <w:r>
                    <w:rPr>
                      <w:rFonts w:hint="eastAsia" w:cs="Times New Roman"/>
                      <w:color w:val="auto"/>
                      <w:sz w:val="21"/>
                      <w:szCs w:val="21"/>
                      <w:lang w:val="en-US" w:eastAsia="zh-CN"/>
                    </w:rPr>
                    <w:t>3213</w:t>
                  </w:r>
                  <w:r>
                    <w:rPr>
                      <w:rFonts w:hint="eastAsia" w:ascii="Times New Roman" w:hAnsi="Times New Roman" w:eastAsia="宋体" w:cs="Times New Roman"/>
                      <w:color w:val="auto"/>
                      <w:sz w:val="21"/>
                      <w:szCs w:val="21"/>
                      <w:lang w:val="en-US" w:eastAsia="zh-CN"/>
                    </w:rPr>
                    <w:t>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，布置有</w:t>
                  </w:r>
                  <w:r>
                    <w:rPr>
                      <w:rFonts w:hint="eastAsia"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条</w:t>
                  </w:r>
                  <w:r>
                    <w:rPr>
                      <w:rFonts w:hint="eastAsia" w:cs="Times New Roman"/>
                      <w:color w:val="auto"/>
                      <w:sz w:val="21"/>
                      <w:szCs w:val="21"/>
                      <w:lang w:val="en-US" w:eastAsia="zh-CN"/>
                    </w:rPr>
                    <w:t>1</w:t>
                  </w:r>
                  <w:r>
                    <w:rPr>
                      <w:rFonts w:hint="eastAsia" w:ascii="Times New Roman" w:hAnsi="Times New Roman" w:eastAsia="宋体" w:cs="Times New Roman"/>
                      <w:color w:val="auto"/>
                      <w:sz w:val="21"/>
                      <w:szCs w:val="21"/>
                      <w:lang w:val="en-US" w:eastAsia="zh-CN"/>
                    </w:rPr>
                    <w:t>000t挤压生产线</w:t>
                  </w:r>
                  <w:r>
                    <w:rPr>
                      <w:rFonts w:hint="eastAsia" w:cs="Times New Roman"/>
                      <w:color w:val="auto"/>
                      <w:sz w:val="21"/>
                      <w:szCs w:val="21"/>
                      <w:lang w:val="en-US" w:eastAsia="zh-CN"/>
                    </w:rPr>
                    <w:t>和2条7</w:t>
                  </w:r>
                  <w:r>
                    <w:rPr>
                      <w:rFonts w:hint="eastAsia" w:ascii="Times New Roman" w:hAnsi="Times New Roman" w:eastAsia="宋体" w:cs="Times New Roman"/>
                      <w:color w:val="auto"/>
                      <w:sz w:val="21"/>
                      <w:szCs w:val="21"/>
                      <w:lang w:val="en-US" w:eastAsia="zh-CN"/>
                    </w:rPr>
                    <w:t>000t挤压生产线</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生产区南</w:t>
                  </w:r>
                  <w:r>
                    <w:rPr>
                      <w:rFonts w:hint="eastAsia" w:ascii="Times New Roman" w:hAnsi="Times New Roman" w:eastAsia="宋体" w:cs="Times New Roman"/>
                      <w:color w:val="auto"/>
                      <w:sz w:val="21"/>
                      <w:szCs w:val="21"/>
                      <w:lang w:val="en-US" w:eastAsia="zh-CN"/>
                    </w:rPr>
                    <w:t>侧布置有</w:t>
                  </w:r>
                  <w:r>
                    <w:rPr>
                      <w:rFonts w:hint="eastAsia" w:cs="Times New Roman"/>
                      <w:color w:val="auto"/>
                      <w:sz w:val="21"/>
                      <w:szCs w:val="21"/>
                      <w:lang w:val="en-US" w:eastAsia="zh-CN"/>
                    </w:rPr>
                    <w:t>危废库、一般固废库、原料库、模具库、办公室及成品区等</w:t>
                  </w:r>
                  <w:r>
                    <w:rPr>
                      <w:rFonts w:hint="default" w:ascii="Times New Roman" w:hAnsi="Times New Roman" w:eastAsia="宋体" w:cs="Times New Roman"/>
                      <w:color w:val="auto"/>
                      <w:sz w:val="21"/>
                      <w:szCs w:val="21"/>
                      <w:lang w:val="en-US" w:eastAsia="zh-CN"/>
                    </w:rPr>
                    <w:t>。</w:t>
                  </w:r>
                </w:p>
              </w:tc>
              <w:tc>
                <w:tcPr>
                  <w:tcW w:w="621" w:type="dxa"/>
                  <w:noWrap w:val="0"/>
                  <w:vAlign w:val="center"/>
                </w:tcPr>
                <w:p w14:paraId="123E25D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752B69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noWrap w:val="0"/>
                  <w:vAlign w:val="center"/>
                </w:tcPr>
                <w:p w14:paraId="6E29268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color w:val="auto"/>
                      <w:kern w:val="0"/>
                      <w:sz w:val="21"/>
                      <w:szCs w:val="21"/>
                      <w:lang w:val="en-US" w:eastAsia="zh-CN"/>
                    </w:rPr>
                    <w:t>辅助工程</w:t>
                  </w:r>
                </w:p>
              </w:tc>
              <w:tc>
                <w:tcPr>
                  <w:tcW w:w="1496" w:type="dxa"/>
                  <w:noWrap w:val="0"/>
                  <w:vAlign w:val="center"/>
                </w:tcPr>
                <w:p w14:paraId="4A4390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办公</w:t>
                  </w:r>
                  <w:r>
                    <w:rPr>
                      <w:rFonts w:hint="eastAsia" w:cs="Times New Roman"/>
                      <w:sz w:val="21"/>
                      <w:szCs w:val="21"/>
                      <w:lang w:val="en-US" w:eastAsia="zh-CN"/>
                    </w:rPr>
                    <w:t>室</w:t>
                  </w:r>
                </w:p>
              </w:tc>
              <w:tc>
                <w:tcPr>
                  <w:tcW w:w="5006" w:type="dxa"/>
                  <w:noWrap w:val="0"/>
                  <w:vAlign w:val="center"/>
                </w:tcPr>
                <w:p w14:paraId="158171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0C0C0C"/>
                      <w:kern w:val="0"/>
                      <w:sz w:val="21"/>
                      <w:szCs w:val="21"/>
                      <w:lang w:val="en-US" w:eastAsia="zh-CN"/>
                    </w:rPr>
                  </w:pPr>
                  <w:r>
                    <w:rPr>
                      <w:rFonts w:hint="eastAsia" w:ascii="Times New Roman" w:hAnsi="Times New Roman" w:eastAsia="宋体" w:cs="宋体"/>
                      <w:color w:val="000000" w:themeColor="text1"/>
                      <w:lang w:val="en-US" w:eastAsia="zh-CN" w:bidi="ar-SA"/>
                      <w14:textFill>
                        <w14:solidFill>
                          <w14:schemeClr w14:val="tx1"/>
                        </w14:solidFill>
                      </w14:textFill>
                    </w:rPr>
                    <w:t>位于2#厂房</w:t>
                  </w:r>
                  <w:r>
                    <w:rPr>
                      <w:rFonts w:hint="eastAsia" w:cs="宋体"/>
                      <w:color w:val="000000" w:themeColor="text1"/>
                      <w:lang w:val="en-US" w:eastAsia="zh-CN" w:bidi="ar-SA"/>
                      <w14:textFill>
                        <w14:solidFill>
                          <w14:schemeClr w14:val="tx1"/>
                        </w14:solidFill>
                      </w14:textFill>
                    </w:rPr>
                    <w:t>生产区南侧</w:t>
                  </w:r>
                  <w:r>
                    <w:rPr>
                      <w:rFonts w:hint="eastAsia" w:ascii="Times New Roman" w:hAnsi="Times New Roman" w:eastAsia="宋体" w:cs="宋体"/>
                      <w:color w:val="000000" w:themeColor="text1"/>
                      <w:lang w:val="en-US" w:eastAsia="zh-CN" w:bidi="ar-SA"/>
                      <w14:textFill>
                        <w14:solidFill>
                          <w14:schemeClr w14:val="tx1"/>
                        </w14:solidFill>
                      </w14:textFill>
                    </w:rPr>
                    <w:t>，总面积约50平方米，用于员工办公、生产调度等。</w:t>
                  </w:r>
                </w:p>
              </w:tc>
              <w:tc>
                <w:tcPr>
                  <w:tcW w:w="621" w:type="dxa"/>
                  <w:noWrap w:val="0"/>
                  <w:vAlign w:val="center"/>
                </w:tcPr>
                <w:p w14:paraId="0FD7D6E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6A8128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restart"/>
                  <w:noWrap w:val="0"/>
                  <w:vAlign w:val="center"/>
                </w:tcPr>
                <w:p w14:paraId="60B5BC14">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r>
                    <w:rPr>
                      <w:rFonts w:hint="default" w:ascii="Times New Roman" w:hAnsi="Times New Roman" w:eastAsia="宋体" w:cs="Times New Roman"/>
                      <w:bCs/>
                      <w:color w:val="auto"/>
                      <w:kern w:val="0"/>
                      <w:sz w:val="21"/>
                      <w:szCs w:val="21"/>
                      <w:lang w:val="en-US" w:eastAsia="zh-CN"/>
                    </w:rPr>
                    <w:t>储运工程</w:t>
                  </w:r>
                </w:p>
              </w:tc>
              <w:tc>
                <w:tcPr>
                  <w:tcW w:w="1496" w:type="dxa"/>
                  <w:noWrap w:val="0"/>
                  <w:vAlign w:val="center"/>
                </w:tcPr>
                <w:p w14:paraId="715C95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铝棒堆存区</w:t>
                  </w:r>
                </w:p>
              </w:tc>
              <w:tc>
                <w:tcPr>
                  <w:tcW w:w="5006" w:type="dxa"/>
                  <w:noWrap w:val="0"/>
                  <w:vAlign w:val="center"/>
                </w:tcPr>
                <w:p w14:paraId="271A4703">
                  <w:pPr>
                    <w:pStyle w:val="5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位于</w:t>
                  </w:r>
                  <w:r>
                    <w:rPr>
                      <w:rFonts w:hint="eastAsia"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#厂房生产区</w:t>
                  </w:r>
                  <w:r>
                    <w:rPr>
                      <w:rFonts w:hint="eastAsia" w:cs="Times New Roman"/>
                      <w:color w:val="auto"/>
                      <w:sz w:val="21"/>
                      <w:szCs w:val="21"/>
                      <w:lang w:val="en-US" w:eastAsia="zh-CN"/>
                    </w:rPr>
                    <w:t>中部</w:t>
                  </w:r>
                  <w:r>
                    <w:rPr>
                      <w:rFonts w:hint="eastAsia" w:ascii="Times New Roman" w:hAnsi="Times New Roman" w:eastAsia="宋体" w:cs="Times New Roman"/>
                      <w:color w:val="auto"/>
                      <w:sz w:val="21"/>
                      <w:szCs w:val="21"/>
                      <w:lang w:val="en-US" w:eastAsia="zh-CN"/>
                    </w:rPr>
                    <w:t>，面积约为400m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，用于暂存铝棒。</w:t>
                  </w:r>
                </w:p>
              </w:tc>
              <w:tc>
                <w:tcPr>
                  <w:tcW w:w="621" w:type="dxa"/>
                  <w:noWrap w:val="0"/>
                  <w:vAlign w:val="center"/>
                </w:tcPr>
                <w:p w14:paraId="1119102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278A24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632DCC8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p>
              </w:tc>
              <w:tc>
                <w:tcPr>
                  <w:tcW w:w="1496" w:type="dxa"/>
                  <w:noWrap w:val="0"/>
                  <w:vAlign w:val="center"/>
                </w:tcPr>
                <w:p w14:paraId="7A97DE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原料库</w:t>
                  </w:r>
                </w:p>
              </w:tc>
              <w:tc>
                <w:tcPr>
                  <w:tcW w:w="5006" w:type="dxa"/>
                  <w:noWrap w:val="0"/>
                  <w:vAlign w:val="center"/>
                </w:tcPr>
                <w:p w14:paraId="66C7C6FE">
                  <w:pPr>
                    <w:pStyle w:val="5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位于2#厂房生产区南侧，面积约为50m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，用于暂存切削液、润滑油、锯片等原辅材料。</w:t>
                  </w:r>
                </w:p>
              </w:tc>
              <w:tc>
                <w:tcPr>
                  <w:tcW w:w="621" w:type="dxa"/>
                  <w:noWrap w:val="0"/>
                  <w:vAlign w:val="center"/>
                </w:tcPr>
                <w:p w14:paraId="69234AF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767AA1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25378B5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p>
              </w:tc>
              <w:tc>
                <w:tcPr>
                  <w:tcW w:w="1496" w:type="dxa"/>
                  <w:noWrap w:val="0"/>
                  <w:vAlign w:val="center"/>
                </w:tcPr>
                <w:p w14:paraId="6FBD8F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sz w:val="21"/>
                      <w:szCs w:val="21"/>
                      <w:lang w:val="en-US" w:eastAsia="zh-CN"/>
                    </w:rPr>
                    <w:t>模具库</w:t>
                  </w:r>
                </w:p>
              </w:tc>
              <w:tc>
                <w:tcPr>
                  <w:tcW w:w="5006" w:type="dxa"/>
                  <w:noWrap w:val="0"/>
                  <w:vAlign w:val="center"/>
                </w:tcPr>
                <w:p w14:paraId="580AD7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位于2#厂房生产区南侧，面积约为</w:t>
                  </w:r>
                  <w:r>
                    <w:rPr>
                      <w:rFonts w:hint="eastAsia" w:cs="Times New Roman"/>
                      <w:color w:val="auto"/>
                      <w:sz w:val="21"/>
                      <w:szCs w:val="21"/>
                      <w:lang w:val="en-US" w:eastAsia="zh-CN"/>
                    </w:rPr>
                    <w:t>3</w:t>
                  </w:r>
                  <w:r>
                    <w:rPr>
                      <w:rFonts w:hint="eastAsia" w:ascii="Times New Roman" w:hAnsi="Times New Roman" w:eastAsia="宋体" w:cs="Times New Roman"/>
                      <w:color w:val="auto"/>
                      <w:sz w:val="21"/>
                      <w:szCs w:val="21"/>
                      <w:lang w:val="en-US" w:eastAsia="zh-CN"/>
                    </w:rPr>
                    <w:t>0m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，用于存放模具。</w:t>
                  </w:r>
                </w:p>
              </w:tc>
              <w:tc>
                <w:tcPr>
                  <w:tcW w:w="621" w:type="dxa"/>
                  <w:noWrap w:val="0"/>
                  <w:vAlign w:val="center"/>
                </w:tcPr>
                <w:p w14:paraId="20A501B1">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6051A9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4133A7F4">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p>
              </w:tc>
              <w:tc>
                <w:tcPr>
                  <w:tcW w:w="1496" w:type="dxa"/>
                  <w:noWrap w:val="0"/>
                  <w:vAlign w:val="center"/>
                </w:tcPr>
                <w:p w14:paraId="2ADD4F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成品</w:t>
                  </w:r>
                  <w:r>
                    <w:rPr>
                      <w:rFonts w:hint="eastAsia" w:cs="Times New Roman"/>
                      <w:color w:val="auto"/>
                      <w:sz w:val="21"/>
                      <w:szCs w:val="21"/>
                      <w:lang w:val="en-US" w:eastAsia="zh-CN"/>
                    </w:rPr>
                    <w:t>区</w:t>
                  </w:r>
                </w:p>
              </w:tc>
              <w:tc>
                <w:tcPr>
                  <w:tcW w:w="5006" w:type="dxa"/>
                  <w:noWrap w:val="0"/>
                  <w:vAlign w:val="center"/>
                </w:tcPr>
                <w:p w14:paraId="2B8C14E9">
                  <w:pPr>
                    <w:pStyle w:val="5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位于</w:t>
                  </w:r>
                  <w:r>
                    <w:rPr>
                      <w:rFonts w:hint="eastAsia" w:ascii="Times New Roman" w:hAnsi="Times New Roman" w:eastAsia="宋体" w:cs="Times New Roman"/>
                      <w:color w:val="auto"/>
                      <w:sz w:val="21"/>
                      <w:szCs w:val="21"/>
                      <w:lang w:val="en-US" w:eastAsia="zh-CN"/>
                    </w:rPr>
                    <w:t>2#厂房生产区西南侧，</w:t>
                  </w:r>
                  <w:r>
                    <w:rPr>
                      <w:rFonts w:hint="default" w:ascii="Times New Roman" w:hAnsi="Times New Roman" w:eastAsia="宋体" w:cs="Times New Roman"/>
                      <w:color w:val="auto"/>
                      <w:sz w:val="21"/>
                      <w:szCs w:val="21"/>
                      <w:lang w:val="en-US" w:eastAsia="zh-CN"/>
                    </w:rPr>
                    <w:t>面积约为</w:t>
                  </w:r>
                  <w:r>
                    <w:rPr>
                      <w:rFonts w:hint="eastAsia"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0</w:t>
                  </w:r>
                  <w:r>
                    <w:rPr>
                      <w:rFonts w:hint="default" w:ascii="Times New Roman" w:hAnsi="Times New Roman" w:eastAsia="宋体" w:cs="Times New Roman"/>
                      <w:color w:val="auto"/>
                      <w:sz w:val="21"/>
                      <w:szCs w:val="21"/>
                      <w:lang w:val="en-US" w:eastAsia="zh-CN"/>
                    </w:rPr>
                    <w:t>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，用于储存成品</w:t>
                  </w:r>
                  <w:r>
                    <w:rPr>
                      <w:rFonts w:hint="eastAsia" w:ascii="Times New Roman" w:hAnsi="Times New Roman" w:eastAsia="宋体" w:cs="Times New Roman"/>
                      <w:color w:val="auto"/>
                      <w:sz w:val="21"/>
                      <w:szCs w:val="21"/>
                      <w:lang w:val="en-US" w:eastAsia="zh-CN"/>
                    </w:rPr>
                    <w:t>。</w:t>
                  </w:r>
                </w:p>
              </w:tc>
              <w:tc>
                <w:tcPr>
                  <w:tcW w:w="621" w:type="dxa"/>
                  <w:noWrap w:val="0"/>
                  <w:vAlign w:val="center"/>
                </w:tcPr>
                <w:p w14:paraId="04B540C1">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7B6780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restart"/>
                  <w:noWrap w:val="0"/>
                  <w:vAlign w:val="center"/>
                </w:tcPr>
                <w:p w14:paraId="2CAFFC2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r>
                    <w:rPr>
                      <w:rFonts w:hint="eastAsia" w:ascii="Times New Roman" w:hAnsi="Times New Roman" w:eastAsia="宋体" w:cs="Times New Roman"/>
                      <w:bCs/>
                      <w:color w:val="auto"/>
                      <w:kern w:val="0"/>
                      <w:sz w:val="21"/>
                      <w:szCs w:val="21"/>
                      <w:lang w:val="en-US" w:eastAsia="zh-CN"/>
                    </w:rPr>
                    <w:t>公用工程</w:t>
                  </w:r>
                </w:p>
              </w:tc>
              <w:tc>
                <w:tcPr>
                  <w:tcW w:w="1496" w:type="dxa"/>
                  <w:noWrap w:val="0"/>
                  <w:vAlign w:val="center"/>
                </w:tcPr>
                <w:p w14:paraId="2EE9405C">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kern w:val="2"/>
                      <w:sz w:val="21"/>
                      <w:szCs w:val="21"/>
                      <w:lang w:val="en-US" w:eastAsia="zh-CN" w:bidi="ar-SA"/>
                    </w:rPr>
                    <w:t>供水系统</w:t>
                  </w:r>
                </w:p>
              </w:tc>
              <w:tc>
                <w:tcPr>
                  <w:tcW w:w="5006" w:type="dxa"/>
                  <w:noWrap w:val="0"/>
                  <w:vAlign w:val="center"/>
                </w:tcPr>
                <w:p w14:paraId="58D0AE7D">
                  <w:pPr>
                    <w:pStyle w:val="41"/>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由园区供水管网供给</w:t>
                  </w:r>
                  <w:r>
                    <w:rPr>
                      <w:rFonts w:hint="eastAsia" w:ascii="Times New Roman" w:hAnsi="Times New Roman" w:eastAsia="宋体" w:cs="Times New Roman"/>
                      <w:b w:val="0"/>
                      <w:bCs/>
                      <w:color w:val="auto"/>
                      <w:sz w:val="21"/>
                      <w:szCs w:val="21"/>
                      <w:lang w:val="en-US" w:eastAsia="zh-CN"/>
                    </w:rPr>
                    <w:t>。</w:t>
                  </w:r>
                </w:p>
              </w:tc>
              <w:tc>
                <w:tcPr>
                  <w:tcW w:w="621" w:type="dxa"/>
                  <w:noWrap w:val="0"/>
                  <w:vAlign w:val="center"/>
                </w:tcPr>
                <w:p w14:paraId="45CA7C0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7B8889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542C493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p>
              </w:tc>
              <w:tc>
                <w:tcPr>
                  <w:tcW w:w="1496" w:type="dxa"/>
                  <w:noWrap w:val="0"/>
                  <w:vAlign w:val="center"/>
                </w:tcPr>
                <w:p w14:paraId="469F336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排水系统</w:t>
                  </w:r>
                </w:p>
              </w:tc>
              <w:tc>
                <w:tcPr>
                  <w:tcW w:w="5006" w:type="dxa"/>
                  <w:noWrap w:val="0"/>
                  <w:vAlign w:val="center"/>
                </w:tcPr>
                <w:p w14:paraId="0CD33764">
                  <w:pPr>
                    <w:pStyle w:val="41"/>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①雨污分流，园区已设置雨水管网，雨水排入园区雨水管网；</w:t>
                  </w:r>
                </w:p>
                <w:p w14:paraId="1A499A4B">
                  <w:pPr>
                    <w:pStyle w:val="41"/>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②</w:t>
                  </w:r>
                  <w:r>
                    <w:rPr>
                      <w:rFonts w:hint="default" w:ascii="Times New Roman" w:hAnsi="Times New Roman" w:eastAsia="宋体" w:cs="Times New Roman"/>
                      <w:b w:val="0"/>
                      <w:bCs/>
                      <w:color w:val="auto"/>
                      <w:sz w:val="21"/>
                      <w:szCs w:val="21"/>
                      <w:highlight w:val="none"/>
                      <w:lang w:val="en-US" w:eastAsia="zh-CN"/>
                    </w:rPr>
                    <w:t>生活污水经市政管网排入</w:t>
                  </w:r>
                  <w:r>
                    <w:rPr>
                      <w:rFonts w:hint="eastAsia" w:cs="Times New Roman"/>
                      <w:b w:val="0"/>
                      <w:bCs/>
                      <w:color w:val="auto"/>
                      <w:sz w:val="21"/>
                      <w:szCs w:val="21"/>
                      <w:highlight w:val="none"/>
                      <w:lang w:val="en-US" w:eastAsia="zh-CN"/>
                    </w:rPr>
                    <w:t>皖江江南新兴产业集中区第一污水处理厂</w:t>
                  </w:r>
                  <w:r>
                    <w:rPr>
                      <w:rFonts w:hint="default" w:ascii="Times New Roman" w:hAnsi="Times New Roman" w:eastAsia="宋体" w:cs="Times New Roman"/>
                      <w:b w:val="0"/>
                      <w:bCs/>
                      <w:color w:val="auto"/>
                      <w:sz w:val="21"/>
                      <w:szCs w:val="21"/>
                      <w:highlight w:val="none"/>
                      <w:lang w:val="en-US" w:eastAsia="zh-CN"/>
                    </w:rPr>
                    <w:t>进一步处理。</w:t>
                  </w:r>
                </w:p>
              </w:tc>
              <w:tc>
                <w:tcPr>
                  <w:tcW w:w="621" w:type="dxa"/>
                  <w:noWrap w:val="0"/>
                  <w:vAlign w:val="center"/>
                </w:tcPr>
                <w:p w14:paraId="154E644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2E414D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2B7830C4">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p>
              </w:tc>
              <w:tc>
                <w:tcPr>
                  <w:tcW w:w="1496" w:type="dxa"/>
                  <w:noWrap w:val="0"/>
                  <w:vAlign w:val="center"/>
                </w:tcPr>
                <w:p w14:paraId="0C51D11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供电系统</w:t>
                  </w:r>
                </w:p>
              </w:tc>
              <w:tc>
                <w:tcPr>
                  <w:tcW w:w="5006" w:type="dxa"/>
                  <w:noWrap w:val="0"/>
                  <w:vAlign w:val="center"/>
                </w:tcPr>
                <w:p w14:paraId="3F38D0BF">
                  <w:pPr>
                    <w:pStyle w:val="41"/>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由园区供电电网供应</w:t>
                  </w:r>
                  <w:r>
                    <w:rPr>
                      <w:rFonts w:hint="eastAsia" w:ascii="Times New Roman" w:hAnsi="Times New Roman" w:eastAsia="宋体" w:cs="Times New Roman"/>
                      <w:b w:val="0"/>
                      <w:bCs/>
                      <w:color w:val="auto"/>
                      <w:sz w:val="21"/>
                      <w:szCs w:val="21"/>
                      <w:lang w:val="en-US" w:eastAsia="zh-CN"/>
                    </w:rPr>
                    <w:t>。</w:t>
                  </w:r>
                </w:p>
              </w:tc>
              <w:tc>
                <w:tcPr>
                  <w:tcW w:w="621" w:type="dxa"/>
                  <w:noWrap w:val="0"/>
                  <w:vAlign w:val="center"/>
                </w:tcPr>
                <w:p w14:paraId="36C99C54">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17F0ED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3F978D0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Cs/>
                      <w:color w:val="auto"/>
                      <w:kern w:val="0"/>
                      <w:sz w:val="21"/>
                      <w:szCs w:val="21"/>
                      <w:lang w:val="en-US" w:eastAsia="zh-CN"/>
                    </w:rPr>
                  </w:pPr>
                </w:p>
              </w:tc>
              <w:tc>
                <w:tcPr>
                  <w:tcW w:w="1496" w:type="dxa"/>
                  <w:noWrap w:val="0"/>
                  <w:vAlign w:val="center"/>
                </w:tcPr>
                <w:p w14:paraId="049D913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供气系统</w:t>
                  </w:r>
                </w:p>
              </w:tc>
              <w:tc>
                <w:tcPr>
                  <w:tcW w:w="5006" w:type="dxa"/>
                  <w:noWrap w:val="0"/>
                  <w:vAlign w:val="center"/>
                </w:tcPr>
                <w:p w14:paraId="6FCC2CBB">
                  <w:pPr>
                    <w:pStyle w:val="41"/>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由园区</w:t>
                  </w:r>
                  <w:r>
                    <w:rPr>
                      <w:rFonts w:hint="eastAsia" w:ascii="Times New Roman" w:hAnsi="Times New Roman" w:eastAsia="宋体" w:cs="Times New Roman"/>
                      <w:b w:val="0"/>
                      <w:bCs/>
                      <w:color w:val="auto"/>
                      <w:sz w:val="21"/>
                      <w:szCs w:val="21"/>
                      <w:lang w:val="en-US" w:eastAsia="zh-CN"/>
                    </w:rPr>
                    <w:t>天然气</w:t>
                  </w:r>
                  <w:r>
                    <w:rPr>
                      <w:rFonts w:hint="default" w:ascii="Times New Roman" w:hAnsi="Times New Roman" w:eastAsia="宋体" w:cs="Times New Roman"/>
                      <w:b w:val="0"/>
                      <w:bCs/>
                      <w:color w:val="auto"/>
                      <w:sz w:val="21"/>
                      <w:szCs w:val="21"/>
                      <w:lang w:val="en-US" w:eastAsia="zh-CN"/>
                    </w:rPr>
                    <w:t>管网供给</w:t>
                  </w:r>
                  <w:r>
                    <w:rPr>
                      <w:rFonts w:hint="eastAsia" w:ascii="Times New Roman" w:hAnsi="Times New Roman" w:eastAsia="宋体" w:cs="Times New Roman"/>
                      <w:b w:val="0"/>
                      <w:bCs/>
                      <w:color w:val="auto"/>
                      <w:sz w:val="21"/>
                      <w:szCs w:val="21"/>
                      <w:lang w:val="en-US" w:eastAsia="zh-CN"/>
                    </w:rPr>
                    <w:t>。</w:t>
                  </w:r>
                </w:p>
              </w:tc>
              <w:tc>
                <w:tcPr>
                  <w:tcW w:w="621" w:type="dxa"/>
                  <w:noWrap w:val="0"/>
                  <w:vAlign w:val="center"/>
                </w:tcPr>
                <w:p w14:paraId="2CBAA06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sz w:val="21"/>
                      <w:szCs w:val="21"/>
                      <w:lang w:val="en-US" w:eastAsia="zh-CN"/>
                    </w:rPr>
                  </w:pPr>
                </w:p>
              </w:tc>
            </w:tr>
            <w:tr w14:paraId="43E1FE1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restart"/>
                  <w:noWrap w:val="0"/>
                  <w:vAlign w:val="center"/>
                </w:tcPr>
                <w:p w14:paraId="50C0EFF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环保</w:t>
                  </w:r>
                </w:p>
                <w:p w14:paraId="0171DD3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highlight w:val="none"/>
                    </w:rPr>
                    <w:t>工程</w:t>
                  </w:r>
                </w:p>
              </w:tc>
              <w:tc>
                <w:tcPr>
                  <w:tcW w:w="1496" w:type="dxa"/>
                  <w:noWrap w:val="0"/>
                  <w:vAlign w:val="center"/>
                </w:tcPr>
                <w:p w14:paraId="04623C7D">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FF0000"/>
                      <w:sz w:val="21"/>
                      <w:szCs w:val="21"/>
                    </w:rPr>
                  </w:pPr>
                  <w:r>
                    <w:rPr>
                      <w:rFonts w:hint="default" w:ascii="Times New Roman" w:hAnsi="Times New Roman" w:eastAsia="宋体" w:cs="Times New Roman"/>
                      <w:color w:val="000000"/>
                      <w:sz w:val="21"/>
                      <w:szCs w:val="21"/>
                      <w:highlight w:val="none"/>
                    </w:rPr>
                    <w:t>废气</w:t>
                  </w:r>
                </w:p>
              </w:tc>
              <w:tc>
                <w:tcPr>
                  <w:tcW w:w="5006" w:type="dxa"/>
                  <w:noWrap w:val="0"/>
                  <w:vAlign w:val="center"/>
                </w:tcPr>
                <w:p w14:paraId="6888628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both"/>
                    <w:textAlignment w:val="auto"/>
                    <w:rPr>
                      <w:rFonts w:hint="default" w:ascii="Times New Roman" w:hAnsi="Times New Roman" w:eastAsia="宋体" w:cs="Times New Roman"/>
                      <w:sz w:val="21"/>
                      <w:szCs w:val="21"/>
                      <w:lang w:val="en-US" w:eastAsia="zh-CN"/>
                    </w:rPr>
                  </w:pPr>
                  <w:r>
                    <w:rPr>
                      <w:rFonts w:hint="eastAsia" w:cs="Times New Roman"/>
                      <w:color w:val="auto"/>
                      <w:sz w:val="21"/>
                      <w:szCs w:val="21"/>
                      <w:vertAlign w:val="baseline"/>
                      <w:lang w:val="en-US" w:eastAsia="zh-CN"/>
                    </w:rPr>
                    <w:t>单棒炉和时效炉</w:t>
                  </w:r>
                  <w:r>
                    <w:rPr>
                      <w:rFonts w:hint="eastAsia" w:ascii="Times New Roman" w:hAnsi="Times New Roman" w:eastAsia="宋体" w:cs="Times New Roman"/>
                      <w:color w:val="auto"/>
                      <w:sz w:val="21"/>
                      <w:szCs w:val="21"/>
                      <w:vertAlign w:val="baseline"/>
                      <w:lang w:val="en-US" w:eastAsia="zh-CN"/>
                    </w:rPr>
                    <w:t>天然气燃烧废气经低氮燃烧后通过密闭管道收集，</w:t>
                  </w:r>
                  <w:r>
                    <w:rPr>
                      <w:rFonts w:hint="eastAsia" w:cs="Times New Roman"/>
                      <w:color w:val="auto"/>
                      <w:sz w:val="21"/>
                      <w:szCs w:val="21"/>
                      <w:vertAlign w:val="baseline"/>
                      <w:lang w:val="en-US" w:eastAsia="zh-CN"/>
                    </w:rPr>
                    <w:t>合并</w:t>
                  </w:r>
                  <w:r>
                    <w:rPr>
                      <w:rFonts w:hint="eastAsia" w:ascii="Times New Roman" w:hAnsi="Times New Roman" w:eastAsia="宋体" w:cs="Times New Roman"/>
                      <w:color w:val="auto"/>
                      <w:sz w:val="21"/>
                      <w:szCs w:val="21"/>
                      <w:vertAlign w:val="baseline"/>
                      <w:lang w:val="en-US" w:eastAsia="zh-CN"/>
                    </w:rPr>
                    <w:t>由一根15</w:t>
                  </w:r>
                  <w:r>
                    <w:rPr>
                      <w:rFonts w:hint="default" w:ascii="Times New Roman" w:hAnsi="Times New Roman" w:eastAsia="宋体" w:cs="Times New Roman"/>
                      <w:color w:val="auto"/>
                      <w:sz w:val="21"/>
                      <w:szCs w:val="21"/>
                      <w:vertAlign w:val="baseline"/>
                      <w:lang w:val="en-US" w:eastAsia="zh-CN"/>
                    </w:rPr>
                    <w:t>m高排气筒（DA001）排放</w:t>
                  </w:r>
                  <w:r>
                    <w:rPr>
                      <w:rFonts w:hint="eastAsia" w:ascii="Times New Roman" w:hAnsi="Times New Roman" w:eastAsia="宋体" w:cs="Times New Roman"/>
                      <w:color w:val="auto"/>
                      <w:sz w:val="21"/>
                      <w:szCs w:val="21"/>
                      <w:vertAlign w:val="baseline"/>
                      <w:lang w:val="en-US" w:eastAsia="zh-CN"/>
                    </w:rPr>
                    <w:t>；锯切废气经集气罩收集通过布袋除尘器处理后，</w:t>
                  </w:r>
                  <w:r>
                    <w:rPr>
                      <w:rFonts w:hint="default" w:ascii="Times New Roman" w:hAnsi="Times New Roman" w:eastAsia="宋体" w:cs="Times New Roman"/>
                      <w:color w:val="auto"/>
                      <w:sz w:val="21"/>
                      <w:szCs w:val="21"/>
                      <w:vertAlign w:val="baseline"/>
                      <w:lang w:val="en-US" w:eastAsia="zh-CN"/>
                    </w:rPr>
                    <w:t>由一根</w:t>
                  </w:r>
                  <w:r>
                    <w:rPr>
                      <w:rFonts w:hint="eastAsia" w:ascii="Times New Roman" w:hAnsi="Times New Roman" w:eastAsia="宋体" w:cs="Times New Roman"/>
                      <w:color w:val="auto"/>
                      <w:sz w:val="21"/>
                      <w:szCs w:val="21"/>
                      <w:vertAlign w:val="baseline"/>
                      <w:lang w:val="en-US" w:eastAsia="zh-CN"/>
                    </w:rPr>
                    <w:t>15</w:t>
                  </w:r>
                  <w:r>
                    <w:rPr>
                      <w:rFonts w:hint="default" w:ascii="Times New Roman" w:hAnsi="Times New Roman" w:eastAsia="宋体" w:cs="Times New Roman"/>
                      <w:color w:val="auto"/>
                      <w:sz w:val="21"/>
                      <w:szCs w:val="21"/>
                      <w:vertAlign w:val="baseline"/>
                      <w:lang w:val="en-US" w:eastAsia="zh-CN"/>
                    </w:rPr>
                    <w:t>m高排气筒（DA00</w:t>
                  </w:r>
                  <w:r>
                    <w:rPr>
                      <w:rFonts w:hint="eastAsia" w:cs="Times New Roman"/>
                      <w:color w:val="auto"/>
                      <w:sz w:val="21"/>
                      <w:szCs w:val="21"/>
                      <w:vertAlign w:val="baseline"/>
                      <w:lang w:val="en-US" w:eastAsia="zh-CN"/>
                    </w:rPr>
                    <w:t>2</w:t>
                  </w:r>
                  <w:r>
                    <w:rPr>
                      <w:rFonts w:hint="default" w:ascii="Times New Roman" w:hAnsi="Times New Roman" w:eastAsia="宋体" w:cs="Times New Roman"/>
                      <w:color w:val="auto"/>
                      <w:sz w:val="21"/>
                      <w:szCs w:val="21"/>
                      <w:vertAlign w:val="baseline"/>
                      <w:lang w:val="en-US" w:eastAsia="zh-CN"/>
                    </w:rPr>
                    <w:t>）排放</w:t>
                  </w:r>
                  <w:r>
                    <w:rPr>
                      <w:rFonts w:hint="eastAsia" w:ascii="Times New Roman" w:hAnsi="Times New Roman" w:eastAsia="宋体" w:cs="Times New Roman"/>
                      <w:color w:val="auto"/>
                      <w:sz w:val="21"/>
                      <w:szCs w:val="21"/>
                      <w:vertAlign w:val="baseline"/>
                      <w:lang w:val="en-US" w:eastAsia="zh-CN"/>
                    </w:rPr>
                    <w:t>。</w:t>
                  </w:r>
                </w:p>
              </w:tc>
              <w:tc>
                <w:tcPr>
                  <w:tcW w:w="621" w:type="dxa"/>
                  <w:noWrap w:val="0"/>
                  <w:vAlign w:val="center"/>
                </w:tcPr>
                <w:p w14:paraId="51AD3A58">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rPr>
                  </w:pPr>
                </w:p>
              </w:tc>
            </w:tr>
            <w:tr w14:paraId="17FF3B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02F966B0">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p>
              </w:tc>
              <w:tc>
                <w:tcPr>
                  <w:tcW w:w="1496" w:type="dxa"/>
                  <w:noWrap w:val="0"/>
                  <w:vAlign w:val="center"/>
                </w:tcPr>
                <w:p w14:paraId="0FF0E563">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5006" w:type="dxa"/>
                  <w:noWrap w:val="0"/>
                  <w:vAlign w:val="center"/>
                </w:tcPr>
                <w:p w14:paraId="7057CA85">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color w:val="auto"/>
                      <w:sz w:val="21"/>
                      <w:szCs w:val="21"/>
                      <w:highlight w:val="none"/>
                      <w:lang w:val="en-US" w:eastAsia="zh-CN"/>
                    </w:rPr>
                    <w:t>雨污分流，</w:t>
                  </w:r>
                  <w:r>
                    <w:rPr>
                      <w:rFonts w:hint="eastAsia" w:ascii="Times New Roman" w:hAnsi="Times New Roman" w:eastAsia="宋体" w:cs="Times New Roman"/>
                      <w:color w:val="auto"/>
                      <w:sz w:val="21"/>
                      <w:szCs w:val="21"/>
                      <w:highlight w:val="none"/>
                      <w:lang w:val="en-US" w:eastAsia="zh-CN"/>
                    </w:rPr>
                    <w:t>冷却循环水循环利用，不排放；</w:t>
                  </w:r>
                  <w:r>
                    <w:rPr>
                      <w:rFonts w:hint="default" w:ascii="Times New Roman" w:hAnsi="Times New Roman" w:eastAsia="宋体" w:cs="Times New Roman"/>
                      <w:color w:val="auto"/>
                      <w:sz w:val="21"/>
                      <w:szCs w:val="21"/>
                      <w:highlight w:val="none"/>
                      <w:lang w:val="en-US" w:eastAsia="zh-CN"/>
                    </w:rPr>
                    <w:t>项目</w:t>
                  </w:r>
                  <w:r>
                    <w:rPr>
                      <w:rFonts w:hint="eastAsia" w:ascii="Times New Roman" w:hAnsi="Times New Roman" w:eastAsia="宋体" w:cs="Times New Roman"/>
                      <w:color w:val="auto"/>
                      <w:sz w:val="21"/>
                      <w:szCs w:val="21"/>
                      <w:highlight w:val="none"/>
                      <w:lang w:val="en-US" w:eastAsia="zh-CN"/>
                    </w:rPr>
                    <w:t>仅</w:t>
                  </w:r>
                  <w:r>
                    <w:rPr>
                      <w:rFonts w:hint="default" w:ascii="Times New Roman" w:hAnsi="Times New Roman" w:eastAsia="宋体" w:cs="Times New Roman"/>
                      <w:color w:val="auto"/>
                      <w:sz w:val="21"/>
                      <w:szCs w:val="21"/>
                      <w:highlight w:val="none"/>
                      <w:lang w:val="en-US" w:eastAsia="zh-CN"/>
                    </w:rPr>
                    <w:t>生活污水经市政管网排入</w:t>
                  </w:r>
                  <w:r>
                    <w:rPr>
                      <w:rFonts w:hint="eastAsia" w:cs="Times New Roman"/>
                      <w:color w:val="auto"/>
                      <w:sz w:val="21"/>
                      <w:szCs w:val="21"/>
                      <w:highlight w:val="none"/>
                      <w:lang w:val="en-US" w:eastAsia="zh-CN"/>
                    </w:rPr>
                    <w:t>皖江江南新兴产业集中区第一污水处理厂</w:t>
                  </w:r>
                  <w:r>
                    <w:rPr>
                      <w:rFonts w:hint="default" w:ascii="Times New Roman" w:hAnsi="Times New Roman" w:eastAsia="宋体" w:cs="Times New Roman"/>
                      <w:color w:val="auto"/>
                      <w:sz w:val="21"/>
                      <w:szCs w:val="21"/>
                      <w:highlight w:val="none"/>
                      <w:lang w:val="en-US" w:eastAsia="zh-CN"/>
                    </w:rPr>
                    <w:t>进一步处理</w:t>
                  </w:r>
                  <w:r>
                    <w:rPr>
                      <w:rFonts w:hint="eastAsia" w:ascii="Times New Roman" w:hAnsi="Times New Roman" w:eastAsia="宋体" w:cs="Times New Roman"/>
                      <w:color w:val="auto"/>
                      <w:sz w:val="21"/>
                      <w:szCs w:val="21"/>
                      <w:highlight w:val="none"/>
                      <w:lang w:val="en-US" w:eastAsia="zh-CN"/>
                    </w:rPr>
                    <w:t>。</w:t>
                  </w:r>
                </w:p>
              </w:tc>
              <w:tc>
                <w:tcPr>
                  <w:tcW w:w="621" w:type="dxa"/>
                  <w:noWrap w:val="0"/>
                  <w:vAlign w:val="center"/>
                </w:tcPr>
                <w:p w14:paraId="0D169D84">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rPr>
                  </w:pPr>
                </w:p>
              </w:tc>
            </w:tr>
            <w:tr w14:paraId="64D550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3155A57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p>
              </w:tc>
              <w:tc>
                <w:tcPr>
                  <w:tcW w:w="1496" w:type="dxa"/>
                  <w:noWrap w:val="0"/>
                  <w:vAlign w:val="center"/>
                </w:tcPr>
                <w:p w14:paraId="22ABEA34">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5006" w:type="dxa"/>
                  <w:noWrap w:val="0"/>
                  <w:vAlign w:val="center"/>
                </w:tcPr>
                <w:p w14:paraId="6E61253B">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优选低噪设备、车间内</w:t>
                  </w:r>
                  <w:r>
                    <w:rPr>
                      <w:rFonts w:hint="eastAsia" w:ascii="Times New Roman" w:hAnsi="Times New Roman" w:eastAsia="宋体" w:cs="Times New Roman"/>
                      <w:color w:val="auto"/>
                      <w:sz w:val="21"/>
                      <w:szCs w:val="21"/>
                      <w:lang w:val="en-US" w:eastAsia="zh-CN"/>
                    </w:rPr>
                    <w:t>采取</w:t>
                  </w:r>
                  <w:r>
                    <w:rPr>
                      <w:rFonts w:hint="default" w:ascii="Times New Roman" w:hAnsi="Times New Roman" w:eastAsia="宋体" w:cs="Times New Roman"/>
                      <w:color w:val="auto"/>
                      <w:sz w:val="21"/>
                      <w:szCs w:val="21"/>
                    </w:rPr>
                    <w:t>隔声、减振等措施</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优化设备平面布置</w:t>
                  </w:r>
                  <w:r>
                    <w:rPr>
                      <w:rFonts w:hint="eastAsia" w:cs="Times New Roman"/>
                      <w:color w:val="auto"/>
                      <w:sz w:val="21"/>
                      <w:szCs w:val="21"/>
                      <w:lang w:val="en-US" w:eastAsia="zh-CN"/>
                    </w:rPr>
                    <w:t>。</w:t>
                  </w:r>
                </w:p>
              </w:tc>
              <w:tc>
                <w:tcPr>
                  <w:tcW w:w="621" w:type="dxa"/>
                  <w:noWrap w:val="0"/>
                  <w:vAlign w:val="center"/>
                </w:tcPr>
                <w:p w14:paraId="5D4AE960">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rPr>
                  </w:pPr>
                </w:p>
              </w:tc>
            </w:tr>
            <w:tr w14:paraId="7D6F9B0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5" w:type="dxa"/>
                  <w:vMerge w:val="continue"/>
                  <w:noWrap w:val="0"/>
                  <w:vAlign w:val="center"/>
                </w:tcPr>
                <w:p w14:paraId="5F780F8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color w:val="auto"/>
                      <w:kern w:val="0"/>
                      <w:sz w:val="21"/>
                      <w:szCs w:val="21"/>
                    </w:rPr>
                  </w:pPr>
                </w:p>
              </w:tc>
              <w:tc>
                <w:tcPr>
                  <w:tcW w:w="1496" w:type="dxa"/>
                  <w:noWrap w:val="0"/>
                  <w:vAlign w:val="center"/>
                </w:tcPr>
                <w:p w14:paraId="750A3842">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固废</w:t>
                  </w:r>
                </w:p>
              </w:tc>
              <w:tc>
                <w:tcPr>
                  <w:tcW w:w="5006" w:type="dxa"/>
                  <w:noWrap w:val="0"/>
                  <w:vAlign w:val="center"/>
                </w:tcPr>
                <w:p w14:paraId="70E55823">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金属屑及边角料收集后外售综合利用，</w:t>
                  </w:r>
                  <w:r>
                    <w:rPr>
                      <w:rFonts w:hint="default" w:ascii="Times New Roman" w:hAnsi="Times New Roman" w:eastAsia="宋体" w:cs="Times New Roman"/>
                      <w:color w:val="auto"/>
                      <w:sz w:val="21"/>
                      <w:szCs w:val="21"/>
                      <w:lang w:val="en-US" w:eastAsia="zh-CN"/>
                    </w:rPr>
                    <w:t>废模具</w:t>
                  </w:r>
                  <w:r>
                    <w:rPr>
                      <w:rFonts w:hint="eastAsia" w:ascii="Times New Roman" w:hAnsi="Times New Roman" w:eastAsia="宋体" w:cs="Times New Roman"/>
                      <w:color w:val="auto"/>
                      <w:sz w:val="21"/>
                      <w:szCs w:val="21"/>
                      <w:lang w:val="en-US" w:eastAsia="zh-CN"/>
                    </w:rPr>
                    <w:t>交由模具供应商回收处理</w:t>
                  </w:r>
                  <w:r>
                    <w:rPr>
                      <w:rFonts w:hint="default" w:ascii="Times New Roman" w:hAnsi="Times New Roman" w:eastAsia="宋体" w:cs="Times New Roman"/>
                      <w:color w:val="auto"/>
                      <w:sz w:val="21"/>
                      <w:szCs w:val="21"/>
                      <w:lang w:val="en-US" w:eastAsia="zh-CN"/>
                    </w:rPr>
                    <w:t>，一般固废库布置在</w:t>
                  </w:r>
                  <w:r>
                    <w:rPr>
                      <w:rFonts w:hint="eastAsia" w:ascii="Times New Roman" w:hAnsi="Times New Roman" w:eastAsia="宋体" w:cs="Times New Roman"/>
                      <w:color w:val="auto"/>
                      <w:sz w:val="21"/>
                      <w:szCs w:val="21"/>
                      <w:lang w:val="en-US" w:eastAsia="zh-CN"/>
                    </w:rPr>
                    <w:t>2#厂房生产区南侧</w:t>
                  </w:r>
                  <w:r>
                    <w:rPr>
                      <w:rFonts w:hint="default" w:ascii="Times New Roman" w:hAnsi="Times New Roman" w:eastAsia="宋体" w:cs="Times New Roman"/>
                      <w:color w:val="auto"/>
                      <w:sz w:val="21"/>
                      <w:szCs w:val="21"/>
                      <w:lang w:val="en-US" w:eastAsia="zh-CN"/>
                    </w:rPr>
                    <w:t>，面积约为</w:t>
                  </w:r>
                  <w:r>
                    <w:rPr>
                      <w:rFonts w:hint="eastAsia" w:cs="Times New Roman"/>
                      <w:color w:val="auto"/>
                      <w:sz w:val="21"/>
                      <w:szCs w:val="21"/>
                      <w:lang w:val="en-US" w:eastAsia="zh-CN"/>
                    </w:rPr>
                    <w:t>3</w:t>
                  </w:r>
                  <w:r>
                    <w:rPr>
                      <w:rFonts w:hint="eastAsia" w:ascii="Times New Roman" w:hAnsi="Times New Roman" w:eastAsia="宋体" w:cs="Times New Roman"/>
                      <w:color w:val="auto"/>
                      <w:sz w:val="21"/>
                      <w:szCs w:val="21"/>
                      <w:lang w:val="en-US" w:eastAsia="zh-CN"/>
                    </w:rPr>
                    <w:t>0</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紧邻一般固废库设置危废库，面积约为</w:t>
                  </w:r>
                  <w:r>
                    <w:rPr>
                      <w:rFonts w:hint="eastAsia"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，其中废液压油、</w:t>
                  </w:r>
                  <w:r>
                    <w:rPr>
                      <w:rFonts w:hint="eastAsia" w:cs="Times New Roman"/>
                      <w:color w:val="auto"/>
                      <w:sz w:val="21"/>
                      <w:szCs w:val="21"/>
                      <w:lang w:val="en-US" w:eastAsia="zh-CN"/>
                    </w:rPr>
                    <w:t>废油桶</w:t>
                  </w:r>
                  <w:r>
                    <w:rPr>
                      <w:rFonts w:hint="default" w:ascii="Times New Roman" w:hAnsi="Times New Roman" w:eastAsia="宋体" w:cs="Times New Roman"/>
                      <w:color w:val="auto"/>
                      <w:sz w:val="21"/>
                      <w:szCs w:val="21"/>
                      <w:lang w:val="en-US" w:eastAsia="zh-CN"/>
                    </w:rPr>
                    <w:t>、废润滑油、含油抹布等收集后贮存危废贮存库，定期</w:t>
                  </w:r>
                  <w:r>
                    <w:rPr>
                      <w:rFonts w:hint="default" w:ascii="Times New Roman" w:hAnsi="Times New Roman" w:eastAsia="宋体" w:cs="Times New Roman"/>
                      <w:color w:val="auto"/>
                      <w:sz w:val="21"/>
                      <w:szCs w:val="21"/>
                    </w:rPr>
                    <w:t>交由资质单位处置</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设置生活垃圾桶若干，并委托园区环卫部门集中处置；</w:t>
                  </w:r>
                </w:p>
              </w:tc>
              <w:tc>
                <w:tcPr>
                  <w:tcW w:w="621" w:type="dxa"/>
                  <w:noWrap w:val="0"/>
                  <w:vAlign w:val="center"/>
                </w:tcPr>
                <w:p w14:paraId="31D385E0">
                  <w:pPr>
                    <w:pStyle w:val="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rPr>
                  </w:pPr>
                </w:p>
              </w:tc>
            </w:tr>
          </w:tbl>
          <w:p w14:paraId="12FFE808">
            <w:pPr>
              <w:pStyle w:val="43"/>
              <w:keepNext w:val="0"/>
              <w:keepLines w:val="0"/>
              <w:pageBreakBefore w:val="0"/>
              <w:widowControl/>
              <w:kinsoku/>
              <w:wordWrap/>
              <w:overflowPunct/>
              <w:topLinePunct w:val="0"/>
              <w:autoSpaceDE/>
              <w:autoSpaceDN/>
              <w:bidi w:val="0"/>
              <w:adjustRightInd w:val="0"/>
              <w:snapToGrid w:val="0"/>
              <w:spacing w:before="157" w:beforeLines="50"/>
              <w:jc w:val="both"/>
              <w:textAlignment w:val="auto"/>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3、产品方案及规模</w:t>
            </w:r>
          </w:p>
          <w:p w14:paraId="4B970AEC">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ascii="Times New Roman" w:hAnsi="Times New Roman" w:eastAsia="宋体" w:cs="Times New Roman"/>
                <w:b w:val="0"/>
                <w:bCs w:val="0"/>
                <w:color w:val="000000" w:themeColor="text1"/>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lang w:val="en-US" w:eastAsia="zh-CN" w:bidi="ar-SA"/>
                <w14:textFill>
                  <w14:solidFill>
                    <w14:schemeClr w14:val="tx1"/>
                  </w14:solidFill>
                </w14:textFill>
              </w:rPr>
              <w:t>本项目产品主要为</w:t>
            </w:r>
            <w:r>
              <w:rPr>
                <w:rFonts w:hint="eastAsia" w:cs="Times New Roman"/>
                <w:b w:val="0"/>
                <w:bCs w:val="0"/>
                <w:color w:val="000000" w:themeColor="text1"/>
                <w:lang w:val="en-US" w:eastAsia="zh-CN" w:bidi="ar-SA"/>
                <w14:textFill>
                  <w14:solidFill>
                    <w14:schemeClr w14:val="tx1"/>
                  </w14:solidFill>
                </w14:textFill>
              </w:rPr>
              <w:t>电子、汽车、智能机器人等科技行业用铝型材结构件</w:t>
            </w:r>
            <w:r>
              <w:rPr>
                <w:rFonts w:hint="eastAsia" w:ascii="Times New Roman" w:hAnsi="Times New Roman" w:eastAsia="宋体" w:cs="Times New Roman"/>
                <w:b w:val="0"/>
                <w:bCs w:val="0"/>
                <w:color w:val="000000" w:themeColor="text1"/>
                <w:lang w:val="en-US" w:eastAsia="zh-CN" w:bidi="ar-SA"/>
                <w14:textFill>
                  <w14:solidFill>
                    <w14:schemeClr w14:val="tx1"/>
                  </w14:solidFill>
                </w14:textFill>
              </w:rPr>
              <w:t>，具体规格根据订单定制</w:t>
            </w:r>
            <w:r>
              <w:rPr>
                <w:rFonts w:hint="eastAsia" w:cs="Times New Roman"/>
                <w:b w:val="0"/>
                <w:bCs w:val="0"/>
                <w:color w:val="000000" w:themeColor="text1"/>
                <w:lang w:val="en-US" w:eastAsia="zh-CN" w:bidi="ar-SA"/>
                <w14:textFill>
                  <w14:solidFill>
                    <w14:schemeClr w14:val="tx1"/>
                  </w14:solidFill>
                </w14:textFill>
              </w:rPr>
              <w:t>，项目</w:t>
            </w:r>
            <w:r>
              <w:rPr>
                <w:rFonts w:hint="eastAsia" w:ascii="Times New Roman" w:hAnsi="Times New Roman" w:eastAsia="宋体" w:cs="Times New Roman"/>
                <w:b w:val="0"/>
                <w:bCs w:val="0"/>
                <w:color w:val="000000" w:themeColor="text1"/>
                <w:lang w:val="en-US" w:eastAsia="zh-CN" w:bidi="ar-SA"/>
                <w14:textFill>
                  <w14:solidFill>
                    <w14:schemeClr w14:val="tx1"/>
                  </w14:solidFill>
                </w14:textFill>
              </w:rPr>
              <w:t>产品方案详见下表。</w:t>
            </w:r>
          </w:p>
          <w:p w14:paraId="186056C7">
            <w:pPr>
              <w:pStyle w:val="4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表2-4  产品方案一览表</w:t>
            </w:r>
          </w:p>
          <w:tbl>
            <w:tblPr>
              <w:tblStyle w:val="24"/>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873"/>
              <w:gridCol w:w="1871"/>
              <w:gridCol w:w="1129"/>
              <w:gridCol w:w="1359"/>
            </w:tblGrid>
            <w:tr w14:paraId="41BA2A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0" w:type="pct"/>
                  <w:tcBorders>
                    <w:tl2br w:val="nil"/>
                    <w:tr2bl w:val="nil"/>
                  </w:tcBorders>
                  <w:noWrap w:val="0"/>
                  <w:vAlign w:val="center"/>
                </w:tcPr>
                <w:p w14:paraId="1AA661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vertAlign w:val="baseline"/>
                      <w:lang w:val="en-US" w:eastAsia="zh-CN"/>
                    </w:rPr>
                  </w:pPr>
                  <w:r>
                    <w:rPr>
                      <w:rFonts w:hint="default" w:ascii="Times New Roman" w:hAnsi="Times New Roman" w:cs="Times New Roman" w:eastAsiaTheme="minorEastAsia"/>
                      <w:b/>
                      <w:bCs/>
                      <w:sz w:val="21"/>
                      <w:szCs w:val="21"/>
                      <w:vertAlign w:val="baseline"/>
                      <w:lang w:val="en-US" w:eastAsia="zh-CN"/>
                    </w:rPr>
                    <w:t>序号</w:t>
                  </w:r>
                </w:p>
              </w:tc>
              <w:tc>
                <w:tcPr>
                  <w:tcW w:w="1823" w:type="pct"/>
                  <w:tcBorders>
                    <w:tl2br w:val="nil"/>
                    <w:tr2bl w:val="nil"/>
                  </w:tcBorders>
                  <w:noWrap w:val="0"/>
                  <w:vAlign w:val="center"/>
                </w:tcPr>
                <w:p w14:paraId="74987E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vertAlign w:val="baseline"/>
                      <w:lang w:val="en-US" w:eastAsia="zh-CN"/>
                    </w:rPr>
                  </w:pPr>
                  <w:r>
                    <w:rPr>
                      <w:rFonts w:hint="default" w:ascii="Times New Roman" w:hAnsi="Times New Roman" w:cs="Times New Roman" w:eastAsiaTheme="minorEastAsia"/>
                      <w:b/>
                      <w:bCs/>
                      <w:sz w:val="21"/>
                      <w:szCs w:val="21"/>
                      <w:vertAlign w:val="baseline"/>
                      <w:lang w:val="en-US" w:eastAsia="zh-CN"/>
                    </w:rPr>
                    <w:t>产品名称</w:t>
                  </w:r>
                </w:p>
              </w:tc>
              <w:tc>
                <w:tcPr>
                  <w:tcW w:w="1187" w:type="pct"/>
                  <w:tcBorders>
                    <w:tl2br w:val="nil"/>
                    <w:tr2bl w:val="nil"/>
                  </w:tcBorders>
                  <w:noWrap w:val="0"/>
                  <w:vAlign w:val="center"/>
                </w:tcPr>
                <w:p w14:paraId="635FE2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vertAlign w:val="baseline"/>
                      <w:lang w:val="en-US" w:eastAsia="zh-CN"/>
                    </w:rPr>
                  </w:pPr>
                  <w:r>
                    <w:rPr>
                      <w:rFonts w:hint="eastAsia" w:cs="Times New Roman" w:eastAsiaTheme="minorEastAsia"/>
                      <w:b/>
                      <w:bCs/>
                      <w:sz w:val="21"/>
                      <w:szCs w:val="21"/>
                      <w:vertAlign w:val="baseline"/>
                      <w:lang w:val="en-US" w:eastAsia="zh-CN"/>
                    </w:rPr>
                    <w:t>代表性</w:t>
                  </w:r>
                  <w:r>
                    <w:rPr>
                      <w:rFonts w:hint="default" w:ascii="Times New Roman" w:hAnsi="Times New Roman" w:cs="Times New Roman" w:eastAsiaTheme="minorEastAsia"/>
                      <w:b/>
                      <w:bCs/>
                      <w:sz w:val="21"/>
                      <w:szCs w:val="21"/>
                      <w:vertAlign w:val="baseline"/>
                      <w:lang w:val="en-US" w:eastAsia="zh-CN"/>
                    </w:rPr>
                    <w:t>规格</w:t>
                  </w:r>
                  <w:r>
                    <w:rPr>
                      <w:rFonts w:hint="eastAsia" w:cs="Times New Roman" w:eastAsiaTheme="minorEastAsia"/>
                      <w:b/>
                      <w:bCs/>
                      <w:sz w:val="21"/>
                      <w:szCs w:val="21"/>
                      <w:vertAlign w:val="baseline"/>
                      <w:lang w:val="en-US" w:eastAsia="zh-CN"/>
                    </w:rPr>
                    <w:t>型号</w:t>
                  </w:r>
                </w:p>
              </w:tc>
              <w:tc>
                <w:tcPr>
                  <w:tcW w:w="716" w:type="pct"/>
                  <w:tcBorders>
                    <w:tl2br w:val="nil"/>
                    <w:tr2bl w:val="nil"/>
                  </w:tcBorders>
                  <w:noWrap w:val="0"/>
                  <w:vAlign w:val="center"/>
                </w:tcPr>
                <w:p w14:paraId="71CA1B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vertAlign w:val="baseline"/>
                      <w:lang w:val="en-US" w:eastAsia="zh-CN"/>
                    </w:rPr>
                  </w:pPr>
                  <w:r>
                    <w:rPr>
                      <w:rFonts w:hint="default" w:ascii="Times New Roman" w:hAnsi="Times New Roman" w:cs="Times New Roman" w:eastAsiaTheme="minorEastAsia"/>
                      <w:b/>
                      <w:bCs/>
                      <w:sz w:val="21"/>
                      <w:szCs w:val="21"/>
                      <w:vertAlign w:val="baseline"/>
                      <w:lang w:val="en-US" w:eastAsia="zh-CN"/>
                    </w:rPr>
                    <w:t>单位</w:t>
                  </w:r>
                </w:p>
              </w:tc>
              <w:tc>
                <w:tcPr>
                  <w:tcW w:w="862" w:type="pct"/>
                  <w:tcBorders>
                    <w:tl2br w:val="nil"/>
                    <w:tr2bl w:val="nil"/>
                  </w:tcBorders>
                  <w:noWrap w:val="0"/>
                  <w:vAlign w:val="center"/>
                </w:tcPr>
                <w:p w14:paraId="6C6D6D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vertAlign w:val="baseline"/>
                      <w:lang w:val="en-US" w:eastAsia="zh-CN"/>
                    </w:rPr>
                  </w:pPr>
                  <w:r>
                    <w:rPr>
                      <w:rFonts w:hint="default" w:ascii="Times New Roman" w:hAnsi="Times New Roman" w:cs="Times New Roman" w:eastAsiaTheme="minorEastAsia"/>
                      <w:b/>
                      <w:bCs/>
                      <w:sz w:val="21"/>
                      <w:szCs w:val="21"/>
                      <w:vertAlign w:val="baseline"/>
                      <w:lang w:val="en-US" w:eastAsia="zh-CN"/>
                    </w:rPr>
                    <w:t>年产量</w:t>
                  </w:r>
                </w:p>
              </w:tc>
            </w:tr>
            <w:tr w14:paraId="45EFDC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0" w:type="pct"/>
                  <w:tcBorders>
                    <w:tl2br w:val="nil"/>
                    <w:tr2bl w:val="nil"/>
                  </w:tcBorders>
                  <w:noWrap w:val="0"/>
                  <w:vAlign w:val="center"/>
                </w:tcPr>
                <w:p w14:paraId="6C9A6A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1</w:t>
                  </w:r>
                </w:p>
              </w:tc>
              <w:tc>
                <w:tcPr>
                  <w:tcW w:w="1823" w:type="pct"/>
                  <w:tcBorders>
                    <w:tl2br w:val="nil"/>
                    <w:tr2bl w:val="nil"/>
                  </w:tcBorders>
                  <w:noWrap w:val="0"/>
                  <w:vAlign w:val="center"/>
                </w:tcPr>
                <w:p w14:paraId="01FFC9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半导体封装用铝型材</w:t>
                  </w:r>
                  <w:r>
                    <w:rPr>
                      <w:rFonts w:hint="eastAsia" w:cs="Times New Roman" w:eastAsiaTheme="minorEastAsia"/>
                      <w:sz w:val="21"/>
                      <w:szCs w:val="21"/>
                      <w:vertAlign w:val="baseline"/>
                      <w:lang w:val="en-US" w:eastAsia="zh-CN"/>
                    </w:rPr>
                    <w:t>结构件</w:t>
                  </w:r>
                </w:p>
              </w:tc>
              <w:tc>
                <w:tcPr>
                  <w:tcW w:w="1187" w:type="pct"/>
                  <w:tcBorders>
                    <w:tl2br w:val="nil"/>
                    <w:tr2bl w:val="nil"/>
                  </w:tcBorders>
                  <w:noWrap w:val="0"/>
                  <w:vAlign w:val="center"/>
                </w:tcPr>
                <w:p w14:paraId="33A3BB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G-702-TO220</w:t>
                  </w:r>
                </w:p>
              </w:tc>
              <w:tc>
                <w:tcPr>
                  <w:tcW w:w="716" w:type="pct"/>
                  <w:tcBorders>
                    <w:tl2br w:val="nil"/>
                    <w:tr2bl w:val="nil"/>
                  </w:tcBorders>
                  <w:noWrap w:val="0"/>
                  <w:vAlign w:val="center"/>
                </w:tcPr>
                <w:p w14:paraId="6CDB68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t/a</w:t>
                  </w:r>
                </w:p>
              </w:tc>
              <w:tc>
                <w:tcPr>
                  <w:tcW w:w="862" w:type="pct"/>
                  <w:tcBorders>
                    <w:tl2br w:val="nil"/>
                    <w:tr2bl w:val="nil"/>
                  </w:tcBorders>
                  <w:noWrap w:val="0"/>
                  <w:vAlign w:val="center"/>
                </w:tcPr>
                <w:p w14:paraId="6E026F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5000</w:t>
                  </w:r>
                </w:p>
              </w:tc>
            </w:tr>
            <w:tr w14:paraId="5028C5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0" w:type="pct"/>
                  <w:tcBorders>
                    <w:tl2br w:val="nil"/>
                    <w:tr2bl w:val="nil"/>
                  </w:tcBorders>
                  <w:noWrap w:val="0"/>
                  <w:vAlign w:val="center"/>
                </w:tcPr>
                <w:p w14:paraId="1CD6AE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2</w:t>
                  </w:r>
                </w:p>
              </w:tc>
              <w:tc>
                <w:tcPr>
                  <w:tcW w:w="1823" w:type="pct"/>
                  <w:tcBorders>
                    <w:tl2br w:val="nil"/>
                    <w:tr2bl w:val="nil"/>
                  </w:tcBorders>
                  <w:noWrap w:val="0"/>
                  <w:vAlign w:val="center"/>
                </w:tcPr>
                <w:p w14:paraId="1F3383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机器人铝</w:t>
                  </w:r>
                  <w:r>
                    <w:rPr>
                      <w:rFonts w:hint="eastAsia" w:ascii="Times New Roman" w:hAnsi="Times New Roman" w:cs="Times New Roman" w:eastAsiaTheme="minorEastAsia"/>
                      <w:sz w:val="21"/>
                      <w:szCs w:val="21"/>
                      <w:vertAlign w:val="baseline"/>
                      <w:lang w:val="en-US" w:eastAsia="zh-CN"/>
                    </w:rPr>
                    <w:t>型</w:t>
                  </w:r>
                  <w:r>
                    <w:rPr>
                      <w:rFonts w:hint="default" w:ascii="Times New Roman" w:hAnsi="Times New Roman" w:cs="Times New Roman" w:eastAsiaTheme="minorEastAsia"/>
                      <w:sz w:val="21"/>
                      <w:szCs w:val="21"/>
                      <w:vertAlign w:val="baseline"/>
                      <w:lang w:val="en-US" w:eastAsia="zh-CN"/>
                    </w:rPr>
                    <w:t>材结构件</w:t>
                  </w:r>
                </w:p>
              </w:tc>
              <w:tc>
                <w:tcPr>
                  <w:tcW w:w="1187" w:type="pct"/>
                  <w:tcBorders>
                    <w:tl2br w:val="nil"/>
                    <w:tr2bl w:val="nil"/>
                  </w:tcBorders>
                  <w:noWrap w:val="0"/>
                  <w:vAlign w:val="center"/>
                </w:tcPr>
                <w:p w14:paraId="70CE93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XNP-8-5050</w:t>
                  </w:r>
                </w:p>
              </w:tc>
              <w:tc>
                <w:tcPr>
                  <w:tcW w:w="716" w:type="pct"/>
                  <w:tcBorders>
                    <w:tl2br w:val="nil"/>
                    <w:tr2bl w:val="nil"/>
                  </w:tcBorders>
                  <w:noWrap w:val="0"/>
                  <w:vAlign w:val="center"/>
                </w:tcPr>
                <w:p w14:paraId="5895B4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t/a</w:t>
                  </w:r>
                </w:p>
              </w:tc>
              <w:tc>
                <w:tcPr>
                  <w:tcW w:w="862" w:type="pct"/>
                  <w:tcBorders>
                    <w:tl2br w:val="nil"/>
                    <w:tr2bl w:val="nil"/>
                  </w:tcBorders>
                  <w:noWrap w:val="0"/>
                  <w:vAlign w:val="center"/>
                </w:tcPr>
                <w:p w14:paraId="637E6D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4000</w:t>
                  </w:r>
                </w:p>
              </w:tc>
            </w:tr>
            <w:tr w14:paraId="2974C1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0" w:type="pct"/>
                  <w:tcBorders>
                    <w:tl2br w:val="nil"/>
                    <w:tr2bl w:val="nil"/>
                  </w:tcBorders>
                  <w:noWrap w:val="0"/>
                  <w:vAlign w:val="center"/>
                </w:tcPr>
                <w:p w14:paraId="7B416A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3</w:t>
                  </w:r>
                </w:p>
              </w:tc>
              <w:tc>
                <w:tcPr>
                  <w:tcW w:w="1823" w:type="pct"/>
                  <w:tcBorders>
                    <w:tl2br w:val="nil"/>
                    <w:tr2bl w:val="nil"/>
                  </w:tcBorders>
                  <w:noWrap w:val="0"/>
                  <w:vAlign w:val="center"/>
                </w:tcPr>
                <w:p w14:paraId="33042F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新能源用铝型材结构件</w:t>
                  </w:r>
                </w:p>
              </w:tc>
              <w:tc>
                <w:tcPr>
                  <w:tcW w:w="1187" w:type="pct"/>
                  <w:tcBorders>
                    <w:tl2br w:val="nil"/>
                    <w:tr2bl w:val="nil"/>
                  </w:tcBorders>
                  <w:noWrap w:val="0"/>
                  <w:vAlign w:val="center"/>
                </w:tcPr>
                <w:p w14:paraId="265C51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6063-T6</w:t>
                  </w:r>
                </w:p>
              </w:tc>
              <w:tc>
                <w:tcPr>
                  <w:tcW w:w="716" w:type="pct"/>
                  <w:tcBorders>
                    <w:tl2br w:val="nil"/>
                    <w:tr2bl w:val="nil"/>
                  </w:tcBorders>
                  <w:noWrap w:val="0"/>
                  <w:vAlign w:val="center"/>
                </w:tcPr>
                <w:p w14:paraId="7BD6E0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t/a</w:t>
                  </w:r>
                </w:p>
              </w:tc>
              <w:tc>
                <w:tcPr>
                  <w:tcW w:w="862" w:type="pct"/>
                  <w:tcBorders>
                    <w:tl2br w:val="nil"/>
                    <w:tr2bl w:val="nil"/>
                  </w:tcBorders>
                  <w:noWrap w:val="0"/>
                  <w:vAlign w:val="center"/>
                </w:tcPr>
                <w:p w14:paraId="1B9973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3000</w:t>
                  </w:r>
                </w:p>
              </w:tc>
            </w:tr>
            <w:tr w14:paraId="532866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0" w:type="pct"/>
                  <w:tcBorders>
                    <w:tl2br w:val="nil"/>
                    <w:tr2bl w:val="nil"/>
                  </w:tcBorders>
                  <w:noWrap w:val="0"/>
                  <w:vAlign w:val="center"/>
                </w:tcPr>
                <w:p w14:paraId="38D297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4</w:t>
                  </w:r>
                </w:p>
              </w:tc>
              <w:tc>
                <w:tcPr>
                  <w:tcW w:w="1823" w:type="pct"/>
                  <w:tcBorders>
                    <w:tl2br w:val="nil"/>
                    <w:tr2bl w:val="nil"/>
                  </w:tcBorders>
                  <w:noWrap w:val="0"/>
                  <w:vAlign w:val="center"/>
                </w:tcPr>
                <w:p w14:paraId="0C3783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汽车用铝型材结构件</w:t>
                  </w:r>
                </w:p>
              </w:tc>
              <w:tc>
                <w:tcPr>
                  <w:tcW w:w="1187" w:type="pct"/>
                  <w:tcBorders>
                    <w:tl2br w:val="nil"/>
                    <w:tr2bl w:val="nil"/>
                  </w:tcBorders>
                  <w:noWrap w:val="0"/>
                  <w:vAlign w:val="center"/>
                </w:tcPr>
                <w:p w14:paraId="4B2E84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eastAsia" w:cs="Times New Roman" w:eastAsiaTheme="minorEastAsia"/>
                      <w:sz w:val="21"/>
                      <w:szCs w:val="21"/>
                      <w:vertAlign w:val="baseline"/>
                      <w:lang w:val="en-US" w:eastAsia="zh-CN"/>
                    </w:rPr>
                    <w:t>50mm*70mm</w:t>
                  </w:r>
                </w:p>
              </w:tc>
              <w:tc>
                <w:tcPr>
                  <w:tcW w:w="716" w:type="pct"/>
                  <w:tcBorders>
                    <w:tl2br w:val="nil"/>
                    <w:tr2bl w:val="nil"/>
                  </w:tcBorders>
                  <w:noWrap w:val="0"/>
                  <w:vAlign w:val="center"/>
                </w:tcPr>
                <w:p w14:paraId="79A55A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t/a</w:t>
                  </w:r>
                </w:p>
              </w:tc>
              <w:tc>
                <w:tcPr>
                  <w:tcW w:w="862" w:type="pct"/>
                  <w:tcBorders>
                    <w:tl2br w:val="nil"/>
                    <w:tr2bl w:val="nil"/>
                  </w:tcBorders>
                  <w:noWrap w:val="0"/>
                  <w:vAlign w:val="center"/>
                </w:tcPr>
                <w:p w14:paraId="2F6131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3000</w:t>
                  </w:r>
                </w:p>
              </w:tc>
            </w:tr>
            <w:tr w14:paraId="7153A6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0" w:type="pct"/>
                  <w:tcBorders>
                    <w:tl2br w:val="nil"/>
                    <w:tr2bl w:val="nil"/>
                  </w:tcBorders>
                  <w:noWrap w:val="0"/>
                  <w:vAlign w:val="center"/>
                </w:tcPr>
                <w:p w14:paraId="0F7A83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5</w:t>
                  </w:r>
                </w:p>
              </w:tc>
              <w:tc>
                <w:tcPr>
                  <w:tcW w:w="1823" w:type="pct"/>
                  <w:tcBorders>
                    <w:tl2br w:val="nil"/>
                    <w:tr2bl w:val="nil"/>
                  </w:tcBorders>
                  <w:noWrap w:val="0"/>
                  <w:vAlign w:val="center"/>
                </w:tcPr>
                <w:p w14:paraId="6A569B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其他工业用铝型材结构件</w:t>
                  </w:r>
                </w:p>
              </w:tc>
              <w:tc>
                <w:tcPr>
                  <w:tcW w:w="1187" w:type="pct"/>
                  <w:tcBorders>
                    <w:tl2br w:val="nil"/>
                    <w:tr2bl w:val="nil"/>
                  </w:tcBorders>
                  <w:noWrap w:val="0"/>
                  <w:vAlign w:val="center"/>
                </w:tcPr>
                <w:p w14:paraId="0A4B7C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eastAsia" w:cs="Times New Roman" w:eastAsiaTheme="minorEastAsia"/>
                      <w:sz w:val="21"/>
                      <w:szCs w:val="21"/>
                      <w:vertAlign w:val="baseline"/>
                      <w:lang w:val="en-US" w:eastAsia="zh-CN"/>
                    </w:rPr>
                    <w:t>/</w:t>
                  </w:r>
                </w:p>
              </w:tc>
              <w:tc>
                <w:tcPr>
                  <w:tcW w:w="716" w:type="pct"/>
                  <w:tcBorders>
                    <w:tl2br w:val="nil"/>
                    <w:tr2bl w:val="nil"/>
                  </w:tcBorders>
                  <w:noWrap w:val="0"/>
                  <w:vAlign w:val="center"/>
                </w:tcPr>
                <w:p w14:paraId="23395D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t/a</w:t>
                  </w:r>
                </w:p>
              </w:tc>
              <w:tc>
                <w:tcPr>
                  <w:tcW w:w="862" w:type="pct"/>
                  <w:tcBorders>
                    <w:tl2br w:val="nil"/>
                    <w:tr2bl w:val="nil"/>
                  </w:tcBorders>
                  <w:noWrap w:val="0"/>
                  <w:vAlign w:val="center"/>
                </w:tcPr>
                <w:p w14:paraId="52A3AB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1000</w:t>
                  </w:r>
                </w:p>
              </w:tc>
            </w:tr>
            <w:tr w14:paraId="0ABD8D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420" w:type="pct"/>
                  <w:gridSpan w:val="3"/>
                  <w:tcBorders>
                    <w:tl2br w:val="nil"/>
                    <w:tr2bl w:val="nil"/>
                  </w:tcBorders>
                  <w:noWrap w:val="0"/>
                  <w:vAlign w:val="center"/>
                </w:tcPr>
                <w:p w14:paraId="62566E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合计</w:t>
                  </w:r>
                </w:p>
              </w:tc>
              <w:tc>
                <w:tcPr>
                  <w:tcW w:w="716" w:type="pct"/>
                  <w:tcBorders>
                    <w:tl2br w:val="nil"/>
                    <w:tr2bl w:val="nil"/>
                  </w:tcBorders>
                  <w:noWrap w:val="0"/>
                  <w:vAlign w:val="center"/>
                </w:tcPr>
                <w:p w14:paraId="382C7F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t/a</w:t>
                  </w:r>
                </w:p>
              </w:tc>
              <w:tc>
                <w:tcPr>
                  <w:tcW w:w="862" w:type="pct"/>
                  <w:tcBorders>
                    <w:tl2br w:val="nil"/>
                    <w:tr2bl w:val="nil"/>
                  </w:tcBorders>
                  <w:noWrap w:val="0"/>
                  <w:vAlign w:val="center"/>
                </w:tcPr>
                <w:p w14:paraId="4B529C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sz w:val="21"/>
                      <w:szCs w:val="21"/>
                      <w:vertAlign w:val="baseline"/>
                      <w:lang w:eastAsia="zh-CN"/>
                    </w:rPr>
                  </w:pPr>
                  <w:r>
                    <w:rPr>
                      <w:rFonts w:hint="default" w:ascii="Times New Roman" w:hAnsi="Times New Roman" w:cs="Times New Roman" w:eastAsiaTheme="minorEastAsia"/>
                      <w:sz w:val="21"/>
                      <w:szCs w:val="21"/>
                      <w:vertAlign w:val="baseline"/>
                      <w:lang w:eastAsia="zh-CN"/>
                    </w:rPr>
                    <w:fldChar w:fldCharType="begin"/>
                  </w:r>
                  <w:r>
                    <w:rPr>
                      <w:rFonts w:hint="default" w:ascii="Times New Roman" w:hAnsi="Times New Roman" w:cs="Times New Roman" w:eastAsiaTheme="minorEastAsia"/>
                      <w:sz w:val="21"/>
                      <w:szCs w:val="21"/>
                      <w:vertAlign w:val="baseline"/>
                      <w:lang w:eastAsia="zh-CN"/>
                    </w:rPr>
                    <w:instrText xml:space="preserve"> =SUM(ABOVE) \* MERGEFORMAT </w:instrText>
                  </w:r>
                  <w:r>
                    <w:rPr>
                      <w:rFonts w:hint="default" w:ascii="Times New Roman" w:hAnsi="Times New Roman" w:cs="Times New Roman" w:eastAsiaTheme="minorEastAsia"/>
                      <w:sz w:val="21"/>
                      <w:szCs w:val="21"/>
                      <w:vertAlign w:val="baseline"/>
                      <w:lang w:eastAsia="zh-CN"/>
                    </w:rPr>
                    <w:fldChar w:fldCharType="separate"/>
                  </w:r>
                  <w:r>
                    <w:rPr>
                      <w:rFonts w:hint="default" w:ascii="Times New Roman" w:hAnsi="Times New Roman" w:cs="Times New Roman" w:eastAsiaTheme="minorEastAsia"/>
                      <w:sz w:val="21"/>
                      <w:szCs w:val="21"/>
                      <w:vertAlign w:val="baseline"/>
                      <w:lang w:eastAsia="zh-CN"/>
                    </w:rPr>
                    <w:t>16000</w:t>
                  </w:r>
                  <w:r>
                    <w:rPr>
                      <w:rFonts w:hint="default" w:ascii="Times New Roman" w:hAnsi="Times New Roman" w:cs="Times New Roman" w:eastAsiaTheme="minorEastAsia"/>
                      <w:sz w:val="21"/>
                      <w:szCs w:val="21"/>
                      <w:vertAlign w:val="baseline"/>
                      <w:lang w:eastAsia="zh-CN"/>
                    </w:rPr>
                    <w:fldChar w:fldCharType="end"/>
                  </w:r>
                </w:p>
              </w:tc>
            </w:tr>
          </w:tbl>
          <w:p w14:paraId="292F08FC">
            <w:pPr>
              <w:pStyle w:val="43"/>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firstLine="482" w:firstLineChars="200"/>
              <w:jc w:val="both"/>
              <w:textAlignment w:val="auto"/>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4、主要原辅材料、用水及能源、动力消耗情况</w:t>
            </w:r>
          </w:p>
          <w:p w14:paraId="5A40AF34">
            <w:pPr>
              <w:pStyle w:val="43"/>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4.1主要原辅材料、能源、动力消耗及用水情况</w:t>
            </w:r>
          </w:p>
          <w:p w14:paraId="7F0D3F50">
            <w:pPr>
              <w:pStyle w:val="44"/>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表2-5  项目主要原辅材料、能源、动力消耗及用水情况一览表</w:t>
            </w:r>
          </w:p>
          <w:tbl>
            <w:tblPr>
              <w:tblStyle w:val="23"/>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922"/>
              <w:gridCol w:w="752"/>
              <w:gridCol w:w="801"/>
              <w:gridCol w:w="855"/>
              <w:gridCol w:w="1589"/>
              <w:gridCol w:w="743"/>
              <w:gridCol w:w="885"/>
              <w:gridCol w:w="904"/>
            </w:tblGrid>
            <w:tr w14:paraId="76EF5F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34BF94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b/>
                      <w:bCs/>
                      <w:snapToGrid w:val="0"/>
                      <w:color w:val="auto"/>
                      <w:kern w:val="0"/>
                      <w:sz w:val="21"/>
                      <w:szCs w:val="21"/>
                    </w:rPr>
                    <w:t>序号</w:t>
                  </w:r>
                </w:p>
              </w:tc>
              <w:tc>
                <w:tcPr>
                  <w:tcW w:w="585" w:type="pct"/>
                  <w:tcBorders>
                    <w:tl2br w:val="nil"/>
                    <w:tr2bl w:val="nil"/>
                  </w:tcBorders>
                  <w:noWrap w:val="0"/>
                  <w:vAlign w:val="center"/>
                </w:tcPr>
                <w:p w14:paraId="1F0F196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rPr>
                  </w:pPr>
                  <w:r>
                    <w:rPr>
                      <w:rFonts w:hint="default" w:ascii="Times New Roman" w:hAnsi="Times New Roman" w:eastAsia="宋体" w:cs="Times New Roman"/>
                      <w:b/>
                      <w:snapToGrid w:val="0"/>
                      <w:color w:val="auto"/>
                      <w:kern w:val="0"/>
                      <w:sz w:val="21"/>
                      <w:szCs w:val="21"/>
                    </w:rPr>
                    <w:t>名称</w:t>
                  </w:r>
                </w:p>
              </w:tc>
              <w:tc>
                <w:tcPr>
                  <w:tcW w:w="477" w:type="pct"/>
                  <w:tcBorders>
                    <w:tl2br w:val="nil"/>
                    <w:tr2bl w:val="nil"/>
                  </w:tcBorders>
                  <w:noWrap w:val="0"/>
                  <w:vAlign w:val="center"/>
                </w:tcPr>
                <w:p w14:paraId="7069DD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val="en-US" w:eastAsia="zh-CN"/>
                    </w:rPr>
                  </w:pPr>
                  <w:r>
                    <w:rPr>
                      <w:rFonts w:hint="default" w:ascii="Times New Roman" w:hAnsi="Times New Roman" w:eastAsia="宋体" w:cs="Times New Roman"/>
                      <w:b/>
                      <w:snapToGrid w:val="0"/>
                      <w:color w:val="auto"/>
                      <w:kern w:val="0"/>
                      <w:sz w:val="21"/>
                      <w:szCs w:val="21"/>
                      <w:lang w:val="en-US" w:eastAsia="zh-CN"/>
                    </w:rPr>
                    <w:t>单位</w:t>
                  </w:r>
                </w:p>
              </w:tc>
              <w:tc>
                <w:tcPr>
                  <w:tcW w:w="508" w:type="pct"/>
                  <w:tcBorders>
                    <w:tl2br w:val="nil"/>
                    <w:tr2bl w:val="nil"/>
                  </w:tcBorders>
                  <w:noWrap w:val="0"/>
                  <w:vAlign w:val="center"/>
                </w:tcPr>
                <w:p w14:paraId="6DF853C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val="en-US" w:eastAsia="zh-CN"/>
                    </w:rPr>
                  </w:pPr>
                  <w:r>
                    <w:rPr>
                      <w:rFonts w:hint="default" w:ascii="Times New Roman" w:hAnsi="Times New Roman" w:eastAsia="宋体" w:cs="Times New Roman"/>
                      <w:b/>
                      <w:snapToGrid w:val="0"/>
                      <w:color w:val="auto"/>
                      <w:kern w:val="0"/>
                      <w:sz w:val="21"/>
                      <w:szCs w:val="21"/>
                      <w:lang w:val="en-US" w:eastAsia="zh-CN"/>
                    </w:rPr>
                    <w:t>年消耗量</w:t>
                  </w:r>
                </w:p>
              </w:tc>
              <w:tc>
                <w:tcPr>
                  <w:tcW w:w="542" w:type="pct"/>
                  <w:tcBorders>
                    <w:tl2br w:val="nil"/>
                    <w:tr2bl w:val="nil"/>
                  </w:tcBorders>
                  <w:noWrap w:val="0"/>
                  <w:vAlign w:val="center"/>
                </w:tcPr>
                <w:p w14:paraId="76118F0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eastAsia="zh-CN"/>
                    </w:rPr>
                  </w:pPr>
                  <w:r>
                    <w:rPr>
                      <w:rFonts w:hint="default" w:ascii="Times New Roman" w:hAnsi="Times New Roman" w:eastAsia="宋体" w:cs="Times New Roman"/>
                      <w:b/>
                      <w:snapToGrid w:val="0"/>
                      <w:color w:val="auto"/>
                      <w:kern w:val="0"/>
                      <w:sz w:val="21"/>
                      <w:szCs w:val="21"/>
                      <w:lang w:eastAsia="zh-CN"/>
                    </w:rPr>
                    <w:t>最大储存量</w:t>
                  </w:r>
                </w:p>
              </w:tc>
              <w:tc>
                <w:tcPr>
                  <w:tcW w:w="1008" w:type="pct"/>
                  <w:tcBorders>
                    <w:tl2br w:val="nil"/>
                    <w:tr2bl w:val="nil"/>
                  </w:tcBorders>
                  <w:noWrap w:val="0"/>
                  <w:vAlign w:val="center"/>
                </w:tcPr>
                <w:p w14:paraId="041BD6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eastAsia="zh-CN"/>
                    </w:rPr>
                  </w:pPr>
                  <w:r>
                    <w:rPr>
                      <w:rFonts w:hint="default" w:ascii="Times New Roman" w:hAnsi="Times New Roman" w:eastAsia="宋体" w:cs="Times New Roman"/>
                      <w:b/>
                      <w:snapToGrid w:val="0"/>
                      <w:color w:val="auto"/>
                      <w:kern w:val="0"/>
                      <w:sz w:val="21"/>
                      <w:szCs w:val="21"/>
                      <w:lang w:val="en-US" w:eastAsia="zh-CN"/>
                    </w:rPr>
                    <w:t>主要成分及</w:t>
                  </w:r>
                  <w:r>
                    <w:rPr>
                      <w:rFonts w:hint="default" w:ascii="Times New Roman" w:hAnsi="Times New Roman" w:eastAsia="宋体" w:cs="Times New Roman"/>
                      <w:b/>
                      <w:snapToGrid w:val="0"/>
                      <w:color w:val="auto"/>
                      <w:kern w:val="0"/>
                      <w:sz w:val="21"/>
                      <w:szCs w:val="21"/>
                      <w:lang w:eastAsia="zh-CN"/>
                    </w:rPr>
                    <w:t>包装</w:t>
                  </w:r>
                  <w:r>
                    <w:rPr>
                      <w:rFonts w:hint="default" w:ascii="Times New Roman" w:hAnsi="Times New Roman" w:eastAsia="宋体" w:cs="Times New Roman"/>
                      <w:b/>
                      <w:snapToGrid w:val="0"/>
                      <w:color w:val="auto"/>
                      <w:kern w:val="0"/>
                      <w:sz w:val="21"/>
                      <w:szCs w:val="21"/>
                      <w:lang w:val="en-US" w:eastAsia="zh-CN"/>
                    </w:rPr>
                    <w:t>规格</w:t>
                  </w:r>
                </w:p>
              </w:tc>
              <w:tc>
                <w:tcPr>
                  <w:tcW w:w="471" w:type="pct"/>
                  <w:tcBorders>
                    <w:tl2br w:val="nil"/>
                    <w:tr2bl w:val="nil"/>
                  </w:tcBorders>
                  <w:noWrap w:val="0"/>
                  <w:vAlign w:val="center"/>
                </w:tcPr>
                <w:p w14:paraId="256939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val="en-US" w:eastAsia="zh-CN"/>
                    </w:rPr>
                  </w:pPr>
                  <w:r>
                    <w:rPr>
                      <w:rFonts w:hint="default" w:ascii="Times New Roman" w:hAnsi="Times New Roman" w:eastAsia="宋体" w:cs="Times New Roman"/>
                      <w:b/>
                      <w:snapToGrid w:val="0"/>
                      <w:color w:val="auto"/>
                      <w:kern w:val="0"/>
                      <w:sz w:val="21"/>
                      <w:szCs w:val="21"/>
                      <w:lang w:val="en-US" w:eastAsia="zh-CN"/>
                    </w:rPr>
                    <w:t>性状</w:t>
                  </w:r>
                </w:p>
              </w:tc>
              <w:tc>
                <w:tcPr>
                  <w:tcW w:w="561" w:type="pct"/>
                  <w:tcBorders>
                    <w:tl2br w:val="nil"/>
                    <w:tr2bl w:val="nil"/>
                  </w:tcBorders>
                  <w:noWrap w:val="0"/>
                  <w:vAlign w:val="center"/>
                </w:tcPr>
                <w:p w14:paraId="142779D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val="en-US" w:eastAsia="zh-CN"/>
                    </w:rPr>
                  </w:pPr>
                  <w:r>
                    <w:rPr>
                      <w:rFonts w:hint="default" w:ascii="Times New Roman" w:hAnsi="Times New Roman" w:eastAsia="宋体" w:cs="Times New Roman"/>
                      <w:b/>
                      <w:snapToGrid w:val="0"/>
                      <w:color w:val="auto"/>
                      <w:kern w:val="0"/>
                      <w:sz w:val="21"/>
                      <w:szCs w:val="21"/>
                      <w:lang w:val="en-US" w:eastAsia="zh-CN"/>
                    </w:rPr>
                    <w:t>储存位置</w:t>
                  </w:r>
                </w:p>
              </w:tc>
              <w:tc>
                <w:tcPr>
                  <w:tcW w:w="573" w:type="pct"/>
                  <w:tcBorders>
                    <w:tl2br w:val="nil"/>
                    <w:tr2bl w:val="nil"/>
                  </w:tcBorders>
                  <w:noWrap w:val="0"/>
                  <w:vAlign w:val="center"/>
                </w:tcPr>
                <w:p w14:paraId="698943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napToGrid w:val="0"/>
                      <w:color w:val="auto"/>
                      <w:kern w:val="0"/>
                      <w:sz w:val="21"/>
                      <w:szCs w:val="21"/>
                      <w:lang w:val="en-US" w:eastAsia="zh-CN"/>
                    </w:rPr>
                  </w:pPr>
                  <w:r>
                    <w:rPr>
                      <w:rFonts w:hint="eastAsia" w:ascii="Times New Roman" w:hAnsi="Times New Roman" w:eastAsia="宋体" w:cs="Times New Roman"/>
                      <w:b/>
                      <w:snapToGrid w:val="0"/>
                      <w:color w:val="auto"/>
                      <w:kern w:val="0"/>
                      <w:sz w:val="21"/>
                      <w:szCs w:val="21"/>
                      <w:lang w:val="en-US" w:eastAsia="zh-CN"/>
                    </w:rPr>
                    <w:t>备注</w:t>
                  </w:r>
                </w:p>
              </w:tc>
            </w:tr>
            <w:tr w14:paraId="6C0E40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0E22E77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585" w:type="pct"/>
                  <w:tcBorders>
                    <w:tl2br w:val="nil"/>
                    <w:tr2bl w:val="nil"/>
                  </w:tcBorders>
                  <w:noWrap w:val="0"/>
                  <w:vAlign w:val="center"/>
                </w:tcPr>
                <w:p w14:paraId="7120BC8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highlight w:val="none"/>
                      <w:lang w:val="en-US" w:eastAsia="zh-CN"/>
                    </w:rPr>
                  </w:pPr>
                  <w:r>
                    <w:rPr>
                      <w:rFonts w:hint="eastAsia" w:ascii="Times New Roman" w:hAnsi="Times New Roman" w:eastAsia="宋体" w:cs="Times New Roman"/>
                      <w:b w:val="0"/>
                      <w:bCs w:val="0"/>
                      <w:color w:val="auto"/>
                      <w:spacing w:val="0"/>
                      <w:sz w:val="21"/>
                      <w:szCs w:val="21"/>
                      <w:highlight w:val="none"/>
                      <w:lang w:val="en-US" w:eastAsia="zh-CN"/>
                    </w:rPr>
                    <w:t>铝棒</w:t>
                  </w:r>
                </w:p>
              </w:tc>
              <w:tc>
                <w:tcPr>
                  <w:tcW w:w="477" w:type="pct"/>
                  <w:tcBorders>
                    <w:tl2br w:val="nil"/>
                    <w:tr2bl w:val="nil"/>
                  </w:tcBorders>
                  <w:noWrap w:val="0"/>
                  <w:vAlign w:val="center"/>
                </w:tcPr>
                <w:p w14:paraId="0432FF2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i w:val="0"/>
                      <w:iCs w:val="0"/>
                      <w:color w:val="000000"/>
                      <w:kern w:val="0"/>
                      <w:sz w:val="21"/>
                      <w:szCs w:val="21"/>
                      <w:u w:val="none"/>
                      <w:lang w:val="en-US" w:eastAsia="zh-CN" w:bidi="ar"/>
                    </w:rPr>
                    <w:t>t</w:t>
                  </w:r>
                </w:p>
              </w:tc>
              <w:tc>
                <w:tcPr>
                  <w:tcW w:w="508" w:type="pct"/>
                  <w:tcBorders>
                    <w:tl2br w:val="nil"/>
                    <w:tr2bl w:val="nil"/>
                  </w:tcBorders>
                  <w:noWrap w:val="0"/>
                  <w:vAlign w:val="center"/>
                </w:tcPr>
                <w:p w14:paraId="170BD1E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cs="Times New Roman"/>
                      <w:i w:val="0"/>
                      <w:iCs w:val="0"/>
                      <w:color w:val="000000"/>
                      <w:kern w:val="0"/>
                      <w:sz w:val="21"/>
                      <w:szCs w:val="21"/>
                      <w:u w:val="none"/>
                      <w:lang w:val="en-US" w:eastAsia="zh-CN" w:bidi="ar"/>
                    </w:rPr>
                    <w:t>17600</w:t>
                  </w:r>
                </w:p>
              </w:tc>
              <w:tc>
                <w:tcPr>
                  <w:tcW w:w="542" w:type="pct"/>
                  <w:tcBorders>
                    <w:tl2br w:val="nil"/>
                    <w:tr2bl w:val="nil"/>
                  </w:tcBorders>
                  <w:noWrap w:val="0"/>
                  <w:vAlign w:val="center"/>
                </w:tcPr>
                <w:p w14:paraId="23D86B9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cs="Times New Roman"/>
                      <w:i w:val="0"/>
                      <w:iCs w:val="0"/>
                      <w:color w:val="000000"/>
                      <w:kern w:val="0"/>
                      <w:sz w:val="21"/>
                      <w:szCs w:val="21"/>
                      <w:u w:val="none"/>
                      <w:lang w:val="en-US" w:eastAsia="zh-CN" w:bidi="ar"/>
                    </w:rPr>
                    <w:t>1000</w:t>
                  </w:r>
                </w:p>
              </w:tc>
              <w:tc>
                <w:tcPr>
                  <w:tcW w:w="1008" w:type="pct"/>
                  <w:tcBorders>
                    <w:tl2br w:val="nil"/>
                    <w:tr2bl w:val="nil"/>
                  </w:tcBorders>
                  <w:noWrap w:val="0"/>
                  <w:vAlign w:val="center"/>
                </w:tcPr>
                <w:p w14:paraId="3085775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cs="Times New Roman"/>
                      <w:snapToGrid w:val="0"/>
                      <w:color w:val="auto"/>
                      <w:kern w:val="0"/>
                      <w:sz w:val="21"/>
                      <w:szCs w:val="21"/>
                      <w:lang w:val="en-US" w:eastAsia="zh-CN"/>
                    </w:rPr>
                    <w:t>6系铝棒；</w:t>
                  </w:r>
                  <w:r>
                    <w:rPr>
                      <w:rFonts w:hint="eastAsia" w:ascii="Times New Roman" w:hAnsi="Times New Roman" w:eastAsia="宋体" w:cs="Times New Roman"/>
                      <w:snapToGrid w:val="0"/>
                      <w:color w:val="auto"/>
                      <w:kern w:val="0"/>
                      <w:sz w:val="21"/>
                      <w:szCs w:val="21"/>
                      <w:lang w:val="en-US" w:eastAsia="zh-CN"/>
                    </w:rPr>
                    <w:t>散装</w:t>
                  </w:r>
                </w:p>
              </w:tc>
              <w:tc>
                <w:tcPr>
                  <w:tcW w:w="471" w:type="pct"/>
                  <w:tcBorders>
                    <w:tl2br w:val="nil"/>
                    <w:tr2bl w:val="nil"/>
                  </w:tcBorders>
                  <w:noWrap w:val="0"/>
                  <w:vAlign w:val="center"/>
                </w:tcPr>
                <w:p w14:paraId="12265BD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固态</w:t>
                  </w:r>
                </w:p>
              </w:tc>
              <w:tc>
                <w:tcPr>
                  <w:tcW w:w="561" w:type="pct"/>
                  <w:tcBorders>
                    <w:tl2br w:val="nil"/>
                    <w:tr2bl w:val="nil"/>
                  </w:tcBorders>
                  <w:noWrap w:val="0"/>
                  <w:vAlign w:val="center"/>
                </w:tcPr>
                <w:p w14:paraId="7112961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铝棒堆存区</w:t>
                  </w:r>
                </w:p>
              </w:tc>
              <w:tc>
                <w:tcPr>
                  <w:tcW w:w="573" w:type="pct"/>
                  <w:tcBorders>
                    <w:tl2br w:val="nil"/>
                    <w:tr2bl w:val="nil"/>
                  </w:tcBorders>
                  <w:noWrap w:val="0"/>
                  <w:vAlign w:val="center"/>
                </w:tcPr>
                <w:p w14:paraId="6AC48C7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r>
            <w:tr w14:paraId="5530A7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4F154E0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585" w:type="pct"/>
                  <w:tcBorders>
                    <w:tl2br w:val="nil"/>
                    <w:tr2bl w:val="nil"/>
                  </w:tcBorders>
                  <w:noWrap w:val="0"/>
                  <w:vAlign w:val="center"/>
                </w:tcPr>
                <w:p w14:paraId="68CC531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000000"/>
                      <w:spacing w:val="0"/>
                      <w:sz w:val="21"/>
                      <w:szCs w:val="21"/>
                      <w:highlight w:val="none"/>
                      <w:lang w:val="en-US" w:eastAsia="zh-CN"/>
                    </w:rPr>
                  </w:pPr>
                  <w:r>
                    <w:rPr>
                      <w:rFonts w:hint="eastAsia" w:ascii="Times New Roman" w:hAnsi="Times New Roman" w:eastAsia="宋体" w:cs="Times New Roman"/>
                      <w:i w:val="0"/>
                      <w:iCs w:val="0"/>
                      <w:color w:val="000000"/>
                      <w:kern w:val="0"/>
                      <w:sz w:val="21"/>
                      <w:szCs w:val="21"/>
                      <w:u w:val="none"/>
                      <w:lang w:val="en-US" w:eastAsia="zh-CN" w:bidi="ar"/>
                    </w:rPr>
                    <w:t>模具</w:t>
                  </w:r>
                </w:p>
              </w:tc>
              <w:tc>
                <w:tcPr>
                  <w:tcW w:w="477" w:type="pct"/>
                  <w:tcBorders>
                    <w:tl2br w:val="nil"/>
                    <w:tr2bl w:val="nil"/>
                  </w:tcBorders>
                  <w:noWrap w:val="0"/>
                  <w:vAlign w:val="center"/>
                </w:tcPr>
                <w:p w14:paraId="78381EC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i w:val="0"/>
                      <w:iCs w:val="0"/>
                      <w:color w:val="000000"/>
                      <w:kern w:val="0"/>
                      <w:sz w:val="21"/>
                      <w:szCs w:val="21"/>
                      <w:u w:val="none"/>
                      <w:lang w:val="en-US" w:eastAsia="zh-CN" w:bidi="ar"/>
                    </w:rPr>
                    <w:t>套</w:t>
                  </w:r>
                </w:p>
              </w:tc>
              <w:tc>
                <w:tcPr>
                  <w:tcW w:w="508" w:type="pct"/>
                  <w:tcBorders>
                    <w:tl2br w:val="nil"/>
                    <w:tr2bl w:val="nil"/>
                  </w:tcBorders>
                  <w:noWrap w:val="0"/>
                  <w:vAlign w:val="center"/>
                </w:tcPr>
                <w:p w14:paraId="10C4FDF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cs="Times New Roman"/>
                      <w:i w:val="0"/>
                      <w:iCs w:val="0"/>
                      <w:color w:val="000000"/>
                      <w:kern w:val="0"/>
                      <w:sz w:val="21"/>
                      <w:szCs w:val="21"/>
                      <w:u w:val="none"/>
                      <w:lang w:val="en-US" w:eastAsia="zh-CN" w:bidi="ar"/>
                    </w:rPr>
                    <w:t>3</w:t>
                  </w:r>
                  <w:r>
                    <w:rPr>
                      <w:rFonts w:hint="eastAsia" w:ascii="Times New Roman" w:hAnsi="Times New Roman" w:eastAsia="宋体" w:cs="Times New Roman"/>
                      <w:i w:val="0"/>
                      <w:iCs w:val="0"/>
                      <w:color w:val="000000"/>
                      <w:kern w:val="0"/>
                      <w:sz w:val="21"/>
                      <w:szCs w:val="21"/>
                      <w:u w:val="none"/>
                      <w:lang w:val="en-US" w:eastAsia="zh-CN" w:bidi="ar"/>
                    </w:rPr>
                    <w:t>00</w:t>
                  </w:r>
                </w:p>
              </w:tc>
              <w:tc>
                <w:tcPr>
                  <w:tcW w:w="542" w:type="pct"/>
                  <w:tcBorders>
                    <w:tl2br w:val="nil"/>
                    <w:tr2bl w:val="nil"/>
                  </w:tcBorders>
                  <w:noWrap w:val="0"/>
                  <w:vAlign w:val="center"/>
                </w:tcPr>
                <w:p w14:paraId="0274BC8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cs="Times New Roman"/>
                      <w:i w:val="0"/>
                      <w:iCs w:val="0"/>
                      <w:color w:val="000000"/>
                      <w:kern w:val="0"/>
                      <w:sz w:val="21"/>
                      <w:szCs w:val="21"/>
                      <w:u w:val="none"/>
                      <w:lang w:val="en-US" w:eastAsia="zh-CN" w:bidi="ar"/>
                    </w:rPr>
                    <w:t>3</w:t>
                  </w:r>
                  <w:r>
                    <w:rPr>
                      <w:rFonts w:hint="eastAsia" w:ascii="Times New Roman" w:hAnsi="Times New Roman" w:eastAsia="宋体" w:cs="Times New Roman"/>
                      <w:i w:val="0"/>
                      <w:iCs w:val="0"/>
                      <w:color w:val="000000"/>
                      <w:kern w:val="0"/>
                      <w:sz w:val="21"/>
                      <w:szCs w:val="21"/>
                      <w:u w:val="none"/>
                      <w:lang w:val="en-US" w:eastAsia="zh-CN" w:bidi="ar"/>
                    </w:rPr>
                    <w:t>0</w:t>
                  </w:r>
                </w:p>
              </w:tc>
              <w:tc>
                <w:tcPr>
                  <w:tcW w:w="1008" w:type="pct"/>
                  <w:tcBorders>
                    <w:tl2br w:val="nil"/>
                    <w:tr2bl w:val="nil"/>
                  </w:tcBorders>
                  <w:noWrap w:val="0"/>
                  <w:vAlign w:val="center"/>
                </w:tcPr>
                <w:p w14:paraId="68B2B37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箱装</w:t>
                  </w:r>
                </w:p>
              </w:tc>
              <w:tc>
                <w:tcPr>
                  <w:tcW w:w="471" w:type="pct"/>
                  <w:tcBorders>
                    <w:tl2br w:val="nil"/>
                    <w:tr2bl w:val="nil"/>
                  </w:tcBorders>
                  <w:noWrap w:val="0"/>
                  <w:vAlign w:val="center"/>
                </w:tcPr>
                <w:p w14:paraId="3B6170C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固态</w:t>
                  </w:r>
                </w:p>
              </w:tc>
              <w:tc>
                <w:tcPr>
                  <w:tcW w:w="561" w:type="pct"/>
                  <w:tcBorders>
                    <w:tl2br w:val="nil"/>
                    <w:tr2bl w:val="nil"/>
                  </w:tcBorders>
                  <w:noWrap w:val="0"/>
                  <w:vAlign w:val="center"/>
                </w:tcPr>
                <w:p w14:paraId="212F76E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模具库</w:t>
                  </w:r>
                </w:p>
              </w:tc>
              <w:tc>
                <w:tcPr>
                  <w:tcW w:w="573" w:type="pct"/>
                  <w:tcBorders>
                    <w:tl2br w:val="nil"/>
                    <w:tr2bl w:val="nil"/>
                  </w:tcBorders>
                  <w:noWrap w:val="0"/>
                  <w:vAlign w:val="center"/>
                </w:tcPr>
                <w:p w14:paraId="35840FD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挤压</w:t>
                  </w:r>
                </w:p>
                <w:p w14:paraId="6272861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工序</w:t>
                  </w:r>
                </w:p>
              </w:tc>
            </w:tr>
            <w:tr w14:paraId="6B5E96A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5174AF3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585" w:type="pct"/>
                  <w:tcBorders>
                    <w:tl2br w:val="nil"/>
                    <w:tr2bl w:val="nil"/>
                  </w:tcBorders>
                  <w:noWrap w:val="0"/>
                  <w:vAlign w:val="center"/>
                </w:tcPr>
                <w:p w14:paraId="7D50841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000000"/>
                      <w:spacing w:val="0"/>
                      <w:sz w:val="21"/>
                      <w:szCs w:val="21"/>
                      <w:highlight w:val="none"/>
                      <w:lang w:val="en-US" w:eastAsia="zh-CN"/>
                    </w:rPr>
                  </w:pPr>
                  <w:r>
                    <w:rPr>
                      <w:rFonts w:hint="default" w:ascii="Times New Roman" w:hAnsi="Times New Roman" w:eastAsia="宋体" w:cs="Times New Roman"/>
                      <w:b w:val="0"/>
                      <w:bCs w:val="0"/>
                      <w:color w:val="auto"/>
                      <w:spacing w:val="0"/>
                      <w:sz w:val="21"/>
                      <w:szCs w:val="21"/>
                      <w:highlight w:val="none"/>
                      <w:lang w:val="en-US" w:eastAsia="zh-CN"/>
                    </w:rPr>
                    <w:t>锯片</w:t>
                  </w:r>
                </w:p>
              </w:tc>
              <w:tc>
                <w:tcPr>
                  <w:tcW w:w="477" w:type="pct"/>
                  <w:tcBorders>
                    <w:tl2br w:val="nil"/>
                    <w:tr2bl w:val="nil"/>
                  </w:tcBorders>
                  <w:noWrap w:val="0"/>
                  <w:vAlign w:val="center"/>
                </w:tcPr>
                <w:p w14:paraId="16C459F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i w:val="0"/>
                      <w:iCs w:val="0"/>
                      <w:color w:val="000000"/>
                      <w:kern w:val="0"/>
                      <w:sz w:val="21"/>
                      <w:szCs w:val="21"/>
                      <w:u w:val="none"/>
                      <w:lang w:val="en-US" w:eastAsia="zh-CN" w:bidi="ar"/>
                    </w:rPr>
                    <w:t>张</w:t>
                  </w:r>
                </w:p>
              </w:tc>
              <w:tc>
                <w:tcPr>
                  <w:tcW w:w="508" w:type="pct"/>
                  <w:tcBorders>
                    <w:tl2br w:val="nil"/>
                    <w:tr2bl w:val="nil"/>
                  </w:tcBorders>
                  <w:noWrap w:val="0"/>
                  <w:vAlign w:val="center"/>
                </w:tcPr>
                <w:p w14:paraId="2656E81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i w:val="0"/>
                      <w:iCs w:val="0"/>
                      <w:color w:val="000000"/>
                      <w:kern w:val="0"/>
                      <w:sz w:val="21"/>
                      <w:szCs w:val="21"/>
                      <w:u w:val="none"/>
                      <w:lang w:val="en-US" w:eastAsia="zh-CN" w:bidi="ar"/>
                    </w:rPr>
                    <w:t>200</w:t>
                  </w:r>
                </w:p>
              </w:tc>
              <w:tc>
                <w:tcPr>
                  <w:tcW w:w="542" w:type="pct"/>
                  <w:tcBorders>
                    <w:tl2br w:val="nil"/>
                    <w:tr2bl w:val="nil"/>
                  </w:tcBorders>
                  <w:noWrap w:val="0"/>
                  <w:vAlign w:val="center"/>
                </w:tcPr>
                <w:p w14:paraId="670A082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i w:val="0"/>
                      <w:iCs w:val="0"/>
                      <w:color w:val="000000"/>
                      <w:kern w:val="0"/>
                      <w:sz w:val="21"/>
                      <w:szCs w:val="21"/>
                      <w:u w:val="none"/>
                      <w:lang w:val="en-US" w:eastAsia="zh-CN" w:bidi="ar"/>
                    </w:rPr>
                    <w:t>16</w:t>
                  </w:r>
                </w:p>
              </w:tc>
              <w:tc>
                <w:tcPr>
                  <w:tcW w:w="1008" w:type="pct"/>
                  <w:tcBorders>
                    <w:tl2br w:val="nil"/>
                    <w:tr2bl w:val="nil"/>
                  </w:tcBorders>
                  <w:noWrap w:val="0"/>
                  <w:vAlign w:val="center"/>
                </w:tcPr>
                <w:p w14:paraId="42B3904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硬质合金锯片，盒装</w:t>
                  </w:r>
                </w:p>
              </w:tc>
              <w:tc>
                <w:tcPr>
                  <w:tcW w:w="471" w:type="pct"/>
                  <w:tcBorders>
                    <w:tl2br w:val="nil"/>
                    <w:tr2bl w:val="nil"/>
                  </w:tcBorders>
                  <w:noWrap w:val="0"/>
                  <w:vAlign w:val="center"/>
                </w:tcPr>
                <w:p w14:paraId="5D87E5C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固态</w:t>
                  </w:r>
                </w:p>
              </w:tc>
              <w:tc>
                <w:tcPr>
                  <w:tcW w:w="561" w:type="pct"/>
                  <w:tcBorders>
                    <w:tl2br w:val="nil"/>
                    <w:tr2bl w:val="nil"/>
                  </w:tcBorders>
                  <w:noWrap w:val="0"/>
                  <w:vAlign w:val="center"/>
                </w:tcPr>
                <w:p w14:paraId="3A7BFAB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原料库</w:t>
                  </w:r>
                </w:p>
              </w:tc>
              <w:tc>
                <w:tcPr>
                  <w:tcW w:w="573" w:type="pct"/>
                  <w:tcBorders>
                    <w:tl2br w:val="nil"/>
                    <w:tr2bl w:val="nil"/>
                  </w:tcBorders>
                  <w:noWrap w:val="0"/>
                  <w:vAlign w:val="center"/>
                </w:tcPr>
                <w:p w14:paraId="04C6E76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铝棒</w:t>
                  </w:r>
                </w:p>
                <w:p w14:paraId="1C38F71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锯切</w:t>
                  </w:r>
                </w:p>
              </w:tc>
            </w:tr>
            <w:tr w14:paraId="3054E3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6F072F7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585" w:type="pct"/>
                  <w:tcBorders>
                    <w:tl2br w:val="nil"/>
                    <w:tr2bl w:val="nil"/>
                  </w:tcBorders>
                  <w:noWrap w:val="0"/>
                  <w:vAlign w:val="center"/>
                </w:tcPr>
                <w:p w14:paraId="3C6A8BC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highlight w:val="none"/>
                      <w:lang w:val="en-US" w:eastAsia="zh-CN"/>
                    </w:rPr>
                  </w:pPr>
                  <w:r>
                    <w:rPr>
                      <w:rFonts w:hint="eastAsia" w:ascii="Times New Roman" w:hAnsi="Times New Roman" w:eastAsia="宋体" w:cs="Times New Roman"/>
                      <w:b w:val="0"/>
                      <w:bCs w:val="0"/>
                      <w:color w:val="auto"/>
                      <w:spacing w:val="0"/>
                      <w:sz w:val="21"/>
                      <w:szCs w:val="21"/>
                      <w:lang w:val="en-US" w:eastAsia="zh-CN"/>
                    </w:rPr>
                    <w:t>液压油</w:t>
                  </w:r>
                </w:p>
              </w:tc>
              <w:tc>
                <w:tcPr>
                  <w:tcW w:w="477" w:type="pct"/>
                  <w:tcBorders>
                    <w:tl2br w:val="nil"/>
                    <w:tr2bl w:val="nil"/>
                  </w:tcBorders>
                  <w:noWrap w:val="0"/>
                  <w:vAlign w:val="center"/>
                </w:tcPr>
                <w:p w14:paraId="3ADD594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508" w:type="pct"/>
                  <w:tcBorders>
                    <w:tl2br w:val="nil"/>
                    <w:tr2bl w:val="nil"/>
                  </w:tcBorders>
                  <w:noWrap w:val="0"/>
                  <w:vAlign w:val="center"/>
                </w:tcPr>
                <w:p w14:paraId="029EDB5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000000"/>
                      <w:spacing w:val="0"/>
                      <w:sz w:val="21"/>
                      <w:szCs w:val="21"/>
                      <w:lang w:val="en-US" w:eastAsia="zh-CN"/>
                    </w:rPr>
                  </w:pPr>
                  <w:r>
                    <w:rPr>
                      <w:rFonts w:hint="eastAsia" w:ascii="Times New Roman" w:hAnsi="Times New Roman" w:eastAsia="宋体" w:cs="Times New Roman"/>
                      <w:b w:val="0"/>
                      <w:bCs w:val="0"/>
                      <w:color w:val="auto"/>
                      <w:spacing w:val="0"/>
                      <w:kern w:val="2"/>
                      <w:sz w:val="21"/>
                      <w:szCs w:val="21"/>
                      <w:lang w:val="en-US" w:eastAsia="zh-CN" w:bidi="ar-SA"/>
                    </w:rPr>
                    <w:t>1</w:t>
                  </w:r>
                </w:p>
              </w:tc>
              <w:tc>
                <w:tcPr>
                  <w:tcW w:w="542" w:type="pct"/>
                  <w:tcBorders>
                    <w:tl2br w:val="nil"/>
                    <w:tr2bl w:val="nil"/>
                  </w:tcBorders>
                  <w:noWrap w:val="0"/>
                  <w:vAlign w:val="center"/>
                </w:tcPr>
                <w:p w14:paraId="4706118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cs="Times New Roman"/>
                      <w:b w:val="0"/>
                      <w:bCs w:val="0"/>
                      <w:color w:val="auto"/>
                      <w:spacing w:val="0"/>
                      <w:sz w:val="21"/>
                      <w:szCs w:val="21"/>
                      <w:lang w:val="en-US" w:eastAsia="zh-CN"/>
                    </w:rPr>
                    <w:t>0.5</w:t>
                  </w:r>
                </w:p>
              </w:tc>
              <w:tc>
                <w:tcPr>
                  <w:tcW w:w="1008" w:type="pct"/>
                  <w:tcBorders>
                    <w:tl2br w:val="nil"/>
                    <w:tr2bl w:val="nil"/>
                  </w:tcBorders>
                  <w:noWrap w:val="0"/>
                  <w:vAlign w:val="center"/>
                </w:tcPr>
                <w:p w14:paraId="4126FF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cs="Times New Roman"/>
                      <w:color w:val="000000"/>
                      <w:sz w:val="21"/>
                      <w:szCs w:val="21"/>
                      <w:lang w:val="en-US" w:eastAsia="zh-CN"/>
                    </w:rPr>
                    <w:t>25kg/桶</w:t>
                  </w:r>
                </w:p>
              </w:tc>
              <w:tc>
                <w:tcPr>
                  <w:tcW w:w="471" w:type="pct"/>
                  <w:tcBorders>
                    <w:tl2br w:val="nil"/>
                    <w:tr2bl w:val="nil"/>
                  </w:tcBorders>
                  <w:noWrap w:val="0"/>
                  <w:vAlign w:val="center"/>
                </w:tcPr>
                <w:p w14:paraId="49C5207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液态</w:t>
                  </w:r>
                </w:p>
              </w:tc>
              <w:tc>
                <w:tcPr>
                  <w:tcW w:w="561" w:type="pct"/>
                  <w:tcBorders>
                    <w:tl2br w:val="nil"/>
                    <w:tr2bl w:val="nil"/>
                  </w:tcBorders>
                  <w:noWrap w:val="0"/>
                  <w:vAlign w:val="center"/>
                </w:tcPr>
                <w:p w14:paraId="072ED8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原料库</w:t>
                  </w:r>
                </w:p>
              </w:tc>
              <w:tc>
                <w:tcPr>
                  <w:tcW w:w="573" w:type="pct"/>
                  <w:tcBorders>
                    <w:tl2br w:val="nil"/>
                    <w:tr2bl w:val="nil"/>
                  </w:tcBorders>
                  <w:noWrap w:val="0"/>
                  <w:vAlign w:val="center"/>
                </w:tcPr>
                <w:p w14:paraId="11ACFD6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挤压线</w:t>
                  </w:r>
                </w:p>
              </w:tc>
            </w:tr>
            <w:tr w14:paraId="470043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7FC6E98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585" w:type="pct"/>
                  <w:tcBorders>
                    <w:tl2br w:val="nil"/>
                    <w:tr2bl w:val="nil"/>
                  </w:tcBorders>
                  <w:noWrap w:val="0"/>
                  <w:vAlign w:val="center"/>
                </w:tcPr>
                <w:p w14:paraId="56D9FE8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highlight w:val="none"/>
                      <w:lang w:val="en-US" w:eastAsia="zh-CN"/>
                    </w:rPr>
                  </w:pPr>
                  <w:r>
                    <w:rPr>
                      <w:rFonts w:hint="eastAsia" w:ascii="Times New Roman" w:hAnsi="Times New Roman" w:eastAsia="宋体" w:cs="Times New Roman"/>
                      <w:b w:val="0"/>
                      <w:bCs w:val="0"/>
                      <w:color w:val="auto"/>
                      <w:spacing w:val="0"/>
                      <w:sz w:val="21"/>
                      <w:szCs w:val="21"/>
                      <w:lang w:val="en-US" w:eastAsia="zh-CN"/>
                    </w:rPr>
                    <w:t>润滑油</w:t>
                  </w:r>
                </w:p>
              </w:tc>
              <w:tc>
                <w:tcPr>
                  <w:tcW w:w="477" w:type="pct"/>
                  <w:tcBorders>
                    <w:tl2br w:val="nil"/>
                    <w:tr2bl w:val="nil"/>
                  </w:tcBorders>
                  <w:noWrap w:val="0"/>
                  <w:vAlign w:val="center"/>
                </w:tcPr>
                <w:p w14:paraId="543CC51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508" w:type="pct"/>
                  <w:tcBorders>
                    <w:tl2br w:val="nil"/>
                    <w:tr2bl w:val="nil"/>
                  </w:tcBorders>
                  <w:noWrap w:val="0"/>
                  <w:vAlign w:val="center"/>
                </w:tcPr>
                <w:p w14:paraId="100C7B8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000000"/>
                      <w:spacing w:val="0"/>
                      <w:sz w:val="21"/>
                      <w:szCs w:val="21"/>
                      <w:lang w:val="en-US" w:eastAsia="zh-CN"/>
                    </w:rPr>
                  </w:pPr>
                  <w:r>
                    <w:rPr>
                      <w:rFonts w:hint="eastAsia" w:ascii="Times New Roman" w:hAnsi="Times New Roman" w:eastAsia="宋体" w:cs="Times New Roman"/>
                      <w:b w:val="0"/>
                      <w:bCs w:val="0"/>
                      <w:color w:val="auto"/>
                      <w:spacing w:val="0"/>
                      <w:kern w:val="2"/>
                      <w:sz w:val="21"/>
                      <w:szCs w:val="21"/>
                      <w:lang w:val="en-US" w:eastAsia="zh-CN" w:bidi="ar-SA"/>
                    </w:rPr>
                    <w:t>0.</w:t>
                  </w:r>
                  <w:r>
                    <w:rPr>
                      <w:rFonts w:hint="eastAsia" w:cs="Times New Roman"/>
                      <w:b w:val="0"/>
                      <w:bCs w:val="0"/>
                      <w:color w:val="auto"/>
                      <w:spacing w:val="0"/>
                      <w:kern w:val="2"/>
                      <w:sz w:val="21"/>
                      <w:szCs w:val="21"/>
                      <w:lang w:val="en-US" w:eastAsia="zh-CN" w:bidi="ar-SA"/>
                    </w:rPr>
                    <w:t>4</w:t>
                  </w:r>
                </w:p>
              </w:tc>
              <w:tc>
                <w:tcPr>
                  <w:tcW w:w="542" w:type="pct"/>
                  <w:tcBorders>
                    <w:tl2br w:val="nil"/>
                    <w:tr2bl w:val="nil"/>
                  </w:tcBorders>
                  <w:noWrap w:val="0"/>
                  <w:vAlign w:val="center"/>
                </w:tcPr>
                <w:p w14:paraId="021C904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0.2</w:t>
                  </w:r>
                </w:p>
              </w:tc>
              <w:tc>
                <w:tcPr>
                  <w:tcW w:w="1008" w:type="pct"/>
                  <w:tcBorders>
                    <w:tl2br w:val="nil"/>
                    <w:tr2bl w:val="nil"/>
                  </w:tcBorders>
                  <w:noWrap w:val="0"/>
                  <w:vAlign w:val="center"/>
                </w:tcPr>
                <w:p w14:paraId="590F16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cs="Times New Roman"/>
                      <w:color w:val="000000"/>
                      <w:sz w:val="21"/>
                      <w:szCs w:val="21"/>
                      <w:lang w:val="en-US" w:eastAsia="zh-CN"/>
                    </w:rPr>
                    <w:t>25kg/桶</w:t>
                  </w:r>
                </w:p>
              </w:tc>
              <w:tc>
                <w:tcPr>
                  <w:tcW w:w="471" w:type="pct"/>
                  <w:tcBorders>
                    <w:tl2br w:val="nil"/>
                    <w:tr2bl w:val="nil"/>
                  </w:tcBorders>
                  <w:noWrap w:val="0"/>
                  <w:vAlign w:val="center"/>
                </w:tcPr>
                <w:p w14:paraId="1D301C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液态</w:t>
                  </w:r>
                </w:p>
              </w:tc>
              <w:tc>
                <w:tcPr>
                  <w:tcW w:w="561" w:type="pct"/>
                  <w:tcBorders>
                    <w:tl2br w:val="nil"/>
                    <w:tr2bl w:val="nil"/>
                  </w:tcBorders>
                  <w:noWrap w:val="0"/>
                  <w:vAlign w:val="center"/>
                </w:tcPr>
                <w:p w14:paraId="32BA73A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原料库</w:t>
                  </w:r>
                </w:p>
              </w:tc>
              <w:tc>
                <w:tcPr>
                  <w:tcW w:w="573" w:type="pct"/>
                  <w:tcBorders>
                    <w:tl2br w:val="nil"/>
                    <w:tr2bl w:val="nil"/>
                  </w:tcBorders>
                  <w:noWrap w:val="0"/>
                  <w:vAlign w:val="center"/>
                </w:tcPr>
                <w:p w14:paraId="520091F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设备</w:t>
                  </w:r>
                </w:p>
                <w:p w14:paraId="0D99884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保养</w:t>
                  </w:r>
                </w:p>
              </w:tc>
            </w:tr>
            <w:tr w14:paraId="5F01BA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54D678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6</w:t>
                  </w:r>
                </w:p>
              </w:tc>
              <w:tc>
                <w:tcPr>
                  <w:tcW w:w="585" w:type="pct"/>
                  <w:tcBorders>
                    <w:tl2br w:val="nil"/>
                    <w:tr2bl w:val="nil"/>
                  </w:tcBorders>
                  <w:noWrap w:val="0"/>
                  <w:vAlign w:val="center"/>
                </w:tcPr>
                <w:p w14:paraId="7100081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天然气</w:t>
                  </w:r>
                </w:p>
              </w:tc>
              <w:tc>
                <w:tcPr>
                  <w:tcW w:w="477" w:type="pct"/>
                  <w:tcBorders>
                    <w:tl2br w:val="nil"/>
                    <w:tr2bl w:val="nil"/>
                  </w:tcBorders>
                  <w:noWrap w:val="0"/>
                  <w:vAlign w:val="center"/>
                </w:tcPr>
                <w:p w14:paraId="245D93A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万</w:t>
                  </w:r>
                  <w:r>
                    <w:rPr>
                      <w:rFonts w:hint="default" w:ascii="Times New Roman" w:hAnsi="Times New Roman" w:eastAsia="宋体" w:cs="Times New Roman"/>
                      <w:b w:val="0"/>
                      <w:bCs w:val="0"/>
                      <w:color w:val="auto"/>
                      <w:spacing w:val="0"/>
                      <w:sz w:val="21"/>
                      <w:szCs w:val="21"/>
                      <w:lang w:val="en-US" w:eastAsia="zh-CN"/>
                    </w:rPr>
                    <w:t>m</w:t>
                  </w:r>
                  <w:r>
                    <w:rPr>
                      <w:rFonts w:hint="default" w:ascii="Times New Roman" w:hAnsi="Times New Roman" w:eastAsia="宋体" w:cs="Times New Roman"/>
                      <w:b w:val="0"/>
                      <w:bCs w:val="0"/>
                      <w:color w:val="auto"/>
                      <w:spacing w:val="0"/>
                      <w:sz w:val="21"/>
                      <w:szCs w:val="21"/>
                      <w:vertAlign w:val="superscript"/>
                      <w:lang w:val="en-US" w:eastAsia="zh-CN"/>
                    </w:rPr>
                    <w:t>3</w:t>
                  </w:r>
                </w:p>
              </w:tc>
              <w:tc>
                <w:tcPr>
                  <w:tcW w:w="508" w:type="pct"/>
                  <w:tcBorders>
                    <w:tl2br w:val="nil"/>
                    <w:tr2bl w:val="nil"/>
                  </w:tcBorders>
                  <w:noWrap w:val="0"/>
                  <w:vAlign w:val="center"/>
                </w:tcPr>
                <w:p w14:paraId="6753D92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21"/>
                      <w:szCs w:val="21"/>
                      <w:lang w:val="en-US" w:eastAsia="zh-CN" w:bidi="ar-SA"/>
                    </w:rPr>
                  </w:pPr>
                  <w:r>
                    <w:rPr>
                      <w:rFonts w:hint="eastAsia" w:cs="Times New Roman"/>
                      <w:b w:val="0"/>
                      <w:bCs w:val="0"/>
                      <w:color w:val="auto"/>
                      <w:spacing w:val="0"/>
                      <w:kern w:val="2"/>
                      <w:sz w:val="21"/>
                      <w:szCs w:val="21"/>
                      <w:lang w:val="en-US" w:eastAsia="zh-CN" w:bidi="ar-SA"/>
                    </w:rPr>
                    <w:t>18</w:t>
                  </w:r>
                </w:p>
              </w:tc>
              <w:tc>
                <w:tcPr>
                  <w:tcW w:w="542" w:type="pct"/>
                  <w:tcBorders>
                    <w:tl2br w:val="nil"/>
                    <w:tr2bl w:val="nil"/>
                  </w:tcBorders>
                  <w:noWrap w:val="0"/>
                  <w:vAlign w:val="center"/>
                </w:tcPr>
                <w:p w14:paraId="7E35D2C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eastAsia" w:ascii="Times New Roman" w:hAnsi="Times New Roman" w:eastAsia="宋体" w:cs="Times New Roman"/>
                      <w:b w:val="0"/>
                      <w:bCs w:val="0"/>
                      <w:color w:val="auto"/>
                      <w:spacing w:val="0"/>
                      <w:sz w:val="21"/>
                      <w:szCs w:val="21"/>
                      <w:lang w:val="en-US" w:eastAsia="zh-CN"/>
                    </w:rPr>
                    <w:t>/</w:t>
                  </w:r>
                </w:p>
              </w:tc>
              <w:tc>
                <w:tcPr>
                  <w:tcW w:w="1008" w:type="pct"/>
                  <w:tcBorders>
                    <w:tl2br w:val="nil"/>
                    <w:tr2bl w:val="nil"/>
                  </w:tcBorders>
                  <w:noWrap w:val="0"/>
                  <w:vAlign w:val="center"/>
                </w:tcPr>
                <w:p w14:paraId="655D4D1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c>
                <w:tcPr>
                  <w:tcW w:w="471" w:type="pct"/>
                  <w:tcBorders>
                    <w:tl2br w:val="nil"/>
                    <w:tr2bl w:val="nil"/>
                  </w:tcBorders>
                  <w:noWrap w:val="0"/>
                  <w:vAlign w:val="center"/>
                </w:tcPr>
                <w:p w14:paraId="494C5E4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c>
                <w:tcPr>
                  <w:tcW w:w="561" w:type="pct"/>
                  <w:tcBorders>
                    <w:tl2br w:val="nil"/>
                    <w:tr2bl w:val="nil"/>
                  </w:tcBorders>
                  <w:noWrap w:val="0"/>
                  <w:vAlign w:val="center"/>
                </w:tcPr>
                <w:p w14:paraId="294DE73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c>
                <w:tcPr>
                  <w:tcW w:w="573" w:type="pct"/>
                  <w:tcBorders>
                    <w:tl2br w:val="nil"/>
                    <w:tr2bl w:val="nil"/>
                  </w:tcBorders>
                  <w:noWrap w:val="0"/>
                  <w:vAlign w:val="center"/>
                </w:tcPr>
                <w:p w14:paraId="6A749C1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r>
            <w:tr w14:paraId="1AF0E6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64BE7E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7</w:t>
                  </w:r>
                </w:p>
              </w:tc>
              <w:tc>
                <w:tcPr>
                  <w:tcW w:w="585" w:type="pct"/>
                  <w:tcBorders>
                    <w:tl2br w:val="nil"/>
                    <w:tr2bl w:val="nil"/>
                  </w:tcBorders>
                  <w:noWrap w:val="0"/>
                  <w:vAlign w:val="center"/>
                </w:tcPr>
                <w:p w14:paraId="0F60355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水</w:t>
                  </w:r>
                </w:p>
              </w:tc>
              <w:tc>
                <w:tcPr>
                  <w:tcW w:w="477" w:type="pct"/>
                  <w:tcBorders>
                    <w:tl2br w:val="nil"/>
                    <w:tr2bl w:val="nil"/>
                  </w:tcBorders>
                  <w:noWrap w:val="0"/>
                  <w:vAlign w:val="center"/>
                </w:tcPr>
                <w:p w14:paraId="2007855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m</w:t>
                  </w:r>
                  <w:r>
                    <w:rPr>
                      <w:rFonts w:hint="default" w:ascii="Times New Roman" w:hAnsi="Times New Roman" w:eastAsia="宋体" w:cs="Times New Roman"/>
                      <w:b w:val="0"/>
                      <w:bCs w:val="0"/>
                      <w:color w:val="auto"/>
                      <w:spacing w:val="0"/>
                      <w:sz w:val="21"/>
                      <w:szCs w:val="21"/>
                      <w:vertAlign w:val="superscript"/>
                      <w:lang w:val="en-US" w:eastAsia="zh-CN"/>
                    </w:rPr>
                    <w:t>3</w:t>
                  </w:r>
                </w:p>
              </w:tc>
              <w:tc>
                <w:tcPr>
                  <w:tcW w:w="508" w:type="pct"/>
                  <w:tcBorders>
                    <w:tl2br w:val="nil"/>
                    <w:tr2bl w:val="nil"/>
                  </w:tcBorders>
                  <w:noWrap w:val="0"/>
                  <w:vAlign w:val="center"/>
                </w:tcPr>
                <w:p w14:paraId="3FFF176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21"/>
                      <w:szCs w:val="21"/>
                      <w:lang w:val="en-US" w:eastAsia="zh-CN" w:bidi="ar-SA"/>
                    </w:rPr>
                  </w:pPr>
                  <w:r>
                    <w:rPr>
                      <w:rFonts w:hint="eastAsia" w:cs="Times New Roman"/>
                      <w:b w:val="0"/>
                      <w:bCs w:val="0"/>
                      <w:color w:val="auto"/>
                      <w:spacing w:val="0"/>
                      <w:kern w:val="2"/>
                      <w:sz w:val="21"/>
                      <w:szCs w:val="21"/>
                      <w:lang w:val="en-US" w:eastAsia="zh-CN" w:bidi="ar-SA"/>
                    </w:rPr>
                    <w:t>630</w:t>
                  </w:r>
                </w:p>
              </w:tc>
              <w:tc>
                <w:tcPr>
                  <w:tcW w:w="542" w:type="pct"/>
                  <w:tcBorders>
                    <w:tl2br w:val="nil"/>
                    <w:tr2bl w:val="nil"/>
                  </w:tcBorders>
                  <w:noWrap w:val="0"/>
                  <w:vAlign w:val="center"/>
                </w:tcPr>
                <w:p w14:paraId="6082159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w:t>
                  </w:r>
                </w:p>
              </w:tc>
              <w:tc>
                <w:tcPr>
                  <w:tcW w:w="1008" w:type="pct"/>
                  <w:tcBorders>
                    <w:tl2br w:val="nil"/>
                    <w:tr2bl w:val="nil"/>
                  </w:tcBorders>
                  <w:noWrap w:val="0"/>
                  <w:vAlign w:val="center"/>
                </w:tcPr>
                <w:p w14:paraId="771DD6B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w:t>
                  </w:r>
                </w:p>
              </w:tc>
              <w:tc>
                <w:tcPr>
                  <w:tcW w:w="471" w:type="pct"/>
                  <w:tcBorders>
                    <w:tl2br w:val="nil"/>
                    <w:tr2bl w:val="nil"/>
                  </w:tcBorders>
                  <w:noWrap w:val="0"/>
                  <w:vAlign w:val="center"/>
                </w:tcPr>
                <w:p w14:paraId="1D33880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w:t>
                  </w:r>
                </w:p>
              </w:tc>
              <w:tc>
                <w:tcPr>
                  <w:tcW w:w="561" w:type="pct"/>
                  <w:tcBorders>
                    <w:tl2br w:val="nil"/>
                    <w:tr2bl w:val="nil"/>
                  </w:tcBorders>
                  <w:noWrap w:val="0"/>
                  <w:vAlign w:val="center"/>
                </w:tcPr>
                <w:p w14:paraId="4CB6CB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w:t>
                  </w:r>
                </w:p>
              </w:tc>
              <w:tc>
                <w:tcPr>
                  <w:tcW w:w="573" w:type="pct"/>
                  <w:tcBorders>
                    <w:tl2br w:val="nil"/>
                    <w:tr2bl w:val="nil"/>
                  </w:tcBorders>
                  <w:noWrap w:val="0"/>
                  <w:vAlign w:val="center"/>
                </w:tcPr>
                <w:p w14:paraId="2C8C45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r>
            <w:tr w14:paraId="5A6E14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tcBorders>
                    <w:tl2br w:val="nil"/>
                    <w:tr2bl w:val="nil"/>
                  </w:tcBorders>
                  <w:noWrap w:val="0"/>
                  <w:vAlign w:val="center"/>
                </w:tcPr>
                <w:p w14:paraId="0FEA4FB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8</w:t>
                  </w:r>
                </w:p>
              </w:tc>
              <w:tc>
                <w:tcPr>
                  <w:tcW w:w="585" w:type="pct"/>
                  <w:tcBorders>
                    <w:tl2br w:val="nil"/>
                    <w:tr2bl w:val="nil"/>
                  </w:tcBorders>
                  <w:noWrap w:val="0"/>
                  <w:vAlign w:val="center"/>
                </w:tcPr>
                <w:p w14:paraId="2886740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电</w:t>
                  </w:r>
                </w:p>
              </w:tc>
              <w:tc>
                <w:tcPr>
                  <w:tcW w:w="477" w:type="pct"/>
                  <w:tcBorders>
                    <w:tl2br w:val="nil"/>
                    <w:tr2bl w:val="nil"/>
                  </w:tcBorders>
                  <w:noWrap w:val="0"/>
                  <w:vAlign w:val="center"/>
                </w:tcPr>
                <w:p w14:paraId="0E04C72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TW"/>
                    </w:rPr>
                    <w:t>kWh</w:t>
                  </w:r>
                </w:p>
              </w:tc>
              <w:tc>
                <w:tcPr>
                  <w:tcW w:w="508" w:type="pct"/>
                  <w:tcBorders>
                    <w:tl2br w:val="nil"/>
                    <w:tr2bl w:val="nil"/>
                  </w:tcBorders>
                  <w:noWrap w:val="0"/>
                  <w:vAlign w:val="center"/>
                </w:tcPr>
                <w:p w14:paraId="62E147A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b w:val="0"/>
                      <w:bCs w:val="0"/>
                      <w:color w:val="auto"/>
                      <w:spacing w:val="0"/>
                      <w:kern w:val="2"/>
                      <w:sz w:val="21"/>
                      <w:szCs w:val="21"/>
                      <w:lang w:val="en-US" w:eastAsia="zh-CN" w:bidi="ar-SA"/>
                    </w:rPr>
                  </w:pPr>
                  <w:r>
                    <w:rPr>
                      <w:rFonts w:hint="eastAsia" w:cs="Times New Roman"/>
                      <w:b w:val="0"/>
                      <w:bCs w:val="0"/>
                      <w:color w:val="auto"/>
                      <w:spacing w:val="0"/>
                      <w:kern w:val="2"/>
                      <w:sz w:val="21"/>
                      <w:szCs w:val="21"/>
                      <w:lang w:val="en-US" w:eastAsia="zh-CN" w:bidi="ar-SA"/>
                    </w:rPr>
                    <w:t>200</w:t>
                  </w:r>
                  <w:r>
                    <w:rPr>
                      <w:rFonts w:hint="default" w:ascii="Times New Roman" w:hAnsi="Times New Roman" w:eastAsia="宋体" w:cs="Times New Roman"/>
                      <w:b w:val="0"/>
                      <w:bCs w:val="0"/>
                      <w:color w:val="auto"/>
                      <w:spacing w:val="0"/>
                      <w:kern w:val="2"/>
                      <w:sz w:val="21"/>
                      <w:szCs w:val="21"/>
                      <w:lang w:val="en-US" w:eastAsia="zh-CN" w:bidi="ar-SA"/>
                    </w:rPr>
                    <w:t>万</w:t>
                  </w:r>
                </w:p>
              </w:tc>
              <w:tc>
                <w:tcPr>
                  <w:tcW w:w="542" w:type="pct"/>
                  <w:tcBorders>
                    <w:tl2br w:val="nil"/>
                    <w:tr2bl w:val="nil"/>
                  </w:tcBorders>
                  <w:noWrap w:val="0"/>
                  <w:vAlign w:val="center"/>
                </w:tcPr>
                <w:p w14:paraId="7A62D93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Times New Roman" w:hAnsi="Times New Roman" w:eastAsia="宋体" w:cs="Times New Roman"/>
                      <w:b w:val="0"/>
                      <w:bCs w:val="0"/>
                      <w:color w:val="auto"/>
                      <w:spacing w:val="0"/>
                      <w:sz w:val="21"/>
                      <w:szCs w:val="21"/>
                      <w:lang w:val="en-US" w:eastAsia="zh-CN"/>
                    </w:rPr>
                  </w:pPr>
                  <w:r>
                    <w:rPr>
                      <w:rFonts w:hint="default" w:ascii="Times New Roman" w:hAnsi="Times New Roman" w:eastAsia="宋体" w:cs="Times New Roman"/>
                      <w:b w:val="0"/>
                      <w:bCs w:val="0"/>
                      <w:color w:val="auto"/>
                      <w:spacing w:val="0"/>
                      <w:sz w:val="21"/>
                      <w:szCs w:val="21"/>
                      <w:lang w:val="en-US" w:eastAsia="zh-CN"/>
                    </w:rPr>
                    <w:t>/</w:t>
                  </w:r>
                </w:p>
              </w:tc>
              <w:tc>
                <w:tcPr>
                  <w:tcW w:w="1008" w:type="pct"/>
                  <w:tcBorders>
                    <w:tl2br w:val="nil"/>
                    <w:tr2bl w:val="nil"/>
                  </w:tcBorders>
                  <w:noWrap w:val="0"/>
                  <w:vAlign w:val="center"/>
                </w:tcPr>
                <w:p w14:paraId="21ED3E3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w:t>
                  </w:r>
                </w:p>
              </w:tc>
              <w:tc>
                <w:tcPr>
                  <w:tcW w:w="471" w:type="pct"/>
                  <w:tcBorders>
                    <w:tl2br w:val="nil"/>
                    <w:tr2bl w:val="nil"/>
                  </w:tcBorders>
                  <w:noWrap w:val="0"/>
                  <w:vAlign w:val="center"/>
                </w:tcPr>
                <w:p w14:paraId="145C4C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w:t>
                  </w:r>
                </w:p>
              </w:tc>
              <w:tc>
                <w:tcPr>
                  <w:tcW w:w="561" w:type="pct"/>
                  <w:tcBorders>
                    <w:tl2br w:val="nil"/>
                    <w:tr2bl w:val="nil"/>
                  </w:tcBorders>
                  <w:noWrap w:val="0"/>
                  <w:vAlign w:val="center"/>
                </w:tcPr>
                <w:p w14:paraId="1181EB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auto"/>
                      <w:kern w:val="0"/>
                      <w:sz w:val="21"/>
                      <w:szCs w:val="21"/>
                      <w:lang w:val="en-US" w:eastAsia="zh-CN"/>
                    </w:rPr>
                  </w:pPr>
                  <w:r>
                    <w:rPr>
                      <w:rFonts w:hint="default" w:ascii="Times New Roman" w:hAnsi="Times New Roman" w:eastAsia="宋体" w:cs="Times New Roman"/>
                      <w:snapToGrid w:val="0"/>
                      <w:color w:val="auto"/>
                      <w:kern w:val="0"/>
                      <w:sz w:val="21"/>
                      <w:szCs w:val="21"/>
                      <w:lang w:val="en-US" w:eastAsia="zh-CN"/>
                    </w:rPr>
                    <w:t>/</w:t>
                  </w:r>
                </w:p>
              </w:tc>
              <w:tc>
                <w:tcPr>
                  <w:tcW w:w="573" w:type="pct"/>
                  <w:tcBorders>
                    <w:tl2br w:val="nil"/>
                    <w:tr2bl w:val="nil"/>
                  </w:tcBorders>
                  <w:noWrap w:val="0"/>
                  <w:vAlign w:val="center"/>
                </w:tcPr>
                <w:p w14:paraId="4CE049B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w:t>
                  </w:r>
                </w:p>
              </w:tc>
            </w:tr>
          </w:tbl>
          <w:p w14:paraId="791A85AA">
            <w:pPr>
              <w:pStyle w:val="43"/>
              <w:keepNext w:val="0"/>
              <w:keepLines w:val="0"/>
              <w:pageBreakBefore w:val="0"/>
              <w:widowControl/>
              <w:kinsoku/>
              <w:wordWrap/>
              <w:overflowPunct/>
              <w:topLinePunct w:val="0"/>
              <w:autoSpaceDE/>
              <w:autoSpaceDN/>
              <w:bidi w:val="0"/>
              <w:adjustRightInd w:val="0"/>
              <w:snapToGrid w:val="0"/>
              <w:spacing w:before="157" w:beforeLines="5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4.2  主要原辅材料理化性质</w:t>
            </w:r>
          </w:p>
          <w:p w14:paraId="5BC903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CN"/>
              </w:rPr>
            </w:pPr>
            <w:r>
              <w:rPr>
                <w:rFonts w:hint="eastAsia"/>
                <w:b w:val="0"/>
                <w:bCs/>
                <w:sz w:val="24"/>
                <w:szCs w:val="24"/>
                <w:lang w:eastAsia="zh-CN" w:bidi="ar"/>
              </w:rPr>
              <w:t>（</w:t>
            </w:r>
            <w:r>
              <w:rPr>
                <w:rFonts w:hint="eastAsia"/>
                <w:b w:val="0"/>
                <w:bCs/>
                <w:sz w:val="24"/>
                <w:szCs w:val="24"/>
                <w:lang w:val="en-US" w:eastAsia="zh-CN" w:bidi="ar"/>
              </w:rPr>
              <w:t>1</w:t>
            </w:r>
            <w:r>
              <w:rPr>
                <w:rFonts w:hint="eastAsia"/>
                <w:b w:val="0"/>
                <w:bCs/>
                <w:sz w:val="24"/>
                <w:szCs w:val="24"/>
                <w:lang w:eastAsia="zh-CN" w:bidi="ar"/>
              </w:rPr>
              <w:t>）</w:t>
            </w:r>
            <w:r>
              <w:rPr>
                <w:rFonts w:hint="eastAsia" w:ascii="Times New Roman" w:hAnsi="Times New Roman" w:eastAsia="宋体" w:cs="Times New Roman"/>
                <w:b w:val="0"/>
                <w:bCs w:val="0"/>
                <w:color w:val="auto"/>
                <w:spacing w:val="0"/>
                <w:sz w:val="24"/>
                <w:szCs w:val="24"/>
                <w:highlight w:val="none"/>
                <w:lang w:val="en-US" w:eastAsia="zh-CN"/>
              </w:rPr>
              <w:t>6系铝棒：主要以6061和6063合金为代表，其主要合金元素包括硅（Si）和镁（Mg）</w:t>
            </w:r>
            <w:r>
              <w:rPr>
                <w:rFonts w:hint="eastAsia" w:cs="Times New Roman"/>
                <w:b w:val="0"/>
                <w:bCs w:val="0"/>
                <w:color w:val="auto"/>
                <w:spacing w:val="0"/>
                <w:sz w:val="24"/>
                <w:szCs w:val="24"/>
                <w:highlight w:val="none"/>
                <w:lang w:val="en-US" w:eastAsia="zh-CN"/>
              </w:rPr>
              <w:t>，还包含少量的铜（Cu）、锰（Mn）、铬（Cr）等元素，具有优良的加工性、良好的抗腐蚀性、高强度和良好的焊接性</w:t>
            </w:r>
            <w:r>
              <w:rPr>
                <w:rFonts w:hint="eastAsia"/>
                <w:sz w:val="24"/>
                <w:szCs w:val="24"/>
                <w:lang w:eastAsia="zh-CN"/>
              </w:rPr>
              <w:t>。</w:t>
            </w:r>
          </w:p>
          <w:p w14:paraId="702879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CN"/>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eastAsia"/>
                <w:sz w:val="24"/>
                <w:szCs w:val="24"/>
                <w:lang w:val="en-US" w:eastAsia="zh-CN"/>
              </w:rPr>
              <w:t>液压油：</w:t>
            </w:r>
            <w:r>
              <w:rPr>
                <w:rFonts w:hint="eastAsia"/>
                <w:sz w:val="24"/>
                <w:szCs w:val="24"/>
                <w:lang w:eastAsia="zh-CN"/>
              </w:rPr>
              <w:t>淡黄色液体，相对密度(水=1)0.8710，闪点：224℃，引燃温度：220</w:t>
            </w:r>
            <w:r>
              <w:rPr>
                <w:rFonts w:hint="default" w:ascii="Times New Roman" w:hAnsi="Times New Roman" w:eastAsia="宋体" w:cs="Times New Roman"/>
                <w:color w:val="000000"/>
                <w:kern w:val="0"/>
                <w:sz w:val="21"/>
                <w:szCs w:val="21"/>
                <w:lang w:val="en-US" w:eastAsia="zh-CN" w:bidi="ar"/>
              </w:rPr>
              <w:t>~</w:t>
            </w:r>
            <w:r>
              <w:rPr>
                <w:rFonts w:hint="eastAsia"/>
                <w:sz w:val="24"/>
                <w:szCs w:val="24"/>
                <w:lang w:eastAsia="zh-CN"/>
              </w:rPr>
              <w:t>500℃，主要用途：适用于液压系统润滑。</w:t>
            </w:r>
          </w:p>
          <w:p w14:paraId="36255E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CN"/>
              </w:rPr>
            </w:pPr>
            <w:r>
              <w:rPr>
                <w:rFonts w:hint="eastAsia"/>
                <w:sz w:val="24"/>
                <w:szCs w:val="24"/>
                <w:lang w:eastAsia="zh-CN"/>
              </w:rPr>
              <w:t>（</w:t>
            </w:r>
            <w:r>
              <w:rPr>
                <w:rFonts w:hint="eastAsia"/>
                <w:sz w:val="24"/>
                <w:szCs w:val="24"/>
                <w:lang w:val="en-US" w:eastAsia="zh-CN"/>
              </w:rPr>
              <w:t>3</w:t>
            </w:r>
            <w:r>
              <w:rPr>
                <w:rFonts w:hint="eastAsia"/>
                <w:sz w:val="24"/>
                <w:szCs w:val="24"/>
                <w:lang w:eastAsia="zh-CN"/>
              </w:rPr>
              <w:t>）润滑油：组成成分</w:t>
            </w:r>
            <w:r>
              <w:rPr>
                <w:rFonts w:hint="eastAsia"/>
                <w:sz w:val="24"/>
                <w:szCs w:val="24"/>
                <w:lang w:val="en-US" w:eastAsia="zh-CN"/>
              </w:rPr>
              <w:t>为</w:t>
            </w:r>
            <w:r>
              <w:rPr>
                <w:rFonts w:hint="eastAsia"/>
                <w:sz w:val="24"/>
                <w:szCs w:val="24"/>
                <w:lang w:eastAsia="zh-CN"/>
              </w:rPr>
              <w:t>基础油和添加剂；液体，密度为0.91</w:t>
            </w:r>
            <w:r>
              <w:rPr>
                <w:rFonts w:hint="default" w:ascii="Times New Roman" w:hAnsi="Times New Roman" w:eastAsia="宋体" w:cs="Times New Roman"/>
                <w:color w:val="000000"/>
                <w:kern w:val="0"/>
                <w:sz w:val="21"/>
                <w:szCs w:val="21"/>
                <w:lang w:val="en-US" w:eastAsia="zh-CN" w:bidi="ar"/>
              </w:rPr>
              <w:t>~</w:t>
            </w:r>
            <w:r>
              <w:rPr>
                <w:rFonts w:hint="eastAsia"/>
                <w:sz w:val="24"/>
                <w:szCs w:val="24"/>
                <w:lang w:eastAsia="zh-CN"/>
              </w:rPr>
              <w:t>103kg/m</w:t>
            </w:r>
            <w:r>
              <w:rPr>
                <w:rFonts w:hint="eastAsia"/>
                <w:sz w:val="24"/>
                <w:szCs w:val="24"/>
                <w:vertAlign w:val="superscript"/>
                <w:lang w:eastAsia="zh-CN"/>
              </w:rPr>
              <w:t>3</w:t>
            </w:r>
            <w:r>
              <w:rPr>
                <w:rFonts w:hint="eastAsia"/>
                <w:sz w:val="24"/>
                <w:szCs w:val="24"/>
                <w:lang w:eastAsia="zh-CN"/>
              </w:rPr>
              <w:t>；主要低毒、闪点≥200℃；用于机械设备中减少摩擦，降低噪声。具有润滑、抗磨、冷却、散热、防锈、密封、洗涤和消除冲击荷载等方面起着重要作用。</w:t>
            </w:r>
          </w:p>
          <w:p w14:paraId="61B1B8CA">
            <w:pPr>
              <w:pStyle w:val="43"/>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6、主要设备</w:t>
            </w:r>
          </w:p>
          <w:p w14:paraId="5FAE9343">
            <w:pPr>
              <w:pStyle w:val="43"/>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本项目主要设备详见下表。</w:t>
            </w:r>
          </w:p>
          <w:p w14:paraId="0BCA063E">
            <w:pPr>
              <w:pStyle w:val="44"/>
              <w:keepNext w:val="0"/>
              <w:keepLines w:val="0"/>
              <w:pageBreakBefore w:val="0"/>
              <w:widowControl w:val="0"/>
              <w:kinsoku/>
              <w:wordWrap/>
              <w:overflowPunct/>
              <w:topLinePunct w:val="0"/>
              <w:autoSpaceDE/>
              <w:autoSpaceDN/>
              <w:bidi w:val="0"/>
              <w:adjustRightInd w:val="0"/>
              <w:snapToGrid w:val="0"/>
              <w:spacing w:before="157" w:beforeLines="50" w:line="240" w:lineRule="auto"/>
              <w:ind w:left="0" w:leftChars="0"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表2-6  项目主要设备一览表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2016"/>
              <w:gridCol w:w="2024"/>
              <w:gridCol w:w="724"/>
              <w:gridCol w:w="982"/>
              <w:gridCol w:w="1293"/>
            </w:tblGrid>
            <w:tr w14:paraId="4756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2D2663A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color w:val="000000"/>
                      <w:kern w:val="0"/>
                      <w:sz w:val="21"/>
                      <w:szCs w:val="21"/>
                      <w:lang w:eastAsia="zh-CN"/>
                    </w:rPr>
                  </w:pPr>
                  <w:r>
                    <w:rPr>
                      <w:rFonts w:hint="default" w:ascii="Times New Roman" w:hAnsi="Times New Roman" w:cs="Times New Roman" w:eastAsiaTheme="minorEastAsia"/>
                      <w:b/>
                      <w:bCs/>
                      <w:color w:val="000000"/>
                      <w:kern w:val="0"/>
                      <w:sz w:val="21"/>
                      <w:szCs w:val="21"/>
                      <w:lang w:val="en-US" w:eastAsia="zh-CN"/>
                    </w:rPr>
                    <w:t>序号</w:t>
                  </w:r>
                </w:p>
              </w:tc>
              <w:tc>
                <w:tcPr>
                  <w:tcW w:w="1281" w:type="pct"/>
                  <w:noWrap w:val="0"/>
                  <w:vAlign w:val="center"/>
                </w:tcPr>
                <w:p w14:paraId="777379F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color w:val="000000"/>
                      <w:kern w:val="0"/>
                      <w:sz w:val="21"/>
                      <w:szCs w:val="21"/>
                    </w:rPr>
                  </w:pPr>
                  <w:r>
                    <w:rPr>
                      <w:rFonts w:hint="default" w:ascii="Times New Roman" w:hAnsi="Times New Roman" w:cs="Times New Roman" w:eastAsiaTheme="minorEastAsia"/>
                      <w:b/>
                      <w:bCs/>
                      <w:color w:val="000000"/>
                      <w:kern w:val="0"/>
                      <w:sz w:val="21"/>
                      <w:szCs w:val="21"/>
                    </w:rPr>
                    <w:t>设备名称</w:t>
                  </w:r>
                </w:p>
              </w:tc>
              <w:tc>
                <w:tcPr>
                  <w:tcW w:w="1286" w:type="pct"/>
                  <w:noWrap w:val="0"/>
                  <w:vAlign w:val="center"/>
                </w:tcPr>
                <w:p w14:paraId="2289A4B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color w:val="000000"/>
                      <w:kern w:val="0"/>
                      <w:sz w:val="21"/>
                      <w:szCs w:val="21"/>
                      <w:lang w:val="en-US" w:eastAsia="zh-CN"/>
                    </w:rPr>
                  </w:pPr>
                  <w:r>
                    <w:rPr>
                      <w:rFonts w:hint="default" w:ascii="Times New Roman" w:hAnsi="Times New Roman" w:cs="Times New Roman" w:eastAsiaTheme="minorEastAsia"/>
                      <w:b/>
                      <w:bCs/>
                      <w:color w:val="000000"/>
                      <w:kern w:val="0"/>
                      <w:sz w:val="21"/>
                      <w:szCs w:val="21"/>
                      <w:lang w:val="en-US" w:eastAsia="zh-CN"/>
                    </w:rPr>
                    <w:t>规格型号</w:t>
                  </w:r>
                </w:p>
              </w:tc>
              <w:tc>
                <w:tcPr>
                  <w:tcW w:w="460" w:type="pct"/>
                  <w:noWrap w:val="0"/>
                  <w:vAlign w:val="center"/>
                </w:tcPr>
                <w:p w14:paraId="0373DAD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color w:val="000000"/>
                      <w:kern w:val="0"/>
                      <w:sz w:val="21"/>
                      <w:szCs w:val="21"/>
                    </w:rPr>
                  </w:pPr>
                  <w:r>
                    <w:rPr>
                      <w:rFonts w:hint="default" w:ascii="Times New Roman" w:hAnsi="Times New Roman" w:cs="Times New Roman" w:eastAsiaTheme="minorEastAsia"/>
                      <w:b/>
                      <w:bCs/>
                      <w:color w:val="000000"/>
                      <w:kern w:val="0"/>
                      <w:sz w:val="21"/>
                      <w:szCs w:val="21"/>
                    </w:rPr>
                    <w:t>单位</w:t>
                  </w:r>
                </w:p>
              </w:tc>
              <w:tc>
                <w:tcPr>
                  <w:tcW w:w="624" w:type="pct"/>
                  <w:noWrap w:val="0"/>
                  <w:vAlign w:val="center"/>
                </w:tcPr>
                <w:p w14:paraId="2B72061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color w:val="000000"/>
                      <w:kern w:val="0"/>
                      <w:sz w:val="21"/>
                      <w:szCs w:val="21"/>
                    </w:rPr>
                  </w:pPr>
                  <w:r>
                    <w:rPr>
                      <w:rFonts w:hint="default" w:ascii="Times New Roman" w:hAnsi="Times New Roman" w:cs="Times New Roman" w:eastAsiaTheme="minorEastAsia"/>
                      <w:b/>
                      <w:bCs/>
                      <w:color w:val="000000"/>
                      <w:kern w:val="0"/>
                      <w:sz w:val="21"/>
                      <w:szCs w:val="21"/>
                    </w:rPr>
                    <w:t>数量</w:t>
                  </w:r>
                </w:p>
              </w:tc>
              <w:tc>
                <w:tcPr>
                  <w:tcW w:w="821" w:type="pct"/>
                  <w:noWrap w:val="0"/>
                  <w:vAlign w:val="center"/>
                </w:tcPr>
                <w:p w14:paraId="1DD6A02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color w:val="000000"/>
                      <w:kern w:val="0"/>
                      <w:sz w:val="21"/>
                      <w:szCs w:val="21"/>
                      <w:lang w:val="en-US" w:eastAsia="zh-CN"/>
                    </w:rPr>
                  </w:pPr>
                  <w:r>
                    <w:rPr>
                      <w:rFonts w:hint="default" w:ascii="Times New Roman" w:hAnsi="Times New Roman" w:cs="Times New Roman" w:eastAsiaTheme="minorEastAsia"/>
                      <w:b/>
                      <w:bCs/>
                      <w:color w:val="000000"/>
                      <w:kern w:val="0"/>
                      <w:sz w:val="21"/>
                      <w:szCs w:val="21"/>
                      <w:lang w:val="en-US" w:eastAsia="zh-CN"/>
                    </w:rPr>
                    <w:t>备注</w:t>
                  </w:r>
                </w:p>
              </w:tc>
            </w:tr>
            <w:tr w14:paraId="7EE4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6"/>
                  <w:noWrap w:val="0"/>
                  <w:vAlign w:val="center"/>
                </w:tcPr>
                <w:p w14:paraId="1985029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b/>
                      <w:bCs/>
                      <w:color w:val="000000"/>
                      <w:kern w:val="0"/>
                      <w:sz w:val="21"/>
                      <w:szCs w:val="21"/>
                      <w:lang w:val="en-US" w:eastAsia="zh-CN"/>
                    </w:rPr>
                    <w:t>一、700t挤压生产线（2条）</w:t>
                  </w:r>
                </w:p>
              </w:tc>
            </w:tr>
            <w:tr w14:paraId="0B2DF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314629C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1</w:t>
                  </w:r>
                </w:p>
              </w:tc>
              <w:tc>
                <w:tcPr>
                  <w:tcW w:w="1281" w:type="pct"/>
                  <w:noWrap w:val="0"/>
                  <w:vAlign w:val="center"/>
                </w:tcPr>
                <w:p w14:paraId="3878AAD5">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单</w:t>
                  </w:r>
                  <w:r>
                    <w:rPr>
                      <w:rFonts w:hint="default" w:ascii="Times New Roman" w:hAnsi="Times New Roman" w:cs="Times New Roman" w:eastAsiaTheme="minorEastAsia"/>
                      <w:i w:val="0"/>
                      <w:iCs w:val="0"/>
                      <w:color w:val="000000"/>
                      <w:kern w:val="0"/>
                      <w:sz w:val="21"/>
                      <w:szCs w:val="21"/>
                      <w:u w:val="none"/>
                      <w:lang w:val="en-US" w:eastAsia="zh-CN" w:bidi="ar"/>
                    </w:rPr>
                    <w:t>棒炉（φ90）</w:t>
                  </w:r>
                </w:p>
              </w:tc>
              <w:tc>
                <w:tcPr>
                  <w:tcW w:w="1286" w:type="pct"/>
                  <w:noWrap w:val="0"/>
                  <w:vAlign w:val="center"/>
                </w:tcPr>
                <w:p w14:paraId="27F289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0"/>
                      <w:sz w:val="21"/>
                      <w:szCs w:val="21"/>
                      <w:lang w:val="en-US" w:eastAsia="zh-CN" w:bidi="ar-SA"/>
                    </w:rPr>
                  </w:pPr>
                  <w:r>
                    <w:rPr>
                      <w:rFonts w:hint="default" w:ascii="Times New Roman" w:hAnsi="Times New Roman" w:cs="Times New Roman" w:eastAsiaTheme="minorEastAsia"/>
                      <w:color w:val="auto"/>
                      <w:kern w:val="0"/>
                      <w:sz w:val="21"/>
                      <w:szCs w:val="21"/>
                      <w:lang w:val="en-US" w:eastAsia="zh-CN" w:bidi="ar-SA"/>
                    </w:rPr>
                    <w:t>700T/90</w:t>
                  </w:r>
                </w:p>
              </w:tc>
              <w:tc>
                <w:tcPr>
                  <w:tcW w:w="460" w:type="pct"/>
                  <w:noWrap w:val="0"/>
                  <w:vAlign w:val="center"/>
                </w:tcPr>
                <w:p w14:paraId="2C63B62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5FE44F5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1E29D3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eastAsia="宋体" w:cs="Times New Roman"/>
                      <w:color w:val="000000"/>
                      <w:kern w:val="0"/>
                      <w:sz w:val="21"/>
                      <w:szCs w:val="21"/>
                      <w:lang w:val="en-US" w:eastAsia="zh-CN"/>
                    </w:rPr>
                    <w:t>天然气</w:t>
                  </w:r>
                  <w:r>
                    <w:rPr>
                      <w:rFonts w:hint="default" w:ascii="Times New Roman" w:hAnsi="Times New Roman" w:eastAsia="宋体" w:cs="Times New Roman"/>
                      <w:color w:val="000000"/>
                      <w:kern w:val="0"/>
                      <w:sz w:val="21"/>
                      <w:szCs w:val="21"/>
                      <w:lang w:val="en-US" w:eastAsia="zh-CN"/>
                    </w:rPr>
                    <w:t>加热</w:t>
                  </w:r>
                </w:p>
              </w:tc>
            </w:tr>
            <w:tr w14:paraId="2974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12C2FC4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2</w:t>
                  </w:r>
                </w:p>
              </w:tc>
              <w:tc>
                <w:tcPr>
                  <w:tcW w:w="1281" w:type="pct"/>
                  <w:noWrap w:val="0"/>
                  <w:vAlign w:val="center"/>
                </w:tcPr>
                <w:p w14:paraId="5389250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ascii="Times New Roman" w:hAnsi="Times New Roman" w:eastAsia="宋体" w:cs="Times New Roman"/>
                      <w:b w:val="0"/>
                      <w:bCs w:val="0"/>
                      <w:color w:val="000000"/>
                      <w:kern w:val="0"/>
                      <w:sz w:val="21"/>
                      <w:szCs w:val="21"/>
                      <w:lang w:val="en-US" w:eastAsia="zh-CN"/>
                    </w:rPr>
                    <w:t>热剪机</w:t>
                  </w:r>
                </w:p>
              </w:tc>
              <w:tc>
                <w:tcPr>
                  <w:tcW w:w="1286" w:type="pct"/>
                  <w:noWrap w:val="0"/>
                  <w:vAlign w:val="center"/>
                </w:tcPr>
                <w:p w14:paraId="1C139C3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color w:val="auto"/>
                      <w:kern w:val="0"/>
                      <w:sz w:val="21"/>
                      <w:szCs w:val="21"/>
                      <w:lang w:val="en-US" w:eastAsia="zh-CN" w:bidi="ar-SA"/>
                    </w:rPr>
                  </w:pPr>
                  <w:r>
                    <w:rPr>
                      <w:rFonts w:hint="eastAsia" w:cs="Times New Roman"/>
                      <w:b w:val="0"/>
                      <w:bCs w:val="0"/>
                      <w:i w:val="0"/>
                      <w:iCs w:val="0"/>
                      <w:color w:val="000000"/>
                      <w:kern w:val="0"/>
                      <w:sz w:val="21"/>
                      <w:szCs w:val="21"/>
                      <w:u w:val="none"/>
                      <w:lang w:val="en-US" w:eastAsia="zh-CN" w:bidi="ar"/>
                    </w:rPr>
                    <w:t>/</w:t>
                  </w:r>
                </w:p>
              </w:tc>
              <w:tc>
                <w:tcPr>
                  <w:tcW w:w="460" w:type="pct"/>
                  <w:noWrap w:val="0"/>
                  <w:vAlign w:val="center"/>
                </w:tcPr>
                <w:p w14:paraId="0457C7A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332BA19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128D80A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077A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3E9C5E2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3</w:t>
                  </w:r>
                </w:p>
              </w:tc>
              <w:tc>
                <w:tcPr>
                  <w:tcW w:w="1281" w:type="pct"/>
                  <w:noWrap w:val="0"/>
                  <w:vAlign w:val="center"/>
                </w:tcPr>
                <w:p w14:paraId="7643B850">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牵引机</w:t>
                  </w:r>
                </w:p>
              </w:tc>
              <w:tc>
                <w:tcPr>
                  <w:tcW w:w="1286" w:type="pct"/>
                  <w:noWrap w:val="0"/>
                  <w:vAlign w:val="center"/>
                </w:tcPr>
                <w:p w14:paraId="61B1A0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color w:val="auto"/>
                      <w:kern w:val="0"/>
                      <w:sz w:val="21"/>
                      <w:szCs w:val="21"/>
                      <w:lang w:val="en-US" w:eastAsia="zh-CN" w:bidi="ar-SA"/>
                    </w:rPr>
                    <w:t>700T</w:t>
                  </w:r>
                </w:p>
              </w:tc>
              <w:tc>
                <w:tcPr>
                  <w:tcW w:w="460" w:type="pct"/>
                  <w:noWrap w:val="0"/>
                  <w:vAlign w:val="center"/>
                </w:tcPr>
                <w:p w14:paraId="6E92225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435C992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4B5F138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1E41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37631CC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4</w:t>
                  </w:r>
                </w:p>
              </w:tc>
              <w:tc>
                <w:tcPr>
                  <w:tcW w:w="1281" w:type="pct"/>
                  <w:noWrap w:val="0"/>
                  <w:vAlign w:val="center"/>
                </w:tcPr>
                <w:p w14:paraId="4C5819F2">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挤压机</w:t>
                  </w:r>
                </w:p>
              </w:tc>
              <w:tc>
                <w:tcPr>
                  <w:tcW w:w="1286" w:type="pct"/>
                  <w:noWrap w:val="0"/>
                  <w:vAlign w:val="center"/>
                </w:tcPr>
                <w:p w14:paraId="686683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0"/>
                      <w:sz w:val="21"/>
                      <w:szCs w:val="21"/>
                      <w:lang w:val="en-US" w:eastAsia="zh-CN" w:bidi="ar-SA"/>
                    </w:rPr>
                  </w:pPr>
                  <w:r>
                    <w:rPr>
                      <w:rFonts w:hint="eastAsia" w:cs="Times New Roman" w:eastAsiaTheme="minorEastAsia"/>
                      <w:color w:val="auto"/>
                      <w:kern w:val="0"/>
                      <w:sz w:val="21"/>
                      <w:szCs w:val="21"/>
                      <w:lang w:val="en-US" w:eastAsia="zh-CN" w:bidi="ar-SA"/>
                    </w:rPr>
                    <w:t>7</w:t>
                  </w:r>
                  <w:r>
                    <w:rPr>
                      <w:rFonts w:hint="default" w:ascii="Times New Roman" w:hAnsi="Times New Roman" w:cs="Times New Roman" w:eastAsiaTheme="minorEastAsia"/>
                      <w:color w:val="auto"/>
                      <w:kern w:val="0"/>
                      <w:sz w:val="21"/>
                      <w:szCs w:val="21"/>
                      <w:lang w:val="en-US" w:eastAsia="zh-CN" w:bidi="ar-SA"/>
                    </w:rPr>
                    <w:t>00T</w:t>
                  </w:r>
                </w:p>
              </w:tc>
              <w:tc>
                <w:tcPr>
                  <w:tcW w:w="460" w:type="pct"/>
                  <w:noWrap w:val="0"/>
                  <w:vAlign w:val="center"/>
                </w:tcPr>
                <w:p w14:paraId="4399BA6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010A03D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68F3D5B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2BBC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47FAF36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5</w:t>
                  </w:r>
                </w:p>
              </w:tc>
              <w:tc>
                <w:tcPr>
                  <w:tcW w:w="1281" w:type="pct"/>
                  <w:noWrap w:val="0"/>
                  <w:vAlign w:val="center"/>
                </w:tcPr>
                <w:p w14:paraId="5B5B0CC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模具炉</w:t>
                  </w:r>
                </w:p>
              </w:tc>
              <w:tc>
                <w:tcPr>
                  <w:tcW w:w="1286" w:type="pct"/>
                  <w:noWrap w:val="0"/>
                  <w:vAlign w:val="center"/>
                </w:tcPr>
                <w:p w14:paraId="395729D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36kw</w:t>
                  </w:r>
                </w:p>
              </w:tc>
              <w:tc>
                <w:tcPr>
                  <w:tcW w:w="460" w:type="pct"/>
                  <w:noWrap w:val="0"/>
                  <w:vAlign w:val="center"/>
                </w:tcPr>
                <w:p w14:paraId="38DCA92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7C3BD2F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6A3B660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电加热</w:t>
                  </w:r>
                </w:p>
              </w:tc>
            </w:tr>
            <w:tr w14:paraId="07D7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6C4A2E6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6</w:t>
                  </w:r>
                </w:p>
              </w:tc>
              <w:tc>
                <w:tcPr>
                  <w:tcW w:w="1281" w:type="pct"/>
                  <w:noWrap w:val="0"/>
                  <w:vAlign w:val="center"/>
                </w:tcPr>
                <w:p w14:paraId="5C247C2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风冷</w:t>
                  </w:r>
                  <w:r>
                    <w:rPr>
                      <w:rFonts w:hint="default" w:ascii="Times New Roman" w:hAnsi="Times New Roman" w:eastAsia="宋体" w:cs="Times New Roman"/>
                      <w:b w:val="0"/>
                      <w:bCs w:val="0"/>
                      <w:i w:val="0"/>
                      <w:iCs w:val="0"/>
                      <w:color w:val="000000"/>
                      <w:kern w:val="0"/>
                      <w:sz w:val="21"/>
                      <w:szCs w:val="21"/>
                      <w:u w:val="none"/>
                      <w:lang w:val="en-US" w:eastAsia="zh-CN" w:bidi="ar"/>
                    </w:rPr>
                    <w:t>淬火设备</w:t>
                  </w:r>
                </w:p>
              </w:tc>
              <w:tc>
                <w:tcPr>
                  <w:tcW w:w="1286" w:type="pct"/>
                  <w:noWrap w:val="0"/>
                  <w:vAlign w:val="center"/>
                </w:tcPr>
                <w:p w14:paraId="4A26B9C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color w:val="auto"/>
                      <w:kern w:val="0"/>
                      <w:sz w:val="21"/>
                      <w:szCs w:val="21"/>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460" w:type="pct"/>
                  <w:noWrap w:val="0"/>
                  <w:vAlign w:val="center"/>
                </w:tcPr>
                <w:p w14:paraId="740E03B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42C6BE1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490B12F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36C4D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732A75B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7</w:t>
                  </w:r>
                </w:p>
              </w:tc>
              <w:tc>
                <w:tcPr>
                  <w:tcW w:w="1281" w:type="pct"/>
                  <w:noWrap w:val="0"/>
                  <w:vAlign w:val="center"/>
                </w:tcPr>
                <w:p w14:paraId="28733192">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eastAsia" w:cs="Times New Roman"/>
                      <w:b w:val="0"/>
                      <w:bCs w:val="0"/>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冷床</w:t>
                  </w:r>
                </w:p>
              </w:tc>
              <w:tc>
                <w:tcPr>
                  <w:tcW w:w="1286" w:type="pct"/>
                  <w:noWrap w:val="0"/>
                  <w:vAlign w:val="center"/>
                </w:tcPr>
                <w:p w14:paraId="69D55B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i w:val="0"/>
                      <w:iCs w:val="0"/>
                      <w:color w:val="000000"/>
                      <w:kern w:val="0"/>
                      <w:sz w:val="21"/>
                      <w:szCs w:val="21"/>
                      <w:u w:val="none"/>
                      <w:lang w:val="en-US" w:eastAsia="zh-CN" w:bidi="ar"/>
                    </w:rPr>
                  </w:pPr>
                  <w:r>
                    <w:rPr>
                      <w:rFonts w:hint="default" w:ascii="Times New Roman" w:hAnsi="Times New Roman" w:cs="Times New Roman" w:eastAsiaTheme="minorEastAsia"/>
                      <w:color w:val="auto"/>
                      <w:kern w:val="0"/>
                      <w:sz w:val="21"/>
                      <w:szCs w:val="21"/>
                      <w:lang w:val="en-US" w:eastAsia="zh-CN" w:bidi="ar-SA"/>
                    </w:rPr>
                    <w:t>700T</w:t>
                  </w:r>
                </w:p>
              </w:tc>
              <w:tc>
                <w:tcPr>
                  <w:tcW w:w="460" w:type="pct"/>
                  <w:noWrap w:val="0"/>
                  <w:vAlign w:val="center"/>
                </w:tcPr>
                <w:p w14:paraId="35F983F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11A4731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02FACEA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06F4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3F42BED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8</w:t>
                  </w:r>
                </w:p>
              </w:tc>
              <w:tc>
                <w:tcPr>
                  <w:tcW w:w="1281" w:type="pct"/>
                  <w:noWrap w:val="0"/>
                  <w:vAlign w:val="center"/>
                </w:tcPr>
                <w:p w14:paraId="589F097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拉直机</w:t>
                  </w:r>
                </w:p>
              </w:tc>
              <w:tc>
                <w:tcPr>
                  <w:tcW w:w="1286" w:type="pct"/>
                  <w:noWrap w:val="0"/>
                  <w:vAlign w:val="center"/>
                </w:tcPr>
                <w:p w14:paraId="603A62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0"/>
                      <w:sz w:val="21"/>
                      <w:szCs w:val="21"/>
                      <w:lang w:val="en-US" w:eastAsia="zh-CN" w:bidi="ar-SA"/>
                    </w:rPr>
                  </w:pPr>
                  <w:r>
                    <w:rPr>
                      <w:rFonts w:hint="eastAsia" w:cs="Times New Roman" w:eastAsiaTheme="minorEastAsia"/>
                      <w:color w:val="auto"/>
                      <w:kern w:val="0"/>
                      <w:sz w:val="21"/>
                      <w:szCs w:val="21"/>
                      <w:lang w:val="en-US" w:eastAsia="zh-CN" w:bidi="ar-SA"/>
                    </w:rPr>
                    <w:t>50</w:t>
                  </w:r>
                  <w:r>
                    <w:rPr>
                      <w:rFonts w:hint="default" w:ascii="Times New Roman" w:hAnsi="Times New Roman" w:cs="Times New Roman" w:eastAsiaTheme="minorEastAsia"/>
                      <w:color w:val="auto"/>
                      <w:kern w:val="0"/>
                      <w:sz w:val="21"/>
                      <w:szCs w:val="21"/>
                      <w:lang w:val="en-US" w:eastAsia="zh-CN" w:bidi="ar-SA"/>
                    </w:rPr>
                    <w:t>T</w:t>
                  </w:r>
                </w:p>
              </w:tc>
              <w:tc>
                <w:tcPr>
                  <w:tcW w:w="460" w:type="pct"/>
                  <w:noWrap w:val="0"/>
                  <w:vAlign w:val="center"/>
                </w:tcPr>
                <w:p w14:paraId="2F6E9CD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0D35C25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4A64A26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13F2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190B60F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9</w:t>
                  </w:r>
                </w:p>
              </w:tc>
              <w:tc>
                <w:tcPr>
                  <w:tcW w:w="1281" w:type="pct"/>
                  <w:noWrap w:val="0"/>
                  <w:vAlign w:val="center"/>
                </w:tcPr>
                <w:p w14:paraId="0087AC2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成品锯</w:t>
                  </w:r>
                </w:p>
              </w:tc>
              <w:tc>
                <w:tcPr>
                  <w:tcW w:w="1286" w:type="pct"/>
                  <w:noWrap w:val="0"/>
                  <w:vAlign w:val="center"/>
                </w:tcPr>
                <w:p w14:paraId="6998888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460" w:type="pct"/>
                  <w:noWrap w:val="0"/>
                  <w:vAlign w:val="center"/>
                </w:tcPr>
                <w:p w14:paraId="0CA6734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4C7C33F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3B7818F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7B56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72E8B41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10</w:t>
                  </w:r>
                </w:p>
              </w:tc>
              <w:tc>
                <w:tcPr>
                  <w:tcW w:w="1281" w:type="pct"/>
                  <w:noWrap w:val="0"/>
                  <w:vAlign w:val="center"/>
                </w:tcPr>
                <w:p w14:paraId="350C4EF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eastAsia="宋体" w:cs="Times New Roman"/>
                      <w:b w:val="0"/>
                      <w:bCs w:val="0"/>
                      <w:color w:val="000000"/>
                      <w:kern w:val="0"/>
                      <w:sz w:val="21"/>
                      <w:szCs w:val="21"/>
                      <w:lang w:val="en-US" w:eastAsia="zh-CN"/>
                    </w:rPr>
                    <w:t>时效炉</w:t>
                  </w:r>
                </w:p>
              </w:tc>
              <w:tc>
                <w:tcPr>
                  <w:tcW w:w="1286" w:type="pct"/>
                  <w:noWrap w:val="0"/>
                  <w:vAlign w:val="center"/>
                </w:tcPr>
                <w:p w14:paraId="077F7A0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w:t>
                  </w:r>
                </w:p>
              </w:tc>
              <w:tc>
                <w:tcPr>
                  <w:tcW w:w="460" w:type="pct"/>
                  <w:noWrap w:val="0"/>
                  <w:vAlign w:val="center"/>
                </w:tcPr>
                <w:p w14:paraId="29634B2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054D44A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1</w:t>
                  </w:r>
                </w:p>
              </w:tc>
              <w:tc>
                <w:tcPr>
                  <w:tcW w:w="821" w:type="pct"/>
                  <w:noWrap w:val="0"/>
                  <w:vAlign w:val="center"/>
                </w:tcPr>
                <w:p w14:paraId="7DC4E0E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color w:val="000000"/>
                      <w:kern w:val="0"/>
                      <w:sz w:val="21"/>
                      <w:szCs w:val="21"/>
                      <w:lang w:val="en-US" w:eastAsia="zh-CN"/>
                    </w:rPr>
                    <w:t>4条挤压线共用；</w:t>
                  </w:r>
                  <w:r>
                    <w:rPr>
                      <w:rFonts w:hint="eastAsia" w:eastAsia="宋体" w:cs="Times New Roman"/>
                      <w:color w:val="000000"/>
                      <w:kern w:val="0"/>
                      <w:sz w:val="21"/>
                      <w:szCs w:val="21"/>
                      <w:lang w:val="en-US" w:eastAsia="zh-CN"/>
                    </w:rPr>
                    <w:t>天然气</w:t>
                  </w:r>
                  <w:r>
                    <w:rPr>
                      <w:rFonts w:hint="default" w:ascii="Times New Roman" w:hAnsi="Times New Roman" w:eastAsia="宋体" w:cs="Times New Roman"/>
                      <w:color w:val="000000"/>
                      <w:kern w:val="0"/>
                      <w:sz w:val="21"/>
                      <w:szCs w:val="21"/>
                      <w:lang w:val="en-US" w:eastAsia="zh-CN"/>
                    </w:rPr>
                    <w:t>加热</w:t>
                  </w:r>
                </w:p>
              </w:tc>
            </w:tr>
            <w:tr w14:paraId="31D4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0AC4AFE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11</w:t>
                  </w:r>
                </w:p>
              </w:tc>
              <w:tc>
                <w:tcPr>
                  <w:tcW w:w="1281" w:type="pct"/>
                  <w:noWrap w:val="0"/>
                  <w:vAlign w:val="center"/>
                </w:tcPr>
                <w:p w14:paraId="22EE9717">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起重机</w:t>
                  </w:r>
                </w:p>
              </w:tc>
              <w:tc>
                <w:tcPr>
                  <w:tcW w:w="1286" w:type="pct"/>
                  <w:noWrap w:val="0"/>
                  <w:vAlign w:val="center"/>
                </w:tcPr>
                <w:p w14:paraId="64408F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ascii="Times New Roman" w:hAnsi="Times New Roman" w:cs="Times New Roman" w:eastAsiaTheme="minorEastAsia"/>
                      <w:color w:val="000000"/>
                      <w:kern w:val="0"/>
                      <w:sz w:val="21"/>
                      <w:szCs w:val="21"/>
                      <w:lang w:val="en-US" w:eastAsia="zh-CN"/>
                    </w:rPr>
                    <w:t>/</w:t>
                  </w:r>
                </w:p>
              </w:tc>
              <w:tc>
                <w:tcPr>
                  <w:tcW w:w="460" w:type="pct"/>
                  <w:noWrap w:val="0"/>
                  <w:vAlign w:val="center"/>
                </w:tcPr>
                <w:p w14:paraId="7442AAE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7BD56F3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76AE8CC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4699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6"/>
                  <w:noWrap w:val="0"/>
                  <w:vAlign w:val="center"/>
                </w:tcPr>
                <w:p w14:paraId="39B18BE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b/>
                      <w:bCs/>
                      <w:color w:val="000000"/>
                      <w:kern w:val="0"/>
                      <w:sz w:val="21"/>
                      <w:szCs w:val="21"/>
                      <w:lang w:val="en-US" w:eastAsia="zh-CN"/>
                    </w:rPr>
                    <w:t>二、1000t挤压生产线（2条）</w:t>
                  </w:r>
                </w:p>
              </w:tc>
            </w:tr>
            <w:tr w14:paraId="45CF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15058CF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i w:val="0"/>
                      <w:iCs w:val="0"/>
                      <w:color w:val="000000"/>
                      <w:kern w:val="0"/>
                      <w:sz w:val="21"/>
                      <w:szCs w:val="21"/>
                      <w:u w:val="none"/>
                      <w:lang w:val="en-US" w:eastAsia="zh-CN" w:bidi="ar"/>
                    </w:rPr>
                    <w:t>12</w:t>
                  </w:r>
                </w:p>
              </w:tc>
              <w:tc>
                <w:tcPr>
                  <w:tcW w:w="1281" w:type="pct"/>
                  <w:noWrap w:val="0"/>
                  <w:vAlign w:val="center"/>
                </w:tcPr>
                <w:p w14:paraId="4415D247">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b w:val="0"/>
                      <w:bCs w:val="0"/>
                      <w:color w:val="000000"/>
                      <w:kern w:val="0"/>
                      <w:sz w:val="21"/>
                      <w:szCs w:val="21"/>
                      <w:lang w:val="en-US" w:eastAsia="zh-CN"/>
                    </w:rPr>
                  </w:pPr>
                  <w:r>
                    <w:rPr>
                      <w:rFonts w:hint="eastAsia" w:cs="Times New Roman" w:eastAsiaTheme="minorEastAsia"/>
                      <w:i w:val="0"/>
                      <w:iCs w:val="0"/>
                      <w:color w:val="000000"/>
                      <w:kern w:val="0"/>
                      <w:sz w:val="21"/>
                      <w:szCs w:val="21"/>
                      <w:u w:val="none"/>
                      <w:lang w:val="en-US" w:eastAsia="zh-CN" w:bidi="ar"/>
                    </w:rPr>
                    <w:t>单</w:t>
                  </w:r>
                  <w:r>
                    <w:rPr>
                      <w:rFonts w:hint="default" w:ascii="Times New Roman" w:hAnsi="Times New Roman" w:cs="Times New Roman" w:eastAsiaTheme="minorEastAsia"/>
                      <w:i w:val="0"/>
                      <w:iCs w:val="0"/>
                      <w:color w:val="000000"/>
                      <w:kern w:val="0"/>
                      <w:sz w:val="21"/>
                      <w:szCs w:val="21"/>
                      <w:u w:val="none"/>
                      <w:lang w:val="en-US" w:eastAsia="zh-CN" w:bidi="ar"/>
                    </w:rPr>
                    <w:t>棒炉（φ</w:t>
                  </w:r>
                  <w:r>
                    <w:rPr>
                      <w:rFonts w:hint="eastAsia" w:cs="Times New Roman" w:eastAsiaTheme="minorEastAsia"/>
                      <w:i w:val="0"/>
                      <w:iCs w:val="0"/>
                      <w:color w:val="000000"/>
                      <w:kern w:val="0"/>
                      <w:sz w:val="21"/>
                      <w:szCs w:val="21"/>
                      <w:u w:val="none"/>
                      <w:lang w:val="en-US" w:eastAsia="zh-CN" w:bidi="ar"/>
                    </w:rPr>
                    <w:t>120</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286" w:type="pct"/>
                  <w:noWrap w:val="0"/>
                  <w:vAlign w:val="center"/>
                </w:tcPr>
                <w:p w14:paraId="423DF9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eastAsiaTheme="minorEastAsia"/>
                      <w:color w:val="auto"/>
                      <w:kern w:val="0"/>
                      <w:sz w:val="21"/>
                      <w:szCs w:val="21"/>
                      <w:lang w:val="en-US" w:eastAsia="zh-CN" w:bidi="ar-SA"/>
                    </w:rPr>
                    <w:t>10</w:t>
                  </w:r>
                  <w:r>
                    <w:rPr>
                      <w:rFonts w:hint="default" w:ascii="Times New Roman" w:hAnsi="Times New Roman" w:cs="Times New Roman" w:eastAsiaTheme="minorEastAsia"/>
                      <w:color w:val="auto"/>
                      <w:kern w:val="0"/>
                      <w:sz w:val="21"/>
                      <w:szCs w:val="21"/>
                      <w:lang w:val="en-US" w:eastAsia="zh-CN" w:bidi="ar-SA"/>
                    </w:rPr>
                    <w:t>00T/</w:t>
                  </w:r>
                  <w:r>
                    <w:rPr>
                      <w:rFonts w:hint="eastAsia" w:cs="Times New Roman" w:eastAsiaTheme="minorEastAsia"/>
                      <w:color w:val="auto"/>
                      <w:kern w:val="0"/>
                      <w:sz w:val="21"/>
                      <w:szCs w:val="21"/>
                      <w:lang w:val="en-US" w:eastAsia="zh-CN" w:bidi="ar-SA"/>
                    </w:rPr>
                    <w:t>120</w:t>
                  </w:r>
                </w:p>
              </w:tc>
              <w:tc>
                <w:tcPr>
                  <w:tcW w:w="460" w:type="pct"/>
                  <w:noWrap w:val="0"/>
                  <w:vAlign w:val="center"/>
                </w:tcPr>
                <w:p w14:paraId="48C64EC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403329A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2F74E29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eastAsia="宋体" w:cs="Times New Roman"/>
                      <w:color w:val="000000"/>
                      <w:kern w:val="0"/>
                      <w:sz w:val="21"/>
                      <w:szCs w:val="21"/>
                      <w:lang w:val="en-US" w:eastAsia="zh-CN"/>
                    </w:rPr>
                    <w:t>天然气</w:t>
                  </w:r>
                  <w:r>
                    <w:rPr>
                      <w:rFonts w:hint="default" w:ascii="Times New Roman" w:hAnsi="Times New Roman" w:eastAsia="宋体" w:cs="Times New Roman"/>
                      <w:color w:val="000000"/>
                      <w:kern w:val="0"/>
                      <w:sz w:val="21"/>
                      <w:szCs w:val="21"/>
                      <w:lang w:val="en-US" w:eastAsia="zh-CN"/>
                    </w:rPr>
                    <w:t>加热</w:t>
                  </w:r>
                </w:p>
              </w:tc>
            </w:tr>
            <w:tr w14:paraId="5F73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6B244E9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i w:val="0"/>
                      <w:iCs w:val="0"/>
                      <w:color w:val="000000"/>
                      <w:kern w:val="0"/>
                      <w:sz w:val="21"/>
                      <w:szCs w:val="21"/>
                      <w:u w:val="none"/>
                      <w:lang w:val="en-US" w:eastAsia="zh-CN" w:bidi="ar"/>
                    </w:rPr>
                    <w:t>13</w:t>
                  </w:r>
                </w:p>
              </w:tc>
              <w:tc>
                <w:tcPr>
                  <w:tcW w:w="1281" w:type="pct"/>
                  <w:noWrap w:val="0"/>
                  <w:vAlign w:val="center"/>
                </w:tcPr>
                <w:p w14:paraId="1469C47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热剪机</w:t>
                  </w:r>
                </w:p>
              </w:tc>
              <w:tc>
                <w:tcPr>
                  <w:tcW w:w="1286" w:type="pct"/>
                  <w:noWrap w:val="0"/>
                  <w:vAlign w:val="center"/>
                </w:tcPr>
                <w:p w14:paraId="5CD3DB3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w:t>
                  </w:r>
                </w:p>
              </w:tc>
              <w:tc>
                <w:tcPr>
                  <w:tcW w:w="460" w:type="pct"/>
                  <w:noWrap w:val="0"/>
                  <w:vAlign w:val="center"/>
                </w:tcPr>
                <w:p w14:paraId="5A62676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14D55D0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755F4D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654E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0C3C720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1</w:t>
                  </w:r>
                  <w:r>
                    <w:rPr>
                      <w:rFonts w:hint="eastAsia" w:cs="Times New Roman" w:eastAsiaTheme="minorEastAsia"/>
                      <w:i w:val="0"/>
                      <w:iCs w:val="0"/>
                      <w:color w:val="000000"/>
                      <w:kern w:val="0"/>
                      <w:sz w:val="21"/>
                      <w:szCs w:val="21"/>
                      <w:u w:val="none"/>
                      <w:lang w:val="en-US" w:eastAsia="zh-CN" w:bidi="ar"/>
                    </w:rPr>
                    <w:t>4</w:t>
                  </w:r>
                </w:p>
              </w:tc>
              <w:tc>
                <w:tcPr>
                  <w:tcW w:w="1281" w:type="pct"/>
                  <w:noWrap w:val="0"/>
                  <w:vAlign w:val="center"/>
                </w:tcPr>
                <w:p w14:paraId="48C7474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牵引机</w:t>
                  </w:r>
                </w:p>
              </w:tc>
              <w:tc>
                <w:tcPr>
                  <w:tcW w:w="1286" w:type="pct"/>
                  <w:noWrap w:val="0"/>
                  <w:vAlign w:val="center"/>
                </w:tcPr>
                <w:p w14:paraId="4F2E03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eastAsiaTheme="minorEastAsia"/>
                      <w:color w:val="auto"/>
                      <w:kern w:val="0"/>
                      <w:sz w:val="21"/>
                      <w:szCs w:val="21"/>
                      <w:lang w:val="en-US" w:eastAsia="zh-CN" w:bidi="ar-SA"/>
                    </w:rPr>
                    <w:t>10</w:t>
                  </w:r>
                  <w:r>
                    <w:rPr>
                      <w:rFonts w:hint="default" w:ascii="Times New Roman" w:hAnsi="Times New Roman" w:cs="Times New Roman" w:eastAsiaTheme="minorEastAsia"/>
                      <w:color w:val="auto"/>
                      <w:kern w:val="0"/>
                      <w:sz w:val="21"/>
                      <w:szCs w:val="21"/>
                      <w:lang w:val="en-US" w:eastAsia="zh-CN" w:bidi="ar-SA"/>
                    </w:rPr>
                    <w:t>00T</w:t>
                  </w:r>
                </w:p>
              </w:tc>
              <w:tc>
                <w:tcPr>
                  <w:tcW w:w="460" w:type="pct"/>
                  <w:noWrap w:val="0"/>
                  <w:vAlign w:val="center"/>
                </w:tcPr>
                <w:p w14:paraId="0A59FBB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314B5F0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023149B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0DB5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1A04C7F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i w:val="0"/>
                      <w:iCs w:val="0"/>
                      <w:color w:val="000000"/>
                      <w:kern w:val="0"/>
                      <w:sz w:val="21"/>
                      <w:szCs w:val="21"/>
                      <w:u w:val="none"/>
                      <w:lang w:val="en-US" w:eastAsia="zh-CN" w:bidi="ar"/>
                    </w:rPr>
                    <w:t>15</w:t>
                  </w:r>
                </w:p>
              </w:tc>
              <w:tc>
                <w:tcPr>
                  <w:tcW w:w="1281" w:type="pct"/>
                  <w:noWrap w:val="0"/>
                  <w:vAlign w:val="center"/>
                </w:tcPr>
                <w:p w14:paraId="0301C5C3">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挤压机</w:t>
                  </w:r>
                </w:p>
              </w:tc>
              <w:tc>
                <w:tcPr>
                  <w:tcW w:w="1286" w:type="pct"/>
                  <w:noWrap w:val="0"/>
                  <w:vAlign w:val="center"/>
                </w:tcPr>
                <w:p w14:paraId="584FEF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eastAsia" w:cs="Times New Roman" w:eastAsiaTheme="minorEastAsia"/>
                      <w:color w:val="auto"/>
                      <w:kern w:val="0"/>
                      <w:sz w:val="21"/>
                      <w:szCs w:val="21"/>
                      <w:lang w:val="en-US" w:eastAsia="zh-CN" w:bidi="ar-SA"/>
                    </w:rPr>
                    <w:t>10</w:t>
                  </w:r>
                  <w:r>
                    <w:rPr>
                      <w:rFonts w:hint="default" w:ascii="Times New Roman" w:hAnsi="Times New Roman" w:cs="Times New Roman" w:eastAsiaTheme="minorEastAsia"/>
                      <w:color w:val="auto"/>
                      <w:kern w:val="0"/>
                      <w:sz w:val="21"/>
                      <w:szCs w:val="21"/>
                      <w:lang w:val="en-US" w:eastAsia="zh-CN" w:bidi="ar-SA"/>
                    </w:rPr>
                    <w:t>00T</w:t>
                  </w:r>
                </w:p>
              </w:tc>
              <w:tc>
                <w:tcPr>
                  <w:tcW w:w="460" w:type="pct"/>
                  <w:noWrap w:val="0"/>
                  <w:vAlign w:val="center"/>
                </w:tcPr>
                <w:p w14:paraId="59CBE7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2C37C05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4083EC2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6E1A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0A474CF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16</w:t>
                  </w:r>
                </w:p>
              </w:tc>
              <w:tc>
                <w:tcPr>
                  <w:tcW w:w="1281" w:type="pct"/>
                  <w:noWrap w:val="0"/>
                  <w:vAlign w:val="center"/>
                </w:tcPr>
                <w:p w14:paraId="709BEA9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eastAsia="宋体" w:cs="Times New Roman"/>
                      <w:b w:val="0"/>
                      <w:bCs w:val="0"/>
                      <w:color w:val="000000"/>
                      <w:kern w:val="0"/>
                      <w:sz w:val="21"/>
                      <w:szCs w:val="21"/>
                      <w:lang w:val="en-US" w:eastAsia="zh-CN"/>
                    </w:rPr>
                    <w:t>模具炉</w:t>
                  </w:r>
                </w:p>
              </w:tc>
              <w:tc>
                <w:tcPr>
                  <w:tcW w:w="1286" w:type="pct"/>
                  <w:noWrap w:val="0"/>
                  <w:vAlign w:val="center"/>
                </w:tcPr>
                <w:p w14:paraId="71D3189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36kw</w:t>
                  </w:r>
                </w:p>
              </w:tc>
              <w:tc>
                <w:tcPr>
                  <w:tcW w:w="460" w:type="pct"/>
                  <w:noWrap w:val="0"/>
                  <w:vAlign w:val="center"/>
                </w:tcPr>
                <w:p w14:paraId="4BAAB55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0FD56BE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248C611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电加热</w:t>
                  </w:r>
                </w:p>
              </w:tc>
            </w:tr>
            <w:tr w14:paraId="5942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6142EEA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17</w:t>
                  </w:r>
                </w:p>
              </w:tc>
              <w:tc>
                <w:tcPr>
                  <w:tcW w:w="1281" w:type="pct"/>
                  <w:noWrap w:val="0"/>
                  <w:vAlign w:val="center"/>
                </w:tcPr>
                <w:p w14:paraId="68EA1C8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风冷</w:t>
                  </w:r>
                  <w:r>
                    <w:rPr>
                      <w:rFonts w:hint="default" w:ascii="Times New Roman" w:hAnsi="Times New Roman" w:eastAsia="宋体" w:cs="Times New Roman"/>
                      <w:b w:val="0"/>
                      <w:bCs w:val="0"/>
                      <w:i w:val="0"/>
                      <w:iCs w:val="0"/>
                      <w:color w:val="000000"/>
                      <w:kern w:val="0"/>
                      <w:sz w:val="21"/>
                      <w:szCs w:val="21"/>
                      <w:u w:val="none"/>
                      <w:lang w:val="en-US" w:eastAsia="zh-CN" w:bidi="ar"/>
                    </w:rPr>
                    <w:t>淬火设备</w:t>
                  </w:r>
                </w:p>
              </w:tc>
              <w:tc>
                <w:tcPr>
                  <w:tcW w:w="1286" w:type="pct"/>
                  <w:noWrap w:val="0"/>
                  <w:vAlign w:val="center"/>
                </w:tcPr>
                <w:p w14:paraId="3CAEEB8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460" w:type="pct"/>
                  <w:noWrap w:val="0"/>
                  <w:vAlign w:val="center"/>
                </w:tcPr>
                <w:p w14:paraId="7C0971B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7D43908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3037ED8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2222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1416BD2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color w:val="000000"/>
                      <w:kern w:val="0"/>
                      <w:sz w:val="21"/>
                      <w:szCs w:val="21"/>
                      <w:lang w:val="en-US" w:eastAsia="zh-CN"/>
                    </w:rPr>
                    <w:t>1</w:t>
                  </w:r>
                  <w:r>
                    <w:rPr>
                      <w:rFonts w:hint="eastAsia" w:cs="Times New Roman" w:eastAsiaTheme="minorEastAsia"/>
                      <w:color w:val="000000"/>
                      <w:kern w:val="0"/>
                      <w:sz w:val="21"/>
                      <w:szCs w:val="21"/>
                      <w:lang w:val="en-US" w:eastAsia="zh-CN"/>
                    </w:rPr>
                    <w:t>8</w:t>
                  </w:r>
                </w:p>
              </w:tc>
              <w:tc>
                <w:tcPr>
                  <w:tcW w:w="1281" w:type="pct"/>
                  <w:noWrap w:val="0"/>
                  <w:vAlign w:val="center"/>
                </w:tcPr>
                <w:p w14:paraId="04BA7A0C">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冷床</w:t>
                  </w:r>
                </w:p>
              </w:tc>
              <w:tc>
                <w:tcPr>
                  <w:tcW w:w="1286" w:type="pct"/>
                  <w:noWrap w:val="0"/>
                  <w:vAlign w:val="center"/>
                </w:tcPr>
                <w:p w14:paraId="2848BF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color w:val="auto"/>
                      <w:kern w:val="0"/>
                      <w:sz w:val="21"/>
                      <w:szCs w:val="21"/>
                      <w:lang w:val="en-US" w:eastAsia="zh-CN" w:bidi="ar-SA"/>
                    </w:rPr>
                    <w:t>10</w:t>
                  </w:r>
                  <w:r>
                    <w:rPr>
                      <w:rFonts w:hint="default" w:ascii="Times New Roman" w:hAnsi="Times New Roman" w:cs="Times New Roman" w:eastAsiaTheme="minorEastAsia"/>
                      <w:color w:val="auto"/>
                      <w:kern w:val="0"/>
                      <w:sz w:val="21"/>
                      <w:szCs w:val="21"/>
                      <w:lang w:val="en-US" w:eastAsia="zh-CN" w:bidi="ar-SA"/>
                    </w:rPr>
                    <w:t>00T</w:t>
                  </w:r>
                </w:p>
              </w:tc>
              <w:tc>
                <w:tcPr>
                  <w:tcW w:w="460" w:type="pct"/>
                  <w:noWrap w:val="0"/>
                  <w:vAlign w:val="center"/>
                </w:tcPr>
                <w:p w14:paraId="75BB591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366D75D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0228B0E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230C4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7FC58D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cs="Times New Roman" w:eastAsiaTheme="minorEastAsia"/>
                      <w:color w:val="000000"/>
                      <w:kern w:val="0"/>
                      <w:sz w:val="21"/>
                      <w:szCs w:val="21"/>
                      <w:lang w:val="en-US" w:eastAsia="zh-CN"/>
                    </w:rPr>
                    <w:t>1</w:t>
                  </w:r>
                  <w:r>
                    <w:rPr>
                      <w:rFonts w:hint="eastAsia" w:cs="Times New Roman" w:eastAsiaTheme="minorEastAsia"/>
                      <w:color w:val="000000"/>
                      <w:kern w:val="0"/>
                      <w:sz w:val="21"/>
                      <w:szCs w:val="21"/>
                      <w:lang w:val="en-US" w:eastAsia="zh-CN"/>
                    </w:rPr>
                    <w:t>9</w:t>
                  </w:r>
                </w:p>
              </w:tc>
              <w:tc>
                <w:tcPr>
                  <w:tcW w:w="2016" w:type="dxa"/>
                  <w:noWrap w:val="0"/>
                  <w:vAlign w:val="center"/>
                </w:tcPr>
                <w:p w14:paraId="337C8421">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拉直机</w:t>
                  </w:r>
                </w:p>
              </w:tc>
              <w:tc>
                <w:tcPr>
                  <w:tcW w:w="2024" w:type="dxa"/>
                  <w:noWrap w:val="0"/>
                  <w:vAlign w:val="center"/>
                </w:tcPr>
                <w:p w14:paraId="6D7449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eastAsiaTheme="minorEastAsia"/>
                      <w:color w:val="auto"/>
                      <w:kern w:val="0"/>
                      <w:sz w:val="21"/>
                      <w:szCs w:val="21"/>
                      <w:lang w:val="en-US" w:eastAsia="zh-CN" w:bidi="ar-SA"/>
                    </w:rPr>
                  </w:pPr>
                  <w:r>
                    <w:rPr>
                      <w:rFonts w:hint="eastAsia" w:cs="Times New Roman" w:eastAsiaTheme="minorEastAsia"/>
                      <w:color w:val="auto"/>
                      <w:kern w:val="0"/>
                      <w:sz w:val="21"/>
                      <w:szCs w:val="21"/>
                      <w:lang w:val="en-US" w:eastAsia="zh-CN" w:bidi="ar-SA"/>
                    </w:rPr>
                    <w:t>35</w:t>
                  </w:r>
                  <w:r>
                    <w:rPr>
                      <w:rFonts w:hint="default" w:ascii="Times New Roman" w:hAnsi="Times New Roman" w:cs="Times New Roman" w:eastAsiaTheme="minorEastAsia"/>
                      <w:color w:val="auto"/>
                      <w:kern w:val="0"/>
                      <w:sz w:val="21"/>
                      <w:szCs w:val="21"/>
                      <w:lang w:val="en-US" w:eastAsia="zh-CN" w:bidi="ar-SA"/>
                    </w:rPr>
                    <w:t>T</w:t>
                  </w:r>
                </w:p>
              </w:tc>
              <w:tc>
                <w:tcPr>
                  <w:tcW w:w="724" w:type="dxa"/>
                  <w:noWrap w:val="0"/>
                  <w:vAlign w:val="center"/>
                </w:tcPr>
                <w:p w14:paraId="2CF657D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982" w:type="dxa"/>
                  <w:noWrap w:val="0"/>
                  <w:vAlign w:val="center"/>
                </w:tcPr>
                <w:p w14:paraId="6B24C4A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cs="Times New Roman" w:eastAsiaTheme="minorEastAsia"/>
                      <w:b w:val="0"/>
                      <w:bCs w:val="0"/>
                      <w:i w:val="0"/>
                      <w:iCs w:val="0"/>
                      <w:color w:val="000000"/>
                      <w:kern w:val="0"/>
                      <w:sz w:val="21"/>
                      <w:szCs w:val="21"/>
                      <w:u w:val="none"/>
                      <w:lang w:val="en-US" w:eastAsia="zh-CN" w:bidi="ar"/>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1505C65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4F1AE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9" w:type="dxa"/>
                  <w:noWrap w:val="0"/>
                  <w:vAlign w:val="center"/>
                </w:tcPr>
                <w:p w14:paraId="2C48B8D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color w:val="000000"/>
                      <w:kern w:val="0"/>
                      <w:sz w:val="21"/>
                      <w:szCs w:val="21"/>
                      <w:lang w:val="en-US" w:eastAsia="zh-CN"/>
                    </w:rPr>
                    <w:t>20</w:t>
                  </w:r>
                </w:p>
              </w:tc>
              <w:tc>
                <w:tcPr>
                  <w:tcW w:w="1281" w:type="pct"/>
                  <w:noWrap w:val="0"/>
                  <w:vAlign w:val="center"/>
                </w:tcPr>
                <w:p w14:paraId="1CD54F2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成品锯</w:t>
                  </w:r>
                </w:p>
              </w:tc>
              <w:tc>
                <w:tcPr>
                  <w:tcW w:w="1286" w:type="pct"/>
                  <w:noWrap w:val="0"/>
                  <w:vAlign w:val="center"/>
                </w:tcPr>
                <w:p w14:paraId="6139F14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460" w:type="pct"/>
                  <w:noWrap w:val="0"/>
                  <w:vAlign w:val="center"/>
                </w:tcPr>
                <w:p w14:paraId="68DAB94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台</w:t>
                  </w:r>
                </w:p>
              </w:tc>
              <w:tc>
                <w:tcPr>
                  <w:tcW w:w="624" w:type="pct"/>
                  <w:noWrap w:val="0"/>
                  <w:vAlign w:val="center"/>
                </w:tcPr>
                <w:p w14:paraId="452C8F4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eastAsiaTheme="minorEastAsia"/>
                      <w:b w:val="0"/>
                      <w:bCs w:val="0"/>
                      <w:color w:val="000000"/>
                      <w:kern w:val="0"/>
                      <w:sz w:val="21"/>
                      <w:szCs w:val="21"/>
                      <w:lang w:val="en-US" w:eastAsia="zh-CN"/>
                    </w:rPr>
                  </w:pPr>
                  <w:r>
                    <w:rPr>
                      <w:rFonts w:hint="eastAsia" w:cs="Times New Roman"/>
                      <w:b w:val="0"/>
                      <w:bCs w:val="0"/>
                      <w:i w:val="0"/>
                      <w:iCs w:val="0"/>
                      <w:color w:val="000000"/>
                      <w:kern w:val="0"/>
                      <w:sz w:val="21"/>
                      <w:szCs w:val="21"/>
                      <w:u w:val="none"/>
                      <w:lang w:val="en-US" w:eastAsia="zh-CN" w:bidi="ar"/>
                    </w:rPr>
                    <w:t>2</w:t>
                  </w:r>
                </w:p>
              </w:tc>
              <w:tc>
                <w:tcPr>
                  <w:tcW w:w="821" w:type="pct"/>
                  <w:noWrap w:val="0"/>
                  <w:vAlign w:val="center"/>
                </w:tcPr>
                <w:p w14:paraId="1DB4BC3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626F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2E7FFB8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color w:val="000000"/>
                      <w:kern w:val="0"/>
                      <w:sz w:val="21"/>
                      <w:szCs w:val="21"/>
                      <w:lang w:val="en-US" w:eastAsia="zh-CN"/>
                    </w:rPr>
                    <w:t>21</w:t>
                  </w:r>
                </w:p>
              </w:tc>
              <w:tc>
                <w:tcPr>
                  <w:tcW w:w="1281" w:type="pct"/>
                  <w:noWrap w:val="0"/>
                  <w:vAlign w:val="center"/>
                </w:tcPr>
                <w:p w14:paraId="358A5298">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bottom"/>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cs="Times New Roman" w:eastAsiaTheme="minorEastAsia"/>
                      <w:i w:val="0"/>
                      <w:iCs w:val="0"/>
                      <w:color w:val="000000"/>
                      <w:kern w:val="0"/>
                      <w:sz w:val="21"/>
                      <w:szCs w:val="21"/>
                      <w:u w:val="none"/>
                      <w:lang w:val="en-US" w:eastAsia="zh-CN" w:bidi="ar"/>
                    </w:rPr>
                    <w:t>起重机</w:t>
                  </w:r>
                </w:p>
              </w:tc>
              <w:tc>
                <w:tcPr>
                  <w:tcW w:w="1286" w:type="pct"/>
                  <w:noWrap w:val="0"/>
                  <w:vAlign w:val="center"/>
                </w:tcPr>
                <w:p w14:paraId="2348FE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ascii="Times New Roman" w:hAnsi="Times New Roman" w:cs="Times New Roman" w:eastAsiaTheme="minorEastAsia"/>
                      <w:color w:val="000000"/>
                      <w:kern w:val="0"/>
                      <w:sz w:val="21"/>
                      <w:szCs w:val="21"/>
                      <w:lang w:val="en-US" w:eastAsia="zh-CN"/>
                    </w:rPr>
                    <w:t>/</w:t>
                  </w:r>
                </w:p>
              </w:tc>
              <w:tc>
                <w:tcPr>
                  <w:tcW w:w="460" w:type="pct"/>
                  <w:noWrap w:val="0"/>
                  <w:vAlign w:val="center"/>
                </w:tcPr>
                <w:p w14:paraId="473DCA4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6AA59C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3FD6567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p>
              </w:tc>
            </w:tr>
            <w:tr w14:paraId="4A71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5000" w:type="pct"/>
                  <w:gridSpan w:val="6"/>
                  <w:noWrap w:val="0"/>
                  <w:vAlign w:val="center"/>
                </w:tcPr>
                <w:p w14:paraId="47B412E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b/>
                      <w:bCs/>
                      <w:color w:val="000000"/>
                      <w:kern w:val="0"/>
                      <w:sz w:val="21"/>
                      <w:szCs w:val="21"/>
                      <w:lang w:val="en-US" w:eastAsia="zh-CN"/>
                    </w:rPr>
                    <w:t>三</w:t>
                  </w:r>
                  <w:r>
                    <w:rPr>
                      <w:rFonts w:hint="eastAsia" w:ascii="Times New Roman" w:hAnsi="Times New Roman" w:eastAsia="宋体" w:cs="Times New Roman"/>
                      <w:b/>
                      <w:bCs/>
                      <w:color w:val="000000"/>
                      <w:kern w:val="0"/>
                      <w:sz w:val="21"/>
                      <w:szCs w:val="21"/>
                      <w:lang w:val="en-US" w:eastAsia="zh-CN"/>
                    </w:rPr>
                    <w:t>、检测及其他设备</w:t>
                  </w:r>
                </w:p>
              </w:tc>
            </w:tr>
            <w:tr w14:paraId="01BC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3A2C2DA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22</w:t>
                  </w:r>
                </w:p>
              </w:tc>
              <w:tc>
                <w:tcPr>
                  <w:tcW w:w="1281" w:type="pct"/>
                  <w:noWrap w:val="0"/>
                  <w:vAlign w:val="center"/>
                </w:tcPr>
                <w:p w14:paraId="4687488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color w:val="000000"/>
                      <w:kern w:val="0"/>
                      <w:sz w:val="21"/>
                      <w:szCs w:val="21"/>
                      <w:u w:val="none"/>
                      <w:lang w:val="en-US" w:eastAsia="zh-CN" w:bidi="ar"/>
                    </w:rPr>
                    <w:t>硬度计</w:t>
                  </w:r>
                </w:p>
              </w:tc>
              <w:tc>
                <w:tcPr>
                  <w:tcW w:w="1286" w:type="pct"/>
                  <w:noWrap w:val="0"/>
                  <w:vAlign w:val="center"/>
                </w:tcPr>
                <w:p w14:paraId="162505A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color w:val="000000"/>
                      <w:kern w:val="0"/>
                      <w:sz w:val="21"/>
                      <w:szCs w:val="21"/>
                      <w:u w:val="none"/>
                      <w:lang w:val="en-US" w:eastAsia="zh-CN" w:bidi="ar"/>
                    </w:rPr>
                    <w:t>洛/维氏硬度计</w:t>
                  </w:r>
                </w:p>
              </w:tc>
              <w:tc>
                <w:tcPr>
                  <w:tcW w:w="460" w:type="pct"/>
                  <w:noWrap w:val="0"/>
                  <w:vAlign w:val="center"/>
                </w:tcPr>
                <w:p w14:paraId="3470422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67890DB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color w:val="000000"/>
                      <w:kern w:val="0"/>
                      <w:sz w:val="21"/>
                      <w:szCs w:val="21"/>
                      <w:u w:val="none"/>
                      <w:lang w:val="en-US" w:eastAsia="zh-CN" w:bidi="ar"/>
                    </w:rPr>
                    <w:t>1</w:t>
                  </w:r>
                </w:p>
              </w:tc>
              <w:tc>
                <w:tcPr>
                  <w:tcW w:w="821" w:type="pct"/>
                  <w:noWrap w:val="0"/>
                  <w:vAlign w:val="center"/>
                </w:tcPr>
                <w:p w14:paraId="134B756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default" w:ascii="Times New Roman" w:hAnsi="Times New Roman" w:cs="Times New Roman" w:eastAsiaTheme="minorEastAsia"/>
                      <w:color w:val="000000"/>
                      <w:kern w:val="0"/>
                      <w:sz w:val="21"/>
                      <w:szCs w:val="21"/>
                      <w:lang w:val="en-US" w:eastAsia="zh-CN"/>
                    </w:rPr>
                    <w:t>检测设备</w:t>
                  </w:r>
                </w:p>
              </w:tc>
            </w:tr>
            <w:tr w14:paraId="12F4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7" w:type="pct"/>
                  <w:noWrap w:val="0"/>
                  <w:vAlign w:val="center"/>
                </w:tcPr>
                <w:p w14:paraId="4990F1D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eastAsia" w:cs="Times New Roman" w:eastAsiaTheme="minorEastAsia"/>
                      <w:i w:val="0"/>
                      <w:iCs w:val="0"/>
                      <w:color w:val="000000"/>
                      <w:kern w:val="0"/>
                      <w:sz w:val="21"/>
                      <w:szCs w:val="21"/>
                      <w:u w:val="none"/>
                      <w:lang w:val="en-US" w:eastAsia="zh-CN" w:bidi="ar"/>
                    </w:rPr>
                    <w:t>22</w:t>
                  </w:r>
                </w:p>
              </w:tc>
              <w:tc>
                <w:tcPr>
                  <w:tcW w:w="1281" w:type="pct"/>
                  <w:noWrap w:val="0"/>
                  <w:vAlign w:val="center"/>
                </w:tcPr>
                <w:p w14:paraId="04DB556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color w:val="000000"/>
                      <w:kern w:val="0"/>
                      <w:sz w:val="21"/>
                      <w:szCs w:val="21"/>
                      <w:u w:val="none"/>
                      <w:lang w:val="en-US" w:eastAsia="zh-CN" w:bidi="ar"/>
                    </w:rPr>
                    <w:t>螺杆式空压机</w:t>
                  </w:r>
                </w:p>
              </w:tc>
              <w:tc>
                <w:tcPr>
                  <w:tcW w:w="1286" w:type="pct"/>
                  <w:noWrap w:val="0"/>
                  <w:vAlign w:val="center"/>
                </w:tcPr>
                <w:p w14:paraId="35F7E96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color w:val="000000"/>
                      <w:kern w:val="0"/>
                      <w:sz w:val="21"/>
                      <w:szCs w:val="21"/>
                      <w:u w:val="none"/>
                      <w:lang w:val="en-US" w:eastAsia="zh-CN" w:bidi="ar"/>
                    </w:rPr>
                    <w:t>BK22-8</w:t>
                  </w:r>
                </w:p>
              </w:tc>
              <w:tc>
                <w:tcPr>
                  <w:tcW w:w="460" w:type="pct"/>
                  <w:noWrap w:val="0"/>
                  <w:vAlign w:val="center"/>
                </w:tcPr>
                <w:p w14:paraId="34485F2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kern w:val="0"/>
                      <w:sz w:val="21"/>
                      <w:szCs w:val="21"/>
                      <w:lang w:val="en-US" w:eastAsia="zh-CN"/>
                    </w:rPr>
                  </w:pPr>
                  <w:r>
                    <w:rPr>
                      <w:rFonts w:hint="default" w:ascii="Times New Roman" w:hAnsi="Times New Roman" w:cs="Times New Roman" w:eastAsiaTheme="minorEastAsia"/>
                      <w:b w:val="0"/>
                      <w:bCs w:val="0"/>
                      <w:color w:val="000000"/>
                      <w:kern w:val="0"/>
                      <w:sz w:val="21"/>
                      <w:szCs w:val="21"/>
                      <w:lang w:val="en-US" w:eastAsia="zh-CN"/>
                    </w:rPr>
                    <w:t>台</w:t>
                  </w:r>
                </w:p>
              </w:tc>
              <w:tc>
                <w:tcPr>
                  <w:tcW w:w="624" w:type="pct"/>
                  <w:noWrap w:val="0"/>
                  <w:vAlign w:val="center"/>
                </w:tcPr>
                <w:p w14:paraId="13F028C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cs="Times New Roman" w:eastAsiaTheme="minorEastAsia"/>
                      <w:b w:val="0"/>
                      <w:bCs w:val="0"/>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color w:val="000000"/>
                      <w:kern w:val="0"/>
                      <w:sz w:val="21"/>
                      <w:szCs w:val="21"/>
                      <w:u w:val="none"/>
                      <w:lang w:val="en-US" w:eastAsia="zh-CN" w:bidi="ar"/>
                    </w:rPr>
                    <w:t>2</w:t>
                  </w:r>
                </w:p>
              </w:tc>
              <w:tc>
                <w:tcPr>
                  <w:tcW w:w="821" w:type="pct"/>
                  <w:noWrap w:val="0"/>
                  <w:vAlign w:val="center"/>
                </w:tcPr>
                <w:p w14:paraId="067EA8B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0"/>
                      <w:sz w:val="21"/>
                      <w:szCs w:val="21"/>
                      <w:lang w:val="en-US" w:eastAsia="zh-CN"/>
                    </w:rPr>
                  </w:pPr>
                  <w:r>
                    <w:rPr>
                      <w:rFonts w:hint="eastAsia" w:cs="Times New Roman" w:eastAsiaTheme="minorEastAsia"/>
                      <w:color w:val="000000"/>
                      <w:kern w:val="0"/>
                      <w:sz w:val="21"/>
                      <w:szCs w:val="21"/>
                      <w:lang w:val="en-US" w:eastAsia="zh-CN"/>
                    </w:rPr>
                    <w:t>公用设备</w:t>
                  </w:r>
                </w:p>
              </w:tc>
            </w:tr>
          </w:tbl>
          <w:p w14:paraId="33163D25">
            <w:pPr>
              <w:pStyle w:val="43"/>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color w:val="000000" w:themeColor="text1"/>
                <w:lang w:val="en-US" w:eastAsia="zh-CN" w:bidi="ar-SA"/>
                <w14:textFill>
                  <w14:solidFill>
                    <w14:schemeClr w14:val="tx1"/>
                  </w14:solidFill>
                </w14:textFill>
              </w:rPr>
            </w:pPr>
            <w:r>
              <w:rPr>
                <w:rFonts w:hint="eastAsia" w:ascii="宋体" w:hAnsi="宋体" w:cs="宋体"/>
                <w:color w:val="000000"/>
                <w:kern w:val="0"/>
                <w:sz w:val="24"/>
                <w:szCs w:val="24"/>
                <w:lang w:val="en-US" w:eastAsia="zh-CN" w:bidi="ar"/>
              </w:rPr>
              <w:t>注：</w:t>
            </w:r>
            <w:r>
              <w:rPr>
                <w:rFonts w:hint="eastAsia" w:ascii="宋体" w:hAnsi="宋体" w:eastAsia="宋体" w:cs="宋体"/>
                <w:color w:val="000000"/>
                <w:kern w:val="0"/>
                <w:sz w:val="24"/>
                <w:szCs w:val="24"/>
                <w:lang w:val="en-US" w:eastAsia="zh-CN" w:bidi="ar"/>
              </w:rPr>
              <w:t>项目的生产设备无国家明令禁止和淘汰的设备。</w:t>
            </w:r>
          </w:p>
          <w:p w14:paraId="359734C6">
            <w:pPr>
              <w:pStyle w:val="43"/>
              <w:bidi w:val="0"/>
              <w:rPr>
                <w:rFonts w:hint="default"/>
                <w:b/>
                <w:bCs/>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7、项目水平衡</w:t>
            </w:r>
          </w:p>
          <w:p w14:paraId="267B7FFA">
            <w:pPr>
              <w:pStyle w:val="43"/>
              <w:bidi w:val="0"/>
              <w:spacing w:line="240" w:lineRule="auto"/>
              <w:rPr>
                <w:rFonts w:hint="eastAsia"/>
                <w:b w:val="0"/>
                <w:bCs w:val="0"/>
                <w:color w:val="000000" w:themeColor="text1"/>
                <w:lang w:val="en-US" w:eastAsia="zh-CN" w:bidi="ar-SA"/>
                <w14:textFill>
                  <w14:solidFill>
                    <w14:schemeClr w14:val="tx1"/>
                  </w14:solidFill>
                </w14:textFill>
              </w:rPr>
            </w:pPr>
            <w:r>
              <w:rPr>
                <w:rFonts w:hint="eastAsia"/>
                <w:b w:val="0"/>
                <w:bCs w:val="0"/>
                <w:color w:val="000000" w:themeColor="text1"/>
                <w:lang w:val="en-US" w:eastAsia="zh-CN" w:bidi="ar-SA"/>
                <w14:textFill>
                  <w14:solidFill>
                    <w14:schemeClr w14:val="tx1"/>
                  </w14:solidFill>
                </w14:textFill>
              </w:rPr>
              <w:t>项目水平</w:t>
            </w:r>
            <w:r>
              <w:rPr>
                <w:rFonts w:hint="eastAsia"/>
                <w:b w:val="0"/>
                <w:bCs w:val="0"/>
                <w:color w:val="000000" w:themeColor="text1"/>
                <w:highlight w:val="none"/>
                <w:lang w:val="en-US" w:eastAsia="zh-CN" w:bidi="ar-SA"/>
                <w14:textFill>
                  <w14:solidFill>
                    <w14:schemeClr w14:val="tx1"/>
                  </w14:solidFill>
                </w14:textFill>
              </w:rPr>
              <w:t>衡见下</w:t>
            </w:r>
            <w:r>
              <w:rPr>
                <w:rFonts w:hint="eastAsia"/>
                <w:b w:val="0"/>
                <w:bCs w:val="0"/>
                <w:color w:val="000000" w:themeColor="text1"/>
                <w:lang w:val="en-US" w:eastAsia="zh-CN" w:bidi="ar-SA"/>
                <w14:textFill>
                  <w14:solidFill>
                    <w14:schemeClr w14:val="tx1"/>
                  </w14:solidFill>
                </w14:textFill>
              </w:rPr>
              <w:t>图。</w:t>
            </w:r>
          </w:p>
          <w:p w14:paraId="0138D148">
            <w:pPr>
              <w:pStyle w:val="44"/>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color w:val="000000" w:themeColor="text1"/>
                <w:lang w:val="en-US" w:eastAsia="zh-CN" w:bidi="ar-SA"/>
                <w14:textFill>
                  <w14:solidFill>
                    <w14:schemeClr w14:val="tx1"/>
                  </w14:solidFill>
                </w14:textFill>
              </w:rPr>
            </w:pPr>
            <w:r>
              <w:rPr>
                <w:rFonts w:hint="default" w:ascii="Times New Roman" w:hAnsi="Times New Roman" w:cs="Times New Roman"/>
                <w:b/>
                <w:bCs/>
              </w:rPr>
              <w:object>
                <v:shape id="_x0000_i1025" o:spt="75" type="#_x0000_t75" style="height:154.7pt;width:396.7pt;" o:ole="t" filled="f" o:preferrelative="t" stroked="f" coordsize="21600,21600">
                  <v:path/>
                  <v:fill on="f" focussize="0,0"/>
                  <v:stroke on="f"/>
                  <v:imagedata r:id="rId11" croptop="18550f" cropbottom="8568f" o:title=""/>
                  <o:lock v:ext="edit" aspectratio="f"/>
                  <w10:wrap type="none"/>
                  <w10:anchorlock/>
                </v:shape>
                <o:OLEObject Type="Embed" ProgID="Visio.Drawing.15" ShapeID="_x0000_i1025" DrawAspect="Content" ObjectID="_1468075725" r:id="rId10">
                  <o:LockedField>false</o:LockedField>
                </o:OLEObject>
              </w:object>
            </w:r>
            <w:r>
              <w:rPr>
                <w:rFonts w:hint="eastAsia"/>
                <w:color w:val="000000" w:themeColor="text1"/>
                <w:lang w:val="en-US" w:eastAsia="zh-CN" w:bidi="ar-SA"/>
                <w14:textFill>
                  <w14:solidFill>
                    <w14:schemeClr w14:val="tx1"/>
                  </w14:solidFill>
                </w14:textFill>
              </w:rPr>
              <w:t>图2-1  项目</w:t>
            </w:r>
            <w:r>
              <w:rPr>
                <w:rFonts w:hint="eastAsia"/>
                <w:b/>
                <w:bCs w:val="0"/>
                <w:color w:val="000000" w:themeColor="text1"/>
                <w:lang w:val="en-US" w:eastAsia="zh-CN" w:bidi="ar-SA"/>
                <w14:textFill>
                  <w14:solidFill>
                    <w14:schemeClr w14:val="tx1"/>
                  </w14:solidFill>
                </w14:textFill>
              </w:rPr>
              <w:t>水平衡图（</w:t>
            </w:r>
            <w:r>
              <w:rPr>
                <w:rFonts w:hint="eastAsia"/>
                <w:color w:val="auto"/>
                <w:lang w:val="en-US" w:eastAsia="zh-CN" w:bidi="ar-SA"/>
              </w:rPr>
              <w:t>单</w:t>
            </w:r>
            <w:r>
              <w:rPr>
                <w:rFonts w:hint="eastAsia"/>
                <w:color w:val="000000" w:themeColor="text1"/>
                <w:lang w:val="en-US" w:eastAsia="zh-CN" w:bidi="ar-SA"/>
                <w14:textFill>
                  <w14:solidFill>
                    <w14:schemeClr w14:val="tx1"/>
                  </w14:solidFill>
                </w14:textFill>
              </w:rPr>
              <w:t>位：m</w:t>
            </w:r>
            <w:r>
              <w:rPr>
                <w:rFonts w:hint="eastAsia"/>
                <w:color w:val="000000" w:themeColor="text1"/>
                <w:vertAlign w:val="superscript"/>
                <w:lang w:val="en-US" w:eastAsia="zh-CN" w:bidi="ar-SA"/>
                <w14:textFill>
                  <w14:solidFill>
                    <w14:schemeClr w14:val="tx1"/>
                  </w14:solidFill>
                </w14:textFill>
              </w:rPr>
              <w:t>3</w:t>
            </w:r>
            <w:r>
              <w:rPr>
                <w:rFonts w:hint="eastAsia"/>
                <w:color w:val="000000" w:themeColor="text1"/>
                <w:vertAlign w:val="baseline"/>
                <w:lang w:val="en-US" w:eastAsia="zh-CN" w:bidi="ar-SA"/>
                <w14:textFill>
                  <w14:solidFill>
                    <w14:schemeClr w14:val="tx1"/>
                  </w14:solidFill>
                </w14:textFill>
              </w:rPr>
              <w:t>/d</w:t>
            </w:r>
            <w:r>
              <w:rPr>
                <w:rFonts w:hint="eastAsia"/>
                <w:color w:val="000000" w:themeColor="text1"/>
                <w:lang w:val="en-US" w:eastAsia="zh-CN" w:bidi="ar-SA"/>
                <w14:textFill>
                  <w14:solidFill>
                    <w14:schemeClr w14:val="tx1"/>
                  </w14:solidFill>
                </w14:textFill>
              </w:rPr>
              <w:t>）</w:t>
            </w:r>
          </w:p>
          <w:p w14:paraId="69AAA2F6">
            <w:pPr>
              <w:pStyle w:val="43"/>
              <w:bidi w:val="0"/>
              <w:rPr>
                <w:rFonts w:hint="default"/>
                <w:b/>
                <w:bCs/>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8、工作制度及劳动定员</w:t>
            </w:r>
          </w:p>
          <w:p w14:paraId="215117B6">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项目劳动定员20人，年工作日300天，一班制（白班8小时）生产，年有效工作时间为2400h。</w:t>
            </w:r>
          </w:p>
          <w:p w14:paraId="277C490D">
            <w:pPr>
              <w:pStyle w:val="43"/>
              <w:bidi w:val="0"/>
              <w:rPr>
                <w:rFonts w:hint="eastAsia"/>
                <w:b/>
                <w:bCs/>
                <w:color w:val="FF0000"/>
                <w:lang w:val="en-US" w:eastAsia="zh-CN" w:bidi="ar-SA"/>
              </w:rPr>
            </w:pPr>
            <w:r>
              <w:rPr>
                <w:rFonts w:hint="eastAsia"/>
                <w:b/>
                <w:bCs/>
                <w:color w:val="000000" w:themeColor="text1"/>
                <w:lang w:val="en-US" w:eastAsia="zh-CN" w:bidi="ar-SA"/>
                <w14:textFill>
                  <w14:solidFill>
                    <w14:schemeClr w14:val="tx1"/>
                  </w14:solidFill>
                </w14:textFill>
              </w:rPr>
              <w:t>9、厂区平面</w:t>
            </w:r>
            <w:r>
              <w:rPr>
                <w:rFonts w:hint="eastAsia"/>
                <w:b/>
                <w:bCs/>
                <w:color w:val="000000" w:themeColor="text1"/>
                <w:highlight w:val="none"/>
                <w:lang w:val="en-US" w:eastAsia="zh-CN" w:bidi="ar-SA"/>
                <w14:textFill>
                  <w14:solidFill>
                    <w14:schemeClr w14:val="tx1"/>
                  </w14:solidFill>
                </w14:textFill>
              </w:rPr>
              <w:t>布置</w:t>
            </w:r>
          </w:p>
          <w:p w14:paraId="6FE11FF8">
            <w:pPr>
              <w:pStyle w:val="43"/>
              <w:bidi w:val="0"/>
              <w:rPr>
                <w:rFonts w:hint="default"/>
                <w:color w:val="000000" w:themeColor="text1"/>
                <w:lang w:val="en-US" w:eastAsia="zh-CN" w:bidi="ar-SA"/>
                <w14:textFill>
                  <w14:solidFill>
                    <w14:schemeClr w14:val="tx1"/>
                  </w14:solidFill>
                </w14:textFill>
              </w:rPr>
            </w:pPr>
            <w:r>
              <w:rPr>
                <w:rFonts w:hint="default"/>
                <w:color w:val="000000" w:themeColor="text1"/>
                <w:lang w:val="en-US" w:eastAsia="zh-CN" w:bidi="ar-SA"/>
                <w14:textFill>
                  <w14:solidFill>
                    <w14:schemeClr w14:val="tx1"/>
                  </w14:solidFill>
                </w14:textFill>
              </w:rPr>
              <w:t>项目建设地点位于安徽省池州市江南产业集中区兴业大道以西，创裕金属以南，兴业大道25号</w:t>
            </w:r>
            <w:r>
              <w:rPr>
                <w:rFonts w:hint="eastAsia"/>
                <w:color w:val="000000" w:themeColor="text1"/>
                <w:lang w:val="en-US" w:eastAsia="zh-CN" w:bidi="ar-SA"/>
                <w14:textFill>
                  <w14:solidFill>
                    <w14:schemeClr w14:val="tx1"/>
                  </w14:solidFill>
                </w14:textFill>
              </w:rPr>
              <w:t>安徽恒铝科技有限公司2#</w:t>
            </w:r>
            <w:r>
              <w:rPr>
                <w:rFonts w:hint="default"/>
                <w:color w:val="000000" w:themeColor="text1"/>
                <w:lang w:val="en-US" w:eastAsia="zh-CN" w:bidi="ar-SA"/>
                <w14:textFill>
                  <w14:solidFill>
                    <w14:schemeClr w14:val="tx1"/>
                  </w14:solidFill>
                </w14:textFill>
              </w:rPr>
              <w:t>厂房</w:t>
            </w:r>
            <w:r>
              <w:rPr>
                <w:rFonts w:hint="eastAsia"/>
                <w:color w:val="000000" w:themeColor="text1"/>
                <w:lang w:val="en-US" w:eastAsia="zh-CN" w:bidi="ar-SA"/>
                <w14:textFill>
                  <w14:solidFill>
                    <w14:schemeClr w14:val="tx1"/>
                  </w14:solidFill>
                </w14:textFill>
              </w:rPr>
              <w:t>（北部）</w:t>
            </w:r>
            <w:r>
              <w:rPr>
                <w:rFonts w:hint="default"/>
                <w:color w:val="000000" w:themeColor="text1"/>
                <w:lang w:val="en-US" w:eastAsia="zh-CN" w:bidi="ar-SA"/>
                <w14:textFill>
                  <w14:solidFill>
                    <w14:schemeClr w14:val="tx1"/>
                  </w14:solidFill>
                </w14:textFill>
              </w:rPr>
              <w:t>。项目东侧为兴业大道，南侧为</w:t>
            </w:r>
            <w:r>
              <w:rPr>
                <w:rFonts w:hint="eastAsia"/>
                <w:color w:val="000000" w:themeColor="text1"/>
                <w:lang w:val="en-US" w:eastAsia="zh-CN" w:bidi="ar-SA"/>
                <w14:textFill>
                  <w14:solidFill>
                    <w14:schemeClr w14:val="tx1"/>
                  </w14:solidFill>
                </w14:textFill>
              </w:rPr>
              <w:t>安徽恒铝科技有限公司2#</w:t>
            </w:r>
            <w:r>
              <w:rPr>
                <w:rFonts w:hint="default"/>
                <w:color w:val="000000" w:themeColor="text1"/>
                <w:lang w:val="en-US" w:eastAsia="zh-CN" w:bidi="ar-SA"/>
                <w14:textFill>
                  <w14:solidFill>
                    <w14:schemeClr w14:val="tx1"/>
                  </w14:solidFill>
                </w14:textFill>
              </w:rPr>
              <w:t>厂房</w:t>
            </w:r>
            <w:r>
              <w:rPr>
                <w:rFonts w:hint="eastAsia"/>
                <w:color w:val="000000" w:themeColor="text1"/>
                <w:lang w:val="en-US" w:eastAsia="zh-CN" w:bidi="ar-SA"/>
                <w14:textFill>
                  <w14:solidFill>
                    <w14:schemeClr w14:val="tx1"/>
                  </w14:solidFill>
                </w14:textFill>
              </w:rPr>
              <w:t>（南部）</w:t>
            </w:r>
            <w:r>
              <w:rPr>
                <w:rFonts w:hint="default"/>
                <w:color w:val="000000" w:themeColor="text1"/>
                <w:lang w:val="en-US" w:eastAsia="zh-CN" w:bidi="ar-SA"/>
                <w14:textFill>
                  <w14:solidFill>
                    <w14:schemeClr w14:val="tx1"/>
                  </w14:solidFill>
                </w14:textFill>
              </w:rPr>
              <w:t>，西侧为</w:t>
            </w:r>
            <w:r>
              <w:rPr>
                <w:rFonts w:hint="eastAsia"/>
                <w:color w:val="000000" w:themeColor="text1"/>
                <w:lang w:val="en-US" w:eastAsia="zh-CN" w:bidi="ar-SA"/>
                <w14:textFill>
                  <w14:solidFill>
                    <w14:schemeClr w14:val="tx1"/>
                  </w14:solidFill>
                </w14:textFill>
              </w:rPr>
              <w:t>空地</w:t>
            </w:r>
            <w:r>
              <w:rPr>
                <w:rFonts w:hint="default"/>
                <w:color w:val="000000" w:themeColor="text1"/>
                <w:lang w:val="en-US" w:eastAsia="zh-CN" w:bidi="ar-SA"/>
                <w14:textFill>
                  <w14:solidFill>
                    <w14:schemeClr w14:val="tx1"/>
                  </w14:solidFill>
                </w14:textFill>
              </w:rPr>
              <w:t>，北侧为池州市创裕金属科技有限公司。</w:t>
            </w:r>
          </w:p>
          <w:p w14:paraId="739DC1CC">
            <w:pPr>
              <w:pStyle w:val="43"/>
              <w:bidi w:val="0"/>
              <w:rPr>
                <w:rFonts w:hint="default"/>
                <w:color w:val="000000" w:themeColor="text1"/>
                <w:lang w:val="en-US" w:eastAsia="zh-CN" w:bidi="ar-SA"/>
                <w14:textFill>
                  <w14:solidFill>
                    <w14:schemeClr w14:val="tx1"/>
                  </w14:solidFill>
                </w14:textFill>
              </w:rPr>
            </w:pPr>
            <w:r>
              <w:rPr>
                <w:rFonts w:hint="default"/>
                <w:color w:val="000000" w:themeColor="text1"/>
                <w:lang w:val="en-US" w:eastAsia="zh-CN" w:bidi="ar-SA"/>
                <w14:textFill>
                  <w14:solidFill>
                    <w14:schemeClr w14:val="tx1"/>
                  </w14:solidFill>
                </w14:textFill>
              </w:rPr>
              <w:t>项目</w:t>
            </w:r>
            <w:r>
              <w:rPr>
                <w:rFonts w:hint="eastAsia"/>
                <w:color w:val="000000" w:themeColor="text1"/>
                <w:lang w:val="en-US" w:eastAsia="zh-CN" w:bidi="ar-SA"/>
                <w14:textFill>
                  <w14:solidFill>
                    <w14:schemeClr w14:val="tx1"/>
                  </w14:solidFill>
                </w14:textFill>
              </w:rPr>
              <w:t>生产</w:t>
            </w:r>
            <w:r>
              <w:rPr>
                <w:rFonts w:hint="default"/>
                <w:color w:val="000000" w:themeColor="text1"/>
                <w:lang w:val="en-US" w:eastAsia="zh-CN" w:bidi="ar-SA"/>
                <w14:textFill>
                  <w14:solidFill>
                    <w14:schemeClr w14:val="tx1"/>
                  </w14:solidFill>
                </w14:textFill>
              </w:rPr>
              <w:t>车间自东向西</w:t>
            </w:r>
            <w:r>
              <w:rPr>
                <w:rFonts w:hint="eastAsia"/>
                <w:color w:val="000000" w:themeColor="text1"/>
                <w:lang w:val="en-US" w:eastAsia="zh-CN" w:bidi="ar-SA"/>
                <w14:textFill>
                  <w14:solidFill>
                    <w14:schemeClr w14:val="tx1"/>
                  </w14:solidFill>
                </w14:textFill>
              </w:rPr>
              <w:t>依次</w:t>
            </w:r>
            <w:r>
              <w:rPr>
                <w:rFonts w:hint="default"/>
                <w:color w:val="000000" w:themeColor="text1"/>
                <w:lang w:val="en-US" w:eastAsia="zh-CN" w:bidi="ar-SA"/>
                <w14:textFill>
                  <w14:solidFill>
                    <w14:schemeClr w14:val="tx1"/>
                  </w14:solidFill>
                </w14:textFill>
              </w:rPr>
              <w:t>布置有</w:t>
            </w:r>
            <w:r>
              <w:rPr>
                <w:rFonts w:hint="eastAsia"/>
                <w:color w:val="000000" w:themeColor="text1"/>
                <w:lang w:val="en-US" w:eastAsia="zh-CN" w:bidi="ar-SA"/>
                <w14:textFill>
                  <w14:solidFill>
                    <w14:schemeClr w14:val="tx1"/>
                  </w14:solidFill>
                </w14:textFill>
              </w:rPr>
              <w:t>2条10</w:t>
            </w:r>
            <w:r>
              <w:rPr>
                <w:rFonts w:hint="default"/>
                <w:color w:val="000000" w:themeColor="text1"/>
                <w:lang w:val="en-US" w:eastAsia="zh-CN" w:bidi="ar-SA"/>
                <w14:textFill>
                  <w14:solidFill>
                    <w14:schemeClr w14:val="tx1"/>
                  </w14:solidFill>
                </w14:textFill>
              </w:rPr>
              <w:t>00t挤压生产线</w:t>
            </w:r>
            <w:r>
              <w:rPr>
                <w:rFonts w:hint="eastAsia"/>
                <w:color w:val="000000" w:themeColor="text1"/>
                <w:lang w:val="en-US" w:eastAsia="zh-CN" w:bidi="ar-SA"/>
                <w14:textFill>
                  <w14:solidFill>
                    <w14:schemeClr w14:val="tx1"/>
                  </w14:solidFill>
                </w14:textFill>
              </w:rPr>
              <w:t>、时效炉、</w:t>
            </w:r>
            <w:r>
              <w:rPr>
                <w:rFonts w:hint="default"/>
                <w:color w:val="000000" w:themeColor="text1"/>
                <w:lang w:val="en-US" w:eastAsia="zh-CN" w:bidi="ar-SA"/>
                <w14:textFill>
                  <w14:solidFill>
                    <w14:schemeClr w14:val="tx1"/>
                  </w14:solidFill>
                </w14:textFill>
              </w:rPr>
              <w:t>铝棒堆存区、</w:t>
            </w:r>
            <w:r>
              <w:rPr>
                <w:rFonts w:hint="eastAsia"/>
                <w:color w:val="000000" w:themeColor="text1"/>
                <w:lang w:val="en-US" w:eastAsia="zh-CN" w:bidi="ar-SA"/>
                <w14:textFill>
                  <w14:solidFill>
                    <w14:schemeClr w14:val="tx1"/>
                  </w14:solidFill>
                </w14:textFill>
              </w:rPr>
              <w:t>2</w:t>
            </w:r>
            <w:r>
              <w:rPr>
                <w:rFonts w:hint="default"/>
                <w:color w:val="000000" w:themeColor="text1"/>
                <w:lang w:val="en-US" w:eastAsia="zh-CN" w:bidi="ar-SA"/>
                <w14:textFill>
                  <w14:solidFill>
                    <w14:schemeClr w14:val="tx1"/>
                  </w14:solidFill>
                </w14:textFill>
              </w:rPr>
              <w:t>条2000t挤压生产线，模具库和原料库位于</w:t>
            </w:r>
            <w:r>
              <w:rPr>
                <w:rFonts w:hint="eastAsia"/>
                <w:color w:val="000000" w:themeColor="text1"/>
                <w:lang w:val="en-US" w:eastAsia="zh-CN" w:bidi="ar-SA"/>
                <w14:textFill>
                  <w14:solidFill>
                    <w14:schemeClr w14:val="tx1"/>
                  </w14:solidFill>
                </w14:textFill>
              </w:rPr>
              <w:t>生产区南</w:t>
            </w:r>
            <w:r>
              <w:rPr>
                <w:rFonts w:hint="default"/>
                <w:color w:val="000000" w:themeColor="text1"/>
                <w:lang w:val="en-US" w:eastAsia="zh-CN" w:bidi="ar-SA"/>
                <w14:textFill>
                  <w14:solidFill>
                    <w14:schemeClr w14:val="tx1"/>
                  </w14:solidFill>
                </w14:textFill>
              </w:rPr>
              <w:t>侧；成品</w:t>
            </w:r>
            <w:r>
              <w:rPr>
                <w:rFonts w:hint="eastAsia"/>
                <w:color w:val="000000" w:themeColor="text1"/>
                <w:lang w:val="en-US" w:eastAsia="zh-CN" w:bidi="ar-SA"/>
                <w14:textFill>
                  <w14:solidFill>
                    <w14:schemeClr w14:val="tx1"/>
                  </w14:solidFill>
                </w14:textFill>
              </w:rPr>
              <w:t>区位于生产区西南侧</w:t>
            </w:r>
            <w:r>
              <w:rPr>
                <w:rFonts w:hint="default"/>
                <w:color w:val="000000" w:themeColor="text1"/>
                <w:lang w:val="en-US" w:eastAsia="zh-CN" w:bidi="ar-SA"/>
                <w14:textFill>
                  <w14:solidFill>
                    <w14:schemeClr w14:val="tx1"/>
                  </w14:solidFill>
                </w14:textFill>
              </w:rPr>
              <w:t>；一般固废库和危废库位于</w:t>
            </w:r>
            <w:r>
              <w:rPr>
                <w:rFonts w:hint="eastAsia"/>
                <w:color w:val="000000" w:themeColor="text1"/>
                <w:lang w:val="en-US" w:eastAsia="zh-CN" w:bidi="ar-SA"/>
                <w14:textFill>
                  <w14:solidFill>
                    <w14:schemeClr w14:val="tx1"/>
                  </w14:solidFill>
                </w14:textFill>
              </w:rPr>
              <w:t>生产区</w:t>
            </w:r>
            <w:r>
              <w:rPr>
                <w:rFonts w:hint="default"/>
                <w:color w:val="000000" w:themeColor="text1"/>
                <w:lang w:val="en-US" w:eastAsia="zh-CN" w:bidi="ar-SA"/>
                <w14:textFill>
                  <w14:solidFill>
                    <w14:schemeClr w14:val="tx1"/>
                  </w14:solidFill>
                </w14:textFill>
              </w:rPr>
              <w:t>西南侧。</w:t>
            </w:r>
          </w:p>
          <w:p w14:paraId="561E6F1F">
            <w:pPr>
              <w:pStyle w:val="43"/>
              <w:bidi w:val="0"/>
              <w:rPr>
                <w:rFonts w:hint="default"/>
                <w:color w:val="000000" w:themeColor="text1"/>
                <w:lang w:val="en-US" w:eastAsia="zh-CN" w:bidi="ar-SA"/>
                <w14:textFill>
                  <w14:solidFill>
                    <w14:schemeClr w14:val="tx1"/>
                  </w14:solidFill>
                </w14:textFill>
              </w:rPr>
            </w:pPr>
            <w:r>
              <w:rPr>
                <w:rFonts w:hint="default"/>
                <w:color w:val="000000" w:themeColor="text1"/>
                <w:lang w:val="en-US" w:eastAsia="zh-CN" w:bidi="ar-SA"/>
                <w14:textFill>
                  <w14:solidFill>
                    <w14:schemeClr w14:val="tx1"/>
                  </w14:solidFill>
                </w14:textFill>
              </w:rPr>
              <w:t>本项目的各构筑物及生产设施布置较为集中，相对合理。厂区道路对外交通便利，主要道路设置合理，厂区道路呈环形布置，厂区主出入口设置在</w:t>
            </w:r>
            <w:r>
              <w:rPr>
                <w:rFonts w:hint="eastAsia"/>
                <w:color w:val="000000" w:themeColor="text1"/>
                <w:lang w:val="en-US" w:eastAsia="zh-CN" w:bidi="ar-SA"/>
                <w14:textFill>
                  <w14:solidFill>
                    <w14:schemeClr w14:val="tx1"/>
                  </w14:solidFill>
                </w14:textFill>
              </w:rPr>
              <w:t>东</w:t>
            </w:r>
            <w:r>
              <w:rPr>
                <w:rFonts w:hint="default"/>
                <w:color w:val="000000" w:themeColor="text1"/>
                <w:lang w:val="en-US" w:eastAsia="zh-CN" w:bidi="ar-SA"/>
                <w14:textFill>
                  <w14:solidFill>
                    <w14:schemeClr w14:val="tx1"/>
                  </w14:solidFill>
                </w14:textFill>
              </w:rPr>
              <w:t>侧兴业大道上，能够满足正常运输要求和事故状态下的紧急疏散，符合环保、防火、安全、卫生等，有关规范的要求。具体布置详见附图4。</w:t>
            </w:r>
          </w:p>
        </w:tc>
      </w:tr>
    </w:tbl>
    <w:p w14:paraId="5DE2E4DA">
      <w:pPr>
        <w:jc w:val="both"/>
        <w:rPr>
          <w:rFonts w:hint="eastAsia" w:ascii="宋体" w:hAnsi="宋体" w:eastAsia="宋体" w:cs="宋体"/>
          <w:snapToGrid w:val="0"/>
          <w:color w:val="000000" w:themeColor="text1"/>
          <w:sz w:val="10"/>
          <w:szCs w:val="10"/>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D65C146">
      <w:pPr>
        <w:jc w:val="both"/>
        <w:outlineLvl w:val="1"/>
        <w:rPr>
          <w:rFonts w:hint="default" w:ascii="黑体" w:hAnsi="黑体" w:eastAsia="黑体" w:cs="黑体"/>
          <w:color w:val="000000" w:themeColor="text1"/>
          <w:sz w:val="30"/>
          <w:szCs w:val="30"/>
          <w:lang w:val="en-US" w:eastAsia="zh-CN"/>
          <w14:textFill>
            <w14:solidFill>
              <w14:schemeClr w14:val="tx1"/>
            </w14:solidFill>
          </w14:textFill>
        </w:rPr>
      </w:pPr>
      <w:r>
        <w:rPr>
          <w:rFonts w:hint="eastAsia" w:ascii="宋体" w:hAnsi="宋体" w:cs="宋体"/>
          <w:snapToGrid w:val="0"/>
          <w:color w:val="FFFFFF" w:themeColor="background1"/>
          <w:sz w:val="10"/>
          <w:szCs w:val="10"/>
          <w:lang w:val="en-US" w:eastAsia="zh-CN"/>
          <w14:textFill>
            <w14:solidFill>
              <w14:schemeClr w14:val="bg1"/>
            </w14:solidFill>
          </w14:textFill>
        </w:rPr>
        <w:t>工艺流程</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821"/>
      </w:tblGrid>
      <w:tr w14:paraId="516B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vAlign w:val="center"/>
          </w:tcPr>
          <w:p w14:paraId="2F7B1790">
            <w:pPr>
              <w:pStyle w:val="41"/>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ascii="Times New Roman" w:hAnsi="Times New Roman" w:eastAsia="宋体" w:cs="宋体"/>
                <w:color w:val="000000" w:themeColor="text1"/>
                <w:sz w:val="2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工艺流程</w:t>
            </w:r>
            <w:r>
              <w:rPr>
                <w:rFonts w:hint="eastAsia"/>
                <w:color w:val="000000" w:themeColor="text1"/>
                <w:highlight w:val="none"/>
                <w:lang w:val="en-US" w:eastAsia="zh-CN" w:bidi="ar-SA"/>
                <w14:textFill>
                  <w14:solidFill>
                    <w14:schemeClr w14:val="tx1"/>
                  </w14:solidFill>
                </w14:textFill>
              </w:rPr>
              <w:t>和</w:t>
            </w:r>
            <w:r>
              <w:rPr>
                <w:rFonts w:hint="eastAsia"/>
                <w:color w:val="000000" w:themeColor="text1"/>
                <w:lang w:val="en-US" w:eastAsia="zh-CN" w:bidi="ar-SA"/>
                <w14:textFill>
                  <w14:solidFill>
                    <w14:schemeClr w14:val="tx1"/>
                  </w14:solidFill>
                </w14:textFill>
              </w:rPr>
              <w:t>产排污环节</w:t>
            </w:r>
          </w:p>
        </w:tc>
        <w:tc>
          <w:tcPr>
            <w:tcW w:w="7821" w:type="dxa"/>
            <w:vAlign w:val="top"/>
          </w:tcPr>
          <w:p w14:paraId="1BF918BE">
            <w:pPr>
              <w:pStyle w:val="43"/>
              <w:keepNext w:val="0"/>
              <w:keepLines w:val="0"/>
              <w:pageBreakBefore w:val="0"/>
              <w:widowControl/>
              <w:kinsoku/>
              <w:wordWrap/>
              <w:overflowPunct/>
              <w:topLinePunct w:val="0"/>
              <w:autoSpaceDE/>
              <w:autoSpaceDN/>
              <w:bidi w:val="0"/>
              <w:adjustRightInd/>
              <w:snapToGrid/>
              <w:textAlignment w:val="auto"/>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1、本项目运营期生产工艺流程</w:t>
            </w:r>
          </w:p>
          <w:p w14:paraId="6268C100">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beforeAutospacing="0" w:afterAutospacing="0" w:line="360" w:lineRule="auto"/>
              <w:ind w:left="0" w:leftChars="0" w:right="0" w:rightChars="0" w:firstLine="480" w:firstLineChars="200"/>
              <w:textAlignment w:val="auto"/>
              <w:rPr>
                <w:rFonts w:hint="default" w:ascii="Times New Roman" w:hAnsi="Times New Roman" w:eastAsia="宋体" w:cs="Times New Roman"/>
                <w:b w:val="0"/>
                <w:bCs/>
                <w:color w:val="auto"/>
                <w:kern w:val="2"/>
                <w:sz w:val="24"/>
                <w:szCs w:val="24"/>
                <w:lang w:val="en-US" w:eastAsia="zh-CN" w:bidi="ar-SA"/>
              </w:rPr>
            </w:pPr>
            <w:bookmarkStart w:id="10" w:name="OLE_LINK7"/>
            <w:bookmarkStart w:id="11" w:name="OLE_LINK9"/>
            <w:bookmarkStart w:id="12" w:name="OLE_LINK10"/>
            <w:bookmarkStart w:id="13" w:name="OLE_LINK1"/>
            <w:r>
              <w:rPr>
                <w:rFonts w:hint="default" w:ascii="Times New Roman" w:hAnsi="Times New Roman" w:eastAsia="宋体" w:cs="Times New Roman"/>
                <w:b w:val="0"/>
                <w:bCs/>
                <w:color w:val="auto"/>
                <w:kern w:val="2"/>
                <w:sz w:val="24"/>
                <w:szCs w:val="24"/>
                <w:lang w:val="en-US" w:eastAsia="zh-CN" w:bidi="ar-SA"/>
              </w:rPr>
              <w:t>本项目营运期生产</w:t>
            </w:r>
            <w:r>
              <w:rPr>
                <w:rFonts w:hint="eastAsia" w:ascii="Times New Roman" w:hAnsi="Times New Roman" w:eastAsia="宋体" w:cs="Times New Roman"/>
                <w:b w:val="0"/>
                <w:bCs/>
                <w:color w:val="auto"/>
                <w:kern w:val="2"/>
                <w:sz w:val="24"/>
                <w:szCs w:val="24"/>
                <w:lang w:val="en-US" w:eastAsia="zh-CN" w:bidi="ar-SA"/>
              </w:rPr>
              <w:t>电子、汽车、智能机器人等科技行业用铝型材</w:t>
            </w:r>
            <w:r>
              <w:rPr>
                <w:rFonts w:hint="eastAsia" w:ascii="Times New Roman" w:hAnsi="Times New Roman" w:cs="Times New Roman"/>
                <w:b w:val="0"/>
                <w:bCs/>
                <w:color w:val="auto"/>
                <w:kern w:val="2"/>
                <w:sz w:val="24"/>
                <w:szCs w:val="24"/>
                <w:lang w:val="en-US" w:eastAsia="zh-CN" w:bidi="ar-SA"/>
              </w:rPr>
              <w:t>结构件</w:t>
            </w:r>
            <w:r>
              <w:rPr>
                <w:rFonts w:hint="eastAsia" w:ascii="Times New Roman" w:hAnsi="Times New Roman" w:eastAsia="宋体" w:cs="Times New Roman"/>
                <w:b w:val="0"/>
                <w:bCs/>
                <w:color w:val="auto"/>
                <w:kern w:val="2"/>
                <w:sz w:val="24"/>
                <w:szCs w:val="24"/>
                <w:lang w:val="en-US" w:eastAsia="zh-CN" w:bidi="ar-SA"/>
              </w:rPr>
              <w:t>，4条</w:t>
            </w:r>
            <w:r>
              <w:rPr>
                <w:rFonts w:hint="eastAsia" w:ascii="Times New Roman" w:hAnsi="Times New Roman" w:cs="Times New Roman"/>
                <w:b w:val="0"/>
                <w:bCs/>
                <w:color w:val="auto"/>
                <w:kern w:val="2"/>
                <w:sz w:val="24"/>
                <w:szCs w:val="24"/>
                <w:lang w:val="en-US" w:eastAsia="zh-CN" w:bidi="ar-SA"/>
              </w:rPr>
              <w:t>挤压</w:t>
            </w:r>
            <w:r>
              <w:rPr>
                <w:rFonts w:hint="eastAsia" w:ascii="Times New Roman" w:hAnsi="Times New Roman" w:eastAsia="宋体" w:cs="Times New Roman"/>
                <w:b w:val="0"/>
                <w:bCs/>
                <w:color w:val="auto"/>
                <w:kern w:val="2"/>
                <w:sz w:val="24"/>
                <w:szCs w:val="24"/>
                <w:lang w:val="en-US" w:eastAsia="zh-CN" w:bidi="ar-SA"/>
              </w:rPr>
              <w:t>生产线</w:t>
            </w:r>
            <w:r>
              <w:rPr>
                <w:rFonts w:hint="eastAsia" w:ascii="Times New Roman" w:hAnsi="Times New Roman" w:cs="Times New Roman"/>
                <w:b w:val="0"/>
                <w:bCs/>
                <w:color w:val="auto"/>
                <w:kern w:val="2"/>
                <w:sz w:val="24"/>
                <w:szCs w:val="24"/>
                <w:lang w:val="en-US" w:eastAsia="zh-CN" w:bidi="ar-SA"/>
              </w:rPr>
              <w:t>（2条700t、2条1000t）</w:t>
            </w:r>
            <w:r>
              <w:rPr>
                <w:rFonts w:hint="eastAsia" w:ascii="Times New Roman" w:hAnsi="Times New Roman" w:eastAsia="宋体" w:cs="Times New Roman"/>
                <w:b w:val="0"/>
                <w:bCs/>
                <w:color w:val="auto"/>
                <w:kern w:val="2"/>
                <w:sz w:val="24"/>
                <w:szCs w:val="24"/>
                <w:lang w:val="en-US" w:eastAsia="zh-CN" w:bidi="ar-SA"/>
              </w:rPr>
              <w:t>主要通过调整模具进行相关产品生产，且过程中均不使用脱模剂，相关</w:t>
            </w:r>
            <w:r>
              <w:rPr>
                <w:rFonts w:hint="default" w:ascii="Times New Roman" w:hAnsi="Times New Roman" w:eastAsia="宋体" w:cs="Times New Roman"/>
                <w:b w:val="0"/>
                <w:bCs/>
                <w:color w:val="auto"/>
                <w:kern w:val="2"/>
                <w:sz w:val="24"/>
                <w:szCs w:val="24"/>
                <w:lang w:val="en-US" w:eastAsia="zh-CN" w:bidi="ar-SA"/>
              </w:rPr>
              <w:t>生产工艺流程及产污节点如下：</w:t>
            </w:r>
          </w:p>
          <w:bookmarkEnd w:id="10"/>
          <w:bookmarkEnd w:id="11"/>
          <w:bookmarkEnd w:id="12"/>
          <w:bookmarkEnd w:id="13"/>
          <w:p w14:paraId="7217FA6B">
            <w:pPr>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object>
                <v:shape id="_x0000_i1026" o:spt="75" type="#_x0000_t75" style="height:441pt;width:310.35pt;" o:ole="t" filled="f" o:preferrelative="t" stroked="f" coordsize="21600,21600">
                  <v:path/>
                  <v:fill on="f" focussize="0,0"/>
                  <v:stroke on="f"/>
                  <v:imagedata r:id="rId13" croptop="4515f" cropbottom="9466f" o:title=""/>
                  <o:lock v:ext="edit" aspectratio="f"/>
                  <w10:wrap type="none"/>
                  <w10:anchorlock/>
                </v:shape>
                <o:OLEObject Type="Embed" ProgID="Visio.Drawing.15" ShapeID="_x0000_i1026" DrawAspect="Content" ObjectID="_1468075726" r:id="rId12">
                  <o:LockedField>false</o:LockedField>
                </o:OLEObject>
              </w:object>
            </w:r>
          </w:p>
          <w:p w14:paraId="6BFB222A">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cs="Times New Roman"/>
                <w:color w:val="auto"/>
                <w:lang w:val="en-US" w:eastAsia="zh-CN"/>
              </w:rPr>
            </w:pPr>
            <w:r>
              <w:rPr>
                <w:rFonts w:hint="default" w:ascii="Times New Roman" w:hAnsi="Times New Roman" w:cs="Times New Roman"/>
                <w:b/>
                <w:bCs/>
              </w:rPr>
              <w:t>图</w:t>
            </w:r>
            <w:r>
              <w:rPr>
                <w:rFonts w:hint="eastAsia" w:ascii="Times New Roman" w:hAnsi="Times New Roman" w:cs="Times New Roman"/>
                <w:b/>
                <w:bCs/>
                <w:lang w:val="en-US" w:eastAsia="zh-CN"/>
              </w:rPr>
              <w:t xml:space="preserve"> </w:t>
            </w:r>
            <w:r>
              <w:rPr>
                <w:rFonts w:hint="default" w:ascii="Times New Roman" w:hAnsi="Times New Roman" w:cs="Times New Roman"/>
                <w:b/>
                <w:bCs/>
              </w:rPr>
              <w:fldChar w:fldCharType="begin"/>
            </w:r>
            <w:r>
              <w:rPr>
                <w:rFonts w:hint="default" w:ascii="Times New Roman" w:hAnsi="Times New Roman" w:cs="Times New Roman"/>
                <w:b/>
                <w:bCs/>
              </w:rPr>
              <w:instrText xml:space="preserve"> STYLEREF 1 \s </w:instrText>
            </w:r>
            <w:r>
              <w:rPr>
                <w:rFonts w:hint="default" w:ascii="Times New Roman" w:hAnsi="Times New Roman" w:cs="Times New Roman"/>
                <w:b/>
                <w:bCs/>
              </w:rPr>
              <w:fldChar w:fldCharType="separate"/>
            </w:r>
            <w:r>
              <w:rPr>
                <w:rFonts w:hint="default" w:ascii="Times New Roman" w:hAnsi="Times New Roman" w:cs="Times New Roman"/>
                <w:b/>
                <w:bCs/>
              </w:rPr>
              <w:t>2</w:t>
            </w:r>
            <w:r>
              <w:rPr>
                <w:rFonts w:hint="default" w:ascii="Times New Roman" w:hAnsi="Times New Roman" w:cs="Times New Roman"/>
                <w:b/>
                <w:bCs/>
              </w:rPr>
              <w:fldChar w:fldCharType="end"/>
            </w:r>
            <w:r>
              <w:rPr>
                <w:rFonts w:hint="default" w:ascii="Times New Roman" w:hAnsi="Times New Roman" w:cs="Times New Roman"/>
                <w:b/>
                <w:bCs/>
              </w:rPr>
              <w:noBreakHyphen/>
            </w:r>
            <w:r>
              <w:rPr>
                <w:rFonts w:hint="default" w:ascii="Times New Roman" w:hAnsi="Times New Roman" w:cs="Times New Roman"/>
                <w:b/>
                <w:bCs/>
              </w:rPr>
              <w:fldChar w:fldCharType="begin"/>
            </w:r>
            <w:r>
              <w:rPr>
                <w:rFonts w:hint="default" w:ascii="Times New Roman" w:hAnsi="Times New Roman" w:cs="Times New Roman"/>
                <w:b/>
                <w:bCs/>
              </w:rPr>
              <w:instrText xml:space="preserve"> SEQ 图 \* ARABIC \s 1 </w:instrText>
            </w:r>
            <w:r>
              <w:rPr>
                <w:rFonts w:hint="default" w:ascii="Times New Roman" w:hAnsi="Times New Roman" w:cs="Times New Roman"/>
                <w:b/>
                <w:bCs/>
              </w:rPr>
              <w:fldChar w:fldCharType="separate"/>
            </w:r>
            <w:r>
              <w:rPr>
                <w:rFonts w:hint="default" w:ascii="Times New Roman" w:hAnsi="Times New Roman" w:cs="Times New Roman"/>
                <w:b/>
                <w:bCs/>
              </w:rPr>
              <w:t>2</w:t>
            </w:r>
            <w:r>
              <w:rPr>
                <w:rFonts w:hint="default" w:ascii="Times New Roman" w:hAnsi="Times New Roman" w:cs="Times New Roman"/>
                <w:b/>
                <w:bCs/>
              </w:rPr>
              <w:fldChar w:fldCharType="end"/>
            </w:r>
            <w:r>
              <w:rPr>
                <w:rFonts w:hint="eastAsia" w:ascii="Times New Roman" w:hAnsi="Times New Roman" w:eastAsia="宋体" w:cs="Times New Roman"/>
                <w:b/>
                <w:bCs/>
                <w:color w:val="000000"/>
                <w:szCs w:val="24"/>
                <w:lang w:val="en-US" w:eastAsia="zh-CN" w:bidi="ar"/>
              </w:rPr>
              <w:t xml:space="preserve">  </w:t>
            </w:r>
            <w:r>
              <w:rPr>
                <w:rFonts w:hint="default" w:ascii="Times New Roman" w:hAnsi="Times New Roman" w:cs="Times New Roman"/>
                <w:b/>
                <w:color w:val="auto"/>
                <w:sz w:val="24"/>
                <w:szCs w:val="24"/>
                <w:lang w:val="en-US" w:eastAsia="zh-CN"/>
              </w:rPr>
              <w:t>项目</w:t>
            </w:r>
            <w:r>
              <w:rPr>
                <w:rFonts w:hint="eastAsia" w:ascii="Times New Roman" w:hAnsi="Times New Roman" w:cs="Times New Roman"/>
                <w:b/>
                <w:color w:val="auto"/>
                <w:sz w:val="24"/>
                <w:szCs w:val="24"/>
                <w:lang w:val="en-US" w:eastAsia="zh-CN"/>
              </w:rPr>
              <w:t>汽车零部件</w:t>
            </w:r>
            <w:r>
              <w:rPr>
                <w:rFonts w:hint="default" w:ascii="Times New Roman" w:hAnsi="Times New Roman" w:cs="Times New Roman"/>
                <w:b/>
                <w:color w:val="auto"/>
                <w:sz w:val="24"/>
                <w:szCs w:val="24"/>
                <w:lang w:val="en-US" w:eastAsia="zh-CN"/>
              </w:rPr>
              <w:t>生产</w:t>
            </w:r>
            <w:r>
              <w:rPr>
                <w:rFonts w:hint="default" w:ascii="Times New Roman" w:hAnsi="Times New Roman" w:cs="Times New Roman"/>
                <w:b/>
                <w:color w:val="auto"/>
                <w:sz w:val="24"/>
                <w:szCs w:val="24"/>
              </w:rPr>
              <w:t>工艺流程及产污节点图</w:t>
            </w:r>
          </w:p>
          <w:p w14:paraId="214442E1">
            <w:pPr>
              <w:spacing w:line="360" w:lineRule="auto"/>
              <w:ind w:firstLine="482" w:firstLineChars="200"/>
              <w:rPr>
                <w:rFonts w:hint="default" w:ascii="Times New Roman" w:hAnsi="Times New Roman" w:cs="Times New Roman"/>
                <w:b/>
                <w:color w:val="auto"/>
                <w:sz w:val="24"/>
                <w:szCs w:val="24"/>
              </w:rPr>
            </w:pPr>
            <w:r>
              <w:rPr>
                <w:rFonts w:hint="eastAsia" w:ascii="Times New Roman" w:hAnsi="Times New Roman" w:cs="Times New Roman"/>
                <w:b/>
                <w:color w:val="auto"/>
                <w:sz w:val="24"/>
                <w:szCs w:val="24"/>
                <w:lang w:val="en-US" w:eastAsia="zh-CN"/>
              </w:rPr>
              <w:t>注：</w:t>
            </w:r>
            <w:r>
              <w:rPr>
                <w:rFonts w:hint="default" w:ascii="Times New Roman" w:hAnsi="Times New Roman" w:cs="Times New Roman"/>
                <w:b/>
                <w:color w:val="auto"/>
                <w:sz w:val="24"/>
                <w:szCs w:val="24"/>
              </w:rPr>
              <w:t>本项目不生产模具，所有模具由模具供应商提供，在生产过程中，大多模具使用一定时间后会出现软化。为了提高模具的使用寿命，并节约生产成本，项目对模具进行定期维护，模具维护工序均委外处置，不在本厂区内进行。</w:t>
            </w:r>
          </w:p>
          <w:p w14:paraId="5A67C772">
            <w:pPr>
              <w:spacing w:line="360" w:lineRule="auto"/>
              <w:ind w:firstLine="482" w:firstLineChars="200"/>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rPr>
              <w:t>工艺流程简述</w:t>
            </w:r>
            <w:r>
              <w:rPr>
                <w:rFonts w:hint="default" w:ascii="Times New Roman" w:hAnsi="Times New Roman" w:cs="Times New Roman"/>
                <w:b/>
                <w:color w:val="auto"/>
                <w:sz w:val="24"/>
                <w:szCs w:val="24"/>
                <w:lang w:eastAsia="zh-CN"/>
              </w:rPr>
              <w:t>：</w:t>
            </w:r>
          </w:p>
          <w:p w14:paraId="15028319">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（1）</w:t>
            </w:r>
            <w:r>
              <w:rPr>
                <w:rFonts w:hint="eastAsia" w:cs="Times New Roman"/>
                <w:color w:val="000000"/>
                <w:sz w:val="24"/>
                <w:szCs w:val="24"/>
                <w:lang w:val="en-US" w:eastAsia="zh-CN"/>
              </w:rPr>
              <w:t>单棒炉</w:t>
            </w:r>
            <w:r>
              <w:rPr>
                <w:rFonts w:hint="eastAsia" w:ascii="Times New Roman" w:hAnsi="Times New Roman" w:eastAsia="宋体" w:cs="Times New Roman"/>
                <w:color w:val="000000"/>
                <w:sz w:val="24"/>
                <w:szCs w:val="24"/>
                <w:lang w:val="en-US" w:eastAsia="zh-CN"/>
              </w:rPr>
              <w:t>加热：铝棒加热温度为460~520℃，单棒</w:t>
            </w:r>
            <w:r>
              <w:rPr>
                <w:rFonts w:hint="eastAsia" w:cs="Times New Roman"/>
                <w:color w:val="000000"/>
                <w:sz w:val="24"/>
                <w:szCs w:val="24"/>
                <w:lang w:val="en-US" w:eastAsia="zh-CN"/>
              </w:rPr>
              <w:t>炉</w:t>
            </w:r>
            <w:r>
              <w:rPr>
                <w:rFonts w:hint="eastAsia" w:ascii="Times New Roman" w:hAnsi="Times New Roman" w:eastAsia="宋体" w:cs="Times New Roman"/>
                <w:color w:val="000000"/>
                <w:sz w:val="24"/>
                <w:szCs w:val="24"/>
                <w:lang w:val="en-US" w:eastAsia="zh-CN"/>
              </w:rPr>
              <w:t>采用天然气为燃料，该过程燃烧天然气会有废气G1</w:t>
            </w:r>
            <w:r>
              <w:rPr>
                <w:rFonts w:hint="eastAsia" w:cs="Times New Roman"/>
                <w:color w:val="000000"/>
                <w:sz w:val="24"/>
                <w:szCs w:val="24"/>
                <w:lang w:val="en-US" w:eastAsia="zh-CN"/>
              </w:rPr>
              <w:t>-1</w:t>
            </w:r>
            <w:r>
              <w:rPr>
                <w:rFonts w:hint="eastAsia" w:ascii="Times New Roman" w:hAnsi="Times New Roman" w:eastAsia="宋体" w:cs="Times New Roman"/>
                <w:color w:val="000000"/>
                <w:sz w:val="24"/>
                <w:szCs w:val="24"/>
                <w:lang w:val="en-US" w:eastAsia="zh-CN"/>
              </w:rPr>
              <w:t>产生。本项目使用铝棒含少量铜、铁、锰、铬等金属，但由于最高加热温度为520℃左右，该温度下无金属烟尘产生。</w:t>
            </w:r>
          </w:p>
          <w:p w14:paraId="659076F8">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（2）热剪切：加热好的铝棒需趁热用铝棒加热炉自带的热剪机进行热剪，以达到挤压工序所需的铝棒长度。</w:t>
            </w:r>
          </w:p>
          <w:p w14:paraId="6CA6B5D8">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挤压：铝棒挤压前首先要加热模具，将模具放入模具加热炉（电加热）内通过间接加热至350~550℃，并保温2h后才可使用。将加热过后的铝棒送挤压机进行挤压，挤压过程要严格控制挤压温度和挤压速度。挤压速度为空心型材5-20m/min，实心型材为10~30mmin。</w:t>
            </w:r>
          </w:p>
          <w:p w14:paraId="4142FE79">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4</w:t>
            </w:r>
            <w:r>
              <w:rPr>
                <w:rFonts w:hint="eastAsia" w:ascii="Times New Roman" w:hAnsi="Times New Roman" w:eastAsia="宋体" w:cs="Times New Roman"/>
                <w:color w:val="000000"/>
                <w:sz w:val="24"/>
                <w:szCs w:val="24"/>
                <w:lang w:val="en-US" w:eastAsia="zh-CN"/>
              </w:rPr>
              <w:t>）风冷淬火</w:t>
            </w:r>
            <w:r>
              <w:rPr>
                <w:rFonts w:hint="eastAsia"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为了将在高温下固溶于</w:t>
            </w:r>
            <w:r>
              <w:rPr>
                <w:rFonts w:hint="eastAsia" w:cs="Times New Roman"/>
                <w:color w:val="000000"/>
                <w:sz w:val="24"/>
                <w:szCs w:val="24"/>
                <w:lang w:val="en-US" w:eastAsia="zh-CN"/>
              </w:rPr>
              <w:t>基体</w:t>
            </w:r>
            <w:r>
              <w:rPr>
                <w:rFonts w:hint="eastAsia" w:ascii="Times New Roman" w:hAnsi="Times New Roman" w:eastAsia="宋体" w:cs="Times New Roman"/>
                <w:color w:val="000000"/>
                <w:sz w:val="24"/>
                <w:szCs w:val="24"/>
                <w:lang w:val="en-US" w:eastAsia="zh-CN"/>
              </w:rPr>
              <w:t>金属中的Mg</w:t>
            </w:r>
            <w:r>
              <w:rPr>
                <w:rFonts w:hint="eastAsia" w:cs="Times New Roman"/>
                <w:color w:val="000000"/>
                <w:sz w:val="24"/>
                <w:szCs w:val="24"/>
                <w:vertAlign w:val="subscript"/>
                <w:lang w:val="en-US" w:eastAsia="zh-CN"/>
              </w:rPr>
              <w:t>2</w:t>
            </w:r>
            <w:r>
              <w:rPr>
                <w:rFonts w:hint="eastAsia" w:ascii="Times New Roman" w:hAnsi="Times New Roman" w:eastAsia="宋体" w:cs="Times New Roman"/>
                <w:color w:val="000000"/>
                <w:sz w:val="24"/>
                <w:szCs w:val="24"/>
                <w:lang w:val="en-US" w:eastAsia="zh-CN"/>
              </w:rPr>
              <w:t>Si流出模孔后经过快速冷却到室温而被保留下来，冷却速度和强化程度成正比，通过改变风机和风扇转数改变冷却强度，使型材张力矫正前温度降至2</w:t>
            </w:r>
            <w:r>
              <w:rPr>
                <w:rFonts w:hint="eastAsia" w:cs="Times New Roman"/>
                <w:color w:val="000000"/>
                <w:sz w:val="24"/>
                <w:szCs w:val="24"/>
                <w:lang w:val="en-US" w:eastAsia="zh-CN"/>
              </w:rPr>
              <w:t>00</w:t>
            </w: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以下</w:t>
            </w:r>
            <w:r>
              <w:rPr>
                <w:rFonts w:hint="eastAsia" w:ascii="Times New Roman" w:hAnsi="Times New Roman" w:eastAsia="宋体" w:cs="Times New Roman"/>
                <w:color w:val="000000"/>
                <w:sz w:val="24"/>
                <w:szCs w:val="24"/>
                <w:lang w:val="en-US" w:eastAsia="zh-CN"/>
              </w:rPr>
              <w:t>。</w:t>
            </w:r>
          </w:p>
          <w:p w14:paraId="51D3156C">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5</w:t>
            </w:r>
            <w:r>
              <w:rPr>
                <w:rFonts w:hint="eastAsia" w:ascii="Times New Roman" w:hAnsi="Times New Roman" w:eastAsia="宋体" w:cs="Times New Roman"/>
                <w:color w:val="000000"/>
                <w:sz w:val="24"/>
                <w:szCs w:val="24"/>
                <w:lang w:val="en-US" w:eastAsia="zh-CN"/>
              </w:rPr>
              <w:t>）调直矫正：型材出模孔后，利用冷床自带牵引机进行牵引，牵引机工作时给型材一定的牵引张力，与型材流出速度同步移动。张力矫正除了可以消除型材纵向形状的不整齐外还可以消除其残余应力，提高强度特性并保持其良好的表面。</w:t>
            </w:r>
          </w:p>
          <w:p w14:paraId="73EADAF3">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6</w:t>
            </w:r>
            <w:r>
              <w:rPr>
                <w:rFonts w:hint="eastAsia" w:ascii="Times New Roman" w:hAnsi="Times New Roman" w:eastAsia="宋体" w:cs="Times New Roman"/>
                <w:color w:val="000000"/>
                <w:sz w:val="24"/>
                <w:szCs w:val="24"/>
                <w:lang w:val="en-US" w:eastAsia="zh-CN"/>
              </w:rPr>
              <w:t>）锯切</w:t>
            </w:r>
            <w:r>
              <w:rPr>
                <w:rFonts w:hint="eastAsia" w:cs="Times New Roman"/>
                <w:color w:val="000000"/>
                <w:sz w:val="24"/>
                <w:szCs w:val="24"/>
                <w:lang w:val="en-US" w:eastAsia="zh-CN"/>
              </w:rPr>
              <w:t>定尺</w:t>
            </w:r>
            <w:r>
              <w:rPr>
                <w:rFonts w:hint="eastAsia" w:ascii="Times New Roman" w:hAnsi="Times New Roman" w:eastAsia="宋体" w:cs="Times New Roman"/>
                <w:color w:val="000000"/>
                <w:sz w:val="24"/>
                <w:szCs w:val="24"/>
                <w:lang w:val="en-US" w:eastAsia="zh-CN"/>
              </w:rPr>
              <w:t>：经张力矫正的型材需在架子上自然冷却，用冷床自带的锯切机进行定尺锯切，以获得符合要求的半成品，该过程锯切工序会有锯切废气G2.1产生。</w:t>
            </w:r>
          </w:p>
          <w:p w14:paraId="3C893E88">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7</w:t>
            </w:r>
            <w:r>
              <w:rPr>
                <w:rFonts w:hint="eastAsia" w:ascii="Times New Roman" w:hAnsi="Times New Roman" w:eastAsia="宋体" w:cs="Times New Roman"/>
                <w:color w:val="000000"/>
                <w:sz w:val="24"/>
                <w:szCs w:val="24"/>
                <w:lang w:val="en-US" w:eastAsia="zh-CN"/>
              </w:rPr>
              <w:t>）装框：锯切后铝型材装框，便于后续时效工序加工。</w:t>
            </w:r>
          </w:p>
          <w:p w14:paraId="12C614F4">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8</w:t>
            </w:r>
            <w:r>
              <w:rPr>
                <w:rFonts w:hint="eastAsia" w:ascii="Times New Roman" w:hAnsi="Times New Roman" w:eastAsia="宋体" w:cs="Times New Roman"/>
                <w:color w:val="000000"/>
                <w:sz w:val="24"/>
                <w:szCs w:val="24"/>
                <w:lang w:val="en-US" w:eastAsia="zh-CN"/>
              </w:rPr>
              <w:t>）时效：铝合金淬火以后的变形铝合金不能立即强化。它得到的是一种过饱和固溶体组织。这种过饱和固溶体不稳定，有自发分解的趋势。在一定温度下保持一定时间，使过饱和固溶体发生分解(称为脱溶)，引起铝合金强度和硬度大幅度提高，这种热处理过程称为时效。时效的目的就是为了消除铝型材内部产生的残余应力作用，稳固它的形状尺寸和强度以及硬度，使铝型材的最终力学性能得到稳定提高。检验合格后的型材经采用天然气为燃料的时效炉间接加热至170~200℃温度下保温1~3h，从而达到时效处理的效果。该过程时效炉燃烧天然气会有废气G</w:t>
            </w:r>
            <w:r>
              <w:rPr>
                <w:rFonts w:hint="eastAsia" w:cs="Times New Roman"/>
                <w:color w:val="000000"/>
                <w:sz w:val="24"/>
                <w:szCs w:val="24"/>
                <w:lang w:val="en-US" w:eastAsia="zh-CN"/>
              </w:rPr>
              <w:t>1-2</w:t>
            </w:r>
            <w:r>
              <w:rPr>
                <w:rFonts w:hint="eastAsia" w:ascii="Times New Roman" w:hAnsi="Times New Roman" w:eastAsia="宋体" w:cs="Times New Roman"/>
                <w:color w:val="000000"/>
                <w:sz w:val="24"/>
                <w:szCs w:val="24"/>
                <w:lang w:val="en-US" w:eastAsia="zh-CN"/>
              </w:rPr>
              <w:t>产生。</w:t>
            </w:r>
          </w:p>
          <w:p w14:paraId="231276A6">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9</w:t>
            </w:r>
            <w:r>
              <w:rPr>
                <w:rFonts w:hint="eastAsia" w:ascii="Times New Roman" w:hAnsi="Times New Roman" w:eastAsia="宋体" w:cs="Times New Roman"/>
                <w:color w:val="000000"/>
                <w:sz w:val="24"/>
                <w:szCs w:val="24"/>
                <w:lang w:val="en-US" w:eastAsia="zh-CN"/>
              </w:rPr>
              <w:t>）质检：对机加工后的汽车零部件进</w:t>
            </w:r>
            <w:r>
              <w:rPr>
                <w:rFonts w:hint="eastAsia" w:cs="Times New Roman"/>
                <w:color w:val="000000"/>
                <w:sz w:val="24"/>
                <w:szCs w:val="24"/>
                <w:lang w:val="en-US" w:eastAsia="zh-CN"/>
              </w:rPr>
              <w:t>外观检查和</w:t>
            </w:r>
            <w:r>
              <w:rPr>
                <w:rFonts w:hint="eastAsia" w:ascii="Times New Roman" w:hAnsi="Times New Roman" w:eastAsia="宋体" w:cs="Times New Roman"/>
                <w:color w:val="000000"/>
                <w:sz w:val="24"/>
                <w:szCs w:val="24"/>
                <w:lang w:val="en-US" w:eastAsia="zh-CN"/>
              </w:rPr>
              <w:t>硬度检测，不涉及化学试验及射线探伤等。</w:t>
            </w:r>
          </w:p>
          <w:p w14:paraId="3FBC9E19">
            <w:pPr>
              <w:pStyle w:val="4"/>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（1</w:t>
            </w:r>
            <w:r>
              <w:rPr>
                <w:rFonts w:hint="eastAsia" w:cs="Times New Roman"/>
                <w:color w:val="000000"/>
                <w:sz w:val="24"/>
                <w:szCs w:val="24"/>
                <w:lang w:val="en-US" w:eastAsia="zh-CN"/>
              </w:rPr>
              <w:t>0</w:t>
            </w:r>
            <w:r>
              <w:rPr>
                <w:rFonts w:hint="eastAsia" w:ascii="Times New Roman" w:hAnsi="Times New Roman" w:eastAsia="宋体" w:cs="Times New Roman"/>
                <w:color w:val="000000"/>
                <w:sz w:val="24"/>
                <w:szCs w:val="24"/>
                <w:lang w:val="en-US" w:eastAsia="zh-CN"/>
              </w:rPr>
              <w:t>）包装入库：最终合格产品经包装后入库。</w:t>
            </w:r>
          </w:p>
          <w:p w14:paraId="62A9FC79">
            <w:pPr>
              <w:pStyle w:val="43"/>
              <w:bidi w:val="0"/>
              <w:rPr>
                <w:rFonts w:hint="eastAsia"/>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2、主要污染工序</w:t>
            </w:r>
          </w:p>
          <w:p w14:paraId="0506DFF2">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本项目运营期主要污染分析详见下表：</w:t>
            </w:r>
          </w:p>
          <w:p w14:paraId="0744DD62">
            <w:pPr>
              <w:pStyle w:val="44"/>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表2-7  主要污染物分析一览表</w:t>
            </w:r>
          </w:p>
          <w:tbl>
            <w:tblPr>
              <w:tblStyle w:val="23"/>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473"/>
              <w:gridCol w:w="648"/>
              <w:gridCol w:w="2442"/>
              <w:gridCol w:w="1612"/>
              <w:gridCol w:w="1840"/>
            </w:tblGrid>
            <w:tr w14:paraId="2A6FED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noWrap w:val="0"/>
                  <w:vAlign w:val="center"/>
                </w:tcPr>
                <w:p w14:paraId="14AC400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类别</w:t>
                  </w:r>
                </w:p>
              </w:tc>
              <w:tc>
                <w:tcPr>
                  <w:tcW w:w="737" w:type="pct"/>
                  <w:gridSpan w:val="2"/>
                  <w:noWrap w:val="0"/>
                  <w:vAlign w:val="center"/>
                </w:tcPr>
                <w:p w14:paraId="6F29351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编号</w:t>
                  </w:r>
                </w:p>
              </w:tc>
              <w:tc>
                <w:tcPr>
                  <w:tcW w:w="1606" w:type="pct"/>
                  <w:noWrap w:val="0"/>
                  <w:vAlign w:val="center"/>
                </w:tcPr>
                <w:p w14:paraId="3B6C0A7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污染源名称</w:t>
                  </w:r>
                </w:p>
              </w:tc>
              <w:tc>
                <w:tcPr>
                  <w:tcW w:w="1060" w:type="pct"/>
                  <w:noWrap w:val="0"/>
                  <w:vAlign w:val="center"/>
                </w:tcPr>
                <w:p w14:paraId="594355F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产生工序</w:t>
                  </w:r>
                </w:p>
              </w:tc>
              <w:tc>
                <w:tcPr>
                  <w:tcW w:w="1210" w:type="pct"/>
                  <w:noWrap w:val="0"/>
                  <w:vAlign w:val="center"/>
                </w:tcPr>
                <w:p w14:paraId="69EA152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主要污染因子</w:t>
                  </w:r>
                </w:p>
              </w:tc>
            </w:tr>
            <w:tr w14:paraId="40C9C7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restart"/>
                  <w:noWrap w:val="0"/>
                  <w:vAlign w:val="center"/>
                </w:tcPr>
                <w:p w14:paraId="7FE53F3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废气</w:t>
                  </w:r>
                </w:p>
              </w:tc>
              <w:tc>
                <w:tcPr>
                  <w:tcW w:w="311" w:type="pct"/>
                  <w:vMerge w:val="restart"/>
                  <w:noWrap w:val="0"/>
                  <w:vAlign w:val="center"/>
                </w:tcPr>
                <w:p w14:paraId="1A5AE5A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kern w:val="2"/>
                      <w:sz w:val="21"/>
                      <w:szCs w:val="21"/>
                      <w:lang w:val="en-US" w:eastAsia="zh-CN" w:bidi="ar-SA"/>
                    </w:rPr>
                    <w:t>G1</w:t>
                  </w:r>
                </w:p>
              </w:tc>
              <w:tc>
                <w:tcPr>
                  <w:tcW w:w="426" w:type="pct"/>
                  <w:noWrap w:val="0"/>
                  <w:vAlign w:val="center"/>
                </w:tcPr>
                <w:p w14:paraId="37318CF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G1-1</w:t>
                  </w:r>
                </w:p>
              </w:tc>
              <w:tc>
                <w:tcPr>
                  <w:tcW w:w="1606" w:type="pct"/>
                  <w:noWrap w:val="0"/>
                  <w:vAlign w:val="center"/>
                </w:tcPr>
                <w:p w14:paraId="3FA7DE2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sz w:val="21"/>
                      <w:szCs w:val="21"/>
                      <w:lang w:val="en-US" w:eastAsia="zh-CN"/>
                    </w:rPr>
                    <w:t>单棒炉</w:t>
                  </w:r>
                  <w:r>
                    <w:rPr>
                      <w:rFonts w:hint="eastAsia" w:ascii="Times New Roman" w:hAnsi="Times New Roman" w:eastAsia="宋体" w:cs="Times New Roman"/>
                      <w:b w:val="0"/>
                      <w:bCs/>
                      <w:color w:val="auto"/>
                      <w:sz w:val="21"/>
                      <w:szCs w:val="21"/>
                      <w:lang w:val="en-US" w:eastAsia="zh-CN"/>
                    </w:rPr>
                    <w:t>天然气燃烧</w:t>
                  </w:r>
                  <w:r>
                    <w:rPr>
                      <w:rFonts w:hint="default" w:ascii="Times New Roman" w:hAnsi="Times New Roman" w:eastAsia="宋体" w:cs="Times New Roman"/>
                      <w:b w:val="0"/>
                      <w:bCs/>
                      <w:color w:val="auto"/>
                      <w:sz w:val="21"/>
                      <w:szCs w:val="21"/>
                      <w:lang w:val="en-US" w:eastAsia="zh-CN"/>
                    </w:rPr>
                    <w:t>废气</w:t>
                  </w:r>
                </w:p>
              </w:tc>
              <w:tc>
                <w:tcPr>
                  <w:tcW w:w="1060" w:type="pct"/>
                  <w:noWrap w:val="0"/>
                  <w:vAlign w:val="center"/>
                </w:tcPr>
                <w:p w14:paraId="0E9FA04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单棒</w:t>
                  </w:r>
                  <w:r>
                    <w:rPr>
                      <w:rFonts w:hint="eastAsia" w:ascii="Times New Roman" w:hAnsi="Times New Roman" w:eastAsia="宋体" w:cs="Times New Roman"/>
                      <w:b w:val="0"/>
                      <w:bCs/>
                      <w:color w:val="auto"/>
                      <w:kern w:val="2"/>
                      <w:sz w:val="21"/>
                      <w:szCs w:val="21"/>
                      <w:lang w:val="en-US" w:eastAsia="zh-CN" w:bidi="ar-SA"/>
                    </w:rPr>
                    <w:t>炉加热</w:t>
                  </w:r>
                </w:p>
              </w:tc>
              <w:tc>
                <w:tcPr>
                  <w:tcW w:w="1210" w:type="pct"/>
                  <w:vMerge w:val="restart"/>
                  <w:noWrap w:val="0"/>
                  <w:vAlign w:val="center"/>
                </w:tcPr>
                <w:p w14:paraId="521B1FB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颗粒物、SO</w:t>
                  </w:r>
                  <w:r>
                    <w:rPr>
                      <w:rFonts w:hint="eastAsia" w:ascii="Times New Roman" w:hAnsi="Times New Roman" w:eastAsia="宋体" w:cs="Times New Roman"/>
                      <w:b w:val="0"/>
                      <w:bCs/>
                      <w:color w:val="auto"/>
                      <w:kern w:val="2"/>
                      <w:sz w:val="21"/>
                      <w:szCs w:val="21"/>
                      <w:vertAlign w:val="subscript"/>
                      <w:lang w:val="en-US" w:eastAsia="zh-CN" w:bidi="ar-SA"/>
                    </w:rPr>
                    <w:t>2</w:t>
                  </w:r>
                  <w:r>
                    <w:rPr>
                      <w:rFonts w:hint="eastAsia" w:ascii="Times New Roman" w:hAnsi="Times New Roman" w:eastAsia="宋体" w:cs="Times New Roman"/>
                      <w:b w:val="0"/>
                      <w:bCs/>
                      <w:color w:val="auto"/>
                      <w:kern w:val="2"/>
                      <w:sz w:val="21"/>
                      <w:szCs w:val="21"/>
                      <w:lang w:val="en-US" w:eastAsia="zh-CN" w:bidi="ar-SA"/>
                    </w:rPr>
                    <w:t>、NOx</w:t>
                  </w:r>
                </w:p>
              </w:tc>
            </w:tr>
            <w:tr w14:paraId="23AD08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06B624A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p>
              </w:tc>
              <w:tc>
                <w:tcPr>
                  <w:tcW w:w="311" w:type="pct"/>
                  <w:vMerge w:val="continue"/>
                  <w:noWrap w:val="0"/>
                  <w:vAlign w:val="center"/>
                </w:tcPr>
                <w:p w14:paraId="7E50CA9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p>
              </w:tc>
              <w:tc>
                <w:tcPr>
                  <w:tcW w:w="426" w:type="pct"/>
                  <w:noWrap w:val="0"/>
                  <w:vAlign w:val="center"/>
                </w:tcPr>
                <w:p w14:paraId="41FCE03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G1-2</w:t>
                  </w:r>
                </w:p>
              </w:tc>
              <w:tc>
                <w:tcPr>
                  <w:tcW w:w="1606" w:type="pct"/>
                  <w:noWrap w:val="0"/>
                  <w:vAlign w:val="center"/>
                </w:tcPr>
                <w:p w14:paraId="01DC7BE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时效炉天然气燃烧</w:t>
                  </w:r>
                  <w:r>
                    <w:rPr>
                      <w:rFonts w:hint="default" w:ascii="Times New Roman" w:hAnsi="Times New Roman" w:eastAsia="宋体" w:cs="Times New Roman"/>
                      <w:b w:val="0"/>
                      <w:bCs/>
                      <w:color w:val="auto"/>
                      <w:sz w:val="21"/>
                      <w:szCs w:val="21"/>
                      <w:lang w:val="en-US" w:eastAsia="zh-CN"/>
                    </w:rPr>
                    <w:t>废气</w:t>
                  </w:r>
                </w:p>
              </w:tc>
              <w:tc>
                <w:tcPr>
                  <w:tcW w:w="1060" w:type="pct"/>
                  <w:noWrap w:val="0"/>
                  <w:vAlign w:val="center"/>
                </w:tcPr>
                <w:p w14:paraId="3E77236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时效炉加热</w:t>
                  </w:r>
                </w:p>
              </w:tc>
              <w:tc>
                <w:tcPr>
                  <w:tcW w:w="1210" w:type="pct"/>
                  <w:vMerge w:val="continue"/>
                  <w:noWrap w:val="0"/>
                  <w:vAlign w:val="center"/>
                </w:tcPr>
                <w:p w14:paraId="4D8B998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b w:val="0"/>
                      <w:bCs/>
                      <w:color w:val="auto"/>
                      <w:kern w:val="2"/>
                      <w:sz w:val="21"/>
                      <w:szCs w:val="21"/>
                      <w:lang w:val="en-US" w:eastAsia="zh-CN" w:bidi="ar-SA"/>
                    </w:rPr>
                  </w:pPr>
                </w:p>
              </w:tc>
            </w:tr>
            <w:tr w14:paraId="1C2E3C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4D15305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p>
              </w:tc>
              <w:tc>
                <w:tcPr>
                  <w:tcW w:w="737" w:type="pct"/>
                  <w:gridSpan w:val="2"/>
                  <w:noWrap w:val="0"/>
                  <w:vAlign w:val="center"/>
                </w:tcPr>
                <w:p w14:paraId="740CD67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G2</w:t>
                  </w:r>
                </w:p>
              </w:tc>
              <w:tc>
                <w:tcPr>
                  <w:tcW w:w="1606" w:type="pct"/>
                  <w:noWrap w:val="0"/>
                  <w:vAlign w:val="center"/>
                </w:tcPr>
                <w:p w14:paraId="6BC80F5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锯切废气</w:t>
                  </w:r>
                </w:p>
              </w:tc>
              <w:tc>
                <w:tcPr>
                  <w:tcW w:w="1060" w:type="pct"/>
                  <w:noWrap w:val="0"/>
                  <w:vAlign w:val="center"/>
                </w:tcPr>
                <w:p w14:paraId="75EF0A0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锯切</w:t>
                  </w:r>
                </w:p>
              </w:tc>
              <w:tc>
                <w:tcPr>
                  <w:tcW w:w="1210" w:type="pct"/>
                  <w:noWrap w:val="0"/>
                  <w:vAlign w:val="center"/>
                </w:tcPr>
                <w:p w14:paraId="0181E93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颗粒物</w:t>
                  </w:r>
                </w:p>
              </w:tc>
            </w:tr>
            <w:tr w14:paraId="15E911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noWrap w:val="0"/>
                  <w:vAlign w:val="center"/>
                </w:tcPr>
                <w:p w14:paraId="19636A9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噪声</w:t>
                  </w:r>
                </w:p>
              </w:tc>
              <w:tc>
                <w:tcPr>
                  <w:tcW w:w="737" w:type="pct"/>
                  <w:gridSpan w:val="2"/>
                  <w:noWrap w:val="0"/>
                  <w:vAlign w:val="center"/>
                </w:tcPr>
                <w:p w14:paraId="22E9E72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w:t>
                  </w:r>
                </w:p>
              </w:tc>
              <w:tc>
                <w:tcPr>
                  <w:tcW w:w="1606" w:type="pct"/>
                  <w:noWrap w:val="0"/>
                  <w:vAlign w:val="center"/>
                </w:tcPr>
                <w:p w14:paraId="4655761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机械</w:t>
                  </w:r>
                  <w:r>
                    <w:rPr>
                      <w:rFonts w:hint="default" w:ascii="Times New Roman" w:hAnsi="Times New Roman" w:eastAsia="宋体" w:cs="Times New Roman"/>
                      <w:b w:val="0"/>
                      <w:bCs/>
                      <w:color w:val="auto"/>
                      <w:sz w:val="21"/>
                      <w:szCs w:val="21"/>
                    </w:rPr>
                    <w:t>噪声</w:t>
                  </w:r>
                </w:p>
              </w:tc>
              <w:tc>
                <w:tcPr>
                  <w:tcW w:w="1060" w:type="pct"/>
                  <w:noWrap w:val="0"/>
                  <w:vAlign w:val="center"/>
                </w:tcPr>
                <w:p w14:paraId="36A6D09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rPr>
                    <w:t>生产</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公用</w:t>
                  </w:r>
                  <w:r>
                    <w:rPr>
                      <w:rFonts w:hint="default" w:ascii="Times New Roman" w:hAnsi="Times New Roman" w:eastAsia="宋体" w:cs="Times New Roman"/>
                      <w:b w:val="0"/>
                      <w:bCs/>
                      <w:color w:val="auto"/>
                      <w:sz w:val="21"/>
                      <w:szCs w:val="21"/>
                      <w:lang w:eastAsia="zh-CN"/>
                    </w:rPr>
                    <w:t>设备</w:t>
                  </w:r>
                </w:p>
              </w:tc>
              <w:tc>
                <w:tcPr>
                  <w:tcW w:w="1210" w:type="pct"/>
                  <w:noWrap w:val="0"/>
                  <w:vAlign w:val="center"/>
                </w:tcPr>
                <w:p w14:paraId="07A198B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L</w:t>
                  </w:r>
                  <w:r>
                    <w:rPr>
                      <w:rFonts w:hint="default" w:ascii="Times New Roman" w:hAnsi="Times New Roman" w:eastAsia="宋体" w:cs="Times New Roman"/>
                      <w:b w:val="0"/>
                      <w:bCs/>
                      <w:color w:val="auto"/>
                      <w:sz w:val="21"/>
                      <w:szCs w:val="21"/>
                      <w:vertAlign w:val="subscript"/>
                      <w:lang w:val="en-US" w:eastAsia="zh-CN"/>
                    </w:rPr>
                    <w:t>Aeq</w:t>
                  </w:r>
                </w:p>
              </w:tc>
            </w:tr>
            <w:tr w14:paraId="79A938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noWrap w:val="0"/>
                  <w:vAlign w:val="center"/>
                </w:tcPr>
                <w:p w14:paraId="3350B79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废水</w:t>
                  </w:r>
                </w:p>
              </w:tc>
              <w:tc>
                <w:tcPr>
                  <w:tcW w:w="737" w:type="pct"/>
                  <w:gridSpan w:val="2"/>
                  <w:noWrap w:val="0"/>
                  <w:vAlign w:val="center"/>
                </w:tcPr>
                <w:p w14:paraId="09FDFC0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w:t>
                  </w:r>
                  <w:r>
                    <w:rPr>
                      <w:rFonts w:hint="eastAsia" w:ascii="Times New Roman" w:hAnsi="Times New Roman" w:eastAsia="宋体" w:cs="Times New Roman"/>
                      <w:b w:val="0"/>
                      <w:bCs/>
                      <w:color w:val="auto"/>
                      <w:sz w:val="21"/>
                      <w:szCs w:val="21"/>
                      <w:lang w:val="en-US" w:eastAsia="zh-CN"/>
                    </w:rPr>
                    <w:t>1</w:t>
                  </w:r>
                </w:p>
              </w:tc>
              <w:tc>
                <w:tcPr>
                  <w:tcW w:w="1606" w:type="pct"/>
                  <w:noWrap w:val="0"/>
                  <w:vAlign w:val="center"/>
                </w:tcPr>
                <w:p w14:paraId="3E9AAD3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生活污水</w:t>
                  </w:r>
                </w:p>
              </w:tc>
              <w:tc>
                <w:tcPr>
                  <w:tcW w:w="1060" w:type="pct"/>
                  <w:noWrap w:val="0"/>
                  <w:vAlign w:val="center"/>
                </w:tcPr>
                <w:p w14:paraId="1878A9A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职工生活</w:t>
                  </w:r>
                </w:p>
              </w:tc>
              <w:tc>
                <w:tcPr>
                  <w:tcW w:w="1210" w:type="pct"/>
                  <w:noWrap w:val="0"/>
                  <w:vAlign w:val="center"/>
                </w:tcPr>
                <w:p w14:paraId="25D4A12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COD、SS、</w:t>
                  </w:r>
                  <w:r>
                    <w:rPr>
                      <w:rFonts w:hint="eastAsia" w:cs="Times New Roman"/>
                      <w:b w:val="0"/>
                      <w:bCs/>
                      <w:color w:val="auto"/>
                      <w:sz w:val="21"/>
                      <w:szCs w:val="21"/>
                      <w:lang w:val="en-US" w:eastAsia="zh-CN"/>
                    </w:rPr>
                    <w:t>BOD</w:t>
                  </w:r>
                  <w:r>
                    <w:rPr>
                      <w:rFonts w:hint="eastAsia" w:cs="Times New Roman"/>
                      <w:b w:val="0"/>
                      <w:bCs/>
                      <w:color w:val="auto"/>
                      <w:sz w:val="21"/>
                      <w:szCs w:val="21"/>
                      <w:vertAlign w:val="subscript"/>
                      <w:lang w:val="en-US" w:eastAsia="zh-CN"/>
                    </w:rPr>
                    <w:t>5</w:t>
                  </w:r>
                  <w:r>
                    <w:rPr>
                      <w:rFonts w:hint="eastAsia" w:cs="Times New Roman"/>
                      <w:b w:val="0"/>
                      <w:bCs/>
                      <w:color w:val="auto"/>
                      <w:sz w:val="21"/>
                      <w:szCs w:val="21"/>
                      <w:lang w:val="en-US" w:eastAsia="zh-CN"/>
                    </w:rPr>
                    <w:t>、</w:t>
                  </w:r>
                  <w:r>
                    <w:rPr>
                      <w:rFonts w:hint="default" w:ascii="Times New Roman" w:hAnsi="Times New Roman" w:eastAsia="宋体" w:cs="Times New Roman"/>
                      <w:b w:val="0"/>
                      <w:bCs/>
                      <w:color w:val="auto"/>
                      <w:sz w:val="21"/>
                      <w:szCs w:val="21"/>
                      <w:lang w:val="en-US" w:eastAsia="zh-CN"/>
                    </w:rPr>
                    <w:t>NH</w:t>
                  </w:r>
                  <w:r>
                    <w:rPr>
                      <w:rFonts w:hint="default" w:ascii="Times New Roman" w:hAnsi="Times New Roman" w:eastAsia="宋体" w:cs="Times New Roman"/>
                      <w:b w:val="0"/>
                      <w:bCs/>
                      <w:color w:val="auto"/>
                      <w:sz w:val="21"/>
                      <w:szCs w:val="21"/>
                      <w:vertAlign w:val="subscript"/>
                      <w:lang w:val="en-US" w:eastAsia="zh-CN"/>
                    </w:rPr>
                    <w:t>3</w:t>
                  </w:r>
                  <w:r>
                    <w:rPr>
                      <w:rFonts w:hint="default" w:ascii="Times New Roman" w:hAnsi="Times New Roman" w:eastAsia="宋体" w:cs="Times New Roman"/>
                      <w:b w:val="0"/>
                      <w:bCs/>
                      <w:color w:val="auto"/>
                      <w:sz w:val="21"/>
                      <w:szCs w:val="21"/>
                      <w:lang w:val="en-US" w:eastAsia="zh-CN"/>
                    </w:rPr>
                    <w:t>-N</w:t>
                  </w:r>
                </w:p>
              </w:tc>
            </w:tr>
            <w:tr w14:paraId="02ADF9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restart"/>
                  <w:noWrap w:val="0"/>
                  <w:vAlign w:val="center"/>
                </w:tcPr>
                <w:p w14:paraId="76FED18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固废</w:t>
                  </w:r>
                </w:p>
              </w:tc>
              <w:tc>
                <w:tcPr>
                  <w:tcW w:w="737" w:type="pct"/>
                  <w:gridSpan w:val="2"/>
                  <w:noWrap w:val="0"/>
                  <w:vAlign w:val="center"/>
                </w:tcPr>
                <w:p w14:paraId="396AFCFD">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S1</w:t>
                  </w:r>
                </w:p>
              </w:tc>
              <w:tc>
                <w:tcPr>
                  <w:tcW w:w="1606" w:type="pct"/>
                  <w:noWrap w:val="0"/>
                  <w:vAlign w:val="center"/>
                </w:tcPr>
                <w:p w14:paraId="3E92C35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废液压油</w:t>
                  </w:r>
                </w:p>
              </w:tc>
              <w:tc>
                <w:tcPr>
                  <w:tcW w:w="1060" w:type="pct"/>
                  <w:noWrap w:val="0"/>
                  <w:vAlign w:val="center"/>
                </w:tcPr>
                <w:p w14:paraId="4087635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sz w:val="21"/>
                      <w:szCs w:val="21"/>
                      <w:lang w:val="en-US" w:eastAsia="zh-CN"/>
                    </w:rPr>
                    <w:t>挤压工序</w:t>
                  </w:r>
                </w:p>
              </w:tc>
              <w:tc>
                <w:tcPr>
                  <w:tcW w:w="1210" w:type="pct"/>
                  <w:noWrap w:val="0"/>
                  <w:vAlign w:val="center"/>
                </w:tcPr>
                <w:p w14:paraId="2BE4A2E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000000"/>
                      <w:kern w:val="0"/>
                      <w:sz w:val="21"/>
                      <w:szCs w:val="21"/>
                      <w:lang w:val="en-US" w:eastAsia="zh-CN" w:bidi="ar-SA"/>
                    </w:rPr>
                    <w:t>危险废物</w:t>
                  </w:r>
                </w:p>
              </w:tc>
            </w:tr>
            <w:tr w14:paraId="28C437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4E0B7E5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rPr>
                  </w:pPr>
                </w:p>
              </w:tc>
              <w:tc>
                <w:tcPr>
                  <w:tcW w:w="737" w:type="pct"/>
                  <w:gridSpan w:val="2"/>
                  <w:noWrap w:val="0"/>
                  <w:vAlign w:val="center"/>
                </w:tcPr>
                <w:p w14:paraId="3DBB863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S2</w:t>
                  </w:r>
                </w:p>
              </w:tc>
              <w:tc>
                <w:tcPr>
                  <w:tcW w:w="1606" w:type="pct"/>
                  <w:noWrap w:val="0"/>
                  <w:vAlign w:val="center"/>
                </w:tcPr>
                <w:p w14:paraId="586A3A2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废模具</w:t>
                  </w:r>
                </w:p>
              </w:tc>
              <w:tc>
                <w:tcPr>
                  <w:tcW w:w="1060" w:type="pct"/>
                  <w:noWrap w:val="0"/>
                  <w:vAlign w:val="center"/>
                </w:tcPr>
                <w:p w14:paraId="13FD8B6D">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生产过程</w:t>
                  </w:r>
                </w:p>
              </w:tc>
              <w:tc>
                <w:tcPr>
                  <w:tcW w:w="1210" w:type="pct"/>
                  <w:noWrap w:val="0"/>
                  <w:vAlign w:val="center"/>
                </w:tcPr>
                <w:p w14:paraId="1B9C681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一般固废</w:t>
                  </w:r>
                </w:p>
              </w:tc>
            </w:tr>
            <w:tr w14:paraId="2D200E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39D2264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rPr>
                  </w:pPr>
                </w:p>
              </w:tc>
              <w:tc>
                <w:tcPr>
                  <w:tcW w:w="737" w:type="pct"/>
                  <w:gridSpan w:val="2"/>
                  <w:noWrap w:val="0"/>
                  <w:vAlign w:val="center"/>
                </w:tcPr>
                <w:p w14:paraId="1665A40D">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S3</w:t>
                  </w:r>
                </w:p>
              </w:tc>
              <w:tc>
                <w:tcPr>
                  <w:tcW w:w="1606" w:type="pct"/>
                  <w:noWrap w:val="0"/>
                  <w:vAlign w:val="center"/>
                </w:tcPr>
                <w:p w14:paraId="060113A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金属屑及边角料</w:t>
                  </w:r>
                </w:p>
              </w:tc>
              <w:tc>
                <w:tcPr>
                  <w:tcW w:w="1060" w:type="pct"/>
                  <w:noWrap w:val="0"/>
                  <w:vAlign w:val="center"/>
                </w:tcPr>
                <w:p w14:paraId="6B3CDFC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kern w:val="2"/>
                      <w:sz w:val="21"/>
                      <w:szCs w:val="21"/>
                      <w:lang w:val="en-US" w:eastAsia="zh-CN" w:bidi="ar-SA"/>
                    </w:rPr>
                    <w:t>锯切</w:t>
                  </w:r>
                </w:p>
              </w:tc>
              <w:tc>
                <w:tcPr>
                  <w:tcW w:w="1210" w:type="pct"/>
                  <w:noWrap w:val="0"/>
                  <w:vAlign w:val="center"/>
                </w:tcPr>
                <w:p w14:paraId="250EA76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一般固废</w:t>
                  </w:r>
                </w:p>
              </w:tc>
            </w:tr>
            <w:tr w14:paraId="00E9BF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030AADC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p>
              </w:tc>
              <w:tc>
                <w:tcPr>
                  <w:tcW w:w="737" w:type="pct"/>
                  <w:gridSpan w:val="2"/>
                  <w:noWrap w:val="0"/>
                  <w:vAlign w:val="center"/>
                </w:tcPr>
                <w:p w14:paraId="02CD0095">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S</w:t>
                  </w:r>
                  <w:r>
                    <w:rPr>
                      <w:rFonts w:hint="eastAsia" w:cs="Times New Roman"/>
                      <w:b w:val="0"/>
                      <w:bCs/>
                      <w:color w:val="auto"/>
                      <w:sz w:val="21"/>
                      <w:szCs w:val="21"/>
                      <w:lang w:val="en-US" w:eastAsia="zh-CN"/>
                    </w:rPr>
                    <w:t>4</w:t>
                  </w:r>
                </w:p>
              </w:tc>
              <w:tc>
                <w:tcPr>
                  <w:tcW w:w="1606" w:type="pct"/>
                  <w:noWrap w:val="0"/>
                  <w:vAlign w:val="center"/>
                </w:tcPr>
                <w:p w14:paraId="5E4152E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废润滑油</w:t>
                  </w:r>
                </w:p>
              </w:tc>
              <w:tc>
                <w:tcPr>
                  <w:tcW w:w="1060" w:type="pct"/>
                  <w:noWrap w:val="0"/>
                  <w:vAlign w:val="center"/>
                </w:tcPr>
                <w:p w14:paraId="5CE698B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设备维护</w:t>
                  </w:r>
                </w:p>
              </w:tc>
              <w:tc>
                <w:tcPr>
                  <w:tcW w:w="1210" w:type="pct"/>
                  <w:noWrap w:val="0"/>
                  <w:vAlign w:val="center"/>
                </w:tcPr>
                <w:p w14:paraId="435326D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default" w:ascii="Times New Roman" w:hAnsi="Times New Roman" w:eastAsia="宋体" w:cs="Times New Roman"/>
                      <w:b w:val="0"/>
                      <w:bCs/>
                      <w:color w:val="000000"/>
                      <w:kern w:val="0"/>
                      <w:sz w:val="21"/>
                      <w:szCs w:val="21"/>
                      <w:lang w:val="en-US" w:eastAsia="zh-CN" w:bidi="ar-SA"/>
                    </w:rPr>
                    <w:t>危险废物</w:t>
                  </w:r>
                </w:p>
              </w:tc>
            </w:tr>
            <w:tr w14:paraId="495DD5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6761712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p>
              </w:tc>
              <w:tc>
                <w:tcPr>
                  <w:tcW w:w="1121" w:type="dxa"/>
                  <w:gridSpan w:val="2"/>
                  <w:noWrap w:val="0"/>
                  <w:vAlign w:val="center"/>
                </w:tcPr>
                <w:p w14:paraId="63C2CD9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S</w:t>
                  </w:r>
                  <w:r>
                    <w:rPr>
                      <w:rFonts w:hint="eastAsia" w:cs="Times New Roman"/>
                      <w:b w:val="0"/>
                      <w:bCs/>
                      <w:color w:val="auto"/>
                      <w:sz w:val="21"/>
                      <w:szCs w:val="21"/>
                      <w:lang w:val="en-US" w:eastAsia="zh-CN"/>
                    </w:rPr>
                    <w:t>5</w:t>
                  </w:r>
                </w:p>
              </w:tc>
              <w:tc>
                <w:tcPr>
                  <w:tcW w:w="1606" w:type="pct"/>
                  <w:noWrap w:val="0"/>
                  <w:vAlign w:val="center"/>
                </w:tcPr>
                <w:p w14:paraId="338CCF3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废油桶</w:t>
                  </w:r>
                </w:p>
              </w:tc>
              <w:tc>
                <w:tcPr>
                  <w:tcW w:w="1060" w:type="pct"/>
                  <w:noWrap w:val="0"/>
                  <w:vAlign w:val="center"/>
                </w:tcPr>
                <w:p w14:paraId="4401726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设备维护</w:t>
                  </w:r>
                </w:p>
              </w:tc>
              <w:tc>
                <w:tcPr>
                  <w:tcW w:w="1210" w:type="pct"/>
                  <w:noWrap w:val="0"/>
                  <w:vAlign w:val="center"/>
                </w:tcPr>
                <w:p w14:paraId="4334114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default" w:ascii="Times New Roman" w:hAnsi="Times New Roman" w:eastAsia="宋体" w:cs="Times New Roman"/>
                      <w:b w:val="0"/>
                      <w:bCs/>
                      <w:color w:val="000000"/>
                      <w:kern w:val="0"/>
                      <w:sz w:val="21"/>
                      <w:szCs w:val="21"/>
                      <w:lang w:val="en-US" w:eastAsia="zh-CN" w:bidi="ar-SA"/>
                    </w:rPr>
                    <w:t>危险废物</w:t>
                  </w:r>
                </w:p>
              </w:tc>
            </w:tr>
            <w:tr w14:paraId="687FFF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0CCA1D2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p>
              </w:tc>
              <w:tc>
                <w:tcPr>
                  <w:tcW w:w="1121" w:type="dxa"/>
                  <w:gridSpan w:val="2"/>
                  <w:noWrap w:val="0"/>
                  <w:vAlign w:val="center"/>
                </w:tcPr>
                <w:p w14:paraId="68403C75">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S</w:t>
                  </w:r>
                  <w:r>
                    <w:rPr>
                      <w:rFonts w:hint="eastAsia" w:cs="Times New Roman"/>
                      <w:b w:val="0"/>
                      <w:bCs/>
                      <w:color w:val="auto"/>
                      <w:sz w:val="21"/>
                      <w:szCs w:val="21"/>
                      <w:lang w:val="en-US" w:eastAsia="zh-CN"/>
                    </w:rPr>
                    <w:t>6</w:t>
                  </w:r>
                </w:p>
              </w:tc>
              <w:tc>
                <w:tcPr>
                  <w:tcW w:w="1606" w:type="pct"/>
                  <w:noWrap w:val="0"/>
                  <w:vAlign w:val="center"/>
                </w:tcPr>
                <w:p w14:paraId="4B2CE0D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含油抹布</w:t>
                  </w:r>
                </w:p>
              </w:tc>
              <w:tc>
                <w:tcPr>
                  <w:tcW w:w="1060" w:type="pct"/>
                  <w:noWrap w:val="0"/>
                  <w:vAlign w:val="center"/>
                </w:tcPr>
                <w:p w14:paraId="7A56449B">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设备维护</w:t>
                  </w:r>
                </w:p>
              </w:tc>
              <w:tc>
                <w:tcPr>
                  <w:tcW w:w="1210" w:type="pct"/>
                  <w:noWrap w:val="0"/>
                  <w:vAlign w:val="center"/>
                </w:tcPr>
                <w:p w14:paraId="0FF2623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default" w:ascii="Times New Roman" w:hAnsi="Times New Roman" w:eastAsia="宋体" w:cs="Times New Roman"/>
                      <w:b w:val="0"/>
                      <w:bCs/>
                      <w:color w:val="000000"/>
                      <w:kern w:val="0"/>
                      <w:sz w:val="21"/>
                      <w:szCs w:val="21"/>
                      <w:lang w:val="en-US" w:eastAsia="zh-CN" w:bidi="ar-SA"/>
                    </w:rPr>
                    <w:t>危险废物</w:t>
                  </w:r>
                </w:p>
              </w:tc>
            </w:tr>
            <w:tr w14:paraId="086E15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4" w:type="pct"/>
                  <w:vMerge w:val="continue"/>
                  <w:noWrap w:val="0"/>
                  <w:vAlign w:val="center"/>
                </w:tcPr>
                <w:p w14:paraId="1FD1E36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p>
              </w:tc>
              <w:tc>
                <w:tcPr>
                  <w:tcW w:w="737" w:type="pct"/>
                  <w:gridSpan w:val="2"/>
                  <w:noWrap w:val="0"/>
                  <w:vAlign w:val="center"/>
                </w:tcPr>
                <w:p w14:paraId="06D471B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S7</w:t>
                  </w:r>
                </w:p>
              </w:tc>
              <w:tc>
                <w:tcPr>
                  <w:tcW w:w="1606" w:type="pct"/>
                  <w:noWrap w:val="0"/>
                  <w:vAlign w:val="center"/>
                </w:tcPr>
                <w:p w14:paraId="3F99102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生活垃圾</w:t>
                  </w:r>
                </w:p>
              </w:tc>
              <w:tc>
                <w:tcPr>
                  <w:tcW w:w="1060" w:type="pct"/>
                  <w:noWrap w:val="0"/>
                  <w:vAlign w:val="center"/>
                </w:tcPr>
                <w:p w14:paraId="2037FE8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职工生活</w:t>
                  </w:r>
                </w:p>
              </w:tc>
              <w:tc>
                <w:tcPr>
                  <w:tcW w:w="1210" w:type="pct"/>
                  <w:noWrap w:val="0"/>
                  <w:vAlign w:val="center"/>
                </w:tcPr>
                <w:p w14:paraId="5DB868E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生活垃圾</w:t>
                  </w:r>
                </w:p>
              </w:tc>
            </w:tr>
          </w:tbl>
          <w:p w14:paraId="723002DA">
            <w:pPr>
              <w:pStyle w:val="43"/>
              <w:bidi w:val="0"/>
              <w:ind w:left="0" w:leftChars="0" w:firstLine="0" w:firstLineChars="0"/>
              <w:rPr>
                <w:rFonts w:hint="default" w:ascii="Times New Roman" w:hAnsi="Times New Roman" w:eastAsia="宋体" w:cs="Times New Roman"/>
                <w:color w:val="000000" w:themeColor="text1"/>
                <w:sz w:val="24"/>
                <w:lang w:val="en-US" w:eastAsia="zh-CN" w:bidi="ar-SA"/>
                <w14:textFill>
                  <w14:solidFill>
                    <w14:schemeClr w14:val="tx1"/>
                  </w14:solidFill>
                </w14:textFill>
              </w:rPr>
            </w:pPr>
          </w:p>
        </w:tc>
      </w:tr>
      <w:tr w14:paraId="3554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vAlign w:val="center"/>
          </w:tcPr>
          <w:p w14:paraId="693C774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sz w:val="2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与项目有关的原有环境问题</w:t>
            </w:r>
          </w:p>
        </w:tc>
        <w:tc>
          <w:tcPr>
            <w:tcW w:w="7821" w:type="dxa"/>
            <w:vAlign w:val="center"/>
          </w:tcPr>
          <w:p w14:paraId="4E5458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eastAsiaTheme="minorEastAsia"/>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auto"/>
                <w:sz w:val="24"/>
                <w:szCs w:val="24"/>
                <w:lang w:val="en-US" w:eastAsia="zh-CN" w:bidi="ar-SA"/>
              </w:rPr>
              <w:t>本项目为新建项目，</w:t>
            </w:r>
            <w:r>
              <w:rPr>
                <w:rFonts w:hint="eastAsia" w:cs="Times New Roman"/>
                <w:color w:val="auto"/>
                <w:sz w:val="24"/>
                <w:szCs w:val="24"/>
                <w:lang w:val="en-US" w:eastAsia="zh-CN" w:bidi="ar-SA"/>
              </w:rPr>
              <w:t>租赁江南产业集中区兴业大道以西，创裕金属以南，兴业大道25号安徽恒铝科技有限公司2#厂房（北部）</w:t>
            </w:r>
            <w:r>
              <w:rPr>
                <w:rFonts w:hint="default" w:ascii="Times New Roman" w:hAnsi="Times New Roman" w:eastAsia="宋体" w:cs="Times New Roman"/>
                <w:color w:val="auto"/>
                <w:sz w:val="24"/>
                <w:szCs w:val="24"/>
                <w:lang w:val="en-US" w:eastAsia="zh-CN" w:bidi="ar-SA"/>
              </w:rPr>
              <w:t>进行生产，</w:t>
            </w:r>
            <w:r>
              <w:rPr>
                <w:rFonts w:hint="eastAsia" w:cs="Times New Roman"/>
                <w:color w:val="auto"/>
                <w:sz w:val="24"/>
                <w:szCs w:val="24"/>
                <w:lang w:val="en-US" w:eastAsia="zh-CN" w:bidi="ar-SA"/>
              </w:rPr>
              <w:t>租赁</w:t>
            </w:r>
            <w:r>
              <w:rPr>
                <w:rFonts w:hint="default" w:ascii="Times New Roman" w:hAnsi="Times New Roman" w:eastAsia="宋体" w:cs="Times New Roman"/>
                <w:color w:val="auto"/>
                <w:sz w:val="24"/>
                <w:szCs w:val="24"/>
                <w:lang w:val="en-US" w:eastAsia="zh-CN" w:bidi="ar-SA"/>
              </w:rPr>
              <w:t>前厂房处于</w:t>
            </w:r>
            <w:r>
              <w:rPr>
                <w:rFonts w:hint="eastAsia" w:cs="Times New Roman"/>
                <w:color w:val="auto"/>
                <w:sz w:val="24"/>
                <w:szCs w:val="24"/>
                <w:lang w:val="en-US" w:eastAsia="zh-CN" w:bidi="ar-SA"/>
              </w:rPr>
              <w:t>建设</w:t>
            </w:r>
            <w:r>
              <w:rPr>
                <w:rFonts w:hint="default" w:ascii="Times New Roman" w:hAnsi="Times New Roman" w:eastAsia="宋体" w:cs="Times New Roman"/>
                <w:color w:val="auto"/>
                <w:sz w:val="24"/>
                <w:szCs w:val="24"/>
                <w:lang w:val="en-US" w:eastAsia="zh-CN" w:bidi="ar-SA"/>
              </w:rPr>
              <w:t>状态，不存在原有项目污染问题。</w:t>
            </w:r>
          </w:p>
        </w:tc>
      </w:tr>
    </w:tbl>
    <w:p w14:paraId="7593252F">
      <w:pPr>
        <w:rPr>
          <w:rFonts w:hint="default"/>
          <w:color w:val="000000" w:themeColor="text1"/>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004D06D">
      <w:pPr>
        <w:jc w:val="center"/>
        <w:outlineLvl w:val="0"/>
        <w:rPr>
          <w:rFonts w:hint="eastAsia" w:eastAsia="黑体" w:cs="Times New Roman"/>
          <w:snapToGrid w:val="0"/>
          <w:color w:val="000000" w:themeColor="text1"/>
          <w:sz w:val="30"/>
          <w:szCs w:val="30"/>
          <w:lang w:val="en-US" w:eastAsia="zh-CN"/>
          <w14:textFill>
            <w14:solidFill>
              <w14:schemeClr w14:val="tx1"/>
            </w14:solidFill>
          </w14:textFill>
        </w:rPr>
      </w:pPr>
      <w:bookmarkStart w:id="14" w:name="_Toc7667"/>
      <w:bookmarkStart w:id="15" w:name="_Toc29116"/>
      <w:bookmarkStart w:id="16" w:name="_Toc1578"/>
      <w:r>
        <w:rPr>
          <w:rFonts w:hint="eastAsia" w:eastAsia="黑体" w:cs="Times New Roman"/>
          <w:snapToGrid w:val="0"/>
          <w:color w:val="000000" w:themeColor="text1"/>
          <w:sz w:val="30"/>
          <w:szCs w:val="30"/>
          <w:lang w:val="en-US" w:eastAsia="zh-CN"/>
          <w14:textFill>
            <w14:solidFill>
              <w14:schemeClr w14:val="tx1"/>
            </w14:solidFill>
          </w14:textFill>
        </w:rPr>
        <w:t>三</w:t>
      </w:r>
      <w:r>
        <w:rPr>
          <w:rFonts w:hint="default" w:ascii="Times New Roman" w:hAnsi="Times New Roman" w:eastAsia="黑体" w:cs="Times New Roman"/>
          <w:snapToGrid w:val="0"/>
          <w:color w:val="000000" w:themeColor="text1"/>
          <w:sz w:val="30"/>
          <w:szCs w:val="30"/>
          <w14:textFill>
            <w14:solidFill>
              <w14:schemeClr w14:val="tx1"/>
            </w14:solidFill>
          </w14:textFill>
        </w:rPr>
        <w:t>、</w:t>
      </w:r>
      <w:r>
        <w:rPr>
          <w:rFonts w:hint="eastAsia" w:eastAsia="黑体" w:cs="Times New Roman"/>
          <w:snapToGrid w:val="0"/>
          <w:color w:val="000000" w:themeColor="text1"/>
          <w:sz w:val="30"/>
          <w:szCs w:val="30"/>
          <w:lang w:val="en-US" w:eastAsia="zh-CN"/>
          <w14:textFill>
            <w14:solidFill>
              <w14:schemeClr w14:val="tx1"/>
            </w14:solidFill>
          </w14:textFill>
        </w:rPr>
        <w:t>区域环境质量现状、环境保护目标及评价标准</w:t>
      </w:r>
      <w:bookmarkEnd w:id="14"/>
      <w:bookmarkEnd w:id="15"/>
      <w:bookmarkEnd w:id="16"/>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066"/>
      </w:tblGrid>
      <w:tr w14:paraId="0EA8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dxa"/>
            <w:vAlign w:val="center"/>
          </w:tcPr>
          <w:p w14:paraId="5C0FCE74">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区域环境质量现状</w:t>
            </w:r>
          </w:p>
        </w:tc>
        <w:tc>
          <w:tcPr>
            <w:tcW w:w="8066" w:type="dxa"/>
            <w:vAlign w:val="center"/>
          </w:tcPr>
          <w:p w14:paraId="0DBC0D1D">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1、环境空气质量现状</w:t>
            </w:r>
          </w:p>
          <w:p w14:paraId="238AA954">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highlight w:val="none"/>
                <w:lang w:val="en-US" w:eastAsia="zh-CN" w:bidi="ar-SA"/>
                <w14:textFill>
                  <w14:solidFill>
                    <w14:schemeClr w14:val="tx1"/>
                  </w14:solidFill>
                </w14:textFill>
              </w:rPr>
              <w:t>1.1  环境空气质量公报数据</w:t>
            </w:r>
          </w:p>
          <w:p w14:paraId="053B05D0">
            <w:pPr>
              <w:pStyle w:val="43"/>
              <w:bidi w:val="0"/>
              <w:rPr>
                <w:rFonts w:hint="eastAsia"/>
                <w:lang w:val="en-US" w:eastAsia="zh-CN" w:bidi="ar-SA"/>
              </w:rPr>
            </w:pPr>
            <w:r>
              <w:rPr>
                <w:rFonts w:hint="eastAsia"/>
                <w:color w:val="000000" w:themeColor="text1"/>
                <w:lang w:val="en-US" w:eastAsia="zh-CN" w:bidi="ar-SA"/>
                <w14:textFill>
                  <w14:solidFill>
                    <w14:schemeClr w14:val="tx1"/>
                  </w14:solidFill>
                </w14:textFill>
              </w:rPr>
              <w:t>根据《环境影响评价技术导则—大气导则》</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HJ2.2-2018</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6.2.1.1项目所在区域达标判定，优先采用国家或者地方生态环境主管部门公开发布的评价基准年环境质量公告或环境质量报告中的数据或结论。6.2.1.2采用评价范围内国家或地方环境空气质量监测网中评价基准年连续1年的监测数据，或采用生态环境主管部门公开发布的环境空气质量现状数据。6.2.1.3评价范围内没有环境空气质量监测数据或公开发布的环境空气质量现状数据的，可选择符合HJ664规定，并且与评价范围地理位置</w:t>
            </w:r>
            <w:r>
              <w:rPr>
                <w:rFonts w:hint="eastAsia"/>
                <w:color w:val="000000" w:themeColor="text1"/>
                <w:highlight w:val="none"/>
                <w:lang w:val="en-US" w:eastAsia="zh-CN" w:bidi="ar-SA"/>
                <w14:textFill>
                  <w14:solidFill>
                    <w14:schemeClr w14:val="tx1"/>
                  </w14:solidFill>
                </w14:textFill>
              </w:rPr>
              <w:t>临近</w:t>
            </w:r>
            <w:r>
              <w:rPr>
                <w:rFonts w:hint="eastAsia"/>
                <w:color w:val="000000" w:themeColor="text1"/>
                <w:lang w:val="en-US" w:eastAsia="zh-CN" w:bidi="ar-SA"/>
                <w14:textFill>
                  <w14:solidFill>
                    <w14:schemeClr w14:val="tx1"/>
                  </w14:solidFill>
                </w14:textFill>
              </w:rPr>
              <w:t>，地形气候条件相近的环境空气质量点或区域点监测数据。”本项目位于皖江江南新兴产业集中区，因此采用2024年池州市环境质量公报中的结论。</w:t>
            </w:r>
          </w:p>
          <w:p w14:paraId="0EEB062F">
            <w:pPr>
              <w:pStyle w:val="43"/>
              <w:bidi w:val="0"/>
              <w:ind w:left="0" w:leftChars="0" w:firstLine="0" w:firstLineChars="0"/>
              <w:jc w:val="center"/>
              <w:rPr>
                <w:rFonts w:hint="default" w:ascii="Times New Roman" w:hAnsi="Times New Roman" w:cs="Times New Roman"/>
                <w:lang w:val="en-US" w:eastAsia="zh-CN" w:bidi="ar-SA"/>
              </w:rPr>
            </w:pPr>
            <w:r>
              <w:rPr>
                <w:rFonts w:hint="default" w:ascii="Times New Roman" w:hAnsi="Times New Roman" w:cs="Times New Roman"/>
                <w:lang w:val="en-US" w:eastAsia="zh-CN" w:bidi="ar-SA"/>
              </w:rPr>
              <w:drawing>
                <wp:inline distT="0" distB="0" distL="114300" distR="114300">
                  <wp:extent cx="4572635" cy="2726055"/>
                  <wp:effectExtent l="0" t="0" r="18415" b="17145"/>
                  <wp:docPr id="3" name="图片 3" descr="2024年池州市生态环境状况公报-池州市生态环境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4年池州市生态环境状况公报-池州市生态环境局(1)"/>
                          <pic:cNvPicPr>
                            <a:picLocks noChangeAspect="1"/>
                          </pic:cNvPicPr>
                        </pic:nvPicPr>
                        <pic:blipFill>
                          <a:blip r:embed="rId14"/>
                          <a:srcRect l="3823" r="3980"/>
                          <a:stretch>
                            <a:fillRect/>
                          </a:stretch>
                        </pic:blipFill>
                        <pic:spPr>
                          <a:xfrm>
                            <a:off x="0" y="0"/>
                            <a:ext cx="4572635" cy="2726055"/>
                          </a:xfrm>
                          <a:prstGeom prst="rect">
                            <a:avLst/>
                          </a:prstGeom>
                        </pic:spPr>
                      </pic:pic>
                    </a:graphicData>
                  </a:graphic>
                </wp:inline>
              </w:drawing>
            </w:r>
          </w:p>
          <w:p w14:paraId="7D240545">
            <w:pPr>
              <w:pStyle w:val="43"/>
              <w:keepNext w:val="0"/>
              <w:keepLines w:val="0"/>
              <w:pageBreakBefore w:val="0"/>
              <w:widowControl/>
              <w:kinsoku/>
              <w:wordWrap/>
              <w:overflowPunct/>
              <w:topLinePunct w:val="0"/>
              <w:autoSpaceDE/>
              <w:autoSpaceDN/>
              <w:bidi w:val="0"/>
              <w:adjustRightInd/>
              <w:snapToGrid/>
              <w:ind w:left="0" w:leftChars="0" w:firstLine="480" w:firstLineChars="200"/>
              <w:jc w:val="both"/>
              <w:textAlignment w:val="auto"/>
              <w:rPr>
                <w:rFonts w:hint="eastAsia"/>
                <w:vertAlign w:val="baseline"/>
                <w:lang w:val="en-US" w:eastAsia="zh-CN" w:bidi="ar-SA"/>
              </w:rPr>
            </w:pPr>
            <w:r>
              <w:rPr>
                <w:rFonts w:hint="default" w:ascii="Times New Roman" w:hAnsi="Times New Roman" w:cs="Times New Roman"/>
                <w:color w:val="auto"/>
                <w:lang w:val="en-US" w:eastAsia="zh-CN" w:bidi="ar-SA"/>
              </w:rPr>
              <w:t>2024年，池州市全年城区空气质量达到优、良的天数共319天，优良率87.2%，城区环境空气质量达到二级标准。环境空气中二氧化硫（SO</w:t>
            </w:r>
            <w:r>
              <w:rPr>
                <w:rFonts w:hint="default" w:ascii="Times New Roman" w:hAnsi="Times New Roman" w:cs="Times New Roman"/>
                <w:color w:val="auto"/>
                <w:vertAlign w:val="subscript"/>
                <w:lang w:val="en-US" w:eastAsia="zh-CN" w:bidi="ar-SA"/>
              </w:rPr>
              <w:t>2</w:t>
            </w:r>
            <w:r>
              <w:rPr>
                <w:rFonts w:hint="default" w:ascii="Times New Roman" w:hAnsi="Times New Roman" w:cs="Times New Roman"/>
                <w:color w:val="auto"/>
                <w:lang w:val="en-US" w:eastAsia="zh-CN" w:bidi="ar-SA"/>
              </w:rPr>
              <w:t>）、二氧化氮（NO</w:t>
            </w:r>
            <w:r>
              <w:rPr>
                <w:rFonts w:hint="default" w:ascii="Times New Roman" w:hAnsi="Times New Roman" w:eastAsia="宋体" w:cs="Times New Roman"/>
                <w:color w:val="auto"/>
                <w:vertAlign w:val="subscript"/>
                <w:lang w:val="en-US" w:eastAsia="zh-CN" w:bidi="ar-SA"/>
              </w:rPr>
              <w:t>2</w:t>
            </w:r>
            <w:r>
              <w:rPr>
                <w:rFonts w:hint="default" w:ascii="Times New Roman" w:hAnsi="Times New Roman" w:cs="Times New Roman"/>
                <w:color w:val="auto"/>
                <w:lang w:val="en-US" w:eastAsia="zh-CN" w:bidi="ar-SA"/>
              </w:rPr>
              <w:t>）、可吸入颗粒物（PM</w:t>
            </w:r>
            <w:r>
              <w:rPr>
                <w:rFonts w:hint="default" w:ascii="Times New Roman" w:hAnsi="Times New Roman" w:eastAsia="宋体" w:cs="Times New Roman"/>
                <w:color w:val="auto"/>
                <w:vertAlign w:val="subscript"/>
                <w:lang w:val="en-US" w:eastAsia="zh-CN" w:bidi="ar-SA"/>
              </w:rPr>
              <w:t>10</w:t>
            </w:r>
            <w:r>
              <w:rPr>
                <w:rFonts w:hint="default" w:ascii="Times New Roman" w:hAnsi="Times New Roman" w:cs="Times New Roman"/>
                <w:color w:val="auto"/>
                <w:lang w:val="en-US" w:eastAsia="zh-CN" w:bidi="ar-SA"/>
              </w:rPr>
              <w:t>）、细颗粒物（PM</w:t>
            </w:r>
            <w:r>
              <w:rPr>
                <w:rFonts w:hint="default" w:ascii="Times New Roman" w:hAnsi="Times New Roman" w:eastAsia="宋体" w:cs="Times New Roman"/>
                <w:color w:val="auto"/>
                <w:vertAlign w:val="subscript"/>
                <w:lang w:val="en-US" w:eastAsia="zh-CN" w:bidi="ar-SA"/>
              </w:rPr>
              <w:t>2.5</w:t>
            </w:r>
            <w:r>
              <w:rPr>
                <w:rFonts w:hint="default" w:ascii="Times New Roman" w:hAnsi="Times New Roman" w:cs="Times New Roman"/>
                <w:color w:val="auto"/>
                <w:lang w:val="en-US" w:eastAsia="zh-CN" w:bidi="ar-SA"/>
              </w:rPr>
              <w:t>）年均浓度分别为5、20、47、31微克/立方米，臭氧（O</w:t>
            </w:r>
            <w:r>
              <w:rPr>
                <w:rFonts w:hint="default" w:ascii="Times New Roman" w:hAnsi="Times New Roman" w:eastAsia="宋体" w:cs="Times New Roman"/>
                <w:color w:val="auto"/>
                <w:vertAlign w:val="subscript"/>
                <w:lang w:val="en-US" w:eastAsia="zh-CN" w:bidi="ar-SA"/>
              </w:rPr>
              <w:t>3</w:t>
            </w:r>
            <w:r>
              <w:rPr>
                <w:rFonts w:hint="default" w:ascii="Times New Roman" w:hAnsi="Times New Roman" w:cs="Times New Roman"/>
                <w:color w:val="auto"/>
                <w:lang w:val="en-US" w:eastAsia="zh-CN" w:bidi="ar-SA"/>
              </w:rPr>
              <w:t>）日最大八小时滑动平均第90百分位数浓度为154微克/立方米，一氧化碳（CO）日均值第95百分位浓度为1.0毫克/立方米，与2023年相比SO</w:t>
            </w:r>
            <w:r>
              <w:rPr>
                <w:rFonts w:hint="default" w:ascii="Times New Roman" w:hAnsi="Times New Roman" w:cs="Times New Roman"/>
                <w:color w:val="auto"/>
                <w:vertAlign w:val="subscript"/>
                <w:lang w:val="en-US" w:eastAsia="zh-CN" w:bidi="ar-SA"/>
              </w:rPr>
              <w:t>2</w:t>
            </w:r>
            <w:r>
              <w:rPr>
                <w:rFonts w:hint="default" w:ascii="Times New Roman" w:hAnsi="Times New Roman" w:cs="Times New Roman"/>
                <w:color w:val="auto"/>
                <w:lang w:val="en-US" w:eastAsia="zh-CN" w:bidi="ar-SA"/>
              </w:rPr>
              <w:t>、PM</w:t>
            </w:r>
            <w:r>
              <w:rPr>
                <w:rFonts w:hint="default" w:ascii="Times New Roman" w:hAnsi="Times New Roman" w:eastAsia="宋体" w:cs="Times New Roman"/>
                <w:color w:val="auto"/>
                <w:vertAlign w:val="subscript"/>
                <w:lang w:val="en-US" w:eastAsia="zh-CN" w:bidi="ar-SA"/>
              </w:rPr>
              <w:t>10</w:t>
            </w:r>
            <w:r>
              <w:rPr>
                <w:rFonts w:hint="default" w:ascii="Times New Roman" w:hAnsi="Times New Roman" w:cs="Times New Roman"/>
                <w:color w:val="auto"/>
                <w:lang w:val="en-US" w:eastAsia="zh-CN" w:bidi="ar-SA"/>
              </w:rPr>
              <w:t>、PM</w:t>
            </w:r>
            <w:r>
              <w:rPr>
                <w:rFonts w:hint="default" w:ascii="Times New Roman" w:hAnsi="Times New Roman" w:eastAsia="宋体" w:cs="Times New Roman"/>
                <w:color w:val="auto"/>
                <w:vertAlign w:val="subscript"/>
                <w:lang w:val="en-US" w:eastAsia="zh-CN" w:bidi="ar-SA"/>
              </w:rPr>
              <w:t>2.5</w:t>
            </w:r>
            <w:r>
              <w:rPr>
                <w:rFonts w:hint="default" w:ascii="Times New Roman" w:hAnsi="Times New Roman" w:cs="Times New Roman"/>
                <w:color w:val="auto"/>
                <w:lang w:val="en-US" w:eastAsia="zh-CN" w:bidi="ar-SA"/>
              </w:rPr>
              <w:t>年均浓度分别下降了16.7%、7.8%、3.1%，臭氧（O</w:t>
            </w:r>
            <w:r>
              <w:rPr>
                <w:rFonts w:hint="default" w:ascii="Times New Roman" w:hAnsi="Times New Roman" w:eastAsia="宋体" w:cs="Times New Roman"/>
                <w:color w:val="auto"/>
                <w:vertAlign w:val="subscript"/>
                <w:lang w:val="en-US" w:eastAsia="zh-CN" w:bidi="ar-SA"/>
              </w:rPr>
              <w:t>3</w:t>
            </w:r>
            <w:r>
              <w:rPr>
                <w:rFonts w:hint="default" w:ascii="Times New Roman" w:hAnsi="Times New Roman" w:cs="Times New Roman"/>
                <w:color w:val="auto"/>
                <w:lang w:val="en-US" w:eastAsia="zh-CN" w:bidi="ar-SA"/>
              </w:rPr>
              <w:t>）日最大八小时滑动平均第90百分位数浓度下降了1.3%，NO</w:t>
            </w:r>
            <w:r>
              <w:rPr>
                <w:rFonts w:hint="default" w:ascii="Times New Roman" w:hAnsi="Times New Roman" w:cs="Times New Roman"/>
                <w:color w:val="auto"/>
                <w:vertAlign w:val="subscript"/>
                <w:lang w:val="en-US" w:eastAsia="zh-CN" w:bidi="ar-SA"/>
              </w:rPr>
              <w:t>2</w:t>
            </w:r>
            <w:r>
              <w:rPr>
                <w:rFonts w:hint="default" w:ascii="Times New Roman" w:hAnsi="Times New Roman" w:cs="Times New Roman"/>
                <w:color w:val="auto"/>
                <w:lang w:val="en-US" w:eastAsia="zh-CN" w:bidi="ar-SA"/>
              </w:rPr>
              <w:t>年均浓度和一氧化碳（CO）日均值第95百分位数浓度均与去年持平。城区大气降水pH值年均值为6.38，全年仅出现一次酸雨，酸雨频率为0.7%</w:t>
            </w:r>
            <w:r>
              <w:rPr>
                <w:rFonts w:hint="eastAsia" w:ascii="Times New Roman" w:hAnsi="Times New Roman" w:cs="Times New Roman"/>
                <w:color w:val="auto"/>
                <w:lang w:val="en-US" w:eastAsia="zh-CN" w:bidi="ar-SA"/>
              </w:rPr>
              <w:t>，</w:t>
            </w:r>
            <w:r>
              <w:rPr>
                <w:rFonts w:hint="default" w:ascii="Times New Roman" w:hAnsi="Times New Roman" w:cs="Times New Roman"/>
                <w:color w:val="auto"/>
                <w:lang w:val="en-US" w:eastAsia="zh-CN" w:bidi="ar-SA"/>
              </w:rPr>
              <w:t>具体详见下表</w:t>
            </w:r>
            <w:r>
              <w:rPr>
                <w:rFonts w:hint="eastAsia"/>
                <w:vertAlign w:val="baseline"/>
                <w:lang w:val="en-US" w:eastAsia="zh-CN" w:bidi="ar-SA"/>
              </w:rPr>
              <w:t>。</w:t>
            </w:r>
          </w:p>
          <w:p w14:paraId="4EC127AD">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lang w:val="en-US" w:eastAsia="zh-CN" w:bidi="ar-SA"/>
              </w:rPr>
            </w:pPr>
            <w:r>
              <w:rPr>
                <w:rFonts w:hint="eastAsia"/>
                <w:lang w:val="en-US" w:eastAsia="zh-CN" w:bidi="ar-SA"/>
              </w:rPr>
              <w:t>表3-1区域空气质量现状评价表</w:t>
            </w:r>
          </w:p>
          <w:tbl>
            <w:tblPr>
              <w:tblStyle w:val="24"/>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45" w:type="dxa"/>
                <w:bottom w:w="0" w:type="dxa"/>
                <w:right w:w="45" w:type="dxa"/>
              </w:tblCellMar>
            </w:tblPr>
            <w:tblGrid>
              <w:gridCol w:w="979"/>
              <w:gridCol w:w="2323"/>
              <w:gridCol w:w="1047"/>
              <w:gridCol w:w="1530"/>
              <w:gridCol w:w="1161"/>
              <w:gridCol w:w="807"/>
            </w:tblGrid>
            <w:tr w14:paraId="70D636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6D2361A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污染物</w:t>
                  </w:r>
                </w:p>
              </w:tc>
              <w:tc>
                <w:tcPr>
                  <w:tcW w:w="1479" w:type="pct"/>
                  <w:tcBorders>
                    <w:tl2br w:val="nil"/>
                    <w:tr2bl w:val="nil"/>
                  </w:tcBorders>
                  <w:vAlign w:val="center"/>
                </w:tcPr>
                <w:p w14:paraId="479F9D6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年评价指标</w:t>
                  </w:r>
                </w:p>
              </w:tc>
              <w:tc>
                <w:tcPr>
                  <w:tcW w:w="667" w:type="pct"/>
                  <w:tcBorders>
                    <w:tl2br w:val="nil"/>
                    <w:tr2bl w:val="nil"/>
                  </w:tcBorders>
                  <w:vAlign w:val="center"/>
                </w:tcPr>
                <w:p w14:paraId="13C9907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lang w:val="en-US" w:eastAsia="zh-CN" w:bidi="ar-SA"/>
                    </w:rPr>
                  </w:pPr>
                  <w:r>
                    <w:rPr>
                      <w:rFonts w:hint="eastAsia"/>
                      <w:lang w:val="en-US" w:eastAsia="zh-CN" w:bidi="ar-SA"/>
                    </w:rPr>
                    <w:t>现状浓度</w:t>
                  </w:r>
                </w:p>
                <w:p w14:paraId="5E5C54E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（ug/m</w:t>
                  </w:r>
                  <w:r>
                    <w:rPr>
                      <w:rFonts w:hint="eastAsia"/>
                      <w:vertAlign w:val="superscript"/>
                      <w:lang w:val="en-US" w:eastAsia="zh-CN" w:bidi="ar-SA"/>
                    </w:rPr>
                    <w:t>3</w:t>
                  </w:r>
                  <w:r>
                    <w:rPr>
                      <w:rFonts w:hint="eastAsia"/>
                      <w:lang w:val="en-US" w:eastAsia="zh-CN" w:bidi="ar-SA"/>
                    </w:rPr>
                    <w:t>）</w:t>
                  </w:r>
                </w:p>
              </w:tc>
              <w:tc>
                <w:tcPr>
                  <w:tcW w:w="974" w:type="pct"/>
                  <w:tcBorders>
                    <w:tl2br w:val="nil"/>
                    <w:tr2bl w:val="nil"/>
                  </w:tcBorders>
                  <w:vAlign w:val="center"/>
                </w:tcPr>
                <w:p w14:paraId="585A16E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lang w:val="en-US" w:eastAsia="zh-CN" w:bidi="ar-SA"/>
                    </w:rPr>
                  </w:pPr>
                  <w:r>
                    <w:rPr>
                      <w:rFonts w:hint="eastAsia"/>
                      <w:lang w:val="en-US" w:eastAsia="zh-CN" w:bidi="ar-SA"/>
                    </w:rPr>
                    <w:t>标准值</w:t>
                  </w:r>
                </w:p>
                <w:p w14:paraId="304F392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（ug/m</w:t>
                  </w:r>
                  <w:r>
                    <w:rPr>
                      <w:rFonts w:hint="eastAsia"/>
                      <w:vertAlign w:val="superscript"/>
                      <w:lang w:val="en-US" w:eastAsia="zh-CN" w:bidi="ar-SA"/>
                    </w:rPr>
                    <w:t>3</w:t>
                  </w:r>
                  <w:r>
                    <w:rPr>
                      <w:rFonts w:hint="eastAsia"/>
                      <w:lang w:val="en-US" w:eastAsia="zh-CN" w:bidi="ar-SA"/>
                    </w:rPr>
                    <w:t>）</w:t>
                  </w:r>
                </w:p>
              </w:tc>
              <w:tc>
                <w:tcPr>
                  <w:tcW w:w="739" w:type="pct"/>
                  <w:tcBorders>
                    <w:tl2br w:val="nil"/>
                    <w:tr2bl w:val="nil"/>
                  </w:tcBorders>
                  <w:vAlign w:val="center"/>
                </w:tcPr>
                <w:p w14:paraId="394A6D2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lang w:val="en-US" w:eastAsia="zh-CN" w:bidi="ar-SA"/>
                    </w:rPr>
                  </w:pPr>
                  <w:r>
                    <w:rPr>
                      <w:rFonts w:hint="eastAsia"/>
                      <w:lang w:val="en-US" w:eastAsia="zh-CN" w:bidi="ar-SA"/>
                    </w:rPr>
                    <w:t>占标率</w:t>
                  </w:r>
                </w:p>
                <w:p w14:paraId="58F1EF1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w:t>
                  </w:r>
                </w:p>
              </w:tc>
              <w:tc>
                <w:tcPr>
                  <w:tcW w:w="514" w:type="pct"/>
                  <w:tcBorders>
                    <w:tl2br w:val="nil"/>
                    <w:tr2bl w:val="nil"/>
                  </w:tcBorders>
                  <w:vAlign w:val="center"/>
                </w:tcPr>
                <w:p w14:paraId="7744331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lang w:val="en-US" w:eastAsia="zh-CN" w:bidi="ar-SA"/>
                    </w:rPr>
                  </w:pPr>
                  <w:r>
                    <w:rPr>
                      <w:rFonts w:hint="eastAsia"/>
                      <w:lang w:val="en-US" w:eastAsia="zh-CN" w:bidi="ar-SA"/>
                    </w:rPr>
                    <w:t>达标</w:t>
                  </w:r>
                </w:p>
                <w:p w14:paraId="4779ABB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情况</w:t>
                  </w:r>
                </w:p>
              </w:tc>
            </w:tr>
            <w:tr w14:paraId="252116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0DBEF9F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SO</w:t>
                  </w:r>
                  <w:r>
                    <w:rPr>
                      <w:rFonts w:hint="eastAsia"/>
                      <w:vertAlign w:val="subscript"/>
                      <w:lang w:val="en-US" w:eastAsia="zh-CN" w:bidi="ar-SA"/>
                    </w:rPr>
                    <w:t>2</w:t>
                  </w:r>
                </w:p>
              </w:tc>
              <w:tc>
                <w:tcPr>
                  <w:tcW w:w="1479" w:type="pct"/>
                  <w:tcBorders>
                    <w:tl2br w:val="nil"/>
                    <w:tr2bl w:val="nil"/>
                  </w:tcBorders>
                  <w:vAlign w:val="center"/>
                </w:tcPr>
                <w:p w14:paraId="2E95A5C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年均质量浓度</w:t>
                  </w:r>
                </w:p>
              </w:tc>
              <w:tc>
                <w:tcPr>
                  <w:tcW w:w="667" w:type="pct"/>
                  <w:tcBorders>
                    <w:tl2br w:val="nil"/>
                    <w:tr2bl w:val="nil"/>
                  </w:tcBorders>
                  <w:vAlign w:val="center"/>
                </w:tcPr>
                <w:p w14:paraId="566C66B0">
                  <w:pPr>
                    <w:pStyle w:val="41"/>
                    <w:spacing w:before="24" w:after="24"/>
                    <w:ind w:left="0" w:leftChars="0" w:firstLine="0" w:firstLineChars="0"/>
                    <w:jc w:val="center"/>
                    <w:rPr>
                      <w:rFonts w:hint="default"/>
                      <w:lang w:val="en-US" w:eastAsia="zh-CN" w:bidi="ar-SA"/>
                    </w:rPr>
                  </w:pPr>
                  <w:r>
                    <w:rPr>
                      <w:rFonts w:hint="eastAsia" w:ascii="Times New Roman" w:hAnsi="Times New Roman" w:eastAsia="宋体" w:cs="Times New Roman"/>
                      <w:color w:val="auto"/>
                      <w:sz w:val="21"/>
                      <w:szCs w:val="21"/>
                      <w:lang w:val="en-US" w:eastAsia="zh-CN"/>
                    </w:rPr>
                    <w:t>5</w:t>
                  </w:r>
                </w:p>
              </w:tc>
              <w:tc>
                <w:tcPr>
                  <w:tcW w:w="974" w:type="pct"/>
                  <w:tcBorders>
                    <w:tl2br w:val="nil"/>
                    <w:tr2bl w:val="nil"/>
                  </w:tcBorders>
                  <w:vAlign w:val="center"/>
                </w:tcPr>
                <w:p w14:paraId="5749B748">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60</w:t>
                  </w:r>
                </w:p>
              </w:tc>
              <w:tc>
                <w:tcPr>
                  <w:tcW w:w="739" w:type="pct"/>
                  <w:tcBorders>
                    <w:tl2br w:val="nil"/>
                    <w:tr2bl w:val="nil"/>
                  </w:tcBorders>
                  <w:vAlign w:val="center"/>
                </w:tcPr>
                <w:p w14:paraId="0760B733">
                  <w:pPr>
                    <w:pStyle w:val="41"/>
                    <w:spacing w:before="24" w:after="24"/>
                    <w:ind w:firstLine="0" w:firstLineChars="0"/>
                    <w:jc w:val="center"/>
                    <w:rPr>
                      <w:rFonts w:hint="default"/>
                      <w:lang w:val="en-US" w:eastAsia="zh-CN" w:bidi="ar-SA"/>
                    </w:rPr>
                  </w:pPr>
                  <w:r>
                    <w:rPr>
                      <w:rFonts w:hint="eastAsia" w:ascii="Times New Roman" w:hAnsi="Times New Roman" w:eastAsia="宋体" w:cs="Times New Roman"/>
                      <w:color w:val="auto"/>
                      <w:sz w:val="21"/>
                      <w:szCs w:val="21"/>
                      <w:lang w:val="en-US" w:eastAsia="zh-CN"/>
                    </w:rPr>
                    <w:t>8.3</w:t>
                  </w:r>
                </w:p>
              </w:tc>
              <w:tc>
                <w:tcPr>
                  <w:tcW w:w="514" w:type="pct"/>
                  <w:tcBorders>
                    <w:tl2br w:val="nil"/>
                    <w:tr2bl w:val="nil"/>
                  </w:tcBorders>
                  <w:vAlign w:val="center"/>
                </w:tcPr>
                <w:p w14:paraId="030D6929">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达标</w:t>
                  </w:r>
                </w:p>
              </w:tc>
            </w:tr>
            <w:tr w14:paraId="2D3EBC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6FA2AED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NO</w:t>
                  </w:r>
                  <w:r>
                    <w:rPr>
                      <w:rFonts w:hint="eastAsia"/>
                      <w:vertAlign w:val="subscript"/>
                      <w:lang w:val="en-US" w:eastAsia="zh-CN" w:bidi="ar-SA"/>
                    </w:rPr>
                    <w:t>2</w:t>
                  </w:r>
                </w:p>
              </w:tc>
              <w:tc>
                <w:tcPr>
                  <w:tcW w:w="1479" w:type="pct"/>
                  <w:tcBorders>
                    <w:tl2br w:val="nil"/>
                    <w:tr2bl w:val="nil"/>
                  </w:tcBorders>
                  <w:vAlign w:val="center"/>
                </w:tcPr>
                <w:p w14:paraId="477A39E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年均质量浓度</w:t>
                  </w:r>
                </w:p>
              </w:tc>
              <w:tc>
                <w:tcPr>
                  <w:tcW w:w="667" w:type="pct"/>
                  <w:tcBorders>
                    <w:tl2br w:val="nil"/>
                    <w:tr2bl w:val="nil"/>
                  </w:tcBorders>
                  <w:vAlign w:val="center"/>
                </w:tcPr>
                <w:p w14:paraId="5709B3C9">
                  <w:pPr>
                    <w:pStyle w:val="41"/>
                    <w:spacing w:before="24" w:after="24"/>
                    <w:ind w:left="0" w:leftChars="0" w:firstLine="0" w:firstLineChars="0"/>
                    <w:jc w:val="center"/>
                    <w:rPr>
                      <w:rFonts w:hint="default"/>
                      <w:lang w:val="en-US" w:eastAsia="zh-CN" w:bidi="ar-SA"/>
                    </w:rPr>
                  </w:pPr>
                  <w:r>
                    <w:rPr>
                      <w:rFonts w:hint="default" w:ascii="Times New Roman" w:hAnsi="Times New Roman" w:eastAsia="宋体" w:cs="Times New Roman"/>
                      <w:color w:val="auto"/>
                      <w:sz w:val="21"/>
                      <w:szCs w:val="21"/>
                    </w:rPr>
                    <w:t>2</w:t>
                  </w:r>
                  <w:r>
                    <w:rPr>
                      <w:rFonts w:hint="eastAsia" w:ascii="Times New Roman" w:hAnsi="Times New Roman" w:eastAsia="宋体" w:cs="Times New Roman"/>
                      <w:color w:val="auto"/>
                      <w:sz w:val="21"/>
                      <w:szCs w:val="21"/>
                      <w:lang w:val="en-US" w:eastAsia="zh-CN"/>
                    </w:rPr>
                    <w:t>0</w:t>
                  </w:r>
                </w:p>
              </w:tc>
              <w:tc>
                <w:tcPr>
                  <w:tcW w:w="974" w:type="pct"/>
                  <w:tcBorders>
                    <w:tl2br w:val="nil"/>
                    <w:tr2bl w:val="nil"/>
                  </w:tcBorders>
                  <w:vAlign w:val="center"/>
                </w:tcPr>
                <w:p w14:paraId="790FBC2B">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40</w:t>
                  </w:r>
                </w:p>
              </w:tc>
              <w:tc>
                <w:tcPr>
                  <w:tcW w:w="739" w:type="pct"/>
                  <w:tcBorders>
                    <w:tl2br w:val="nil"/>
                    <w:tr2bl w:val="nil"/>
                  </w:tcBorders>
                  <w:vAlign w:val="center"/>
                </w:tcPr>
                <w:p w14:paraId="046268FC">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0</w:t>
                  </w:r>
                </w:p>
              </w:tc>
              <w:tc>
                <w:tcPr>
                  <w:tcW w:w="514" w:type="pct"/>
                  <w:tcBorders>
                    <w:tl2br w:val="nil"/>
                    <w:tr2bl w:val="nil"/>
                  </w:tcBorders>
                  <w:vAlign w:val="center"/>
                </w:tcPr>
                <w:p w14:paraId="09533F57">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达标</w:t>
                  </w:r>
                </w:p>
              </w:tc>
            </w:tr>
            <w:tr w14:paraId="09A235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11579EB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PM</w:t>
                  </w:r>
                  <w:r>
                    <w:rPr>
                      <w:rFonts w:hint="eastAsia"/>
                      <w:vertAlign w:val="subscript"/>
                      <w:lang w:val="en-US" w:eastAsia="zh-CN" w:bidi="ar-SA"/>
                    </w:rPr>
                    <w:t>10</w:t>
                  </w:r>
                </w:p>
              </w:tc>
              <w:tc>
                <w:tcPr>
                  <w:tcW w:w="1479" w:type="pct"/>
                  <w:tcBorders>
                    <w:tl2br w:val="nil"/>
                    <w:tr2bl w:val="nil"/>
                  </w:tcBorders>
                  <w:vAlign w:val="center"/>
                </w:tcPr>
                <w:p w14:paraId="05660F6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年均质量浓度</w:t>
                  </w:r>
                </w:p>
              </w:tc>
              <w:tc>
                <w:tcPr>
                  <w:tcW w:w="667" w:type="pct"/>
                  <w:tcBorders>
                    <w:tl2br w:val="nil"/>
                    <w:tr2bl w:val="nil"/>
                  </w:tcBorders>
                  <w:vAlign w:val="center"/>
                </w:tcPr>
                <w:p w14:paraId="7528FFBF">
                  <w:pPr>
                    <w:pStyle w:val="41"/>
                    <w:spacing w:before="24" w:after="24"/>
                    <w:ind w:left="0" w:leftChars="0" w:firstLine="0" w:firstLineChars="0"/>
                    <w:jc w:val="center"/>
                    <w:rPr>
                      <w:rFonts w:hint="default"/>
                      <w:lang w:val="en-US" w:eastAsia="zh-CN" w:bidi="ar-SA"/>
                    </w:rPr>
                  </w:pPr>
                  <w:r>
                    <w:rPr>
                      <w:rFonts w:hint="eastAsia" w:ascii="Times New Roman" w:hAnsi="Times New Roman" w:eastAsia="宋体" w:cs="Times New Roman"/>
                      <w:color w:val="auto"/>
                      <w:sz w:val="21"/>
                      <w:szCs w:val="21"/>
                      <w:lang w:val="en-US" w:eastAsia="zh-CN"/>
                    </w:rPr>
                    <w:t>47</w:t>
                  </w:r>
                </w:p>
              </w:tc>
              <w:tc>
                <w:tcPr>
                  <w:tcW w:w="974" w:type="pct"/>
                  <w:tcBorders>
                    <w:tl2br w:val="nil"/>
                    <w:tr2bl w:val="nil"/>
                  </w:tcBorders>
                  <w:vAlign w:val="center"/>
                </w:tcPr>
                <w:p w14:paraId="01A9B34E">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70</w:t>
                  </w:r>
                </w:p>
              </w:tc>
              <w:tc>
                <w:tcPr>
                  <w:tcW w:w="739" w:type="pct"/>
                  <w:tcBorders>
                    <w:tl2br w:val="nil"/>
                    <w:tr2bl w:val="nil"/>
                  </w:tcBorders>
                  <w:vAlign w:val="center"/>
                </w:tcPr>
                <w:p w14:paraId="355411ED">
                  <w:pPr>
                    <w:pStyle w:val="41"/>
                    <w:spacing w:before="24" w:after="24"/>
                    <w:ind w:firstLine="0" w:firstLineChars="0"/>
                    <w:jc w:val="center"/>
                    <w:rPr>
                      <w:rFonts w:hint="default"/>
                      <w:lang w:val="en-US" w:eastAsia="zh-CN" w:bidi="ar-SA"/>
                    </w:rPr>
                  </w:pPr>
                  <w:r>
                    <w:rPr>
                      <w:rFonts w:hint="eastAsia" w:ascii="Times New Roman" w:hAnsi="Times New Roman" w:eastAsia="宋体" w:cs="Times New Roman"/>
                      <w:color w:val="auto"/>
                      <w:sz w:val="21"/>
                      <w:szCs w:val="21"/>
                      <w:lang w:val="en-US" w:eastAsia="zh-CN"/>
                    </w:rPr>
                    <w:t>67.1</w:t>
                  </w:r>
                </w:p>
              </w:tc>
              <w:tc>
                <w:tcPr>
                  <w:tcW w:w="514" w:type="pct"/>
                  <w:tcBorders>
                    <w:tl2br w:val="nil"/>
                    <w:tr2bl w:val="nil"/>
                  </w:tcBorders>
                  <w:vAlign w:val="center"/>
                </w:tcPr>
                <w:p w14:paraId="426B17FE">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达标</w:t>
                  </w:r>
                </w:p>
              </w:tc>
            </w:tr>
            <w:tr w14:paraId="0D832C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0BDCA03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PM</w:t>
                  </w:r>
                  <w:r>
                    <w:rPr>
                      <w:rFonts w:hint="eastAsia"/>
                      <w:vertAlign w:val="subscript"/>
                      <w:lang w:val="en-US" w:eastAsia="zh-CN" w:bidi="ar-SA"/>
                    </w:rPr>
                    <w:t>2.5</w:t>
                  </w:r>
                </w:p>
              </w:tc>
              <w:tc>
                <w:tcPr>
                  <w:tcW w:w="1479" w:type="pct"/>
                  <w:tcBorders>
                    <w:tl2br w:val="nil"/>
                    <w:tr2bl w:val="nil"/>
                  </w:tcBorders>
                  <w:vAlign w:val="center"/>
                </w:tcPr>
                <w:p w14:paraId="6682FCA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年均质量浓度</w:t>
                  </w:r>
                </w:p>
              </w:tc>
              <w:tc>
                <w:tcPr>
                  <w:tcW w:w="667" w:type="pct"/>
                  <w:tcBorders>
                    <w:tl2br w:val="nil"/>
                    <w:tr2bl w:val="nil"/>
                  </w:tcBorders>
                  <w:vAlign w:val="center"/>
                </w:tcPr>
                <w:p w14:paraId="3A113CD4">
                  <w:pPr>
                    <w:pStyle w:val="41"/>
                    <w:spacing w:before="24" w:after="24"/>
                    <w:ind w:left="0" w:leftChars="0" w:firstLine="0" w:firstLineChars="0"/>
                    <w:jc w:val="center"/>
                    <w:rPr>
                      <w:rFonts w:hint="default"/>
                      <w:lang w:val="en-US" w:eastAsia="zh-CN" w:bidi="ar-SA"/>
                    </w:rPr>
                  </w:pPr>
                  <w:r>
                    <w:rPr>
                      <w:rFonts w:hint="default" w:ascii="Times New Roman" w:hAnsi="Times New Roman" w:eastAsia="宋体" w:cs="Times New Roman"/>
                      <w:color w:val="auto"/>
                      <w:sz w:val="21"/>
                      <w:szCs w:val="21"/>
                    </w:rPr>
                    <w:t>3</w:t>
                  </w:r>
                  <w:r>
                    <w:rPr>
                      <w:rFonts w:hint="eastAsia" w:ascii="Times New Roman" w:hAnsi="Times New Roman" w:eastAsia="宋体" w:cs="Times New Roman"/>
                      <w:color w:val="auto"/>
                      <w:sz w:val="21"/>
                      <w:szCs w:val="21"/>
                      <w:lang w:val="en-US" w:eastAsia="zh-CN"/>
                    </w:rPr>
                    <w:t>1</w:t>
                  </w:r>
                </w:p>
              </w:tc>
              <w:tc>
                <w:tcPr>
                  <w:tcW w:w="974" w:type="pct"/>
                  <w:tcBorders>
                    <w:tl2br w:val="nil"/>
                    <w:tr2bl w:val="nil"/>
                  </w:tcBorders>
                  <w:vAlign w:val="center"/>
                </w:tcPr>
                <w:p w14:paraId="60BF2C6E">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35</w:t>
                  </w:r>
                </w:p>
              </w:tc>
              <w:tc>
                <w:tcPr>
                  <w:tcW w:w="739" w:type="pct"/>
                  <w:tcBorders>
                    <w:tl2br w:val="nil"/>
                    <w:tr2bl w:val="nil"/>
                  </w:tcBorders>
                  <w:vAlign w:val="center"/>
                </w:tcPr>
                <w:p w14:paraId="7F1BEDF6">
                  <w:pPr>
                    <w:pStyle w:val="41"/>
                    <w:spacing w:before="24" w:after="24"/>
                    <w:ind w:firstLine="0" w:firstLineChars="0"/>
                    <w:jc w:val="center"/>
                    <w:rPr>
                      <w:rFonts w:hint="default"/>
                      <w:lang w:val="en-US" w:eastAsia="zh-CN" w:bidi="ar-SA"/>
                    </w:rPr>
                  </w:pPr>
                  <w:r>
                    <w:rPr>
                      <w:rFonts w:hint="eastAsia" w:ascii="Times New Roman" w:hAnsi="Times New Roman" w:eastAsia="宋体" w:cs="Times New Roman"/>
                      <w:color w:val="auto"/>
                      <w:sz w:val="21"/>
                      <w:szCs w:val="21"/>
                      <w:lang w:val="en-US" w:eastAsia="zh-CN"/>
                    </w:rPr>
                    <w:t>88.6</w:t>
                  </w:r>
                </w:p>
              </w:tc>
              <w:tc>
                <w:tcPr>
                  <w:tcW w:w="514" w:type="pct"/>
                  <w:tcBorders>
                    <w:tl2br w:val="nil"/>
                    <w:tr2bl w:val="nil"/>
                  </w:tcBorders>
                  <w:vAlign w:val="center"/>
                </w:tcPr>
                <w:p w14:paraId="168E9C38">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达标</w:t>
                  </w:r>
                </w:p>
              </w:tc>
            </w:tr>
            <w:tr w14:paraId="491280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78B9DE7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CO</w:t>
                  </w:r>
                </w:p>
              </w:tc>
              <w:tc>
                <w:tcPr>
                  <w:tcW w:w="1479" w:type="pct"/>
                  <w:tcBorders>
                    <w:tl2br w:val="nil"/>
                    <w:tr2bl w:val="nil"/>
                  </w:tcBorders>
                  <w:vAlign w:val="center"/>
                </w:tcPr>
                <w:p w14:paraId="763640D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95%24小时平均浓度</w:t>
                  </w:r>
                </w:p>
              </w:tc>
              <w:tc>
                <w:tcPr>
                  <w:tcW w:w="667" w:type="pct"/>
                  <w:tcBorders>
                    <w:tl2br w:val="nil"/>
                    <w:tr2bl w:val="nil"/>
                  </w:tcBorders>
                  <w:vAlign w:val="center"/>
                </w:tcPr>
                <w:p w14:paraId="507854CB">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0</w:t>
                  </w:r>
                  <w:r>
                    <w:rPr>
                      <w:rFonts w:hint="default" w:ascii="Times New Roman" w:hAnsi="Times New Roman" w:eastAsia="宋体" w:cs="Times New Roman"/>
                      <w:color w:val="auto"/>
                      <w:sz w:val="21"/>
                      <w:szCs w:val="21"/>
                    </w:rPr>
                    <w:t>00</w:t>
                  </w:r>
                </w:p>
              </w:tc>
              <w:tc>
                <w:tcPr>
                  <w:tcW w:w="974" w:type="pct"/>
                  <w:tcBorders>
                    <w:tl2br w:val="nil"/>
                    <w:tr2bl w:val="nil"/>
                  </w:tcBorders>
                  <w:vAlign w:val="center"/>
                </w:tcPr>
                <w:p w14:paraId="3984A4B8">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4000</w:t>
                  </w:r>
                </w:p>
              </w:tc>
              <w:tc>
                <w:tcPr>
                  <w:tcW w:w="739" w:type="pct"/>
                  <w:tcBorders>
                    <w:tl2br w:val="nil"/>
                    <w:tr2bl w:val="nil"/>
                  </w:tcBorders>
                  <w:vAlign w:val="center"/>
                </w:tcPr>
                <w:p w14:paraId="7689E9C3">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lang w:val="en-US" w:eastAsia="zh-CN"/>
                    </w:rPr>
                    <w:t>25</w:t>
                  </w:r>
                </w:p>
              </w:tc>
              <w:tc>
                <w:tcPr>
                  <w:tcW w:w="514" w:type="pct"/>
                  <w:tcBorders>
                    <w:tl2br w:val="nil"/>
                    <w:tr2bl w:val="nil"/>
                  </w:tcBorders>
                  <w:vAlign w:val="center"/>
                </w:tcPr>
                <w:p w14:paraId="6B078B12">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达标</w:t>
                  </w:r>
                </w:p>
              </w:tc>
            </w:tr>
            <w:tr w14:paraId="228C0E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386" w:hRule="atLeast"/>
              </w:trPr>
              <w:tc>
                <w:tcPr>
                  <w:tcW w:w="624" w:type="pct"/>
                  <w:tcBorders>
                    <w:tl2br w:val="nil"/>
                    <w:tr2bl w:val="nil"/>
                  </w:tcBorders>
                  <w:vAlign w:val="center"/>
                </w:tcPr>
                <w:p w14:paraId="7D6EB2A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O</w:t>
                  </w:r>
                  <w:r>
                    <w:rPr>
                      <w:rFonts w:hint="eastAsia"/>
                      <w:vertAlign w:val="subscript"/>
                      <w:lang w:val="en-US" w:eastAsia="zh-CN" w:bidi="ar-SA"/>
                    </w:rPr>
                    <w:t>3</w:t>
                  </w:r>
                </w:p>
              </w:tc>
              <w:tc>
                <w:tcPr>
                  <w:tcW w:w="1479" w:type="pct"/>
                  <w:tcBorders>
                    <w:tl2br w:val="nil"/>
                    <w:tr2bl w:val="nil"/>
                  </w:tcBorders>
                  <w:vAlign w:val="center"/>
                </w:tcPr>
                <w:p w14:paraId="54314B1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lang w:val="en-US" w:eastAsia="zh-CN" w:bidi="ar-SA"/>
                    </w:rPr>
                  </w:pPr>
                  <w:r>
                    <w:rPr>
                      <w:rFonts w:hint="eastAsia"/>
                      <w:lang w:val="en-US" w:eastAsia="zh-CN" w:bidi="ar-SA"/>
                    </w:rPr>
                    <w:t>90%最大8h平均浓度</w:t>
                  </w:r>
                </w:p>
              </w:tc>
              <w:tc>
                <w:tcPr>
                  <w:tcW w:w="667" w:type="pct"/>
                  <w:tcBorders>
                    <w:tl2br w:val="nil"/>
                    <w:tr2bl w:val="nil"/>
                  </w:tcBorders>
                  <w:vAlign w:val="center"/>
                </w:tcPr>
                <w:p w14:paraId="44BB891A">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1</w:t>
                  </w:r>
                  <w:r>
                    <w:rPr>
                      <w:rFonts w:hint="eastAsia" w:ascii="Times New Roman" w:hAnsi="Times New Roman" w:eastAsia="宋体" w:cs="Times New Roman"/>
                      <w:color w:val="auto"/>
                      <w:sz w:val="21"/>
                      <w:szCs w:val="21"/>
                      <w:lang w:val="en-US" w:eastAsia="zh-CN"/>
                    </w:rPr>
                    <w:t>54</w:t>
                  </w:r>
                </w:p>
              </w:tc>
              <w:tc>
                <w:tcPr>
                  <w:tcW w:w="974" w:type="pct"/>
                  <w:tcBorders>
                    <w:tl2br w:val="nil"/>
                    <w:tr2bl w:val="nil"/>
                  </w:tcBorders>
                  <w:vAlign w:val="center"/>
                </w:tcPr>
                <w:p w14:paraId="30B09298">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160</w:t>
                  </w:r>
                </w:p>
              </w:tc>
              <w:tc>
                <w:tcPr>
                  <w:tcW w:w="739" w:type="pct"/>
                  <w:tcBorders>
                    <w:tl2br w:val="nil"/>
                    <w:tr2bl w:val="nil"/>
                  </w:tcBorders>
                  <w:vAlign w:val="center"/>
                </w:tcPr>
                <w:p w14:paraId="085887A4">
                  <w:pPr>
                    <w:pStyle w:val="41"/>
                    <w:spacing w:before="24" w:after="24"/>
                    <w:ind w:firstLine="0" w:firstLineChars="0"/>
                    <w:jc w:val="center"/>
                    <w:rPr>
                      <w:rFonts w:hint="default"/>
                      <w:lang w:val="en-US" w:eastAsia="zh-CN" w:bidi="ar-SA"/>
                    </w:rPr>
                  </w:pPr>
                  <w:r>
                    <w:rPr>
                      <w:rFonts w:hint="eastAsia" w:ascii="Times New Roman" w:hAnsi="Times New Roman" w:eastAsia="宋体" w:cs="Times New Roman"/>
                      <w:color w:val="auto"/>
                      <w:sz w:val="21"/>
                      <w:szCs w:val="21"/>
                      <w:lang w:val="en-US" w:eastAsia="zh-CN"/>
                    </w:rPr>
                    <w:t>96.25</w:t>
                  </w:r>
                </w:p>
              </w:tc>
              <w:tc>
                <w:tcPr>
                  <w:tcW w:w="514" w:type="pct"/>
                  <w:tcBorders>
                    <w:tl2br w:val="nil"/>
                    <w:tr2bl w:val="nil"/>
                  </w:tcBorders>
                  <w:vAlign w:val="center"/>
                </w:tcPr>
                <w:p w14:paraId="4F3EBE1E">
                  <w:pPr>
                    <w:pStyle w:val="41"/>
                    <w:spacing w:before="24" w:after="24"/>
                    <w:ind w:firstLine="0" w:firstLineChars="0"/>
                    <w:jc w:val="center"/>
                    <w:rPr>
                      <w:rFonts w:hint="default"/>
                      <w:lang w:val="en-US" w:eastAsia="zh-CN" w:bidi="ar-SA"/>
                    </w:rPr>
                  </w:pPr>
                  <w:r>
                    <w:rPr>
                      <w:rFonts w:hint="default" w:ascii="Times New Roman" w:hAnsi="Times New Roman" w:eastAsia="宋体" w:cs="Times New Roman"/>
                      <w:color w:val="auto"/>
                      <w:sz w:val="21"/>
                      <w:szCs w:val="21"/>
                    </w:rPr>
                    <w:t>达标</w:t>
                  </w:r>
                </w:p>
              </w:tc>
            </w:tr>
          </w:tbl>
          <w:p w14:paraId="69838871">
            <w:pPr>
              <w:pStyle w:val="43"/>
              <w:bidi w:val="0"/>
              <w:rPr>
                <w:rFonts w:hint="eastAsia"/>
                <w:lang w:val="en-US" w:eastAsia="zh-CN" w:bidi="ar-SA"/>
              </w:rPr>
            </w:pPr>
            <w:r>
              <w:rPr>
                <w:rFonts w:hint="eastAsia"/>
                <w:lang w:val="en-US" w:eastAsia="zh-CN" w:bidi="ar-SA"/>
              </w:rPr>
              <w:t>根据2024年池州市环境质量公报数据，项目所在区为达标区。</w:t>
            </w:r>
          </w:p>
          <w:p w14:paraId="609947D6">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1.2  特征因子补充调查</w:t>
            </w:r>
          </w:p>
          <w:p w14:paraId="02121746">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本项目废气排放的特征污染物为TSP。</w:t>
            </w:r>
          </w:p>
          <w:p w14:paraId="588A9E24">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为进一步了解项目排放的特征污染物，特征污染物TSP监测数据引用检测报告（编号：AHCH20230025）</w:t>
            </w:r>
            <w:r>
              <w:rPr>
                <w:rFonts w:hint="eastAsia" w:ascii="宋体" w:hAnsi="宋体" w:eastAsia="宋体" w:cs="宋体"/>
                <w:color w:val="auto"/>
                <w:kern w:val="0"/>
                <w:sz w:val="24"/>
                <w:szCs w:val="24"/>
                <w:lang w:val="en-US" w:eastAsia="zh-CN" w:bidi="ar"/>
              </w:rPr>
              <w:t>中的环境监测数据（引用点位位于安徽天衢环保科技有限公司西南侧，位于本项目</w:t>
            </w:r>
            <w:r>
              <w:rPr>
                <w:rFonts w:hint="eastAsia" w:ascii="宋体" w:hAnsi="宋体" w:cs="宋体"/>
                <w:color w:val="auto"/>
                <w:kern w:val="0"/>
                <w:sz w:val="24"/>
                <w:szCs w:val="24"/>
                <w:lang w:val="en-US" w:eastAsia="zh-CN" w:bidi="ar"/>
              </w:rPr>
              <w:t>西北</w:t>
            </w:r>
            <w:r>
              <w:rPr>
                <w:rFonts w:hint="eastAsia" w:ascii="宋体" w:hAnsi="宋体" w:eastAsia="宋体" w:cs="宋体"/>
                <w:color w:val="auto"/>
                <w:kern w:val="0"/>
                <w:sz w:val="24"/>
                <w:szCs w:val="24"/>
                <w:lang w:val="en-US" w:eastAsia="zh-CN" w:bidi="ar"/>
              </w:rPr>
              <w:t>方向约</w:t>
            </w:r>
            <w:r>
              <w:rPr>
                <w:rFonts w:hint="eastAsia" w:cs="Times New Roman"/>
                <w:color w:val="auto"/>
                <w:kern w:val="0"/>
                <w:sz w:val="24"/>
                <w:szCs w:val="24"/>
                <w:lang w:val="en-US" w:eastAsia="zh-CN" w:bidi="ar"/>
              </w:rPr>
              <w:t>1745</w:t>
            </w:r>
            <w:r>
              <w:rPr>
                <w:rFonts w:hint="default" w:ascii="Times New Roman" w:hAnsi="Times New Roman" w:eastAsia="宋体" w:cs="Times New Roman"/>
                <w:color w:val="auto"/>
                <w:kern w:val="0"/>
                <w:sz w:val="24"/>
                <w:szCs w:val="24"/>
                <w:lang w:val="en-US" w:eastAsia="zh-CN" w:bidi="ar"/>
              </w:rPr>
              <w:t>m</w:t>
            </w:r>
            <w:r>
              <w:rPr>
                <w:rFonts w:hint="eastAsia" w:ascii="宋体" w:hAnsi="宋体" w:eastAsia="宋体" w:cs="宋体"/>
                <w:color w:val="auto"/>
                <w:kern w:val="0"/>
                <w:sz w:val="24"/>
                <w:szCs w:val="24"/>
                <w:lang w:val="en-US" w:eastAsia="zh-CN" w:bidi="ar"/>
              </w:rPr>
              <w:t>，监测时间为</w:t>
            </w:r>
            <w:r>
              <w:rPr>
                <w:rFonts w:hint="default" w:ascii="Times New Roman" w:hAnsi="Times New Roman" w:eastAsia="宋体" w:cs="Times New Roman"/>
                <w:color w:val="auto"/>
                <w:kern w:val="0"/>
                <w:sz w:val="24"/>
                <w:szCs w:val="24"/>
                <w:lang w:val="en-US" w:eastAsia="zh-CN" w:bidi="ar"/>
              </w:rPr>
              <w:t>202</w:t>
            </w:r>
            <w:r>
              <w:rPr>
                <w:rFonts w:hint="eastAsia" w:ascii="Times New Roman" w:hAnsi="Times New Roman" w:eastAsia="宋体" w:cs="Times New Roman"/>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年</w:t>
            </w:r>
            <w:r>
              <w:rPr>
                <w:rFonts w:hint="eastAsia" w:ascii="Times New Roman" w:hAnsi="Times New Roman" w:eastAsia="宋体" w:cs="Times New Roman"/>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月</w:t>
            </w:r>
            <w:r>
              <w:rPr>
                <w:rFonts w:hint="eastAsia" w:ascii="Times New Roman" w:hAnsi="Times New Roman" w:eastAsia="宋体" w:cs="Times New Roman"/>
                <w:color w:val="auto"/>
                <w:kern w:val="0"/>
                <w:sz w:val="24"/>
                <w:szCs w:val="24"/>
                <w:lang w:val="en-US" w:eastAsia="zh-CN" w:bidi="ar"/>
              </w:rPr>
              <w:t>31</w:t>
            </w:r>
            <w:r>
              <w:rPr>
                <w:rFonts w:hint="eastAsia" w:ascii="宋体" w:hAnsi="宋体" w:eastAsia="宋体" w:cs="宋体"/>
                <w:color w:val="auto"/>
                <w:kern w:val="0"/>
                <w:sz w:val="24"/>
                <w:szCs w:val="24"/>
                <w:lang w:val="en-US" w:eastAsia="zh-CN" w:bidi="ar"/>
              </w:rPr>
              <w:t>日</w:t>
            </w:r>
            <w:r>
              <w:rPr>
                <w:rFonts w:hint="default" w:ascii="Times New Roman" w:hAnsi="Times New Roman" w:eastAsia="宋体" w:cs="Times New Roman"/>
                <w:color w:val="auto"/>
                <w:kern w:val="0"/>
                <w:sz w:val="24"/>
                <w:szCs w:val="24"/>
                <w:lang w:val="en-US" w:eastAsia="zh-CN" w:bidi="ar"/>
              </w:rPr>
              <w:t>~4月2日</w:t>
            </w:r>
            <w:r>
              <w:rPr>
                <w:rFonts w:hint="eastAsia" w:cs="Times New Roman"/>
                <w:color w:val="auto"/>
                <w:kern w:val="0"/>
                <w:sz w:val="24"/>
                <w:szCs w:val="24"/>
                <w:lang w:val="en-US" w:eastAsia="zh-CN" w:bidi="ar"/>
              </w:rPr>
              <w:t>）</w:t>
            </w:r>
            <w:r>
              <w:rPr>
                <w:rFonts w:hint="eastAsia"/>
                <w:color w:val="000000" w:themeColor="text1"/>
                <w:lang w:val="en-US" w:eastAsia="zh-CN" w:bidi="ar-SA"/>
                <w14:textFill>
                  <w14:solidFill>
                    <w14:schemeClr w14:val="tx1"/>
                  </w14:solidFill>
                </w14:textFill>
              </w:rPr>
              <w:t>，本次项目引用数据符合“5千米范围内近3年”的要求，引用数据是可行的，具体监测结果及统计结果见下表：</w:t>
            </w:r>
          </w:p>
          <w:p w14:paraId="027877EC">
            <w:pPr>
              <w:pStyle w:val="43"/>
              <w:bidi w:val="0"/>
              <w:ind w:left="0" w:leftChars="0" w:firstLine="0" w:firstLineChars="0"/>
              <w:jc w:val="center"/>
              <w:rPr>
                <w:rFonts w:hint="default" w:ascii="Times New Roman" w:hAnsi="Times New Roman" w:eastAsia="宋体" w:cs="Times New Roman"/>
                <w:b/>
                <w:bCs/>
                <w:color w:val="auto"/>
                <w:lang w:val="en-US" w:eastAsia="zh-CN" w:bidi="ar-SA"/>
              </w:rPr>
            </w:pPr>
            <w:r>
              <w:rPr>
                <w:rFonts w:hint="default" w:ascii="Times New Roman" w:hAnsi="Times New Roman" w:eastAsia="宋体" w:cs="Times New Roman"/>
                <w:b/>
                <w:bCs/>
                <w:color w:val="auto"/>
                <w:lang w:val="en-US" w:eastAsia="zh-CN" w:bidi="ar-SA"/>
              </w:rPr>
              <w:drawing>
                <wp:inline distT="0" distB="0" distL="114300" distR="114300">
                  <wp:extent cx="4791075" cy="3332480"/>
                  <wp:effectExtent l="0" t="0" r="9525" b="1270"/>
                  <wp:docPr id="1" name="图片 1" descr="现状引用点位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现状引用点位图(1)"/>
                          <pic:cNvPicPr>
                            <a:picLocks noChangeAspect="1"/>
                          </pic:cNvPicPr>
                        </pic:nvPicPr>
                        <pic:blipFill>
                          <a:blip r:embed="rId15"/>
                          <a:stretch>
                            <a:fillRect/>
                          </a:stretch>
                        </pic:blipFill>
                        <pic:spPr>
                          <a:xfrm>
                            <a:off x="0" y="0"/>
                            <a:ext cx="4791075" cy="3332480"/>
                          </a:xfrm>
                          <a:prstGeom prst="rect">
                            <a:avLst/>
                          </a:prstGeom>
                        </pic:spPr>
                      </pic:pic>
                    </a:graphicData>
                  </a:graphic>
                </wp:inline>
              </w:drawing>
            </w:r>
          </w:p>
          <w:p w14:paraId="417D12D9">
            <w:pPr>
              <w:pStyle w:val="43"/>
              <w:bidi w:val="0"/>
              <w:ind w:left="0" w:leftChars="0" w:firstLine="0" w:firstLineChars="0"/>
              <w:jc w:val="center"/>
              <w:rPr>
                <w:rFonts w:hint="eastAsia"/>
                <w:b/>
                <w:bCs/>
                <w:color w:val="000000" w:themeColor="text1"/>
                <w:lang w:val="en-US" w:eastAsia="zh-CN" w:bidi="ar-SA"/>
                <w14:textFill>
                  <w14:solidFill>
                    <w14:schemeClr w14:val="tx1"/>
                  </w14:solidFill>
                </w14:textFill>
              </w:rPr>
            </w:pPr>
            <w:r>
              <w:rPr>
                <w:rFonts w:hint="default" w:ascii="Times New Roman" w:hAnsi="Times New Roman" w:eastAsia="宋体" w:cs="Times New Roman"/>
                <w:b/>
                <w:bCs/>
                <w:color w:val="auto"/>
                <w:lang w:val="en-US" w:eastAsia="zh-CN" w:bidi="ar-SA"/>
              </w:rPr>
              <w:t xml:space="preserve">图 </w:t>
            </w:r>
            <w:r>
              <w:rPr>
                <w:rFonts w:hint="default" w:ascii="Times New Roman" w:hAnsi="Times New Roman" w:eastAsia="宋体" w:cs="Times New Roman"/>
                <w:b/>
                <w:bCs/>
                <w:color w:val="auto"/>
                <w:lang w:val="en-US" w:eastAsia="zh-CN" w:bidi="ar-SA"/>
              </w:rPr>
              <w:fldChar w:fldCharType="begin"/>
            </w:r>
            <w:r>
              <w:rPr>
                <w:rFonts w:hint="default" w:ascii="Times New Roman" w:hAnsi="Times New Roman" w:eastAsia="宋体" w:cs="Times New Roman"/>
                <w:b/>
                <w:bCs/>
                <w:color w:val="auto"/>
                <w:lang w:val="en-US" w:eastAsia="zh-CN" w:bidi="ar-SA"/>
              </w:rPr>
              <w:instrText xml:space="preserve"> STYLEREF 1 \s </w:instrText>
            </w:r>
            <w:r>
              <w:rPr>
                <w:rFonts w:hint="default" w:ascii="Times New Roman" w:hAnsi="Times New Roman" w:eastAsia="宋体" w:cs="Times New Roman"/>
                <w:b/>
                <w:bCs/>
                <w:color w:val="auto"/>
                <w:lang w:val="en-US" w:eastAsia="zh-CN" w:bidi="ar-SA"/>
              </w:rPr>
              <w:fldChar w:fldCharType="separate"/>
            </w:r>
            <w:r>
              <w:rPr>
                <w:rFonts w:hint="default" w:ascii="Times New Roman" w:hAnsi="Times New Roman" w:eastAsia="宋体" w:cs="Times New Roman"/>
                <w:b/>
                <w:bCs/>
                <w:color w:val="auto"/>
                <w:lang w:val="en-US" w:eastAsia="zh-CN" w:bidi="ar-SA"/>
              </w:rPr>
              <w:t>3</w:t>
            </w:r>
            <w:r>
              <w:rPr>
                <w:rFonts w:hint="default" w:ascii="Times New Roman" w:hAnsi="Times New Roman" w:eastAsia="宋体" w:cs="Times New Roman"/>
                <w:b/>
                <w:bCs/>
                <w:color w:val="auto"/>
                <w:lang w:val="en-US" w:eastAsia="zh-CN" w:bidi="ar-SA"/>
              </w:rPr>
              <w:fldChar w:fldCharType="end"/>
            </w:r>
            <w:r>
              <w:rPr>
                <w:rFonts w:hint="default" w:ascii="Times New Roman" w:hAnsi="Times New Roman" w:eastAsia="宋体" w:cs="Times New Roman"/>
                <w:b/>
                <w:bCs/>
                <w:color w:val="auto"/>
                <w:lang w:val="en-US" w:eastAsia="zh-CN" w:bidi="ar-SA"/>
              </w:rPr>
              <w:noBreakHyphen/>
            </w:r>
            <w:r>
              <w:rPr>
                <w:rFonts w:hint="eastAsia" w:cs="Times New Roman"/>
                <w:b/>
                <w:bCs/>
                <w:color w:val="auto"/>
                <w:lang w:val="en-US" w:eastAsia="zh-CN" w:bidi="ar-SA"/>
              </w:rPr>
              <w:t>1</w:t>
            </w:r>
            <w:r>
              <w:rPr>
                <w:rFonts w:hint="default" w:ascii="Times New Roman" w:hAnsi="Times New Roman" w:eastAsia="宋体" w:cs="Times New Roman"/>
                <w:b/>
                <w:bCs/>
                <w:color w:val="auto"/>
                <w:lang w:val="en-US" w:eastAsia="zh-CN" w:bidi="ar-SA"/>
              </w:rPr>
              <w:t xml:space="preserve">  本项目与大气现状质量引用监测点位关系图</w:t>
            </w:r>
          </w:p>
          <w:p w14:paraId="315F25B8">
            <w:pPr>
              <w:pStyle w:val="44"/>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表3-2  大气环境监测数据</w:t>
            </w:r>
          </w:p>
          <w:tbl>
            <w:tblPr>
              <w:tblStyle w:val="23"/>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952"/>
              <w:gridCol w:w="578"/>
              <w:gridCol w:w="809"/>
              <w:gridCol w:w="668"/>
              <w:gridCol w:w="1139"/>
              <w:gridCol w:w="952"/>
              <w:gridCol w:w="952"/>
              <w:gridCol w:w="528"/>
              <w:gridCol w:w="741"/>
              <w:gridCol w:w="528"/>
            </w:tblGrid>
            <w:tr w14:paraId="475605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07" w:type="pct"/>
                  <w:tcBorders>
                    <w:tl2br w:val="nil"/>
                    <w:tr2bl w:val="nil"/>
                  </w:tcBorders>
                  <w:noWrap w:val="0"/>
                  <w:vAlign w:val="center"/>
                </w:tcPr>
                <w:p w14:paraId="628FA35E">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监测地点</w:t>
                  </w:r>
                </w:p>
              </w:tc>
              <w:tc>
                <w:tcPr>
                  <w:tcW w:w="883" w:type="pct"/>
                  <w:gridSpan w:val="2"/>
                  <w:tcBorders>
                    <w:tl2br w:val="nil"/>
                    <w:tr2bl w:val="nil"/>
                  </w:tcBorders>
                  <w:noWrap w:val="0"/>
                  <w:vAlign w:val="center"/>
                </w:tcPr>
                <w:p w14:paraId="2F656A7D">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监测项目</w:t>
                  </w:r>
                </w:p>
              </w:tc>
              <w:tc>
                <w:tcPr>
                  <w:tcW w:w="425" w:type="pct"/>
                  <w:tcBorders>
                    <w:tl2br w:val="nil"/>
                    <w:tr2bl w:val="nil"/>
                  </w:tcBorders>
                  <w:noWrap w:val="0"/>
                  <w:vAlign w:val="center"/>
                </w:tcPr>
                <w:p w14:paraId="583533B4">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样品数</w:t>
                  </w:r>
                </w:p>
              </w:tc>
              <w:tc>
                <w:tcPr>
                  <w:tcW w:w="725" w:type="pct"/>
                  <w:tcBorders>
                    <w:tl2br w:val="nil"/>
                    <w:tr2bl w:val="nil"/>
                  </w:tcBorders>
                  <w:noWrap w:val="0"/>
                  <w:vAlign w:val="center"/>
                </w:tcPr>
                <w:p w14:paraId="2BB8B174">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浓度范围</w:t>
                  </w:r>
                </w:p>
                <w:p w14:paraId="212D3A7D">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(mg/m</w:t>
                  </w:r>
                  <w:r>
                    <w:rPr>
                      <w:rFonts w:ascii="Times New Roman" w:hAnsi="Times New Roman" w:eastAsia="宋体" w:cs="Times New Roman"/>
                      <w:color w:val="auto"/>
                      <w:vertAlign w:val="superscript"/>
                    </w:rPr>
                    <w:t>3</w:t>
                  </w:r>
                  <w:r>
                    <w:rPr>
                      <w:rFonts w:ascii="Times New Roman" w:hAnsi="Times New Roman" w:eastAsia="宋体" w:cs="Times New Roman"/>
                      <w:color w:val="auto"/>
                    </w:rPr>
                    <w:t>)</w:t>
                  </w:r>
                </w:p>
              </w:tc>
              <w:tc>
                <w:tcPr>
                  <w:tcW w:w="606" w:type="pct"/>
                  <w:tcBorders>
                    <w:tl2br w:val="nil"/>
                    <w:tr2bl w:val="nil"/>
                  </w:tcBorders>
                  <w:noWrap w:val="0"/>
                  <w:vAlign w:val="center"/>
                </w:tcPr>
                <w:p w14:paraId="51454061">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标准限值</w:t>
                  </w:r>
                </w:p>
                <w:p w14:paraId="4853F4CF">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(mg/m</w:t>
                  </w:r>
                  <w:r>
                    <w:rPr>
                      <w:rFonts w:ascii="Times New Roman" w:hAnsi="Times New Roman" w:eastAsia="宋体" w:cs="Times New Roman"/>
                      <w:color w:val="auto"/>
                      <w:vertAlign w:val="superscript"/>
                    </w:rPr>
                    <w:t>3</w:t>
                  </w:r>
                  <w:r>
                    <w:rPr>
                      <w:rFonts w:ascii="Times New Roman" w:hAnsi="Times New Roman" w:eastAsia="宋体" w:cs="Times New Roman"/>
                      <w:color w:val="auto"/>
                    </w:rPr>
                    <w:t>)</w:t>
                  </w:r>
                </w:p>
              </w:tc>
              <w:tc>
                <w:tcPr>
                  <w:tcW w:w="606" w:type="pct"/>
                  <w:tcBorders>
                    <w:tl2br w:val="nil"/>
                    <w:tr2bl w:val="nil"/>
                  </w:tcBorders>
                  <w:noWrap w:val="0"/>
                  <w:vAlign w:val="center"/>
                </w:tcPr>
                <w:p w14:paraId="65C02F33">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最大占标</w:t>
                  </w:r>
                </w:p>
                <w:p w14:paraId="7F28CF64">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百分比</w:t>
                  </w:r>
                </w:p>
              </w:tc>
              <w:tc>
                <w:tcPr>
                  <w:tcW w:w="336" w:type="pct"/>
                  <w:tcBorders>
                    <w:tl2br w:val="nil"/>
                    <w:tr2bl w:val="nil"/>
                  </w:tcBorders>
                  <w:noWrap w:val="0"/>
                  <w:vAlign w:val="center"/>
                </w:tcPr>
                <w:p w14:paraId="477B7A6B">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超标</w:t>
                  </w:r>
                </w:p>
                <w:p w14:paraId="29ABE6A5">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率</w:t>
                  </w:r>
                </w:p>
              </w:tc>
              <w:tc>
                <w:tcPr>
                  <w:tcW w:w="472" w:type="pct"/>
                  <w:tcBorders>
                    <w:tl2br w:val="nil"/>
                    <w:tr2bl w:val="nil"/>
                  </w:tcBorders>
                  <w:noWrap w:val="0"/>
                  <w:vAlign w:val="center"/>
                </w:tcPr>
                <w:p w14:paraId="0333078E">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最大超</w:t>
                  </w:r>
                </w:p>
                <w:p w14:paraId="290DE8DC">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标倍数</w:t>
                  </w:r>
                </w:p>
              </w:tc>
              <w:tc>
                <w:tcPr>
                  <w:tcW w:w="336" w:type="pct"/>
                  <w:tcBorders>
                    <w:tl2br w:val="nil"/>
                    <w:tr2bl w:val="nil"/>
                  </w:tcBorders>
                  <w:noWrap w:val="0"/>
                  <w:vAlign w:val="center"/>
                </w:tcPr>
                <w:p w14:paraId="3872BEF0">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是否</w:t>
                  </w:r>
                </w:p>
                <w:p w14:paraId="20A0724D">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ascii="Times New Roman" w:hAnsi="Times New Roman" w:eastAsia="宋体" w:cs="Times New Roman"/>
                      <w:color w:val="auto"/>
                    </w:rPr>
                  </w:pPr>
                  <w:r>
                    <w:rPr>
                      <w:rFonts w:ascii="Times New Roman" w:hAnsi="Times New Roman" w:eastAsia="宋体" w:cs="Times New Roman"/>
                      <w:color w:val="auto"/>
                    </w:rPr>
                    <w:t>达标</w:t>
                  </w:r>
                </w:p>
              </w:tc>
            </w:tr>
            <w:tr w14:paraId="6DD72A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cantSplit/>
                <w:trHeight w:val="0" w:hRule="atLeast"/>
                <w:jc w:val="center"/>
              </w:trPr>
              <w:tc>
                <w:tcPr>
                  <w:tcW w:w="607" w:type="pct"/>
                  <w:tcBorders>
                    <w:tl2br w:val="nil"/>
                    <w:tr2bl w:val="nil"/>
                  </w:tcBorders>
                  <w:noWrap w:val="0"/>
                  <w:vAlign w:val="center"/>
                </w:tcPr>
                <w:p w14:paraId="6E446DCA">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rPr>
                  </w:pPr>
                  <w:r>
                    <w:rPr>
                      <w:rFonts w:hint="default" w:ascii="Times New Roman" w:hAnsi="Times New Roman" w:eastAsia="宋体" w:cs="Times New Roman"/>
                      <w:color w:val="auto"/>
                      <w:lang w:val="en-US"/>
                    </w:rPr>
                    <w:t>安徽天衢环保科技有限公司西南侧</w:t>
                  </w:r>
                </w:p>
              </w:tc>
              <w:tc>
                <w:tcPr>
                  <w:tcW w:w="368" w:type="pct"/>
                  <w:tcBorders>
                    <w:tl2br w:val="nil"/>
                    <w:tr2bl w:val="nil"/>
                  </w:tcBorders>
                  <w:noWrap w:val="0"/>
                  <w:vAlign w:val="center"/>
                </w:tcPr>
                <w:p w14:paraId="7DA54FD6">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TSP</w:t>
                  </w:r>
                </w:p>
              </w:tc>
              <w:tc>
                <w:tcPr>
                  <w:tcW w:w="514" w:type="pct"/>
                  <w:tcBorders>
                    <w:tl2br w:val="nil"/>
                    <w:tr2bl w:val="nil"/>
                  </w:tcBorders>
                  <w:noWrap w:val="0"/>
                  <w:vAlign w:val="center"/>
                </w:tcPr>
                <w:p w14:paraId="29AD66BE">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日均值</w:t>
                  </w:r>
                </w:p>
              </w:tc>
              <w:tc>
                <w:tcPr>
                  <w:tcW w:w="425" w:type="pct"/>
                  <w:tcBorders>
                    <w:tl2br w:val="nil"/>
                    <w:tr2bl w:val="nil"/>
                  </w:tcBorders>
                  <w:noWrap w:val="0"/>
                  <w:vAlign w:val="center"/>
                </w:tcPr>
                <w:p w14:paraId="54CEC2B7">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3</w:t>
                  </w:r>
                </w:p>
              </w:tc>
              <w:tc>
                <w:tcPr>
                  <w:tcW w:w="725" w:type="pct"/>
                  <w:tcBorders>
                    <w:tl2br w:val="nil"/>
                    <w:tr2bl w:val="nil"/>
                  </w:tcBorders>
                  <w:noWrap w:val="0"/>
                  <w:vAlign w:val="center"/>
                </w:tcPr>
                <w:p w14:paraId="19169994">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0.114</w:t>
                  </w:r>
                  <w:r>
                    <w:rPr>
                      <w:rFonts w:hint="eastAsia" w:ascii="Times New Roman" w:hAnsi="Times New Roman" w:eastAsia="宋体" w:cs="Times New Roman"/>
                      <w:color w:val="auto"/>
                    </w:rPr>
                    <w:t>～</w:t>
                  </w:r>
                  <w:r>
                    <w:rPr>
                      <w:rFonts w:hint="eastAsia" w:ascii="Times New Roman" w:hAnsi="Times New Roman" w:eastAsia="宋体" w:cs="Times New Roman"/>
                      <w:color w:val="auto"/>
                      <w:lang w:val="en-US" w:eastAsia="zh-CN"/>
                    </w:rPr>
                    <w:t>0.129</w:t>
                  </w:r>
                </w:p>
              </w:tc>
              <w:tc>
                <w:tcPr>
                  <w:tcW w:w="606" w:type="pct"/>
                  <w:tcBorders>
                    <w:tl2br w:val="nil"/>
                    <w:tr2bl w:val="nil"/>
                  </w:tcBorders>
                  <w:noWrap w:val="0"/>
                  <w:vAlign w:val="center"/>
                </w:tcPr>
                <w:p w14:paraId="255EF62D">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0.3</w:t>
                  </w:r>
                </w:p>
              </w:tc>
              <w:tc>
                <w:tcPr>
                  <w:tcW w:w="606" w:type="pct"/>
                  <w:tcBorders>
                    <w:tl2br w:val="nil"/>
                    <w:tr2bl w:val="nil"/>
                  </w:tcBorders>
                  <w:noWrap w:val="0"/>
                  <w:vAlign w:val="center"/>
                </w:tcPr>
                <w:p w14:paraId="264EBD7F">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43</w:t>
                  </w:r>
                </w:p>
              </w:tc>
              <w:tc>
                <w:tcPr>
                  <w:tcW w:w="336" w:type="pct"/>
                  <w:tcBorders>
                    <w:tl2br w:val="nil"/>
                    <w:tr2bl w:val="nil"/>
                  </w:tcBorders>
                  <w:noWrap w:val="0"/>
                  <w:vAlign w:val="center"/>
                </w:tcPr>
                <w:p w14:paraId="171DE460">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0</w:t>
                  </w:r>
                </w:p>
              </w:tc>
              <w:tc>
                <w:tcPr>
                  <w:tcW w:w="472" w:type="pct"/>
                  <w:tcBorders>
                    <w:tl2br w:val="nil"/>
                    <w:tr2bl w:val="nil"/>
                  </w:tcBorders>
                  <w:noWrap w:val="0"/>
                  <w:vAlign w:val="center"/>
                </w:tcPr>
                <w:p w14:paraId="4D68E60C">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0</w:t>
                  </w:r>
                </w:p>
              </w:tc>
              <w:tc>
                <w:tcPr>
                  <w:tcW w:w="336" w:type="pct"/>
                  <w:tcBorders>
                    <w:tl2br w:val="nil"/>
                    <w:tr2bl w:val="nil"/>
                  </w:tcBorders>
                  <w:noWrap w:val="0"/>
                  <w:vAlign w:val="center"/>
                </w:tcPr>
                <w:p w14:paraId="7CD39C5E">
                  <w:pPr>
                    <w:pStyle w:val="41"/>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是</w:t>
                  </w:r>
                </w:p>
              </w:tc>
            </w:tr>
          </w:tbl>
          <w:p w14:paraId="5826B3DE">
            <w:pPr>
              <w:pStyle w:val="43"/>
              <w:bidi w:val="0"/>
              <w:jc w:val="both"/>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根据监测结果，项目所在地TSP满足《环境空气质量标准》（GB3095-2012）限值要求。项目评价区域内的环境空气质量良好。</w:t>
            </w:r>
          </w:p>
          <w:p w14:paraId="1D22C1D3">
            <w:pPr>
              <w:pStyle w:val="43"/>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2、水环境质量现状</w:t>
            </w:r>
          </w:p>
          <w:p w14:paraId="0110D812">
            <w:pPr>
              <w:pStyle w:val="43"/>
              <w:bidi w:val="0"/>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按照《地表水环境质量标准》（GB3838—2002）和《地表水环境质量评价办法（试行）》（2011年3月）进行评价，2024年全市长江（池州段）、秋浦河、青通河、尧渡河、黄湓河、九华河、龙泉河、陵阳河、白洋河、香隅河、丁香河、石台清溪河、王村河等河流和升金湖、平天湖、牛桥水库、古潭水库、石湖水库等湖库共计25个国省控考核监测断面（点位），其中达到Ⅰ类水的断面（点位）有3个，占12%；达到Ⅱ类水的断面（点位）有17个，占68%；达到Ⅲ类水的断面（点位）有5个，占20%。清溪河主城区段4个监控断面的水质均为Ⅲ类，水质与去年相比有所好转。本项目周边水体为九华河</w:t>
            </w:r>
            <w:r>
              <w:rPr>
                <w:rFonts w:hint="eastAsia" w:ascii="Times New Roman" w:hAnsi="Times New Roman" w:cs="Times New Roman"/>
                <w:color w:val="000000" w:themeColor="text1"/>
                <w:lang w:val="en-US" w:eastAsia="zh-CN" w:bidi="ar-SA"/>
                <w14:textFill>
                  <w14:solidFill>
                    <w14:schemeClr w14:val="tx1"/>
                  </w14:solidFill>
                </w14:textFill>
              </w:rPr>
              <w:t>和长江</w:t>
            </w:r>
            <w:r>
              <w:rPr>
                <w:rFonts w:hint="default" w:ascii="Times New Roman" w:hAnsi="Times New Roman" w:eastAsia="宋体" w:cs="Times New Roman"/>
                <w:color w:val="000000" w:themeColor="text1"/>
                <w:lang w:val="en-US" w:eastAsia="zh-CN" w:bidi="ar-SA"/>
                <w14:textFill>
                  <w14:solidFill>
                    <w14:schemeClr w14:val="tx1"/>
                  </w14:solidFill>
                </w14:textFill>
              </w:rPr>
              <w:t>，故本项目所在地地表水质量良好。</w:t>
            </w:r>
          </w:p>
          <w:p w14:paraId="09391611">
            <w:pPr>
              <w:pStyle w:val="43"/>
              <w:bidi w:val="0"/>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3、</w:t>
            </w:r>
            <w:r>
              <w:rPr>
                <w:rFonts w:hint="eastAsia" w:ascii="Times New Roman" w:hAnsi="Times New Roman" w:eastAsia="宋体" w:cs="Times New Roman"/>
                <w:color w:val="000000" w:themeColor="text1"/>
                <w:highlight w:val="none"/>
                <w:lang w:val="en-US" w:eastAsia="zh-CN" w:bidi="ar-SA"/>
                <w14:textFill>
                  <w14:solidFill>
                    <w14:schemeClr w14:val="tx1"/>
                  </w14:solidFill>
                </w14:textFill>
              </w:rPr>
              <w:t>声</w:t>
            </w:r>
            <w:r>
              <w:rPr>
                <w:rFonts w:hint="eastAsia" w:ascii="Times New Roman" w:hAnsi="Times New Roman" w:eastAsia="宋体" w:cs="Times New Roman"/>
                <w:color w:val="000000" w:themeColor="text1"/>
                <w:lang w:val="en-US" w:eastAsia="zh-CN" w:bidi="ar-SA"/>
                <w14:textFill>
                  <w14:solidFill>
                    <w14:schemeClr w14:val="tx1"/>
                  </w14:solidFill>
                </w14:textFill>
              </w:rPr>
              <w:t>环境质量现状</w:t>
            </w:r>
          </w:p>
          <w:p w14:paraId="2477820E">
            <w:pPr>
              <w:pStyle w:val="43"/>
              <w:bidi w:val="0"/>
              <w:rPr>
                <w:rFonts w:hint="default" w:ascii="Times New Roman" w:hAnsi="Times New Roman" w:eastAsia="宋体" w:cs="Times New Roman"/>
                <w:lang w:val="en-US" w:eastAsia="zh-CN" w:bidi="ar-SA"/>
              </w:rPr>
            </w:pPr>
            <w:r>
              <w:rPr>
                <w:rFonts w:hint="eastAsia" w:cs="Times New Roman"/>
                <w:lang w:val="en-US" w:eastAsia="zh-CN" w:bidi="ar-SA"/>
              </w:rPr>
              <w:t>本项目周边50m范围内无声环境敏感目标，本次不进行声环境质量现状调查。</w:t>
            </w:r>
          </w:p>
          <w:p w14:paraId="7E3902CE">
            <w:pPr>
              <w:pStyle w:val="43"/>
              <w:bidi w:val="0"/>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4、</w:t>
            </w:r>
            <w:r>
              <w:rPr>
                <w:rFonts w:hint="eastAsia" w:cs="Times New Roman"/>
                <w:color w:val="000000" w:themeColor="text1"/>
                <w:lang w:val="en-US" w:eastAsia="zh-CN" w:bidi="ar-SA"/>
                <w14:textFill>
                  <w14:solidFill>
                    <w14:schemeClr w14:val="tx1"/>
                  </w14:solidFill>
                </w14:textFill>
              </w:rPr>
              <w:t>土壤和地下水</w:t>
            </w:r>
          </w:p>
          <w:p w14:paraId="1FD84234">
            <w:pPr>
              <w:pStyle w:val="43"/>
              <w:bidi w:val="0"/>
              <w:jc w:val="both"/>
              <w:rPr>
                <w:rFonts w:hint="default"/>
                <w:color w:val="000000" w:themeColor="text1"/>
                <w:lang w:val="en-US" w:eastAsia="zh-CN" w:bidi="ar-SA"/>
                <w14:textFill>
                  <w14:solidFill>
                    <w14:schemeClr w14:val="tx1"/>
                  </w14:solidFill>
                </w14:textFill>
              </w:rPr>
            </w:pPr>
            <w:r>
              <w:rPr>
                <w:rFonts w:hint="eastAsia" w:ascii="宋体" w:hAnsi="宋体" w:eastAsia="宋体" w:cs="宋体"/>
                <w:color w:val="auto"/>
                <w:kern w:val="0"/>
                <w:sz w:val="24"/>
                <w:szCs w:val="24"/>
                <w:lang w:val="en-US" w:eastAsia="zh-CN" w:bidi="ar"/>
              </w:rPr>
              <w:t>根据《建设项目环境影响报告表编制技术指南（污染影响类）（试行）》规定：地下水和土壤环境原则上不开展环境质量现状调查。本项目生产过程中做好重点防渗和加强固废管理工作，基本无污染地下水、土壤环境途径，故本次评价不进行地下水和土壤环境现状调查。</w:t>
            </w:r>
          </w:p>
        </w:tc>
      </w:tr>
      <w:tr w14:paraId="0CF2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1F4CC6AE">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环境保护目标</w:t>
            </w:r>
          </w:p>
        </w:tc>
        <w:tc>
          <w:tcPr>
            <w:tcW w:w="8066" w:type="dxa"/>
            <w:vAlign w:val="center"/>
          </w:tcPr>
          <w:p w14:paraId="7B456915">
            <w:pPr>
              <w:pStyle w:val="43"/>
              <w:bidi w:val="0"/>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大气环境：厂界外500米内无自然保护区、风景名胜区、居住区、文化区，保护项目主要周边的人群较集中的区域。</w:t>
            </w:r>
          </w:p>
          <w:p w14:paraId="19BBB26F">
            <w:pPr>
              <w:pStyle w:val="43"/>
              <w:bidi w:val="0"/>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声环境：</w:t>
            </w:r>
            <w:r>
              <w:rPr>
                <w:rFonts w:hint="eastAsia" w:cs="Times New Roman"/>
                <w:color w:val="000000" w:themeColor="text1"/>
                <w:lang w:val="en-US" w:eastAsia="zh-CN" w:bidi="ar-SA"/>
                <w14:textFill>
                  <w14:solidFill>
                    <w14:schemeClr w14:val="tx1"/>
                  </w14:solidFill>
                </w14:textFill>
              </w:rPr>
              <w:t>项目厂界外50米范围内无声环境保护敏感目标。</w:t>
            </w:r>
          </w:p>
          <w:p w14:paraId="17D3E201">
            <w:pPr>
              <w:pStyle w:val="43"/>
              <w:bidi w:val="0"/>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地下水环境：项目厂界外500米范围内无地下水集中饮用水水源和热水、矿泉水、温泉等特殊地下水资源。</w:t>
            </w:r>
          </w:p>
          <w:p w14:paraId="3D471E4D">
            <w:pPr>
              <w:pStyle w:val="43"/>
              <w:bidi w:val="0"/>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生态环境：项目用地范围内无生态环境保护目标。</w:t>
            </w:r>
          </w:p>
          <w:p w14:paraId="63025392">
            <w:pPr>
              <w:pStyle w:val="43"/>
              <w:bidi w:val="0"/>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具体环境保护目标见下表：</w:t>
            </w:r>
          </w:p>
          <w:p w14:paraId="58890286">
            <w:pPr>
              <w:pStyle w:val="4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表3-3  项目主要环境保护目标一览表</w:t>
            </w:r>
          </w:p>
          <w:tbl>
            <w:tblPr>
              <w:tblStyle w:val="24"/>
              <w:tblW w:w="4996"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40" w:type="dxa"/>
                <w:bottom w:w="0" w:type="dxa"/>
                <w:right w:w="40" w:type="dxa"/>
              </w:tblCellMar>
            </w:tblPr>
            <w:tblGrid>
              <w:gridCol w:w="967"/>
              <w:gridCol w:w="831"/>
              <w:gridCol w:w="975"/>
              <w:gridCol w:w="1061"/>
              <w:gridCol w:w="977"/>
              <w:gridCol w:w="1367"/>
              <w:gridCol w:w="526"/>
              <w:gridCol w:w="1140"/>
            </w:tblGrid>
            <w:tr w14:paraId="51F95E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539" w:hRule="atLeast"/>
              </w:trPr>
              <w:tc>
                <w:tcPr>
                  <w:tcW w:w="616" w:type="pct"/>
                  <w:tcBorders>
                    <w:tl2br w:val="nil"/>
                    <w:tr2bl w:val="nil"/>
                  </w:tcBorders>
                  <w:vAlign w:val="center"/>
                </w:tcPr>
                <w:p w14:paraId="5DF1AF3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环境因素</w:t>
                  </w:r>
                </w:p>
              </w:tc>
              <w:tc>
                <w:tcPr>
                  <w:tcW w:w="529" w:type="pct"/>
                  <w:tcBorders>
                    <w:tl2br w:val="nil"/>
                    <w:tr2bl w:val="nil"/>
                  </w:tcBorders>
                  <w:vAlign w:val="center"/>
                </w:tcPr>
                <w:p w14:paraId="54583EB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名称</w:t>
                  </w:r>
                </w:p>
              </w:tc>
              <w:tc>
                <w:tcPr>
                  <w:tcW w:w="621" w:type="pct"/>
                  <w:tcBorders>
                    <w:tl2br w:val="nil"/>
                    <w:tr2bl w:val="nil"/>
                  </w:tcBorders>
                  <w:vAlign w:val="center"/>
                </w:tcPr>
                <w:p w14:paraId="3A1EA4E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类型</w:t>
                  </w:r>
                </w:p>
              </w:tc>
              <w:tc>
                <w:tcPr>
                  <w:tcW w:w="676" w:type="pct"/>
                  <w:tcBorders>
                    <w:tl2br w:val="nil"/>
                    <w:tr2bl w:val="nil"/>
                  </w:tcBorders>
                  <w:vAlign w:val="center"/>
                </w:tcPr>
                <w:p w14:paraId="7A6B013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保护对象</w:t>
                  </w:r>
                </w:p>
              </w:tc>
              <w:tc>
                <w:tcPr>
                  <w:tcW w:w="622" w:type="pct"/>
                  <w:tcBorders>
                    <w:tl2br w:val="nil"/>
                    <w:tr2bl w:val="nil"/>
                  </w:tcBorders>
                  <w:vAlign w:val="center"/>
                </w:tcPr>
                <w:p w14:paraId="2EE97D3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保护内容</w:t>
                  </w:r>
                </w:p>
              </w:tc>
              <w:tc>
                <w:tcPr>
                  <w:tcW w:w="871" w:type="pct"/>
                  <w:tcBorders>
                    <w:tl2br w:val="nil"/>
                    <w:tr2bl w:val="nil"/>
                  </w:tcBorders>
                  <w:vAlign w:val="center"/>
                </w:tcPr>
                <w:p w14:paraId="76DDD90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环境功能区</w:t>
                  </w:r>
                </w:p>
              </w:tc>
              <w:tc>
                <w:tcPr>
                  <w:tcW w:w="335" w:type="pct"/>
                  <w:tcBorders>
                    <w:tl2br w:val="nil"/>
                    <w:tr2bl w:val="nil"/>
                  </w:tcBorders>
                  <w:vAlign w:val="center"/>
                </w:tcPr>
                <w:p w14:paraId="644C4D7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方位</w:t>
                  </w:r>
                </w:p>
              </w:tc>
              <w:tc>
                <w:tcPr>
                  <w:tcW w:w="726" w:type="pct"/>
                  <w:tcBorders>
                    <w:tl2br w:val="nil"/>
                    <w:tr2bl w:val="nil"/>
                  </w:tcBorders>
                  <w:vAlign w:val="center"/>
                </w:tcPr>
                <w:p w14:paraId="71B8760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距离</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m</w:t>
                  </w:r>
                  <w:r>
                    <w:rPr>
                      <w:rFonts w:hint="eastAsia"/>
                      <w:color w:val="000000" w:themeColor="text1"/>
                      <w:highlight w:val="none"/>
                      <w:lang w:val="en-US" w:eastAsia="zh-CN" w:bidi="ar-SA"/>
                      <w14:textFill>
                        <w14:solidFill>
                          <w14:schemeClr w14:val="tx1"/>
                        </w14:solidFill>
                      </w14:textFill>
                    </w:rPr>
                    <w:t>）</w:t>
                  </w:r>
                </w:p>
              </w:tc>
            </w:tr>
            <w:tr w14:paraId="34BBE6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539" w:hRule="atLeast"/>
              </w:trPr>
              <w:tc>
                <w:tcPr>
                  <w:tcW w:w="616" w:type="pct"/>
                  <w:vMerge w:val="restart"/>
                  <w:tcBorders>
                    <w:tl2br w:val="nil"/>
                    <w:tr2bl w:val="nil"/>
                  </w:tcBorders>
                  <w:vAlign w:val="center"/>
                </w:tcPr>
                <w:p w14:paraId="4DB0467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水环境</w:t>
                  </w:r>
                </w:p>
              </w:tc>
              <w:tc>
                <w:tcPr>
                  <w:tcW w:w="529" w:type="pct"/>
                  <w:tcBorders>
                    <w:tl2br w:val="nil"/>
                    <w:tr2bl w:val="nil"/>
                  </w:tcBorders>
                  <w:vAlign w:val="center"/>
                </w:tcPr>
                <w:p w14:paraId="58B40E5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长江</w:t>
                  </w:r>
                </w:p>
              </w:tc>
              <w:tc>
                <w:tcPr>
                  <w:tcW w:w="621" w:type="pct"/>
                  <w:tcBorders>
                    <w:tl2br w:val="nil"/>
                    <w:tr2bl w:val="nil"/>
                  </w:tcBorders>
                  <w:vAlign w:val="center"/>
                </w:tcPr>
                <w:p w14:paraId="29043DD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大型河流</w:t>
                  </w:r>
                </w:p>
              </w:tc>
              <w:tc>
                <w:tcPr>
                  <w:tcW w:w="1298" w:type="pct"/>
                  <w:gridSpan w:val="2"/>
                  <w:vMerge w:val="restart"/>
                  <w:tcBorders>
                    <w:tl2br w:val="nil"/>
                    <w:tr2bl w:val="nil"/>
                  </w:tcBorders>
                  <w:vAlign w:val="center"/>
                </w:tcPr>
                <w:p w14:paraId="0F55606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水环境等</w:t>
                  </w:r>
                </w:p>
              </w:tc>
              <w:tc>
                <w:tcPr>
                  <w:tcW w:w="871" w:type="pct"/>
                  <w:vMerge w:val="restart"/>
                  <w:tcBorders>
                    <w:tl2br w:val="nil"/>
                    <w:tr2bl w:val="nil"/>
                  </w:tcBorders>
                  <w:vAlign w:val="center"/>
                </w:tcPr>
                <w:p w14:paraId="1BA582E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GB3838-2002</w:t>
                  </w:r>
                </w:p>
                <w:p w14:paraId="7C2FA34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Ⅲ</w:t>
                  </w:r>
                  <w:r>
                    <w:rPr>
                      <w:rFonts w:hint="eastAsia" w:ascii="Times New Roman" w:hAnsi="Times New Roman" w:eastAsia="宋体" w:cs="Times New Roman"/>
                      <w:color w:val="000000" w:themeColor="text1"/>
                      <w:lang w:val="en-US" w:eastAsia="zh-CN" w:bidi="ar-SA"/>
                      <w14:textFill>
                        <w14:solidFill>
                          <w14:schemeClr w14:val="tx1"/>
                        </w14:solidFill>
                      </w14:textFill>
                    </w:rPr>
                    <w:t>类</w:t>
                  </w:r>
                </w:p>
              </w:tc>
              <w:tc>
                <w:tcPr>
                  <w:tcW w:w="335" w:type="pct"/>
                  <w:tcBorders>
                    <w:tl2br w:val="nil"/>
                    <w:tr2bl w:val="nil"/>
                  </w:tcBorders>
                  <w:vAlign w:val="center"/>
                </w:tcPr>
                <w:p w14:paraId="687C51D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N</w:t>
                  </w:r>
                </w:p>
              </w:tc>
              <w:tc>
                <w:tcPr>
                  <w:tcW w:w="726" w:type="pct"/>
                  <w:tcBorders>
                    <w:tl2br w:val="nil"/>
                    <w:tr2bl w:val="nil"/>
                  </w:tcBorders>
                  <w:vAlign w:val="center"/>
                </w:tcPr>
                <w:p w14:paraId="64D6641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5000</w:t>
                  </w:r>
                </w:p>
              </w:tc>
            </w:tr>
            <w:tr w14:paraId="324BE7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539" w:hRule="atLeast"/>
              </w:trPr>
              <w:tc>
                <w:tcPr>
                  <w:tcW w:w="616" w:type="pct"/>
                  <w:vMerge w:val="continue"/>
                  <w:tcBorders>
                    <w:tl2br w:val="nil"/>
                    <w:tr2bl w:val="nil"/>
                  </w:tcBorders>
                  <w:vAlign w:val="center"/>
                </w:tcPr>
                <w:p w14:paraId="3630B07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p>
              </w:tc>
              <w:tc>
                <w:tcPr>
                  <w:tcW w:w="529" w:type="pct"/>
                  <w:tcBorders>
                    <w:tl2br w:val="nil"/>
                    <w:tr2bl w:val="nil"/>
                  </w:tcBorders>
                  <w:vAlign w:val="center"/>
                </w:tcPr>
                <w:p w14:paraId="3FBFB1A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九华河</w:t>
                  </w:r>
                </w:p>
              </w:tc>
              <w:tc>
                <w:tcPr>
                  <w:tcW w:w="621" w:type="pct"/>
                  <w:tcBorders>
                    <w:tl2br w:val="nil"/>
                    <w:tr2bl w:val="nil"/>
                  </w:tcBorders>
                  <w:vAlign w:val="center"/>
                </w:tcPr>
                <w:p w14:paraId="4C40838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小型河流</w:t>
                  </w:r>
                </w:p>
              </w:tc>
              <w:tc>
                <w:tcPr>
                  <w:tcW w:w="1298" w:type="pct"/>
                  <w:gridSpan w:val="2"/>
                  <w:vMerge w:val="continue"/>
                  <w:tcBorders>
                    <w:tl2br w:val="nil"/>
                    <w:tr2bl w:val="nil"/>
                  </w:tcBorders>
                  <w:vAlign w:val="center"/>
                </w:tcPr>
                <w:p w14:paraId="68671AF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p>
              </w:tc>
              <w:tc>
                <w:tcPr>
                  <w:tcW w:w="871" w:type="pct"/>
                  <w:vMerge w:val="continue"/>
                  <w:tcBorders>
                    <w:tl2br w:val="nil"/>
                    <w:tr2bl w:val="nil"/>
                  </w:tcBorders>
                  <w:vAlign w:val="center"/>
                </w:tcPr>
                <w:p w14:paraId="0C36E15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p>
              </w:tc>
              <w:tc>
                <w:tcPr>
                  <w:tcW w:w="335" w:type="pct"/>
                  <w:tcBorders>
                    <w:tl2br w:val="nil"/>
                    <w:tr2bl w:val="nil"/>
                  </w:tcBorders>
                  <w:vAlign w:val="center"/>
                </w:tcPr>
                <w:p w14:paraId="0D680B4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W</w:t>
                  </w:r>
                </w:p>
              </w:tc>
              <w:tc>
                <w:tcPr>
                  <w:tcW w:w="726" w:type="pct"/>
                  <w:tcBorders>
                    <w:tl2br w:val="nil"/>
                    <w:tr2bl w:val="nil"/>
                  </w:tcBorders>
                  <w:vAlign w:val="center"/>
                </w:tcPr>
                <w:p w14:paraId="6F151E4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1300</w:t>
                  </w:r>
                </w:p>
              </w:tc>
            </w:tr>
          </w:tbl>
          <w:p w14:paraId="5C3124C0">
            <w:pPr>
              <w:jc w:val="both"/>
              <w:outlineLvl w:val="9"/>
              <w:rPr>
                <w:rFonts w:hint="default" w:eastAsia="黑体" w:cs="Times New Roman"/>
                <w:snapToGrid w:val="0"/>
                <w:color w:val="000000" w:themeColor="text1"/>
                <w:sz w:val="30"/>
                <w:szCs w:val="30"/>
                <w:vertAlign w:val="baseline"/>
                <w:lang w:val="en-US" w:eastAsia="zh-CN"/>
                <w14:textFill>
                  <w14:solidFill>
                    <w14:schemeClr w14:val="tx1"/>
                  </w14:solidFill>
                </w14:textFill>
              </w:rPr>
            </w:pPr>
          </w:p>
        </w:tc>
      </w:tr>
      <w:tr w14:paraId="7A43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6C9DB27E">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污染物排放控制标准</w:t>
            </w:r>
          </w:p>
        </w:tc>
        <w:tc>
          <w:tcPr>
            <w:tcW w:w="8066" w:type="dxa"/>
            <w:vAlign w:val="center"/>
          </w:tcPr>
          <w:p w14:paraId="7E41385A">
            <w:pPr>
              <w:pStyle w:val="43"/>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1、废气排放标准</w:t>
            </w:r>
          </w:p>
          <w:p w14:paraId="21F57ED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eastAsia="宋体" w:cs="Times New Roman"/>
                <w:color w:val="auto"/>
                <w:sz w:val="24"/>
                <w:szCs w:val="24"/>
                <w:lang w:eastAsia="zh-CN"/>
              </w:rPr>
              <w:t>项目</w:t>
            </w:r>
            <w:r>
              <w:rPr>
                <w:rFonts w:hint="eastAsia" w:ascii="Times New Roman" w:hAnsi="Times New Roman" w:eastAsia="宋体" w:cs="Times New Roman"/>
                <w:color w:val="auto"/>
                <w:sz w:val="24"/>
                <w:szCs w:val="24"/>
                <w:lang w:val="en-US" w:eastAsia="zh-CN"/>
              </w:rPr>
              <w:t>运营期天然气燃烧产生的</w:t>
            </w:r>
            <w:r>
              <w:rPr>
                <w:rFonts w:hint="default" w:ascii="Times New Roman" w:hAnsi="Times New Roman" w:eastAsia="宋体" w:cs="Times New Roman"/>
                <w:color w:val="auto"/>
                <w:sz w:val="24"/>
                <w:szCs w:val="24"/>
                <w:lang w:val="en-US" w:eastAsia="zh-CN"/>
              </w:rPr>
              <w:t>颗粒物、</w:t>
            </w:r>
            <w:r>
              <w:rPr>
                <w:rFonts w:hint="eastAsia" w:ascii="Times New Roman" w:hAnsi="Times New Roman" w:eastAsia="宋体" w:cs="Times New Roman"/>
                <w:color w:val="auto"/>
                <w:sz w:val="24"/>
                <w:szCs w:val="24"/>
                <w:lang w:val="en-US" w:eastAsia="zh-CN"/>
              </w:rPr>
              <w:t>SO</w:t>
            </w:r>
            <w:r>
              <w:rPr>
                <w:rFonts w:hint="eastAsia" w:ascii="Times New Roman" w:hAnsi="Times New Roman" w:eastAsia="宋体" w:cs="Times New Roman"/>
                <w:color w:val="auto"/>
                <w:sz w:val="24"/>
                <w:szCs w:val="24"/>
                <w:vertAlign w:val="subscript"/>
                <w:lang w:val="en-US" w:eastAsia="zh-CN"/>
              </w:rPr>
              <w:t>2</w:t>
            </w:r>
            <w:r>
              <w:rPr>
                <w:rFonts w:hint="eastAsia" w:ascii="Times New Roman" w:hAnsi="Times New Roman" w:eastAsia="宋体" w:cs="Times New Roman"/>
                <w:color w:val="auto"/>
                <w:sz w:val="24"/>
                <w:szCs w:val="24"/>
                <w:vertAlign w:val="baseline"/>
                <w:lang w:val="en-US" w:eastAsia="zh-CN"/>
              </w:rPr>
              <w:t>、NOx</w:t>
            </w:r>
            <w:r>
              <w:rPr>
                <w:rFonts w:hint="default" w:ascii="Times New Roman" w:hAnsi="Times New Roman" w:eastAsia="宋体" w:cs="Times New Roman"/>
                <w:color w:val="auto"/>
                <w:sz w:val="24"/>
                <w:szCs w:val="24"/>
                <w:lang w:eastAsia="zh-CN"/>
              </w:rPr>
              <w:t>执行</w:t>
            </w:r>
            <w:r>
              <w:rPr>
                <w:rFonts w:hint="eastAsia" w:ascii="宋体" w:hAnsi="宋体" w:eastAsia="宋体" w:cs="宋体"/>
                <w:color w:val="000000"/>
                <w:kern w:val="0"/>
                <w:sz w:val="24"/>
                <w:szCs w:val="24"/>
                <w:lang w:val="en-US" w:eastAsia="zh-CN" w:bidi="ar"/>
              </w:rPr>
              <w:t>《工业炉窑大气污染综合治理方案》（环大气〔</w:t>
            </w:r>
            <w:r>
              <w:rPr>
                <w:rFonts w:hint="default" w:ascii="Times New Roman" w:hAnsi="Times New Roman" w:eastAsia="宋体" w:cs="Times New Roman"/>
                <w:color w:val="000000"/>
                <w:kern w:val="0"/>
                <w:sz w:val="24"/>
                <w:szCs w:val="24"/>
                <w:lang w:val="en-US" w:eastAsia="zh-CN" w:bidi="ar"/>
              </w:rPr>
              <w:t>2019</w:t>
            </w:r>
            <w:r>
              <w:rPr>
                <w:rFonts w:hint="eastAsia" w:ascii="宋体" w:hAnsi="宋体" w:eastAsia="宋体" w:cs="宋体"/>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56</w:t>
            </w:r>
            <w:r>
              <w:rPr>
                <w:rFonts w:hint="eastAsia" w:ascii="宋体" w:hAnsi="宋体" w:eastAsia="宋体" w:cs="宋体"/>
                <w:color w:val="000000"/>
                <w:kern w:val="0"/>
                <w:sz w:val="24"/>
                <w:szCs w:val="24"/>
                <w:lang w:val="en-US" w:eastAsia="zh-CN" w:bidi="ar"/>
              </w:rPr>
              <w:t>号）中的相关要求</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项目锯切产生的颗粒物排放执行</w:t>
            </w:r>
            <w:r>
              <w:rPr>
                <w:rFonts w:hint="eastAsia" w:ascii="Times New Roman" w:hAnsi="Times New Roman" w:eastAsia="宋体" w:cs="Times New Roman"/>
                <w:color w:val="000000"/>
                <w:sz w:val="24"/>
                <w:szCs w:val="24"/>
                <w:lang w:eastAsia="zh-CN"/>
              </w:rPr>
              <w:t>《大气污染物综合排放标准》（GB16297-1996）表2中新污染源大气污染物排放限值，</w:t>
            </w:r>
            <w:r>
              <w:rPr>
                <w:rFonts w:hint="default" w:ascii="Times New Roman" w:hAnsi="Times New Roman" w:eastAsia="宋体" w:cs="Times New Roman"/>
                <w:color w:val="auto"/>
                <w:sz w:val="24"/>
                <w:szCs w:val="24"/>
              </w:rPr>
              <w:t>具体标准</w:t>
            </w:r>
            <w:r>
              <w:rPr>
                <w:rFonts w:hint="default" w:ascii="Times New Roman" w:hAnsi="Times New Roman" w:eastAsia="宋体" w:cs="Times New Roman"/>
                <w:color w:val="auto"/>
                <w:sz w:val="24"/>
                <w:szCs w:val="24"/>
                <w:lang w:val="en-US" w:eastAsia="zh-CN"/>
              </w:rPr>
              <w:t>限</w:t>
            </w:r>
            <w:r>
              <w:rPr>
                <w:rFonts w:hint="default" w:ascii="Times New Roman" w:hAnsi="Times New Roman" w:eastAsia="宋体" w:cs="Times New Roman"/>
                <w:color w:val="auto"/>
                <w:sz w:val="24"/>
                <w:szCs w:val="24"/>
              </w:rPr>
              <w:t>值详见下表</w:t>
            </w:r>
            <w:r>
              <w:rPr>
                <w:rFonts w:hint="default" w:ascii="Times New Roman" w:hAnsi="Times New Roman" w:cs="Times New Roman"/>
                <w:color w:val="auto"/>
                <w:sz w:val="24"/>
                <w:szCs w:val="24"/>
                <w:lang w:eastAsia="zh-CN"/>
              </w:rPr>
              <w:t>。</w:t>
            </w:r>
          </w:p>
          <w:p w14:paraId="5692713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GB"/>
              </w:rPr>
              <w:t>表</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val="en-GB"/>
              </w:rPr>
              <w:t>3</w:t>
            </w:r>
            <w:r>
              <w:rPr>
                <w:rFonts w:hint="default" w:ascii="Times New Roman" w:hAnsi="Times New Roman" w:eastAsia="宋体" w:cs="Times New Roman"/>
                <w:b/>
                <w:sz w:val="24"/>
                <w:szCs w:val="24"/>
                <w:lang w:val="en-US" w:eastAsia="zh-CN"/>
              </w:rPr>
              <w:t>-</w:t>
            </w:r>
            <w:r>
              <w:rPr>
                <w:rFonts w:hint="eastAsia" w:ascii="Times New Roman" w:hAnsi="Times New Roman" w:eastAsia="宋体" w:cs="Times New Roman"/>
                <w:b/>
                <w:bCs w:val="0"/>
                <w:color w:val="auto"/>
                <w:sz w:val="24"/>
                <w:szCs w:val="24"/>
                <w:lang w:val="en-US" w:eastAsia="zh-CN"/>
              </w:rPr>
              <w:t>4</w:t>
            </w:r>
            <w:r>
              <w:rPr>
                <w:rFonts w:hint="default" w:ascii="Times New Roman" w:hAnsi="Times New Roman" w:eastAsia="宋体" w:cs="Times New Roman"/>
                <w:b/>
                <w:sz w:val="24"/>
                <w:szCs w:val="24"/>
                <w:lang w:val="en-GB"/>
              </w:rPr>
              <w:t xml:space="preserve"> </w:t>
            </w:r>
            <w:r>
              <w:rPr>
                <w:rFonts w:hint="default" w:ascii="Times New Roman" w:hAnsi="Times New Roman" w:eastAsia="宋体" w:cs="Times New Roman"/>
                <w:b/>
                <w:sz w:val="24"/>
                <w:szCs w:val="24"/>
              </w:rPr>
              <w:t xml:space="preserve"> </w:t>
            </w:r>
            <w:r>
              <w:rPr>
                <w:rFonts w:hint="default" w:ascii="Times New Roman" w:hAnsi="Times New Roman" w:eastAsia="宋体" w:cs="Times New Roman"/>
                <w:b/>
                <w:sz w:val="24"/>
                <w:szCs w:val="24"/>
                <w:lang w:val="en-US" w:eastAsia="zh-CN"/>
              </w:rPr>
              <w:t>项目废气排放标准限值</w:t>
            </w:r>
          </w:p>
          <w:tbl>
            <w:tblPr>
              <w:tblStyle w:val="23"/>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85" w:type="dxa"/>
                <w:bottom w:w="0" w:type="dxa"/>
                <w:right w:w="85" w:type="dxa"/>
              </w:tblCellMar>
            </w:tblPr>
            <w:tblGrid>
              <w:gridCol w:w="865"/>
              <w:gridCol w:w="893"/>
              <w:gridCol w:w="1506"/>
              <w:gridCol w:w="1433"/>
              <w:gridCol w:w="1567"/>
              <w:gridCol w:w="1583"/>
            </w:tblGrid>
            <w:tr w14:paraId="35AF86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1120" w:type="pct"/>
                  <w:gridSpan w:val="2"/>
                  <w:noWrap w:val="0"/>
                  <w:vAlign w:val="center"/>
                </w:tcPr>
                <w:p w14:paraId="24FC2AB7">
                  <w:pPr>
                    <w:spacing w:line="240" w:lineRule="auto"/>
                    <w:jc w:val="center"/>
                    <w:rPr>
                      <w:sz w:val="21"/>
                      <w:szCs w:val="21"/>
                    </w:rPr>
                  </w:pPr>
                  <w:r>
                    <w:rPr>
                      <w:sz w:val="21"/>
                      <w:szCs w:val="21"/>
                    </w:rPr>
                    <w:t>污染物</w:t>
                  </w:r>
                </w:p>
              </w:tc>
              <w:tc>
                <w:tcPr>
                  <w:tcW w:w="959" w:type="pct"/>
                  <w:noWrap w:val="0"/>
                  <w:vAlign w:val="center"/>
                </w:tcPr>
                <w:p w14:paraId="00245A6C">
                  <w:pPr>
                    <w:spacing w:line="240" w:lineRule="auto"/>
                    <w:jc w:val="center"/>
                    <w:rPr>
                      <w:sz w:val="21"/>
                      <w:szCs w:val="21"/>
                    </w:rPr>
                  </w:pPr>
                  <w:r>
                    <w:rPr>
                      <w:sz w:val="21"/>
                      <w:szCs w:val="21"/>
                    </w:rPr>
                    <w:t>最高允许排放浓度</w:t>
                  </w:r>
                  <w:r>
                    <w:rPr>
                      <w:rFonts w:hint="eastAsia"/>
                      <w:sz w:val="21"/>
                      <w:szCs w:val="21"/>
                    </w:rPr>
                    <w:t>（</w:t>
                  </w:r>
                  <w:r>
                    <w:rPr>
                      <w:sz w:val="21"/>
                      <w:szCs w:val="21"/>
                    </w:rPr>
                    <w:t>mg/m</w:t>
                  </w:r>
                  <w:r>
                    <w:rPr>
                      <w:sz w:val="21"/>
                      <w:szCs w:val="21"/>
                      <w:vertAlign w:val="superscript"/>
                    </w:rPr>
                    <w:t>3</w:t>
                  </w:r>
                  <w:r>
                    <w:rPr>
                      <w:rFonts w:hint="eastAsia"/>
                      <w:sz w:val="21"/>
                      <w:szCs w:val="21"/>
                    </w:rPr>
                    <w:t>）</w:t>
                  </w:r>
                </w:p>
              </w:tc>
              <w:tc>
                <w:tcPr>
                  <w:tcW w:w="913" w:type="pct"/>
                  <w:noWrap w:val="0"/>
                  <w:vAlign w:val="center"/>
                </w:tcPr>
                <w:p w14:paraId="07FDCCC1">
                  <w:pPr>
                    <w:spacing w:line="240" w:lineRule="auto"/>
                    <w:jc w:val="center"/>
                    <w:rPr>
                      <w:rFonts w:hint="default" w:eastAsia="宋体"/>
                      <w:lang w:val="en-US" w:eastAsia="zh-CN"/>
                    </w:rPr>
                  </w:pPr>
                  <w:r>
                    <w:rPr>
                      <w:sz w:val="21"/>
                      <w:szCs w:val="21"/>
                    </w:rPr>
                    <w:t>最高允许排放速率</w:t>
                  </w:r>
                  <w:r>
                    <w:rPr>
                      <w:rFonts w:hint="eastAsia"/>
                      <w:sz w:val="21"/>
                      <w:szCs w:val="21"/>
                      <w:lang w:val="en-US" w:eastAsia="zh-CN"/>
                    </w:rPr>
                    <w:t>（</w:t>
                  </w:r>
                  <w:r>
                    <w:rPr>
                      <w:rFonts w:hint="default" w:ascii="Times New Roman" w:hAnsi="Times New Roman" w:cs="Times New Roman"/>
                      <w:sz w:val="21"/>
                      <w:szCs w:val="21"/>
                    </w:rPr>
                    <w:t>kg/h</w:t>
                  </w:r>
                  <w:r>
                    <w:rPr>
                      <w:rFonts w:hint="eastAsia"/>
                      <w:sz w:val="21"/>
                      <w:szCs w:val="21"/>
                      <w:lang w:val="en-US" w:eastAsia="zh-CN"/>
                    </w:rPr>
                    <w:t>）</w:t>
                  </w:r>
                </w:p>
              </w:tc>
              <w:tc>
                <w:tcPr>
                  <w:tcW w:w="998" w:type="pct"/>
                  <w:noWrap w:val="0"/>
                  <w:vAlign w:val="center"/>
                </w:tcPr>
                <w:p w14:paraId="170C919F">
                  <w:pPr>
                    <w:spacing w:line="240" w:lineRule="auto"/>
                    <w:jc w:val="center"/>
                    <w:rPr>
                      <w:sz w:val="21"/>
                      <w:szCs w:val="21"/>
                    </w:rPr>
                  </w:pPr>
                  <w:r>
                    <w:rPr>
                      <w:sz w:val="21"/>
                      <w:szCs w:val="21"/>
                    </w:rPr>
                    <w:t>无组织排放监控浓度限值浓度</w:t>
                  </w:r>
                  <w:r>
                    <w:rPr>
                      <w:rFonts w:hint="eastAsia"/>
                      <w:sz w:val="21"/>
                      <w:szCs w:val="21"/>
                      <w:lang w:eastAsia="zh-CN"/>
                    </w:rPr>
                    <w:t>（</w:t>
                  </w:r>
                  <w:r>
                    <w:rPr>
                      <w:sz w:val="21"/>
                      <w:szCs w:val="21"/>
                    </w:rPr>
                    <w:t>mg/m</w:t>
                  </w:r>
                  <w:r>
                    <w:rPr>
                      <w:sz w:val="21"/>
                      <w:szCs w:val="21"/>
                      <w:vertAlign w:val="superscript"/>
                    </w:rPr>
                    <w:t>3</w:t>
                  </w:r>
                  <w:r>
                    <w:rPr>
                      <w:rFonts w:hint="eastAsia"/>
                      <w:sz w:val="21"/>
                      <w:szCs w:val="21"/>
                      <w:lang w:eastAsia="zh-CN"/>
                    </w:rPr>
                    <w:t>）</w:t>
                  </w:r>
                </w:p>
              </w:tc>
              <w:tc>
                <w:tcPr>
                  <w:tcW w:w="1008" w:type="pct"/>
                  <w:noWrap w:val="0"/>
                  <w:vAlign w:val="center"/>
                </w:tcPr>
                <w:p w14:paraId="6B60395B">
                  <w:pPr>
                    <w:spacing w:line="240" w:lineRule="auto"/>
                    <w:jc w:val="center"/>
                    <w:rPr>
                      <w:rFonts w:hint="default" w:eastAsia="宋体"/>
                      <w:sz w:val="21"/>
                      <w:szCs w:val="21"/>
                      <w:lang w:val="en-US" w:eastAsia="zh-CN"/>
                    </w:rPr>
                  </w:pPr>
                  <w:r>
                    <w:rPr>
                      <w:rFonts w:hint="eastAsia"/>
                      <w:sz w:val="21"/>
                      <w:szCs w:val="21"/>
                      <w:lang w:val="en-US" w:eastAsia="zh-CN"/>
                    </w:rPr>
                    <w:t>标准来源</w:t>
                  </w:r>
                </w:p>
              </w:tc>
            </w:tr>
            <w:tr w14:paraId="498BF5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551" w:type="pct"/>
                  <w:vMerge w:val="restart"/>
                  <w:noWrap w:val="0"/>
                  <w:vAlign w:val="center"/>
                </w:tcPr>
                <w:p w14:paraId="4E6BF393">
                  <w:pPr>
                    <w:spacing w:line="240" w:lineRule="auto"/>
                    <w:jc w:val="center"/>
                    <w:rPr>
                      <w:rFonts w:hint="default" w:eastAsia="宋体"/>
                      <w:sz w:val="21"/>
                      <w:szCs w:val="21"/>
                      <w:lang w:val="en-US" w:eastAsia="zh-CN"/>
                    </w:rPr>
                  </w:pPr>
                  <w:r>
                    <w:rPr>
                      <w:rFonts w:hint="eastAsia"/>
                      <w:sz w:val="21"/>
                      <w:szCs w:val="21"/>
                      <w:lang w:val="en-US" w:eastAsia="zh-CN"/>
                    </w:rPr>
                    <w:t>天然气燃烧废气</w:t>
                  </w:r>
                </w:p>
              </w:tc>
              <w:tc>
                <w:tcPr>
                  <w:tcW w:w="569" w:type="pct"/>
                  <w:noWrap w:val="0"/>
                  <w:vAlign w:val="center"/>
                </w:tcPr>
                <w:p w14:paraId="5B9DB245">
                  <w:pPr>
                    <w:spacing w:line="240" w:lineRule="auto"/>
                    <w:jc w:val="center"/>
                    <w:rPr>
                      <w:rFonts w:hint="eastAsia" w:eastAsia="宋体"/>
                      <w:sz w:val="21"/>
                      <w:szCs w:val="21"/>
                      <w:lang w:val="en-US" w:eastAsia="zh-CN"/>
                    </w:rPr>
                  </w:pPr>
                  <w:r>
                    <w:rPr>
                      <w:rFonts w:hint="eastAsia" w:eastAsia="宋体"/>
                      <w:sz w:val="21"/>
                      <w:szCs w:val="21"/>
                      <w:lang w:val="en-US" w:eastAsia="zh-CN"/>
                    </w:rPr>
                    <w:t>颗粒物</w:t>
                  </w:r>
                </w:p>
              </w:tc>
              <w:tc>
                <w:tcPr>
                  <w:tcW w:w="959" w:type="pct"/>
                  <w:noWrap w:val="0"/>
                  <w:vAlign w:val="center"/>
                </w:tcPr>
                <w:p w14:paraId="18557101">
                  <w:pPr>
                    <w:spacing w:line="240" w:lineRule="auto"/>
                    <w:jc w:val="center"/>
                    <w:rPr>
                      <w:rFonts w:hint="default" w:eastAsia="宋体"/>
                      <w:sz w:val="21"/>
                      <w:szCs w:val="21"/>
                      <w:lang w:val="en-US" w:eastAsia="zh-CN"/>
                    </w:rPr>
                  </w:pPr>
                  <w:r>
                    <w:rPr>
                      <w:rFonts w:hint="eastAsia"/>
                      <w:sz w:val="21"/>
                      <w:szCs w:val="21"/>
                      <w:lang w:val="en-US" w:eastAsia="zh-CN"/>
                    </w:rPr>
                    <w:t>30</w:t>
                  </w:r>
                </w:p>
              </w:tc>
              <w:tc>
                <w:tcPr>
                  <w:tcW w:w="913" w:type="pct"/>
                  <w:noWrap w:val="0"/>
                  <w:vAlign w:val="center"/>
                </w:tcPr>
                <w:p w14:paraId="4044B9D2">
                  <w:pPr>
                    <w:spacing w:line="240" w:lineRule="auto"/>
                    <w:jc w:val="center"/>
                    <w:rPr>
                      <w:rFonts w:hint="default" w:eastAsia="宋体"/>
                      <w:sz w:val="21"/>
                      <w:szCs w:val="21"/>
                      <w:lang w:val="en-US" w:eastAsia="zh-CN"/>
                    </w:rPr>
                  </w:pPr>
                  <w:r>
                    <w:rPr>
                      <w:rFonts w:hint="eastAsia"/>
                      <w:sz w:val="21"/>
                      <w:szCs w:val="21"/>
                      <w:lang w:val="en-US" w:eastAsia="zh-CN"/>
                    </w:rPr>
                    <w:t>/</w:t>
                  </w:r>
                </w:p>
              </w:tc>
              <w:tc>
                <w:tcPr>
                  <w:tcW w:w="998" w:type="pct"/>
                  <w:noWrap w:val="0"/>
                  <w:vAlign w:val="center"/>
                </w:tcPr>
                <w:p w14:paraId="385EA23F">
                  <w:pPr>
                    <w:spacing w:line="240" w:lineRule="auto"/>
                    <w:jc w:val="center"/>
                    <w:rPr>
                      <w:rFonts w:hint="default" w:eastAsia="宋体"/>
                      <w:sz w:val="21"/>
                      <w:szCs w:val="21"/>
                      <w:lang w:val="en-US" w:eastAsia="zh-CN"/>
                    </w:rPr>
                  </w:pPr>
                  <w:r>
                    <w:rPr>
                      <w:rFonts w:hint="eastAsia"/>
                      <w:sz w:val="21"/>
                      <w:szCs w:val="21"/>
                      <w:lang w:val="en-US" w:eastAsia="zh-CN"/>
                    </w:rPr>
                    <w:t>/</w:t>
                  </w:r>
                </w:p>
              </w:tc>
              <w:tc>
                <w:tcPr>
                  <w:tcW w:w="1008" w:type="pct"/>
                  <w:vMerge w:val="restart"/>
                  <w:noWrap w:val="0"/>
                  <w:vAlign w:val="center"/>
                </w:tcPr>
                <w:p w14:paraId="15CA950D">
                  <w:pPr>
                    <w:spacing w:line="240" w:lineRule="auto"/>
                    <w:jc w:val="center"/>
                    <w:rPr>
                      <w:sz w:val="21"/>
                      <w:szCs w:val="21"/>
                    </w:rPr>
                  </w:pPr>
                  <w:r>
                    <w:rPr>
                      <w:rFonts w:hint="default" w:eastAsia="宋体"/>
                      <w:sz w:val="21"/>
                      <w:szCs w:val="21"/>
                      <w:lang w:val="en-US" w:eastAsia="zh-CN"/>
                    </w:rPr>
                    <w:t>环大气〔2019〕56号</w:t>
                  </w:r>
                </w:p>
              </w:tc>
            </w:tr>
            <w:tr w14:paraId="4673D4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551" w:type="pct"/>
                  <w:vMerge w:val="continue"/>
                  <w:noWrap w:val="0"/>
                  <w:vAlign w:val="center"/>
                </w:tcPr>
                <w:p w14:paraId="6C5613D7">
                  <w:pPr>
                    <w:spacing w:line="240" w:lineRule="auto"/>
                    <w:jc w:val="center"/>
                  </w:pPr>
                </w:p>
              </w:tc>
              <w:tc>
                <w:tcPr>
                  <w:tcW w:w="569" w:type="pct"/>
                  <w:noWrap w:val="0"/>
                  <w:vAlign w:val="center"/>
                </w:tcPr>
                <w:p w14:paraId="02D35FB2">
                  <w:pPr>
                    <w:spacing w:line="240" w:lineRule="auto"/>
                    <w:jc w:val="center"/>
                    <w:rPr>
                      <w:rFonts w:hint="default" w:eastAsia="宋体"/>
                      <w:sz w:val="21"/>
                      <w:szCs w:val="21"/>
                      <w:lang w:val="en-US" w:eastAsia="zh-CN"/>
                    </w:rPr>
                  </w:pPr>
                  <w:r>
                    <w:rPr>
                      <w:rFonts w:hint="eastAsia" w:eastAsia="宋体"/>
                      <w:sz w:val="21"/>
                      <w:szCs w:val="21"/>
                      <w:lang w:val="en-US" w:eastAsia="zh-CN"/>
                    </w:rPr>
                    <w:t>SO</w:t>
                  </w:r>
                  <w:r>
                    <w:rPr>
                      <w:rFonts w:hint="eastAsia" w:eastAsia="宋体"/>
                      <w:sz w:val="21"/>
                      <w:szCs w:val="21"/>
                      <w:vertAlign w:val="subscript"/>
                      <w:lang w:val="en-US" w:eastAsia="zh-CN"/>
                    </w:rPr>
                    <w:t>2</w:t>
                  </w:r>
                </w:p>
              </w:tc>
              <w:tc>
                <w:tcPr>
                  <w:tcW w:w="959" w:type="pct"/>
                  <w:noWrap w:val="0"/>
                  <w:vAlign w:val="center"/>
                </w:tcPr>
                <w:p w14:paraId="143E79C2">
                  <w:pPr>
                    <w:spacing w:line="240" w:lineRule="auto"/>
                    <w:jc w:val="center"/>
                    <w:rPr>
                      <w:rFonts w:hint="default" w:eastAsia="宋体"/>
                      <w:sz w:val="21"/>
                      <w:szCs w:val="21"/>
                      <w:lang w:val="en-US" w:eastAsia="zh-CN"/>
                    </w:rPr>
                  </w:pPr>
                  <w:r>
                    <w:rPr>
                      <w:rFonts w:hint="eastAsia"/>
                      <w:sz w:val="21"/>
                      <w:szCs w:val="21"/>
                      <w:lang w:val="en-US" w:eastAsia="zh-CN"/>
                    </w:rPr>
                    <w:t>200</w:t>
                  </w:r>
                </w:p>
              </w:tc>
              <w:tc>
                <w:tcPr>
                  <w:tcW w:w="913" w:type="pct"/>
                  <w:noWrap w:val="0"/>
                  <w:vAlign w:val="center"/>
                </w:tcPr>
                <w:p w14:paraId="678EDFA6">
                  <w:pPr>
                    <w:spacing w:line="240" w:lineRule="auto"/>
                    <w:jc w:val="center"/>
                    <w:rPr>
                      <w:rFonts w:hint="default" w:eastAsia="宋体"/>
                      <w:sz w:val="21"/>
                      <w:szCs w:val="21"/>
                      <w:lang w:val="en-US" w:eastAsia="zh-CN"/>
                    </w:rPr>
                  </w:pPr>
                  <w:r>
                    <w:rPr>
                      <w:rFonts w:hint="eastAsia"/>
                      <w:sz w:val="21"/>
                      <w:szCs w:val="21"/>
                      <w:lang w:val="en-US" w:eastAsia="zh-CN"/>
                    </w:rPr>
                    <w:t>/</w:t>
                  </w:r>
                </w:p>
              </w:tc>
              <w:tc>
                <w:tcPr>
                  <w:tcW w:w="998" w:type="pct"/>
                  <w:noWrap w:val="0"/>
                  <w:vAlign w:val="center"/>
                </w:tcPr>
                <w:p w14:paraId="1DF1B8BB">
                  <w:pPr>
                    <w:spacing w:line="240" w:lineRule="auto"/>
                    <w:jc w:val="center"/>
                    <w:rPr>
                      <w:rFonts w:hint="default" w:eastAsia="宋体"/>
                      <w:sz w:val="21"/>
                      <w:szCs w:val="21"/>
                      <w:lang w:val="en-US" w:eastAsia="zh-CN"/>
                    </w:rPr>
                  </w:pPr>
                  <w:r>
                    <w:rPr>
                      <w:rFonts w:hint="eastAsia"/>
                      <w:sz w:val="21"/>
                      <w:szCs w:val="21"/>
                      <w:lang w:val="en-US" w:eastAsia="zh-CN"/>
                    </w:rPr>
                    <w:t>/</w:t>
                  </w:r>
                </w:p>
              </w:tc>
              <w:tc>
                <w:tcPr>
                  <w:tcW w:w="1008" w:type="pct"/>
                  <w:vMerge w:val="continue"/>
                  <w:noWrap w:val="0"/>
                  <w:vAlign w:val="center"/>
                </w:tcPr>
                <w:p w14:paraId="50C72441">
                  <w:pPr>
                    <w:spacing w:line="240" w:lineRule="auto"/>
                    <w:jc w:val="center"/>
                    <w:rPr>
                      <w:sz w:val="21"/>
                      <w:szCs w:val="21"/>
                    </w:rPr>
                  </w:pPr>
                </w:p>
              </w:tc>
            </w:tr>
            <w:tr w14:paraId="6158EC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551" w:type="pct"/>
                  <w:vMerge w:val="continue"/>
                  <w:noWrap w:val="0"/>
                  <w:vAlign w:val="center"/>
                </w:tcPr>
                <w:p w14:paraId="678E4D7D">
                  <w:pPr>
                    <w:spacing w:line="240" w:lineRule="auto"/>
                    <w:jc w:val="center"/>
                    <w:rPr>
                      <w:rFonts w:hint="eastAsia" w:eastAsia="宋体"/>
                      <w:sz w:val="21"/>
                      <w:szCs w:val="21"/>
                      <w:lang w:val="en-US" w:eastAsia="zh-CN"/>
                    </w:rPr>
                  </w:pPr>
                </w:p>
              </w:tc>
              <w:tc>
                <w:tcPr>
                  <w:tcW w:w="569" w:type="pct"/>
                  <w:noWrap w:val="0"/>
                  <w:vAlign w:val="center"/>
                </w:tcPr>
                <w:p w14:paraId="70EAD0BD">
                  <w:pPr>
                    <w:spacing w:line="240" w:lineRule="auto"/>
                    <w:jc w:val="center"/>
                    <w:rPr>
                      <w:rFonts w:hint="default"/>
                      <w:sz w:val="21"/>
                      <w:szCs w:val="21"/>
                      <w:lang w:val="en-US" w:eastAsia="zh-CN"/>
                    </w:rPr>
                  </w:pPr>
                  <w:r>
                    <w:rPr>
                      <w:rFonts w:hint="eastAsia"/>
                      <w:sz w:val="21"/>
                      <w:szCs w:val="21"/>
                      <w:lang w:val="en-US" w:eastAsia="zh-CN"/>
                    </w:rPr>
                    <w:t>NOx</w:t>
                  </w:r>
                </w:p>
              </w:tc>
              <w:tc>
                <w:tcPr>
                  <w:tcW w:w="959" w:type="pct"/>
                  <w:noWrap w:val="0"/>
                  <w:vAlign w:val="center"/>
                </w:tcPr>
                <w:p w14:paraId="7EB021BF">
                  <w:pPr>
                    <w:spacing w:line="240" w:lineRule="auto"/>
                    <w:jc w:val="center"/>
                    <w:rPr>
                      <w:rFonts w:hint="default"/>
                      <w:sz w:val="21"/>
                      <w:szCs w:val="21"/>
                      <w:lang w:val="en-US" w:eastAsia="zh-CN"/>
                    </w:rPr>
                  </w:pPr>
                  <w:r>
                    <w:rPr>
                      <w:rFonts w:hint="eastAsia"/>
                      <w:sz w:val="21"/>
                      <w:szCs w:val="21"/>
                      <w:lang w:val="en-US" w:eastAsia="zh-CN"/>
                    </w:rPr>
                    <w:t>300</w:t>
                  </w:r>
                </w:p>
              </w:tc>
              <w:tc>
                <w:tcPr>
                  <w:tcW w:w="913" w:type="pct"/>
                  <w:noWrap w:val="0"/>
                  <w:vAlign w:val="center"/>
                </w:tcPr>
                <w:p w14:paraId="2A040DBD">
                  <w:pPr>
                    <w:spacing w:line="240" w:lineRule="auto"/>
                    <w:jc w:val="center"/>
                    <w:rPr>
                      <w:rFonts w:hint="default"/>
                      <w:sz w:val="21"/>
                      <w:szCs w:val="21"/>
                      <w:lang w:val="en-US" w:eastAsia="zh-CN"/>
                    </w:rPr>
                  </w:pPr>
                  <w:r>
                    <w:rPr>
                      <w:rFonts w:hint="eastAsia"/>
                      <w:sz w:val="21"/>
                      <w:szCs w:val="21"/>
                      <w:lang w:val="en-US" w:eastAsia="zh-CN"/>
                    </w:rPr>
                    <w:t>/</w:t>
                  </w:r>
                </w:p>
              </w:tc>
              <w:tc>
                <w:tcPr>
                  <w:tcW w:w="998" w:type="pct"/>
                  <w:noWrap w:val="0"/>
                  <w:vAlign w:val="center"/>
                </w:tcPr>
                <w:p w14:paraId="7783EAC8">
                  <w:pPr>
                    <w:spacing w:line="240" w:lineRule="auto"/>
                    <w:jc w:val="center"/>
                    <w:rPr>
                      <w:rFonts w:hint="default"/>
                      <w:sz w:val="21"/>
                      <w:szCs w:val="21"/>
                      <w:lang w:val="en-US" w:eastAsia="zh-CN"/>
                    </w:rPr>
                  </w:pPr>
                  <w:r>
                    <w:rPr>
                      <w:rFonts w:hint="eastAsia"/>
                      <w:sz w:val="21"/>
                      <w:szCs w:val="21"/>
                      <w:lang w:val="en-US" w:eastAsia="zh-CN"/>
                    </w:rPr>
                    <w:t>/</w:t>
                  </w:r>
                </w:p>
              </w:tc>
              <w:tc>
                <w:tcPr>
                  <w:tcW w:w="1008" w:type="pct"/>
                  <w:vMerge w:val="continue"/>
                  <w:noWrap w:val="0"/>
                  <w:vAlign w:val="center"/>
                </w:tcPr>
                <w:p w14:paraId="5B5B9B7B">
                  <w:pPr>
                    <w:spacing w:line="240" w:lineRule="auto"/>
                    <w:jc w:val="center"/>
                    <w:rPr>
                      <w:sz w:val="21"/>
                      <w:szCs w:val="21"/>
                    </w:rPr>
                  </w:pPr>
                </w:p>
              </w:tc>
            </w:tr>
            <w:tr w14:paraId="3BDD66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85" w:type="dxa"/>
                  <w:bottom w:w="0" w:type="dxa"/>
                  <w:right w:w="85" w:type="dxa"/>
                </w:tblCellMar>
              </w:tblPrEx>
              <w:trPr>
                <w:trHeight w:val="454" w:hRule="atLeast"/>
                <w:jc w:val="center"/>
              </w:trPr>
              <w:tc>
                <w:tcPr>
                  <w:tcW w:w="551" w:type="pct"/>
                  <w:noWrap w:val="0"/>
                  <w:vAlign w:val="center"/>
                </w:tcPr>
                <w:p w14:paraId="5AE23020">
                  <w:pPr>
                    <w:spacing w:line="240" w:lineRule="auto"/>
                    <w:jc w:val="center"/>
                    <w:rPr>
                      <w:rFonts w:hint="eastAsia" w:eastAsia="宋体"/>
                      <w:sz w:val="21"/>
                      <w:szCs w:val="21"/>
                      <w:lang w:val="en-US" w:eastAsia="zh-CN"/>
                    </w:rPr>
                  </w:pPr>
                  <w:r>
                    <w:rPr>
                      <w:rFonts w:hint="eastAsia" w:eastAsia="宋体"/>
                      <w:sz w:val="21"/>
                      <w:szCs w:val="21"/>
                      <w:lang w:val="en-US" w:eastAsia="zh-CN"/>
                    </w:rPr>
                    <w:t>锯切</w:t>
                  </w:r>
                </w:p>
                <w:p w14:paraId="7A74F847">
                  <w:pPr>
                    <w:spacing w:line="240" w:lineRule="auto"/>
                    <w:jc w:val="center"/>
                    <w:rPr>
                      <w:rFonts w:hint="default" w:eastAsia="宋体"/>
                      <w:sz w:val="21"/>
                      <w:szCs w:val="21"/>
                      <w:lang w:val="en-US" w:eastAsia="zh-CN"/>
                    </w:rPr>
                  </w:pPr>
                  <w:r>
                    <w:rPr>
                      <w:rFonts w:hint="eastAsia" w:eastAsia="宋体"/>
                      <w:sz w:val="21"/>
                      <w:szCs w:val="21"/>
                      <w:lang w:val="en-US" w:eastAsia="zh-CN"/>
                    </w:rPr>
                    <w:t>废气</w:t>
                  </w:r>
                </w:p>
              </w:tc>
              <w:tc>
                <w:tcPr>
                  <w:tcW w:w="569" w:type="pct"/>
                  <w:noWrap w:val="0"/>
                  <w:vAlign w:val="center"/>
                </w:tcPr>
                <w:p w14:paraId="1ADAEF53">
                  <w:pPr>
                    <w:spacing w:line="240" w:lineRule="auto"/>
                    <w:jc w:val="center"/>
                    <w:rPr>
                      <w:rFonts w:hint="eastAsia"/>
                      <w:sz w:val="21"/>
                      <w:szCs w:val="21"/>
                      <w:lang w:val="en-US" w:eastAsia="zh-CN"/>
                    </w:rPr>
                  </w:pPr>
                  <w:r>
                    <w:rPr>
                      <w:rFonts w:hint="eastAsia" w:eastAsia="宋体"/>
                      <w:sz w:val="21"/>
                      <w:szCs w:val="21"/>
                      <w:lang w:val="en-US" w:eastAsia="zh-CN"/>
                    </w:rPr>
                    <w:t>颗粒物</w:t>
                  </w:r>
                </w:p>
              </w:tc>
              <w:tc>
                <w:tcPr>
                  <w:tcW w:w="959" w:type="pct"/>
                  <w:noWrap w:val="0"/>
                  <w:vAlign w:val="center"/>
                </w:tcPr>
                <w:p w14:paraId="3AFC26FE">
                  <w:pPr>
                    <w:spacing w:line="240" w:lineRule="auto"/>
                    <w:jc w:val="center"/>
                    <w:rPr>
                      <w:rFonts w:hint="default"/>
                      <w:sz w:val="21"/>
                      <w:szCs w:val="21"/>
                      <w:lang w:val="en-US" w:eastAsia="zh-CN"/>
                    </w:rPr>
                  </w:pPr>
                  <w:r>
                    <w:rPr>
                      <w:rFonts w:hint="eastAsia"/>
                      <w:sz w:val="21"/>
                      <w:szCs w:val="21"/>
                      <w:lang w:val="en-US" w:eastAsia="zh-CN"/>
                    </w:rPr>
                    <w:t>120</w:t>
                  </w:r>
                </w:p>
              </w:tc>
              <w:tc>
                <w:tcPr>
                  <w:tcW w:w="913" w:type="pct"/>
                  <w:noWrap w:val="0"/>
                  <w:vAlign w:val="center"/>
                </w:tcPr>
                <w:p w14:paraId="5EA918FF">
                  <w:pPr>
                    <w:spacing w:line="240" w:lineRule="auto"/>
                    <w:jc w:val="center"/>
                    <w:rPr>
                      <w:rFonts w:hint="default"/>
                      <w:sz w:val="21"/>
                      <w:szCs w:val="21"/>
                      <w:lang w:val="en-US" w:eastAsia="zh-CN"/>
                    </w:rPr>
                  </w:pPr>
                  <w:r>
                    <w:rPr>
                      <w:rFonts w:hint="eastAsia"/>
                      <w:sz w:val="21"/>
                      <w:szCs w:val="21"/>
                      <w:lang w:val="en-US" w:eastAsia="zh-CN"/>
                    </w:rPr>
                    <w:t>3.5</w:t>
                  </w:r>
                </w:p>
              </w:tc>
              <w:tc>
                <w:tcPr>
                  <w:tcW w:w="998" w:type="pct"/>
                  <w:noWrap w:val="0"/>
                  <w:vAlign w:val="center"/>
                </w:tcPr>
                <w:p w14:paraId="5437CCF9">
                  <w:pPr>
                    <w:spacing w:line="240" w:lineRule="auto"/>
                    <w:jc w:val="center"/>
                    <w:rPr>
                      <w:rFonts w:hint="default"/>
                      <w:sz w:val="21"/>
                      <w:szCs w:val="21"/>
                      <w:lang w:val="en-US" w:eastAsia="zh-CN"/>
                    </w:rPr>
                  </w:pPr>
                  <w:r>
                    <w:rPr>
                      <w:rFonts w:hint="eastAsia"/>
                      <w:sz w:val="21"/>
                      <w:szCs w:val="21"/>
                      <w:lang w:val="en-US" w:eastAsia="zh-CN"/>
                    </w:rPr>
                    <w:t>1.0</w:t>
                  </w:r>
                </w:p>
              </w:tc>
              <w:tc>
                <w:tcPr>
                  <w:tcW w:w="1008" w:type="pct"/>
                  <w:noWrap w:val="0"/>
                  <w:vAlign w:val="center"/>
                </w:tcPr>
                <w:p w14:paraId="0A0D8AF0">
                  <w:pPr>
                    <w:spacing w:line="240" w:lineRule="auto"/>
                    <w:jc w:val="center"/>
                    <w:rPr>
                      <w:sz w:val="21"/>
                      <w:szCs w:val="21"/>
                    </w:rPr>
                  </w:pPr>
                  <w:r>
                    <w:rPr>
                      <w:rFonts w:hint="default" w:ascii="Times New Roman" w:hAnsi="Times New Roman" w:eastAsia="宋体" w:cs="Times New Roman"/>
                      <w:color w:val="auto"/>
                      <w:kern w:val="0"/>
                      <w:sz w:val="21"/>
                      <w:szCs w:val="21"/>
                      <w:lang w:val="en-US" w:eastAsia="zh-CN" w:bidi="ar-SA"/>
                    </w:rPr>
                    <w:t>GB16297-1996</w:t>
                  </w:r>
                </w:p>
              </w:tc>
            </w:tr>
          </w:tbl>
          <w:p w14:paraId="0C7BEBCF">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2、废水排放标准</w:t>
            </w:r>
          </w:p>
          <w:p w14:paraId="1266B054">
            <w:pPr>
              <w:pStyle w:val="43"/>
              <w:bidi w:val="0"/>
              <w:rPr>
                <w:rFonts w:hint="eastAsia"/>
                <w:color w:val="000000" w:themeColor="text1"/>
                <w:lang w:val="en-US" w:eastAsia="zh-CN" w:bidi="ar-SA"/>
                <w14:textFill>
                  <w14:solidFill>
                    <w14:schemeClr w14:val="tx1"/>
                  </w14:solidFill>
                </w14:textFill>
              </w:rPr>
            </w:pPr>
            <w:r>
              <w:rPr>
                <w:rFonts w:hint="eastAsia" w:ascii="Times New Roman" w:hAnsi="Times New Roman" w:cs="Times New Roman"/>
                <w:color w:val="000000"/>
                <w:lang w:val="en-US" w:eastAsia="zh-CN" w:bidi="ar-SA"/>
              </w:rPr>
              <w:t>项目生活污水经化粪池预处理后排入园区管网达到</w:t>
            </w:r>
            <w:r>
              <w:rPr>
                <w:rFonts w:hint="default" w:ascii="Times New Roman" w:hAnsi="Times New Roman" w:cs="Times New Roman"/>
                <w:color w:val="000000"/>
                <w:lang w:val="en-US" w:eastAsia="zh-CN" w:bidi="ar-SA"/>
              </w:rPr>
              <w:t>《污水综合排放标准》（GB8978-1996）表4三级标准和</w:t>
            </w:r>
            <w:r>
              <w:rPr>
                <w:rFonts w:hint="eastAsia"/>
                <w:color w:val="000000" w:themeColor="text1"/>
                <w:lang w:val="en-US" w:eastAsia="zh-CN" w:bidi="ar-SA"/>
                <w14:textFill>
                  <w14:solidFill>
                    <w14:schemeClr w14:val="tx1"/>
                  </w14:solidFill>
                </w14:textFill>
              </w:rPr>
              <w:t>皖江江南新兴产业集中区第一污水处理厂接管标准后排入园区污水管网，最后经皖江江南新兴产业集中区第一污水处理厂处理后达标排放。污水处理厂出水水质执行《城镇污水处理厂污染物排放标准》（GB18918-2002）中一级A标准，具体标准值见下表。</w:t>
            </w:r>
          </w:p>
          <w:p w14:paraId="1968F1FA">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表3-5  项目废水排放标准</w:t>
            </w:r>
            <w:r>
              <w:rPr>
                <w:rFonts w:hint="default" w:ascii="Times New Roman" w:hAnsi="Times New Roman" w:cs="Times New Roman"/>
                <w:b/>
                <w:bCs w:val="0"/>
                <w:color w:val="auto"/>
              </w:rPr>
              <w:t>（单位：mg/L）</w:t>
            </w:r>
          </w:p>
          <w:tbl>
            <w:tblPr>
              <w:tblStyle w:val="24"/>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40" w:type="dxa"/>
                <w:bottom w:w="0" w:type="dxa"/>
                <w:right w:w="40" w:type="dxa"/>
              </w:tblCellMar>
            </w:tblPr>
            <w:tblGrid>
              <w:gridCol w:w="2260"/>
              <w:gridCol w:w="1545"/>
              <w:gridCol w:w="923"/>
              <w:gridCol w:w="1106"/>
              <w:gridCol w:w="1143"/>
              <w:gridCol w:w="870"/>
            </w:tblGrid>
            <w:tr w14:paraId="560B37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jc w:val="center"/>
              </w:trPr>
              <w:tc>
                <w:tcPr>
                  <w:tcW w:w="1439" w:type="pct"/>
                  <w:tcBorders>
                    <w:tl2br w:val="nil"/>
                    <w:tr2bl w:val="nil"/>
                  </w:tcBorders>
                  <w:vAlign w:val="center"/>
                </w:tcPr>
                <w:p w14:paraId="04D63042">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污染物名称</w:t>
                  </w:r>
                </w:p>
              </w:tc>
              <w:tc>
                <w:tcPr>
                  <w:tcW w:w="984" w:type="pct"/>
                  <w:tcBorders>
                    <w:tl2br w:val="nil"/>
                    <w:tr2bl w:val="nil"/>
                  </w:tcBorders>
                  <w:vAlign w:val="center"/>
                </w:tcPr>
                <w:p w14:paraId="1E9B790B">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pH(无量纲)</w:t>
                  </w:r>
                </w:p>
              </w:tc>
              <w:tc>
                <w:tcPr>
                  <w:tcW w:w="588" w:type="pct"/>
                  <w:tcBorders>
                    <w:tl2br w:val="nil"/>
                    <w:tr2bl w:val="nil"/>
                  </w:tcBorders>
                  <w:vAlign w:val="center"/>
                </w:tcPr>
                <w:p w14:paraId="70AEF57E">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COD</w:t>
                  </w:r>
                </w:p>
              </w:tc>
              <w:tc>
                <w:tcPr>
                  <w:tcW w:w="704" w:type="pct"/>
                  <w:tcBorders>
                    <w:tl2br w:val="nil"/>
                    <w:tr2bl w:val="nil"/>
                  </w:tcBorders>
                  <w:vAlign w:val="center"/>
                </w:tcPr>
                <w:p w14:paraId="6976CA46">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BOD</w:t>
                  </w:r>
                </w:p>
              </w:tc>
              <w:tc>
                <w:tcPr>
                  <w:tcW w:w="728" w:type="pct"/>
                  <w:tcBorders>
                    <w:tl2br w:val="nil"/>
                    <w:tr2bl w:val="nil"/>
                  </w:tcBorders>
                  <w:vAlign w:val="center"/>
                </w:tcPr>
                <w:p w14:paraId="41BDDB12">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氨氮</w:t>
                  </w:r>
                </w:p>
              </w:tc>
              <w:tc>
                <w:tcPr>
                  <w:tcW w:w="554" w:type="pct"/>
                  <w:tcBorders>
                    <w:tl2br w:val="nil"/>
                    <w:tr2bl w:val="nil"/>
                  </w:tcBorders>
                  <w:vAlign w:val="center"/>
                </w:tcPr>
                <w:p w14:paraId="79285757">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SS</w:t>
                  </w:r>
                </w:p>
              </w:tc>
            </w:tr>
            <w:tr w14:paraId="729755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jc w:val="center"/>
              </w:trPr>
              <w:tc>
                <w:tcPr>
                  <w:tcW w:w="1439" w:type="pct"/>
                  <w:tcBorders>
                    <w:tl2br w:val="nil"/>
                    <w:tr2bl w:val="nil"/>
                  </w:tcBorders>
                  <w:vAlign w:val="center"/>
                </w:tcPr>
                <w:p w14:paraId="79B84157">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kern w:val="0"/>
                      <w:sz w:val="21"/>
                      <w:szCs w:val="21"/>
                      <w:lang w:bidi="ar"/>
                    </w:rPr>
                    <w:t>GB8978-1996表4三级标准</w:t>
                  </w:r>
                </w:p>
              </w:tc>
              <w:tc>
                <w:tcPr>
                  <w:tcW w:w="984" w:type="pct"/>
                  <w:tcBorders>
                    <w:tl2br w:val="nil"/>
                    <w:tr2bl w:val="nil"/>
                  </w:tcBorders>
                  <w:vAlign w:val="center"/>
                </w:tcPr>
                <w:p w14:paraId="17FB1B7D">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6~9</w:t>
                  </w:r>
                </w:p>
              </w:tc>
              <w:tc>
                <w:tcPr>
                  <w:tcW w:w="588" w:type="pct"/>
                  <w:tcBorders>
                    <w:tl2br w:val="nil"/>
                    <w:tr2bl w:val="nil"/>
                  </w:tcBorders>
                  <w:vAlign w:val="center"/>
                </w:tcPr>
                <w:p w14:paraId="701D4828">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500</w:t>
                  </w:r>
                </w:p>
              </w:tc>
              <w:tc>
                <w:tcPr>
                  <w:tcW w:w="704" w:type="pct"/>
                  <w:tcBorders>
                    <w:tl2br w:val="nil"/>
                    <w:tr2bl w:val="nil"/>
                  </w:tcBorders>
                  <w:vAlign w:val="center"/>
                </w:tcPr>
                <w:p w14:paraId="0CA197C8">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s="Times New Roman"/>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300</w:t>
                  </w:r>
                </w:p>
              </w:tc>
              <w:tc>
                <w:tcPr>
                  <w:tcW w:w="728" w:type="pct"/>
                  <w:tcBorders>
                    <w:tl2br w:val="nil"/>
                    <w:tr2bl w:val="nil"/>
                  </w:tcBorders>
                  <w:vAlign w:val="center"/>
                </w:tcPr>
                <w:p w14:paraId="65FF1640">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s="Times New Roman"/>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w:t>
                  </w:r>
                </w:p>
              </w:tc>
              <w:tc>
                <w:tcPr>
                  <w:tcW w:w="554" w:type="pct"/>
                  <w:tcBorders>
                    <w:tl2br w:val="nil"/>
                    <w:tr2bl w:val="nil"/>
                  </w:tcBorders>
                  <w:vAlign w:val="center"/>
                </w:tcPr>
                <w:p w14:paraId="32D35CF3">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400</w:t>
                  </w:r>
                </w:p>
              </w:tc>
            </w:tr>
            <w:tr w14:paraId="719A4DF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jc w:val="center"/>
              </w:trPr>
              <w:tc>
                <w:tcPr>
                  <w:tcW w:w="1439" w:type="pct"/>
                  <w:tcBorders>
                    <w:tl2br w:val="nil"/>
                    <w:tr2bl w:val="nil"/>
                  </w:tcBorders>
                  <w:vAlign w:val="center"/>
                </w:tcPr>
                <w:p w14:paraId="7CF727ED">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集中区污水厂接管标准</w:t>
                  </w:r>
                </w:p>
              </w:tc>
              <w:tc>
                <w:tcPr>
                  <w:tcW w:w="984" w:type="pct"/>
                  <w:tcBorders>
                    <w:tl2br w:val="nil"/>
                    <w:tr2bl w:val="nil"/>
                  </w:tcBorders>
                  <w:vAlign w:val="center"/>
                </w:tcPr>
                <w:p w14:paraId="412FA6F9">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6~9</w:t>
                  </w:r>
                </w:p>
              </w:tc>
              <w:tc>
                <w:tcPr>
                  <w:tcW w:w="588" w:type="pct"/>
                  <w:tcBorders>
                    <w:tl2br w:val="nil"/>
                    <w:tr2bl w:val="nil"/>
                  </w:tcBorders>
                  <w:vAlign w:val="center"/>
                </w:tcPr>
                <w:p w14:paraId="281492DC">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500</w:t>
                  </w:r>
                </w:p>
              </w:tc>
              <w:tc>
                <w:tcPr>
                  <w:tcW w:w="704" w:type="pct"/>
                  <w:tcBorders>
                    <w:tl2br w:val="nil"/>
                    <w:tr2bl w:val="nil"/>
                  </w:tcBorders>
                  <w:vAlign w:val="center"/>
                </w:tcPr>
                <w:p w14:paraId="01E519D9">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150</w:t>
                  </w:r>
                </w:p>
              </w:tc>
              <w:tc>
                <w:tcPr>
                  <w:tcW w:w="728" w:type="pct"/>
                  <w:tcBorders>
                    <w:tl2br w:val="nil"/>
                    <w:tr2bl w:val="nil"/>
                  </w:tcBorders>
                  <w:vAlign w:val="center"/>
                </w:tcPr>
                <w:p w14:paraId="53A534A4">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25</w:t>
                  </w:r>
                </w:p>
              </w:tc>
              <w:tc>
                <w:tcPr>
                  <w:tcW w:w="554" w:type="pct"/>
                  <w:tcBorders>
                    <w:tl2br w:val="nil"/>
                    <w:tr2bl w:val="nil"/>
                  </w:tcBorders>
                  <w:vAlign w:val="center"/>
                </w:tcPr>
                <w:p w14:paraId="2134126F">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240</w:t>
                  </w:r>
                </w:p>
              </w:tc>
            </w:tr>
            <w:tr w14:paraId="179FC7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jc w:val="center"/>
              </w:trPr>
              <w:tc>
                <w:tcPr>
                  <w:tcW w:w="1439" w:type="pct"/>
                  <w:tcBorders>
                    <w:tl2br w:val="nil"/>
                    <w:tr2bl w:val="nil"/>
                  </w:tcBorders>
                  <w:vAlign w:val="center"/>
                </w:tcPr>
                <w:p w14:paraId="167AF6FE">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b/>
                      <w:bCs/>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本项目执行标准</w:t>
                  </w:r>
                </w:p>
              </w:tc>
              <w:tc>
                <w:tcPr>
                  <w:tcW w:w="984" w:type="pct"/>
                  <w:tcBorders>
                    <w:tl2br w:val="nil"/>
                    <w:tr2bl w:val="nil"/>
                  </w:tcBorders>
                  <w:vAlign w:val="center"/>
                </w:tcPr>
                <w:p w14:paraId="4F6C942B">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b/>
                      <w:bCs/>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6~9</w:t>
                  </w:r>
                </w:p>
              </w:tc>
              <w:tc>
                <w:tcPr>
                  <w:tcW w:w="588" w:type="pct"/>
                  <w:tcBorders>
                    <w:tl2br w:val="nil"/>
                    <w:tr2bl w:val="nil"/>
                  </w:tcBorders>
                  <w:vAlign w:val="center"/>
                </w:tcPr>
                <w:p w14:paraId="27418BCB">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b/>
                      <w:bCs/>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500</w:t>
                  </w:r>
                </w:p>
              </w:tc>
              <w:tc>
                <w:tcPr>
                  <w:tcW w:w="704" w:type="pct"/>
                  <w:tcBorders>
                    <w:tl2br w:val="nil"/>
                    <w:tr2bl w:val="nil"/>
                  </w:tcBorders>
                  <w:vAlign w:val="center"/>
                </w:tcPr>
                <w:p w14:paraId="68918A0F">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s="Times New Roman"/>
                      <w:b/>
                      <w:bCs/>
                      <w:color w:val="000000" w:themeColor="text1"/>
                      <w:lang w:val="en-US" w:eastAsia="zh-CN" w:bidi="ar-SA"/>
                      <w14:textFill>
                        <w14:solidFill>
                          <w14:schemeClr w14:val="tx1"/>
                        </w14:solidFill>
                      </w14:textFill>
                    </w:rPr>
                  </w:pPr>
                  <w:r>
                    <w:rPr>
                      <w:rFonts w:hint="eastAsia" w:cs="Times New Roman"/>
                      <w:b/>
                      <w:bCs/>
                      <w:color w:val="000000" w:themeColor="text1"/>
                      <w:lang w:val="en-US" w:eastAsia="zh-CN" w:bidi="ar-SA"/>
                      <w14:textFill>
                        <w14:solidFill>
                          <w14:schemeClr w14:val="tx1"/>
                        </w14:solidFill>
                      </w14:textFill>
                    </w:rPr>
                    <w:t>150</w:t>
                  </w:r>
                </w:p>
              </w:tc>
              <w:tc>
                <w:tcPr>
                  <w:tcW w:w="728" w:type="pct"/>
                  <w:tcBorders>
                    <w:tl2br w:val="nil"/>
                    <w:tr2bl w:val="nil"/>
                  </w:tcBorders>
                  <w:vAlign w:val="center"/>
                </w:tcPr>
                <w:p w14:paraId="29F5E1F8">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s="Times New Roman"/>
                      <w:b/>
                      <w:bCs/>
                      <w:color w:val="000000" w:themeColor="text1"/>
                      <w:lang w:val="en-US" w:eastAsia="zh-CN" w:bidi="ar-SA"/>
                      <w14:textFill>
                        <w14:solidFill>
                          <w14:schemeClr w14:val="tx1"/>
                        </w14:solidFill>
                      </w14:textFill>
                    </w:rPr>
                  </w:pPr>
                  <w:r>
                    <w:rPr>
                      <w:rFonts w:hint="eastAsia" w:cs="Times New Roman"/>
                      <w:b/>
                      <w:bCs/>
                      <w:color w:val="000000" w:themeColor="text1"/>
                      <w:lang w:val="en-US" w:eastAsia="zh-CN" w:bidi="ar-SA"/>
                      <w14:textFill>
                        <w14:solidFill>
                          <w14:schemeClr w14:val="tx1"/>
                        </w14:solidFill>
                      </w14:textFill>
                    </w:rPr>
                    <w:t>25</w:t>
                  </w:r>
                </w:p>
              </w:tc>
              <w:tc>
                <w:tcPr>
                  <w:tcW w:w="554" w:type="pct"/>
                  <w:tcBorders>
                    <w:tl2br w:val="nil"/>
                    <w:tr2bl w:val="nil"/>
                  </w:tcBorders>
                  <w:vAlign w:val="center"/>
                </w:tcPr>
                <w:p w14:paraId="4FB77CFA">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b/>
                      <w:bCs/>
                      <w:color w:val="000000" w:themeColor="text1"/>
                      <w:lang w:val="en-US" w:eastAsia="zh-CN" w:bidi="ar-SA"/>
                      <w14:textFill>
                        <w14:solidFill>
                          <w14:schemeClr w14:val="tx1"/>
                        </w14:solidFill>
                      </w14:textFill>
                    </w:rPr>
                  </w:pPr>
                  <w:r>
                    <w:rPr>
                      <w:rFonts w:hint="eastAsia"/>
                      <w:b/>
                      <w:bCs/>
                      <w:color w:val="000000" w:themeColor="text1"/>
                      <w:lang w:val="en-US" w:eastAsia="zh-CN" w:bidi="ar-SA"/>
                      <w14:textFill>
                        <w14:solidFill>
                          <w14:schemeClr w14:val="tx1"/>
                        </w14:solidFill>
                      </w14:textFill>
                    </w:rPr>
                    <w:t>240</w:t>
                  </w:r>
                </w:p>
              </w:tc>
            </w:tr>
            <w:tr w14:paraId="13E9F9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jc w:val="center"/>
              </w:trPr>
              <w:tc>
                <w:tcPr>
                  <w:tcW w:w="1439" w:type="pct"/>
                  <w:tcBorders>
                    <w:tl2br w:val="nil"/>
                    <w:tr2bl w:val="nil"/>
                  </w:tcBorders>
                  <w:vAlign w:val="center"/>
                </w:tcPr>
                <w:p w14:paraId="3151938C">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GB18918-2002中一级A标准</w:t>
                  </w:r>
                </w:p>
              </w:tc>
              <w:tc>
                <w:tcPr>
                  <w:tcW w:w="984" w:type="pct"/>
                  <w:tcBorders>
                    <w:tl2br w:val="nil"/>
                    <w:tr2bl w:val="nil"/>
                  </w:tcBorders>
                  <w:vAlign w:val="center"/>
                </w:tcPr>
                <w:p w14:paraId="62F2B266">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6~9</w:t>
                  </w:r>
                </w:p>
              </w:tc>
              <w:tc>
                <w:tcPr>
                  <w:tcW w:w="588" w:type="pct"/>
                  <w:tcBorders>
                    <w:tl2br w:val="nil"/>
                    <w:tr2bl w:val="nil"/>
                  </w:tcBorders>
                  <w:vAlign w:val="center"/>
                </w:tcPr>
                <w:p w14:paraId="05FDB647">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50</w:t>
                  </w:r>
                </w:p>
              </w:tc>
              <w:tc>
                <w:tcPr>
                  <w:tcW w:w="704" w:type="pct"/>
                  <w:tcBorders>
                    <w:tl2br w:val="nil"/>
                    <w:tr2bl w:val="nil"/>
                  </w:tcBorders>
                  <w:vAlign w:val="center"/>
                </w:tcPr>
                <w:p w14:paraId="1FC5F141">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10</w:t>
                  </w:r>
                </w:p>
              </w:tc>
              <w:tc>
                <w:tcPr>
                  <w:tcW w:w="728" w:type="pct"/>
                  <w:tcBorders>
                    <w:tl2br w:val="nil"/>
                    <w:tr2bl w:val="nil"/>
                  </w:tcBorders>
                  <w:vAlign w:val="center"/>
                </w:tcPr>
                <w:p w14:paraId="1676DEBD">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5（8）</w:t>
                  </w:r>
                </w:p>
              </w:tc>
              <w:tc>
                <w:tcPr>
                  <w:tcW w:w="554" w:type="pct"/>
                  <w:tcBorders>
                    <w:tl2br w:val="nil"/>
                    <w:tr2bl w:val="nil"/>
                  </w:tcBorders>
                  <w:vAlign w:val="center"/>
                </w:tcPr>
                <w:p w14:paraId="5A93114D">
                  <w:pPr>
                    <w:pStyle w:val="41"/>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s="Times New Roman"/>
                      <w:color w:val="000000" w:themeColor="text1"/>
                      <w:lang w:val="en-US" w:eastAsia="zh-CN" w:bidi="ar-SA"/>
                      <w14:textFill>
                        <w14:solidFill>
                          <w14:schemeClr w14:val="tx1"/>
                        </w14:solidFill>
                      </w14:textFill>
                    </w:rPr>
                    <w:t>10</w:t>
                  </w:r>
                </w:p>
              </w:tc>
            </w:tr>
          </w:tbl>
          <w:p w14:paraId="6827893E">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3、噪声执行标准</w:t>
            </w:r>
          </w:p>
          <w:p w14:paraId="188A4DD0">
            <w:pPr>
              <w:pStyle w:val="43"/>
              <w:bidi w:val="0"/>
              <w:jc w:val="both"/>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运营期厂界噪声执行《工业企业厂界环境噪声排放标准》</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GB12348-2008</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3类标准，具体标准值详见下表。</w:t>
            </w:r>
          </w:p>
          <w:p w14:paraId="1AC6929B">
            <w:pPr>
              <w:pStyle w:val="44"/>
              <w:keepNext/>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lang w:eastAsia="zh-CN"/>
              </w:rPr>
              <w:t>表</w:t>
            </w:r>
            <w:r>
              <w:rPr>
                <w:rFonts w:hint="default" w:ascii="Times New Roman" w:hAnsi="Times New Roman" w:cs="Times New Roman"/>
                <w:color w:val="auto"/>
                <w:lang w:val="en-US" w:eastAsia="zh-CN"/>
              </w:rPr>
              <w:t>3-</w:t>
            </w:r>
            <w:r>
              <w:rPr>
                <w:rFonts w:hint="eastAsia" w:cs="Times New Roman"/>
                <w:color w:val="auto"/>
                <w:lang w:val="en-US" w:eastAsia="zh-CN"/>
              </w:rPr>
              <w:t>6</w:t>
            </w:r>
            <w:r>
              <w:rPr>
                <w:rFonts w:hint="default" w:ascii="Times New Roman" w:hAnsi="Times New Roman" w:cs="Times New Roman"/>
                <w:color w:val="auto"/>
              </w:rPr>
              <w:t xml:space="preserve">  营运期噪声排放标准</w:t>
            </w:r>
          </w:p>
          <w:tbl>
            <w:tblPr>
              <w:tblStyle w:val="23"/>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401"/>
              <w:gridCol w:w="1536"/>
              <w:gridCol w:w="1665"/>
              <w:gridCol w:w="3248"/>
            </w:tblGrid>
            <w:tr w14:paraId="4E36134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1402" w:type="dxa"/>
                  <w:vMerge w:val="restart"/>
                  <w:noWrap w:val="0"/>
                  <w:vAlign w:val="center"/>
                </w:tcPr>
                <w:p w14:paraId="69D0F17B">
                  <w:pPr>
                    <w:pStyle w:val="41"/>
                    <w:bidi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标准类别</w:t>
                  </w:r>
                </w:p>
              </w:tc>
              <w:tc>
                <w:tcPr>
                  <w:tcW w:w="3201" w:type="dxa"/>
                  <w:gridSpan w:val="2"/>
                  <w:noWrap w:val="0"/>
                  <w:vAlign w:val="center"/>
                </w:tcPr>
                <w:p w14:paraId="15868F64">
                  <w:pPr>
                    <w:pStyle w:val="41"/>
                    <w:bidi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标准限值［dB（A）］</w:t>
                  </w:r>
                </w:p>
              </w:tc>
              <w:tc>
                <w:tcPr>
                  <w:tcW w:w="3248" w:type="dxa"/>
                  <w:vMerge w:val="restart"/>
                  <w:noWrap w:val="0"/>
                  <w:vAlign w:val="center"/>
                </w:tcPr>
                <w:p w14:paraId="07F9DE97">
                  <w:pPr>
                    <w:pStyle w:val="41"/>
                    <w:bidi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标准来源</w:t>
                  </w:r>
                </w:p>
              </w:tc>
            </w:tr>
            <w:tr w14:paraId="12B395B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1402" w:type="dxa"/>
                  <w:vMerge w:val="continue"/>
                  <w:noWrap w:val="0"/>
                  <w:vAlign w:val="center"/>
                </w:tcPr>
                <w:p w14:paraId="3BCBFD6B">
                  <w:pPr>
                    <w:pStyle w:val="41"/>
                    <w:bidi w:val="0"/>
                    <w:spacing w:line="240" w:lineRule="auto"/>
                    <w:rPr>
                      <w:rFonts w:hint="default" w:ascii="Times New Roman" w:hAnsi="Times New Roman" w:eastAsia="宋体" w:cs="Times New Roman"/>
                      <w:color w:val="auto"/>
                      <w:sz w:val="21"/>
                      <w:szCs w:val="21"/>
                    </w:rPr>
                  </w:pPr>
                </w:p>
              </w:tc>
              <w:tc>
                <w:tcPr>
                  <w:tcW w:w="1536" w:type="dxa"/>
                  <w:noWrap w:val="0"/>
                  <w:vAlign w:val="center"/>
                </w:tcPr>
                <w:p w14:paraId="0F442B82">
                  <w:pPr>
                    <w:pStyle w:val="41"/>
                    <w:bidi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665" w:type="dxa"/>
                  <w:noWrap w:val="0"/>
                  <w:vAlign w:val="center"/>
                </w:tcPr>
                <w:p w14:paraId="66CA8AA4">
                  <w:pPr>
                    <w:pStyle w:val="41"/>
                    <w:bidi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3248" w:type="dxa"/>
                  <w:vMerge w:val="continue"/>
                  <w:noWrap w:val="0"/>
                  <w:vAlign w:val="center"/>
                </w:tcPr>
                <w:p w14:paraId="70758A6F">
                  <w:pPr>
                    <w:pStyle w:val="41"/>
                    <w:bidi w:val="0"/>
                    <w:spacing w:line="240" w:lineRule="auto"/>
                    <w:rPr>
                      <w:rFonts w:hint="default" w:ascii="Times New Roman" w:hAnsi="Times New Roman" w:eastAsia="宋体" w:cs="Times New Roman"/>
                      <w:color w:val="auto"/>
                      <w:sz w:val="21"/>
                      <w:szCs w:val="21"/>
                    </w:rPr>
                  </w:pPr>
                </w:p>
              </w:tc>
            </w:tr>
            <w:tr w14:paraId="064C79E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1402" w:type="dxa"/>
                  <w:noWrap w:val="0"/>
                  <w:vAlign w:val="center"/>
                </w:tcPr>
                <w:p w14:paraId="016B8CC7">
                  <w:pPr>
                    <w:pStyle w:val="41"/>
                    <w:bidi w:val="0"/>
                    <w:spacing w:line="24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类</w:t>
                  </w:r>
                </w:p>
              </w:tc>
              <w:tc>
                <w:tcPr>
                  <w:tcW w:w="1536" w:type="dxa"/>
                  <w:noWrap w:val="0"/>
                  <w:vAlign w:val="center"/>
                </w:tcPr>
                <w:p w14:paraId="055442FD">
                  <w:pPr>
                    <w:pStyle w:val="41"/>
                    <w:bidi w:val="0"/>
                    <w:spacing w:line="24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65</w:t>
                  </w:r>
                </w:p>
              </w:tc>
              <w:tc>
                <w:tcPr>
                  <w:tcW w:w="1665" w:type="dxa"/>
                  <w:noWrap w:val="0"/>
                  <w:vAlign w:val="center"/>
                </w:tcPr>
                <w:p w14:paraId="7EA5FF70">
                  <w:pPr>
                    <w:pStyle w:val="41"/>
                    <w:bidi w:val="0"/>
                    <w:spacing w:line="240" w:lineRule="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55</w:t>
                  </w:r>
                </w:p>
              </w:tc>
              <w:tc>
                <w:tcPr>
                  <w:tcW w:w="3248" w:type="dxa"/>
                  <w:noWrap w:val="0"/>
                  <w:vAlign w:val="center"/>
                </w:tcPr>
                <w:p w14:paraId="38D5A67D">
                  <w:pPr>
                    <w:pStyle w:val="41"/>
                    <w:bidi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GB12348-2008</w:t>
                  </w:r>
                </w:p>
              </w:tc>
            </w:tr>
          </w:tbl>
          <w:p w14:paraId="704E4A8E">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4、固体废弃物执行标准</w:t>
            </w:r>
          </w:p>
          <w:p w14:paraId="4F2D4092">
            <w:pPr>
              <w:pStyle w:val="43"/>
              <w:bidi w:val="0"/>
              <w:jc w:val="both"/>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eastAsia" w:cs="Times New Roman"/>
                <w:lang w:val="en-US" w:eastAsia="zh-CN" w:bidi="ar-SA"/>
              </w:rPr>
              <w:t>一般固废执行《一般工业固体废物贮存和填埋污染控制标准》（GB18599-2020）中“其贮存过程应满足相应防渗漏、防雨淋、防扬尘等环境保护要求”；危险废物执行《危险废物贮存污染控制标准》（GB18597-2023）中有关规定</w:t>
            </w:r>
            <w:r>
              <w:rPr>
                <w:rFonts w:hint="eastAsia" w:ascii="Times New Roman" w:hAnsi="Times New Roman" w:eastAsia="宋体" w:cs="Times New Roman"/>
                <w:lang w:val="en-US" w:eastAsia="zh-CN" w:bidi="ar-SA"/>
              </w:rPr>
              <w:t>。</w:t>
            </w:r>
          </w:p>
        </w:tc>
      </w:tr>
      <w:tr w14:paraId="62E0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14:paraId="7B94800F">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总量控制指标</w:t>
            </w:r>
          </w:p>
        </w:tc>
        <w:tc>
          <w:tcPr>
            <w:tcW w:w="8066" w:type="dxa"/>
            <w:vAlign w:val="center"/>
          </w:tcPr>
          <w:p w14:paraId="3C378D7E">
            <w:pPr>
              <w:pStyle w:val="43"/>
              <w:bidi w:val="0"/>
              <w:jc w:val="both"/>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根据《国务院关于印发“十四五”节能减排综合工作方案的通知》（国发〔2021〕33号）、《关于印发大气污染防治行动计划的通知》（国发〔2013〕37号）及相关文件要求，目前项目地区对化学需氧量</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COD</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、氨氮</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NH</w:t>
            </w:r>
            <w:r>
              <w:rPr>
                <w:rFonts w:hint="eastAsia"/>
                <w:color w:val="000000" w:themeColor="text1"/>
                <w:vertAlign w:val="subscript"/>
                <w:lang w:val="en-US" w:eastAsia="zh-CN" w:bidi="ar-SA"/>
                <w14:textFill>
                  <w14:solidFill>
                    <w14:schemeClr w14:val="tx1"/>
                  </w14:solidFill>
                </w14:textFill>
              </w:rPr>
              <w:t>3</w:t>
            </w:r>
            <w:r>
              <w:rPr>
                <w:rFonts w:hint="eastAsia"/>
                <w:color w:val="000000" w:themeColor="text1"/>
                <w:vertAlign w:val="baseline"/>
                <w:lang w:val="en-US" w:eastAsia="zh-CN" w:bidi="ar-SA"/>
                <w14:textFill>
                  <w14:solidFill>
                    <w14:schemeClr w14:val="tx1"/>
                  </w14:solidFill>
                </w14:textFill>
              </w:rPr>
              <w:t>-N</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、二氧化硫</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SO</w:t>
            </w:r>
            <w:r>
              <w:rPr>
                <w:rFonts w:hint="eastAsia"/>
                <w:color w:val="000000" w:themeColor="text1"/>
                <w:vertAlign w:val="subscript"/>
                <w:lang w:val="en-US" w:eastAsia="zh-CN" w:bidi="ar-SA"/>
                <w14:textFill>
                  <w14:solidFill>
                    <w14:schemeClr w14:val="tx1"/>
                  </w14:solidFill>
                </w14:textFill>
              </w:rPr>
              <w:t>2</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、氮氧化物</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NOx</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、粉烟尘、挥发性有机物等主要污染物实行排放总量控制计划管理。</w:t>
            </w:r>
          </w:p>
          <w:p w14:paraId="14A16F3D">
            <w:pPr>
              <w:pStyle w:val="43"/>
              <w:bidi w:val="0"/>
              <w:jc w:val="both"/>
              <w:rPr>
                <w:rFonts w:hint="eastAsia"/>
                <w:color w:val="000000" w:themeColor="text1"/>
                <w:lang w:val="en-US" w:eastAsia="zh-CN" w:bidi="ar-SA"/>
                <w14:textFill>
                  <w14:solidFill>
                    <w14:schemeClr w14:val="tx1"/>
                  </w14:solidFill>
                </w14:textFill>
              </w:rPr>
            </w:pPr>
            <w:r>
              <w:rPr>
                <w:rFonts w:hint="eastAsia" w:ascii="Times New Roman" w:hAnsi="Times New Roman" w:eastAsia="宋体" w:cs="Times New Roman"/>
                <w:vertAlign w:val="baseline"/>
                <w:lang w:val="en-US" w:eastAsia="zh-CN" w:bidi="ar-SA"/>
              </w:rPr>
              <w:t>本项目排污许可证管理类别</w:t>
            </w:r>
            <w:r>
              <w:rPr>
                <w:rFonts w:hint="eastAsia" w:cs="Times New Roman"/>
                <w:vertAlign w:val="baseline"/>
                <w:lang w:val="en-US" w:eastAsia="zh-CN" w:bidi="ar-SA"/>
              </w:rPr>
              <w:t>为登记管理</w:t>
            </w:r>
            <w:r>
              <w:rPr>
                <w:rFonts w:hint="eastAsia" w:ascii="Times New Roman" w:hAnsi="Times New Roman" w:eastAsia="宋体" w:cs="Times New Roman"/>
                <w:vertAlign w:val="baseline"/>
                <w:lang w:val="en-US" w:eastAsia="zh-CN" w:bidi="ar-SA"/>
              </w:rPr>
              <w:t>，无需进行排污权交易。</w:t>
            </w:r>
          </w:p>
          <w:p w14:paraId="036BDC14">
            <w:pPr>
              <w:pStyle w:val="43"/>
              <w:bidi w:val="0"/>
              <w:jc w:val="both"/>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根据工程分析，该项目排放的污染因子中，废水污染物纳入皖江江南新兴产业集中区第一污水处理厂总量控制指标，纳入总量控制要求的主要污染物是废气中的颗粒物、SO</w:t>
            </w:r>
            <w:r>
              <w:rPr>
                <w:rFonts w:hint="eastAsia"/>
                <w:color w:val="000000" w:themeColor="text1"/>
                <w:vertAlign w:val="subscript"/>
                <w:lang w:val="en-US" w:eastAsia="zh-CN" w:bidi="ar-SA"/>
                <w14:textFill>
                  <w14:solidFill>
                    <w14:schemeClr w14:val="tx1"/>
                  </w14:solidFill>
                </w14:textFill>
              </w:rPr>
              <w:t>2</w:t>
            </w:r>
            <w:r>
              <w:rPr>
                <w:rFonts w:hint="eastAsia"/>
                <w:color w:val="000000" w:themeColor="text1"/>
                <w:lang w:val="en-US" w:eastAsia="zh-CN" w:bidi="ar-SA"/>
                <w14:textFill>
                  <w14:solidFill>
                    <w14:schemeClr w14:val="tx1"/>
                  </w14:solidFill>
                </w14:textFill>
              </w:rPr>
              <w:t>、NOx。</w:t>
            </w:r>
          </w:p>
          <w:p w14:paraId="370B60FC">
            <w:pPr>
              <w:pStyle w:val="43"/>
              <w:bidi w:val="0"/>
              <w:jc w:val="both"/>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本项目总量控制指标见下表。</w:t>
            </w:r>
          </w:p>
          <w:p w14:paraId="6B013C02">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表3-7  总量控制建议表</w:t>
            </w:r>
          </w:p>
          <w:tbl>
            <w:tblPr>
              <w:tblStyle w:val="24"/>
              <w:tblW w:w="4998"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613"/>
              <w:gridCol w:w="2617"/>
              <w:gridCol w:w="2617"/>
            </w:tblGrid>
            <w:tr w14:paraId="728CA9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332" w:type="pct"/>
                  <w:gridSpan w:val="2"/>
                  <w:tcBorders>
                    <w:tl2br w:val="nil"/>
                    <w:tr2bl w:val="nil"/>
                  </w:tcBorders>
                  <w:vAlign w:val="center"/>
                </w:tcPr>
                <w:p w14:paraId="52A320BA">
                  <w:pPr>
                    <w:pStyle w:val="41"/>
                    <w:keepNext w:val="0"/>
                    <w:keepLines w:val="0"/>
                    <w:pageBreakBefore w:val="0"/>
                    <w:kinsoku/>
                    <w:wordWrap/>
                    <w:overflowPunct/>
                    <w:topLinePunct w:val="0"/>
                    <w:autoSpaceDE/>
                    <w:autoSpaceDN/>
                    <w:bidi w:val="0"/>
                    <w:adjustRightInd w:val="0"/>
                    <w:snapToGrid w:val="0"/>
                    <w:ind w:firstLine="0" w:firstLineChars="0"/>
                    <w:rPr>
                      <w:rFonts w:hint="default"/>
                      <w:lang w:val="en-US" w:eastAsia="zh-CN" w:bidi="ar-SA"/>
                    </w:rPr>
                  </w:pPr>
                  <w:r>
                    <w:rPr>
                      <w:rFonts w:hint="eastAsia"/>
                      <w:lang w:val="en-US" w:eastAsia="zh-CN" w:bidi="ar-SA"/>
                    </w:rPr>
                    <w:t>总量控制因子</w:t>
                  </w:r>
                </w:p>
              </w:tc>
              <w:tc>
                <w:tcPr>
                  <w:tcW w:w="1667" w:type="pct"/>
                  <w:tcBorders>
                    <w:tl2br w:val="nil"/>
                    <w:tr2bl w:val="nil"/>
                  </w:tcBorders>
                  <w:vAlign w:val="center"/>
                </w:tcPr>
                <w:p w14:paraId="0F18BC2C">
                  <w:pPr>
                    <w:pStyle w:val="41"/>
                    <w:keepNext w:val="0"/>
                    <w:keepLines w:val="0"/>
                    <w:pageBreakBefore w:val="0"/>
                    <w:kinsoku/>
                    <w:wordWrap/>
                    <w:overflowPunct/>
                    <w:topLinePunct w:val="0"/>
                    <w:autoSpaceDE/>
                    <w:autoSpaceDN/>
                    <w:bidi w:val="0"/>
                    <w:adjustRightInd w:val="0"/>
                    <w:snapToGrid w:val="0"/>
                    <w:ind w:firstLine="0" w:firstLineChars="0"/>
                    <w:rPr>
                      <w:rFonts w:hint="default"/>
                      <w:lang w:val="en-US" w:eastAsia="zh-CN" w:bidi="ar-SA"/>
                    </w:rPr>
                  </w:pPr>
                  <w:r>
                    <w:rPr>
                      <w:rFonts w:hint="eastAsia"/>
                      <w:lang w:val="en-US" w:eastAsia="zh-CN" w:bidi="ar-SA"/>
                    </w:rPr>
                    <w:t>排放量t/a</w:t>
                  </w:r>
                </w:p>
              </w:tc>
            </w:tr>
            <w:tr w14:paraId="4291E8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tcBorders>
                    <w:tl2br w:val="nil"/>
                    <w:tr2bl w:val="nil"/>
                  </w:tcBorders>
                  <w:vAlign w:val="center"/>
                </w:tcPr>
                <w:p w14:paraId="35CD0C5C">
                  <w:pPr>
                    <w:pStyle w:val="41"/>
                    <w:keepNext w:val="0"/>
                    <w:keepLines w:val="0"/>
                    <w:pageBreakBefore w:val="0"/>
                    <w:kinsoku/>
                    <w:wordWrap/>
                    <w:overflowPunct/>
                    <w:topLinePunct w:val="0"/>
                    <w:autoSpaceDE/>
                    <w:autoSpaceDN/>
                    <w:bidi w:val="0"/>
                    <w:adjustRightInd w:val="0"/>
                    <w:snapToGrid w:val="0"/>
                    <w:ind w:firstLine="0" w:firstLineChars="0"/>
                    <w:rPr>
                      <w:rFonts w:hint="default"/>
                      <w:lang w:val="en-US" w:eastAsia="zh-CN" w:bidi="ar-SA"/>
                    </w:rPr>
                  </w:pPr>
                  <w:r>
                    <w:rPr>
                      <w:rFonts w:hint="eastAsia"/>
                      <w:lang w:val="en-US" w:eastAsia="zh-CN" w:bidi="ar-SA"/>
                    </w:rPr>
                    <w:t>颗粒物</w:t>
                  </w:r>
                </w:p>
              </w:tc>
              <w:tc>
                <w:tcPr>
                  <w:tcW w:w="1666" w:type="pct"/>
                  <w:tcBorders>
                    <w:tl2br w:val="nil"/>
                    <w:tr2bl w:val="nil"/>
                  </w:tcBorders>
                  <w:vAlign w:val="center"/>
                </w:tcPr>
                <w:p w14:paraId="02BDD03D">
                  <w:pPr>
                    <w:pStyle w:val="41"/>
                    <w:keepNext w:val="0"/>
                    <w:keepLines w:val="0"/>
                    <w:pageBreakBefore w:val="0"/>
                    <w:kinsoku/>
                    <w:wordWrap/>
                    <w:overflowPunct/>
                    <w:topLinePunct w:val="0"/>
                    <w:autoSpaceDE/>
                    <w:autoSpaceDN/>
                    <w:bidi w:val="0"/>
                    <w:adjustRightInd w:val="0"/>
                    <w:snapToGrid w:val="0"/>
                    <w:ind w:firstLine="0" w:firstLineChars="0"/>
                    <w:rPr>
                      <w:rFonts w:hint="default"/>
                      <w:lang w:val="en-US" w:eastAsia="zh-CN" w:bidi="ar-SA"/>
                    </w:rPr>
                  </w:pPr>
                  <w:r>
                    <w:rPr>
                      <w:rFonts w:hint="eastAsia"/>
                      <w:lang w:val="en-US" w:eastAsia="zh-CN" w:bidi="ar-SA"/>
                    </w:rPr>
                    <w:t>有组织</w:t>
                  </w:r>
                </w:p>
              </w:tc>
              <w:tc>
                <w:tcPr>
                  <w:tcW w:w="1667" w:type="pct"/>
                  <w:tcBorders>
                    <w:tl2br w:val="nil"/>
                    <w:tr2bl w:val="nil"/>
                  </w:tcBorders>
                  <w:vAlign w:val="center"/>
                </w:tcPr>
                <w:p w14:paraId="52BE7B82">
                  <w:pPr>
                    <w:keepNext w:val="0"/>
                    <w:keepLines w:val="0"/>
                    <w:widowControl/>
                    <w:suppressLineNumbers w:val="0"/>
                    <w:jc w:val="center"/>
                    <w:textAlignment w:val="center"/>
                    <w:rPr>
                      <w:rFonts w:hint="default"/>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cs="Times New Roman"/>
                      <w:i w:val="0"/>
                      <w:iCs w:val="0"/>
                      <w:color w:val="000000"/>
                      <w:kern w:val="0"/>
                      <w:sz w:val="21"/>
                      <w:szCs w:val="21"/>
                      <w:u w:val="none"/>
                      <w:lang w:val="en-US" w:eastAsia="zh-CN" w:bidi="ar"/>
                    </w:rPr>
                    <w:t>891</w:t>
                  </w:r>
                </w:p>
              </w:tc>
            </w:tr>
            <w:tr w14:paraId="0E9DB4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tcBorders>
                    <w:tl2br w:val="nil"/>
                    <w:tr2bl w:val="nil"/>
                  </w:tcBorders>
                  <w:vAlign w:val="center"/>
                </w:tcPr>
                <w:p w14:paraId="1C68DD2F">
                  <w:pPr>
                    <w:pStyle w:val="41"/>
                    <w:keepNext w:val="0"/>
                    <w:keepLines w:val="0"/>
                    <w:pageBreakBefore w:val="0"/>
                    <w:kinsoku/>
                    <w:wordWrap/>
                    <w:overflowPunct/>
                    <w:topLinePunct w:val="0"/>
                    <w:autoSpaceDE/>
                    <w:autoSpaceDN/>
                    <w:bidi w:val="0"/>
                    <w:adjustRightInd w:val="0"/>
                    <w:snapToGrid w:val="0"/>
                    <w:ind w:firstLine="0" w:firstLineChars="0"/>
                    <w:rPr>
                      <w:rFonts w:hint="default"/>
                      <w:lang w:val="en-US" w:eastAsia="zh-CN" w:bidi="ar-SA"/>
                    </w:rPr>
                  </w:pPr>
                  <w:r>
                    <w:rPr>
                      <w:rFonts w:hint="eastAsia"/>
                      <w:lang w:val="en-US" w:eastAsia="zh-CN" w:bidi="ar-SA"/>
                    </w:rPr>
                    <w:t>SO</w:t>
                  </w:r>
                  <w:r>
                    <w:rPr>
                      <w:rFonts w:hint="eastAsia"/>
                      <w:vertAlign w:val="subscript"/>
                      <w:lang w:val="en-US" w:eastAsia="zh-CN" w:bidi="ar-SA"/>
                    </w:rPr>
                    <w:t>2</w:t>
                  </w:r>
                </w:p>
              </w:tc>
              <w:tc>
                <w:tcPr>
                  <w:tcW w:w="1666" w:type="pct"/>
                  <w:tcBorders>
                    <w:tl2br w:val="nil"/>
                    <w:tr2bl w:val="nil"/>
                  </w:tcBorders>
                  <w:vAlign w:val="center"/>
                </w:tcPr>
                <w:p w14:paraId="625E9E86">
                  <w:pPr>
                    <w:pStyle w:val="41"/>
                    <w:keepNext w:val="0"/>
                    <w:keepLines w:val="0"/>
                    <w:pageBreakBefore w:val="0"/>
                    <w:kinsoku/>
                    <w:wordWrap/>
                    <w:overflowPunct/>
                    <w:topLinePunct w:val="0"/>
                    <w:autoSpaceDE/>
                    <w:autoSpaceDN/>
                    <w:bidi w:val="0"/>
                    <w:adjustRightInd w:val="0"/>
                    <w:snapToGrid w:val="0"/>
                    <w:ind w:firstLine="0" w:firstLineChars="0"/>
                    <w:rPr>
                      <w:rFonts w:hint="eastAsia"/>
                      <w:lang w:val="en-US" w:eastAsia="zh-CN" w:bidi="ar-SA"/>
                    </w:rPr>
                  </w:pPr>
                  <w:r>
                    <w:rPr>
                      <w:rFonts w:hint="eastAsia"/>
                      <w:lang w:val="en-US" w:eastAsia="zh-CN" w:bidi="ar-SA"/>
                    </w:rPr>
                    <w:t>有组织</w:t>
                  </w:r>
                </w:p>
              </w:tc>
              <w:tc>
                <w:tcPr>
                  <w:tcW w:w="2617" w:type="dxa"/>
                  <w:tcBorders>
                    <w:tl2br w:val="nil"/>
                    <w:tr2bl w:val="nil"/>
                  </w:tcBorders>
                  <w:vAlign w:val="center"/>
                </w:tcPr>
                <w:p w14:paraId="1D4C97E8">
                  <w:pPr>
                    <w:keepNext w:val="0"/>
                    <w:keepLines w:val="0"/>
                    <w:widowControl/>
                    <w:suppressLineNumbers w:val="0"/>
                    <w:jc w:val="center"/>
                    <w:textAlignment w:val="center"/>
                    <w:rPr>
                      <w:rFonts w:hint="default"/>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0.036</w:t>
                  </w:r>
                </w:p>
              </w:tc>
            </w:tr>
            <w:tr w14:paraId="7E16E1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tcBorders>
                    <w:tl2br w:val="nil"/>
                    <w:tr2bl w:val="nil"/>
                  </w:tcBorders>
                  <w:vAlign w:val="center"/>
                </w:tcPr>
                <w:p w14:paraId="4D7A317C">
                  <w:pPr>
                    <w:pStyle w:val="41"/>
                    <w:keepNext w:val="0"/>
                    <w:keepLines w:val="0"/>
                    <w:pageBreakBefore w:val="0"/>
                    <w:kinsoku/>
                    <w:wordWrap/>
                    <w:overflowPunct/>
                    <w:topLinePunct w:val="0"/>
                    <w:autoSpaceDE/>
                    <w:autoSpaceDN/>
                    <w:bidi w:val="0"/>
                    <w:adjustRightInd w:val="0"/>
                    <w:snapToGrid w:val="0"/>
                    <w:ind w:firstLine="0" w:firstLineChars="0"/>
                    <w:rPr>
                      <w:rFonts w:hint="default"/>
                      <w:lang w:val="en-US" w:eastAsia="zh-CN" w:bidi="ar-SA"/>
                    </w:rPr>
                  </w:pPr>
                  <w:r>
                    <w:rPr>
                      <w:rFonts w:hint="eastAsia"/>
                      <w:lang w:val="en-US" w:eastAsia="zh-CN" w:bidi="ar-SA"/>
                    </w:rPr>
                    <w:t>NOx</w:t>
                  </w:r>
                </w:p>
              </w:tc>
              <w:tc>
                <w:tcPr>
                  <w:tcW w:w="1666" w:type="pct"/>
                  <w:tcBorders>
                    <w:tl2br w:val="nil"/>
                    <w:tr2bl w:val="nil"/>
                  </w:tcBorders>
                  <w:vAlign w:val="center"/>
                </w:tcPr>
                <w:p w14:paraId="65F52782">
                  <w:pPr>
                    <w:pStyle w:val="41"/>
                    <w:keepNext w:val="0"/>
                    <w:keepLines w:val="0"/>
                    <w:pageBreakBefore w:val="0"/>
                    <w:kinsoku/>
                    <w:wordWrap/>
                    <w:overflowPunct/>
                    <w:topLinePunct w:val="0"/>
                    <w:autoSpaceDE/>
                    <w:autoSpaceDN/>
                    <w:bidi w:val="0"/>
                    <w:adjustRightInd w:val="0"/>
                    <w:snapToGrid w:val="0"/>
                    <w:ind w:firstLine="0" w:firstLineChars="0"/>
                    <w:rPr>
                      <w:rFonts w:hint="eastAsia"/>
                      <w:lang w:val="en-US" w:eastAsia="zh-CN" w:bidi="ar-SA"/>
                    </w:rPr>
                  </w:pPr>
                  <w:r>
                    <w:rPr>
                      <w:rFonts w:hint="eastAsia"/>
                      <w:lang w:val="en-US" w:eastAsia="zh-CN" w:bidi="ar-SA"/>
                    </w:rPr>
                    <w:t>有组织</w:t>
                  </w:r>
                </w:p>
              </w:tc>
              <w:tc>
                <w:tcPr>
                  <w:tcW w:w="2617" w:type="dxa"/>
                  <w:tcBorders>
                    <w:tl2br w:val="nil"/>
                    <w:tr2bl w:val="nil"/>
                  </w:tcBorders>
                  <w:vAlign w:val="center"/>
                </w:tcPr>
                <w:p w14:paraId="7031EED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r>
          </w:tbl>
          <w:p w14:paraId="48042A2C">
            <w:pPr>
              <w:pStyle w:val="43"/>
              <w:bidi w:val="0"/>
              <w:rPr>
                <w:rFonts w:hint="default"/>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vertAlign w:val="baseline"/>
                <w:lang w:val="en-US" w:eastAsia="zh-CN" w:bidi="ar-SA"/>
                <w14:textFill>
                  <w14:solidFill>
                    <w14:schemeClr w14:val="tx1"/>
                  </w14:solidFill>
                </w14:textFill>
              </w:rPr>
              <w:t>根据分析，</w:t>
            </w:r>
            <w:r>
              <w:rPr>
                <w:rFonts w:hint="eastAsia" w:cs="Times New Roman"/>
                <w:color w:val="000000" w:themeColor="text1"/>
                <w:vertAlign w:val="baseline"/>
                <w:lang w:val="en-US" w:eastAsia="zh-CN" w:bidi="ar-SA"/>
                <w14:textFill>
                  <w14:solidFill>
                    <w14:schemeClr w14:val="tx1"/>
                  </w14:solidFill>
                </w14:textFill>
              </w:rPr>
              <w:t>本</w:t>
            </w:r>
            <w:r>
              <w:rPr>
                <w:rFonts w:hint="eastAsia" w:ascii="Times New Roman" w:hAnsi="Times New Roman" w:eastAsia="宋体" w:cs="Times New Roman"/>
                <w:color w:val="000000" w:themeColor="text1"/>
                <w:vertAlign w:val="baseline"/>
                <w:lang w:val="en-US" w:eastAsia="zh-CN" w:bidi="ar-SA"/>
                <w14:textFill>
                  <w14:solidFill>
                    <w14:schemeClr w14:val="tx1"/>
                  </w14:solidFill>
                </w14:textFill>
              </w:rPr>
              <w:t>项目不新增污染物排放量，无需申请总量。</w:t>
            </w:r>
          </w:p>
        </w:tc>
      </w:tr>
    </w:tbl>
    <w:p w14:paraId="5593A989">
      <w:pPr>
        <w:jc w:val="center"/>
        <w:outlineLvl w:val="9"/>
        <w:rPr>
          <w:rFonts w:hint="default" w:eastAsia="黑体" w:cs="Times New Roman"/>
          <w:snapToGrid w:val="0"/>
          <w:color w:val="000000" w:themeColor="text1"/>
          <w:sz w:val="30"/>
          <w:szCs w:val="30"/>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A56258E">
      <w:pPr>
        <w:jc w:val="center"/>
        <w:outlineLvl w:val="0"/>
        <w:rPr>
          <w:rFonts w:hint="eastAsia" w:eastAsia="黑体" w:cs="Times New Roman"/>
          <w:snapToGrid w:val="0"/>
          <w:color w:val="000000" w:themeColor="text1"/>
          <w:sz w:val="30"/>
          <w:szCs w:val="30"/>
          <w:lang w:val="en-US" w:eastAsia="zh-CN"/>
          <w14:textFill>
            <w14:solidFill>
              <w14:schemeClr w14:val="tx1"/>
            </w14:solidFill>
          </w14:textFill>
        </w:rPr>
      </w:pPr>
      <w:bookmarkStart w:id="17" w:name="_Toc14861"/>
      <w:r>
        <w:rPr>
          <w:rFonts w:hint="eastAsia" w:eastAsia="黑体" w:cs="Times New Roman"/>
          <w:snapToGrid w:val="0"/>
          <w:color w:val="000000" w:themeColor="text1"/>
          <w:sz w:val="30"/>
          <w:szCs w:val="30"/>
          <w:lang w:val="en-US" w:eastAsia="zh-CN"/>
          <w14:textFill>
            <w14:solidFill>
              <w14:schemeClr w14:val="tx1"/>
            </w14:solidFill>
          </w14:textFill>
        </w:rPr>
        <w:t>四、主要环境影响和保护措施</w:t>
      </w:r>
      <w:bookmarkEnd w:id="17"/>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926"/>
      </w:tblGrid>
      <w:tr w14:paraId="688F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8" w:hRule="atLeast"/>
        </w:trPr>
        <w:tc>
          <w:tcPr>
            <w:tcW w:w="596" w:type="dxa"/>
            <w:vAlign w:val="center"/>
          </w:tcPr>
          <w:p w14:paraId="6F190B2B">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施工期环境保护措施</w:t>
            </w:r>
          </w:p>
        </w:tc>
        <w:tc>
          <w:tcPr>
            <w:tcW w:w="7926" w:type="dxa"/>
            <w:vAlign w:val="center"/>
          </w:tcPr>
          <w:p w14:paraId="0A22A258">
            <w:pPr>
              <w:pStyle w:val="43"/>
              <w:keepNext w:val="0"/>
              <w:keepLines w:val="0"/>
              <w:pageBreakBefore w:val="0"/>
              <w:kinsoku/>
              <w:wordWrap/>
              <w:overflowPunct/>
              <w:topLinePunct w:val="0"/>
              <w:autoSpaceDE/>
              <w:autoSpaceDN/>
              <w:bidi w:val="0"/>
              <w:adjustRightInd w:val="0"/>
              <w:snapToGrid w:val="0"/>
              <w:spacing w:line="360" w:lineRule="auto"/>
              <w:jc w:val="both"/>
              <w:textAlignment w:val="auto"/>
              <w:rPr>
                <w:rFonts w:hint="default"/>
                <w:color w:val="000000" w:themeColor="text1"/>
                <w:lang w:val="en-US" w:eastAsia="zh-CN" w:bidi="ar-SA"/>
                <w14:textFill>
                  <w14:solidFill>
                    <w14:schemeClr w14:val="tx1"/>
                  </w14:solidFill>
                </w14:textFill>
              </w:rPr>
            </w:pPr>
            <w:r>
              <w:rPr>
                <w:rFonts w:hint="eastAsia"/>
                <w:lang w:val="en-US" w:eastAsia="zh-CN" w:bidi="ar-SA"/>
              </w:rPr>
              <w:t>本项目租赁安徽恒铝科技有限公司</w:t>
            </w:r>
            <w:bookmarkStart w:id="46" w:name="_GoBack"/>
            <w:bookmarkEnd w:id="46"/>
            <w:r>
              <w:rPr>
                <w:rFonts w:hint="eastAsia"/>
                <w:lang w:val="en-US" w:eastAsia="zh-CN" w:bidi="ar-SA"/>
              </w:rPr>
              <w:t>厂房进行生产，无土方开挖、结构等施工期作业，施工期污染物主要为室内装修、设备安装时施工人员产生的少量生活污水和生活垃圾等，故本次评价对施工期环境影响不作分析。</w:t>
            </w:r>
          </w:p>
        </w:tc>
      </w:tr>
    </w:tbl>
    <w:p w14:paraId="75B514A6">
      <w:pPr>
        <w:jc w:val="center"/>
        <w:outlineLvl w:val="9"/>
        <w:rPr>
          <w:rFonts w:hint="default" w:eastAsia="黑体" w:cs="Times New Roman"/>
          <w:snapToGrid w:val="0"/>
          <w:color w:val="000000" w:themeColor="text1"/>
          <w:sz w:val="30"/>
          <w:szCs w:val="30"/>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20A5B7B">
      <w:pPr>
        <w:keepNext w:val="0"/>
        <w:keepLines w:val="0"/>
        <w:pageBreakBefore w:val="0"/>
        <w:widowControl w:val="0"/>
        <w:kinsoku/>
        <w:wordWrap/>
        <w:overflowPunct/>
        <w:topLinePunct w:val="0"/>
        <w:autoSpaceDE/>
        <w:autoSpaceDN/>
        <w:bidi w:val="0"/>
        <w:adjustRightInd/>
        <w:snapToGrid/>
        <w:spacing w:line="240" w:lineRule="exact"/>
        <w:jc w:val="both"/>
        <w:textAlignment w:val="auto"/>
        <w:outlineLvl w:val="1"/>
        <w:rPr>
          <w:rFonts w:hint="default" w:eastAsia="黑体" w:cs="Times New Roman"/>
          <w:snapToGrid w:val="0"/>
          <w:color w:val="000000" w:themeColor="text1"/>
          <w:sz w:val="30"/>
          <w:szCs w:val="30"/>
          <w:lang w:val="en-US" w:eastAsia="zh-CN"/>
          <w14:textFill>
            <w14:solidFill>
              <w14:schemeClr w14:val="tx1"/>
            </w14:solidFill>
          </w14:textFill>
        </w:rPr>
      </w:pPr>
      <w:r>
        <w:rPr>
          <w:rFonts w:hint="eastAsia" w:ascii="宋体" w:hAnsi="宋体" w:eastAsia="宋体" w:cs="宋体"/>
          <w:snapToGrid w:val="0"/>
          <w:color w:val="FFFFFF" w:themeColor="background1"/>
          <w:sz w:val="10"/>
          <w:szCs w:val="10"/>
          <w:lang w:val="en-US" w:eastAsia="zh-CN"/>
          <w14:textFill>
            <w14:solidFill>
              <w14:schemeClr w14:val="bg1"/>
            </w14:solidFill>
          </w14:textFill>
        </w:rPr>
        <w:t>运营期</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4"/>
      </w:tblGrid>
      <w:tr w14:paraId="7774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7" w:hRule="atLeast"/>
        </w:trPr>
        <w:tc>
          <w:tcPr>
            <w:tcW w:w="14174" w:type="dxa"/>
          </w:tcPr>
          <w:p w14:paraId="65DE207E">
            <w:pPr>
              <w:pStyle w:val="4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运营期环境影响和保护措施：</w:t>
            </w:r>
          </w:p>
          <w:p w14:paraId="36CC9440">
            <w:pPr>
              <w:pStyle w:val="43"/>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1、废气</w:t>
            </w:r>
          </w:p>
          <w:p w14:paraId="345E781A">
            <w:pPr>
              <w:pStyle w:val="43"/>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color w:val="000000" w:themeColor="text1"/>
                <w:highlight w:val="none"/>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1.1  废气源强</w:t>
            </w:r>
            <w:r>
              <w:rPr>
                <w:rFonts w:hint="eastAsia"/>
                <w:color w:val="000000" w:themeColor="text1"/>
                <w:highlight w:val="none"/>
                <w:lang w:val="en-US" w:eastAsia="zh-CN" w:bidi="ar-SA"/>
                <w14:textFill>
                  <w14:solidFill>
                    <w14:schemeClr w14:val="tx1"/>
                  </w14:solidFill>
                </w14:textFill>
              </w:rPr>
              <w:t>核算</w:t>
            </w:r>
          </w:p>
          <w:p w14:paraId="22EB2460">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both"/>
              <w:textAlignment w:val="auto"/>
            </w:pPr>
            <w:r>
              <w:rPr>
                <w:rFonts w:hint="default" w:ascii="Times New Roman" w:hAnsi="Times New Roman" w:eastAsia="宋体" w:cs="Times New Roman"/>
                <w:color w:val="000000" w:themeColor="text1"/>
                <w:kern w:val="0"/>
                <w:sz w:val="24"/>
                <w:szCs w:val="20"/>
                <w:lang w:val="en-US" w:eastAsia="zh-CN" w:bidi="ar-SA"/>
                <w14:textFill>
                  <w14:solidFill>
                    <w14:schemeClr w14:val="tx1"/>
                  </w14:solidFill>
                </w14:textFill>
              </w:rPr>
              <w:t>本项目为</w:t>
            </w:r>
            <w:r>
              <w:rPr>
                <w:rFonts w:hint="eastAsia" w:ascii="Times New Roman" w:hAnsi="Times New Roman" w:eastAsia="宋体" w:cs="Times New Roman"/>
                <w:color w:val="000000" w:themeColor="text1"/>
                <w:kern w:val="0"/>
                <w:sz w:val="24"/>
                <w:szCs w:val="20"/>
                <w:lang w:val="en-US" w:eastAsia="zh-CN" w:bidi="ar-SA"/>
                <w14:textFill>
                  <w14:solidFill>
                    <w14:schemeClr w14:val="tx1"/>
                  </w14:solidFill>
                </w14:textFill>
              </w:rPr>
              <w:t>铝压延加工</w:t>
            </w:r>
            <w:r>
              <w:rPr>
                <w:rFonts w:hint="eastAsia" w:cs="Times New Roman"/>
                <w:color w:val="000000" w:themeColor="text1"/>
                <w:kern w:val="0"/>
                <w:sz w:val="24"/>
                <w:szCs w:val="20"/>
                <w:lang w:val="en-US" w:eastAsia="zh-CN" w:bidi="ar-SA"/>
                <w14:textFill>
                  <w14:solidFill>
                    <w14:schemeClr w14:val="tx1"/>
                  </w14:solidFill>
                </w14:textFill>
              </w:rPr>
              <w:t>项目</w:t>
            </w:r>
            <w:r>
              <w:rPr>
                <w:rFonts w:hint="default" w:ascii="Times New Roman" w:hAnsi="Times New Roman" w:eastAsia="宋体" w:cs="Times New Roman"/>
                <w:color w:val="000000" w:themeColor="text1"/>
                <w:kern w:val="0"/>
                <w:sz w:val="24"/>
                <w:szCs w:val="20"/>
                <w:lang w:val="en-US" w:eastAsia="zh-CN" w:bidi="ar-SA"/>
                <w14:textFill>
                  <w14:solidFill>
                    <w14:schemeClr w14:val="tx1"/>
                  </w14:solidFill>
                </w14:textFill>
              </w:rPr>
              <w:t xml:space="preserve">，参照《排污许可证申请与核发技术规范 </w:t>
            </w:r>
            <w:r>
              <w:rPr>
                <w:rFonts w:hint="eastAsia" w:ascii="Times New Roman" w:hAnsi="Times New Roman" w:eastAsia="宋体" w:cs="Times New Roman"/>
                <w:color w:val="000000" w:themeColor="text1"/>
                <w:kern w:val="0"/>
                <w:sz w:val="24"/>
                <w:szCs w:val="20"/>
                <w:lang w:val="en-US" w:eastAsia="zh-CN" w:bidi="ar-SA"/>
                <w14:textFill>
                  <w14:solidFill>
                    <w14:schemeClr w14:val="tx1"/>
                  </w14:solidFill>
                </w14:textFill>
              </w:rPr>
              <w:t>工业炉窑</w:t>
            </w:r>
            <w:r>
              <w:rPr>
                <w:rFonts w:hint="default" w:ascii="Times New Roman" w:hAnsi="Times New Roman" w:eastAsia="宋体" w:cs="Times New Roman"/>
                <w:color w:val="000000" w:themeColor="text1"/>
                <w:kern w:val="0"/>
                <w:sz w:val="24"/>
                <w:szCs w:val="20"/>
                <w:lang w:val="en-US" w:eastAsia="zh-CN" w:bidi="ar-SA"/>
                <w14:textFill>
                  <w14:solidFill>
                    <w14:schemeClr w14:val="tx1"/>
                  </w14:solidFill>
                </w14:textFill>
              </w:rPr>
              <w:t>》（HJ 1121-2020）等技术规范，项目废气污染物排放源详见下表。</w:t>
            </w:r>
          </w:p>
          <w:p w14:paraId="118A41EE">
            <w:pPr>
              <w:pStyle w:val="44"/>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w:t>
            </w:r>
            <w:r>
              <w:rPr>
                <w:rFonts w:hint="default" w:ascii="Times New Roman" w:hAnsi="Times New Roman" w:cs="Times New Roman"/>
                <w:color w:val="000000"/>
              </w:rPr>
              <w:fldChar w:fldCharType="end"/>
            </w:r>
            <w:r>
              <w:rPr>
                <w:rFonts w:hint="default" w:ascii="Times New Roman" w:hAnsi="Times New Roman" w:cs="Times New Roman"/>
                <w:color w:val="auto"/>
                <w:lang w:eastAsia="zh-CN"/>
              </w:rPr>
              <w:t xml:space="preserve">  建设项目有组织废气源强及排放情况</w:t>
            </w:r>
          </w:p>
          <w:tbl>
            <w:tblPr>
              <w:tblStyle w:val="23"/>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323"/>
              <w:gridCol w:w="1376"/>
              <w:gridCol w:w="538"/>
              <w:gridCol w:w="1170"/>
              <w:gridCol w:w="930"/>
              <w:gridCol w:w="855"/>
              <w:gridCol w:w="765"/>
              <w:gridCol w:w="1005"/>
              <w:gridCol w:w="870"/>
              <w:gridCol w:w="840"/>
              <w:gridCol w:w="1140"/>
              <w:gridCol w:w="1005"/>
              <w:gridCol w:w="659"/>
              <w:gridCol w:w="777"/>
              <w:gridCol w:w="955"/>
              <w:gridCol w:w="742"/>
            </w:tblGrid>
            <w:tr w14:paraId="2481A9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5" w:type="pct"/>
                  <w:vMerge w:val="restart"/>
                  <w:tcBorders>
                    <w:tl2br w:val="nil"/>
                    <w:tr2bl w:val="nil"/>
                  </w:tcBorders>
                  <w:noWrap w:val="0"/>
                  <w:vAlign w:val="center"/>
                </w:tcPr>
                <w:p w14:paraId="17F74466">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序</w:t>
                  </w:r>
                </w:p>
                <w:p w14:paraId="65ED4AF3">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号</w:t>
                  </w:r>
                </w:p>
              </w:tc>
              <w:tc>
                <w:tcPr>
                  <w:tcW w:w="493" w:type="pct"/>
                  <w:vMerge w:val="restart"/>
                  <w:tcBorders>
                    <w:tl2br w:val="nil"/>
                    <w:tr2bl w:val="nil"/>
                  </w:tcBorders>
                  <w:noWrap w:val="0"/>
                  <w:vAlign w:val="center"/>
                </w:tcPr>
                <w:p w14:paraId="712F51F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产污节点</w:t>
                  </w:r>
                </w:p>
              </w:tc>
              <w:tc>
                <w:tcPr>
                  <w:tcW w:w="192" w:type="pct"/>
                  <w:vMerge w:val="restart"/>
                  <w:tcBorders>
                    <w:tl2br w:val="nil"/>
                    <w:tr2bl w:val="nil"/>
                  </w:tcBorders>
                  <w:noWrap w:val="0"/>
                  <w:vAlign w:val="center"/>
                </w:tcPr>
                <w:p w14:paraId="7BFE1EA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编号</w:t>
                  </w:r>
                </w:p>
              </w:tc>
              <w:tc>
                <w:tcPr>
                  <w:tcW w:w="419" w:type="pct"/>
                  <w:vMerge w:val="restart"/>
                  <w:tcBorders>
                    <w:tl2br w:val="nil"/>
                    <w:tr2bl w:val="nil"/>
                  </w:tcBorders>
                  <w:noWrap w:val="0"/>
                  <w:vAlign w:val="center"/>
                </w:tcPr>
                <w:p w14:paraId="18B29C4C">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污染物</w:t>
                  </w:r>
                </w:p>
                <w:p w14:paraId="06040009">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名称</w:t>
                  </w:r>
                </w:p>
              </w:tc>
              <w:tc>
                <w:tcPr>
                  <w:tcW w:w="913" w:type="pct"/>
                  <w:gridSpan w:val="3"/>
                  <w:tcBorders>
                    <w:tl2br w:val="nil"/>
                    <w:tr2bl w:val="nil"/>
                  </w:tcBorders>
                  <w:noWrap w:val="0"/>
                  <w:vAlign w:val="center"/>
                </w:tcPr>
                <w:p w14:paraId="639D9CF0">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产生情况</w:t>
                  </w:r>
                </w:p>
              </w:tc>
              <w:tc>
                <w:tcPr>
                  <w:tcW w:w="973" w:type="pct"/>
                  <w:gridSpan w:val="3"/>
                  <w:tcBorders>
                    <w:tl2br w:val="nil"/>
                    <w:tr2bl w:val="nil"/>
                  </w:tcBorders>
                  <w:noWrap w:val="0"/>
                  <w:vAlign w:val="center"/>
                </w:tcPr>
                <w:p w14:paraId="66E7284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排放情况</w:t>
                  </w:r>
                </w:p>
              </w:tc>
              <w:tc>
                <w:tcPr>
                  <w:tcW w:w="1283" w:type="pct"/>
                  <w:gridSpan w:val="4"/>
                  <w:tcBorders>
                    <w:tl2br w:val="nil"/>
                    <w:tr2bl w:val="nil"/>
                  </w:tcBorders>
                  <w:noWrap w:val="0"/>
                  <w:vAlign w:val="center"/>
                </w:tcPr>
                <w:p w14:paraId="2932EBC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治理措施</w:t>
                  </w:r>
                </w:p>
              </w:tc>
              <w:tc>
                <w:tcPr>
                  <w:tcW w:w="342" w:type="pct"/>
                  <w:vMerge w:val="restart"/>
                  <w:tcBorders>
                    <w:tl2br w:val="nil"/>
                    <w:tr2bl w:val="nil"/>
                  </w:tcBorders>
                  <w:noWrap w:val="0"/>
                  <w:vAlign w:val="center"/>
                </w:tcPr>
                <w:p w14:paraId="0EE8A3D4">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w:t>
                  </w:r>
                </w:p>
                <w:p w14:paraId="3FF1343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方式</w:t>
                  </w:r>
                </w:p>
              </w:tc>
              <w:tc>
                <w:tcPr>
                  <w:tcW w:w="265" w:type="pct"/>
                  <w:vMerge w:val="restart"/>
                  <w:tcBorders>
                    <w:tl2br w:val="nil"/>
                    <w:tr2bl w:val="nil"/>
                  </w:tcBorders>
                  <w:noWrap w:val="0"/>
                  <w:vAlign w:val="center"/>
                </w:tcPr>
                <w:p w14:paraId="3113E143">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排气筒编号</w:t>
                  </w:r>
                </w:p>
              </w:tc>
            </w:tr>
            <w:tr w14:paraId="544CB2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5" w:type="pct"/>
                  <w:vMerge w:val="continue"/>
                  <w:tcBorders>
                    <w:tl2br w:val="nil"/>
                    <w:tr2bl w:val="nil"/>
                  </w:tcBorders>
                  <w:noWrap w:val="0"/>
                  <w:vAlign w:val="center"/>
                </w:tcPr>
                <w:p w14:paraId="58B709CA">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93" w:type="pct"/>
                  <w:vMerge w:val="continue"/>
                  <w:tcBorders>
                    <w:tl2br w:val="nil"/>
                    <w:tr2bl w:val="nil"/>
                  </w:tcBorders>
                  <w:noWrap w:val="0"/>
                  <w:vAlign w:val="center"/>
                </w:tcPr>
                <w:p w14:paraId="4184392A">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192" w:type="pct"/>
                  <w:vMerge w:val="continue"/>
                  <w:tcBorders>
                    <w:tl2br w:val="nil"/>
                    <w:tr2bl w:val="nil"/>
                  </w:tcBorders>
                  <w:noWrap w:val="0"/>
                  <w:vAlign w:val="center"/>
                </w:tcPr>
                <w:p w14:paraId="164DE953">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19" w:type="pct"/>
                  <w:vMerge w:val="continue"/>
                  <w:tcBorders>
                    <w:tl2br w:val="nil"/>
                    <w:tr2bl w:val="nil"/>
                  </w:tcBorders>
                  <w:noWrap w:val="0"/>
                  <w:vAlign w:val="center"/>
                </w:tcPr>
                <w:p w14:paraId="6737001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333" w:type="pct"/>
                  <w:tcBorders>
                    <w:tl2br w:val="nil"/>
                    <w:tr2bl w:val="nil"/>
                  </w:tcBorders>
                  <w:noWrap w:val="0"/>
                  <w:vAlign w:val="center"/>
                </w:tcPr>
                <w:p w14:paraId="5B162CAA">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浓度</w:t>
                  </w:r>
                </w:p>
                <w:p w14:paraId="376EB550">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p>
              </w:tc>
              <w:tc>
                <w:tcPr>
                  <w:tcW w:w="306" w:type="pct"/>
                  <w:tcBorders>
                    <w:tl2br w:val="nil"/>
                    <w:tr2bl w:val="nil"/>
                  </w:tcBorders>
                  <w:noWrap w:val="0"/>
                  <w:vAlign w:val="center"/>
                </w:tcPr>
                <w:p w14:paraId="7F3ADC3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速率</w:t>
                  </w:r>
                </w:p>
                <w:p w14:paraId="23A0063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(kg/h)</w:t>
                  </w:r>
                </w:p>
              </w:tc>
              <w:tc>
                <w:tcPr>
                  <w:tcW w:w="274" w:type="pct"/>
                  <w:tcBorders>
                    <w:tl2br w:val="nil"/>
                    <w:tr2bl w:val="nil"/>
                  </w:tcBorders>
                  <w:noWrap w:val="0"/>
                  <w:vAlign w:val="center"/>
                </w:tcPr>
                <w:p w14:paraId="19D7C60E">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产生量</w:t>
                  </w:r>
                </w:p>
                <w:p w14:paraId="339DF5E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(t/a)</w:t>
                  </w:r>
                </w:p>
              </w:tc>
              <w:tc>
                <w:tcPr>
                  <w:tcW w:w="360" w:type="pct"/>
                  <w:tcBorders>
                    <w:tl2br w:val="nil"/>
                    <w:tr2bl w:val="nil"/>
                  </w:tcBorders>
                  <w:noWrap w:val="0"/>
                  <w:vAlign w:val="center"/>
                </w:tcPr>
                <w:p w14:paraId="5B85DA0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排放浓度</w:t>
                  </w:r>
                </w:p>
                <w:p w14:paraId="08FE5934">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(mg/m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w:t>
                  </w:r>
                </w:p>
              </w:tc>
              <w:tc>
                <w:tcPr>
                  <w:tcW w:w="311" w:type="pct"/>
                  <w:tcBorders>
                    <w:tl2br w:val="nil"/>
                    <w:tr2bl w:val="nil"/>
                  </w:tcBorders>
                  <w:noWrap w:val="0"/>
                  <w:vAlign w:val="center"/>
                </w:tcPr>
                <w:p w14:paraId="02DF605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速率</w:t>
                  </w:r>
                </w:p>
                <w:p w14:paraId="4AEAB489">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(kg/h)</w:t>
                  </w:r>
                </w:p>
              </w:tc>
              <w:tc>
                <w:tcPr>
                  <w:tcW w:w="301" w:type="pct"/>
                  <w:tcBorders>
                    <w:tl2br w:val="nil"/>
                    <w:tr2bl w:val="nil"/>
                  </w:tcBorders>
                  <w:noWrap w:val="0"/>
                  <w:vAlign w:val="center"/>
                </w:tcPr>
                <w:p w14:paraId="01F6D398">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排放量</w:t>
                  </w:r>
                </w:p>
                <w:p w14:paraId="472A5F8F">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(t/a)</w:t>
                  </w:r>
                </w:p>
              </w:tc>
              <w:tc>
                <w:tcPr>
                  <w:tcW w:w="408" w:type="pct"/>
                  <w:tcBorders>
                    <w:tl2br w:val="nil"/>
                    <w:tr2bl w:val="nil"/>
                  </w:tcBorders>
                  <w:noWrap w:val="0"/>
                  <w:vAlign w:val="center"/>
                </w:tcPr>
                <w:p w14:paraId="5C102298">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处理能力</w:t>
                  </w:r>
                </w:p>
                <w:p w14:paraId="6E4DDF6F">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/h)</w:t>
                  </w:r>
                </w:p>
              </w:tc>
              <w:tc>
                <w:tcPr>
                  <w:tcW w:w="360" w:type="pct"/>
                  <w:tcBorders>
                    <w:tl2br w:val="nil"/>
                    <w:tr2bl w:val="nil"/>
                  </w:tcBorders>
                  <w:noWrap w:val="0"/>
                  <w:vAlign w:val="center"/>
                </w:tcPr>
                <w:p w14:paraId="23C5C52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措施类别</w:t>
                  </w:r>
                </w:p>
              </w:tc>
              <w:tc>
                <w:tcPr>
                  <w:tcW w:w="236" w:type="pct"/>
                  <w:tcBorders>
                    <w:tl2br w:val="nil"/>
                    <w:tr2bl w:val="nil"/>
                  </w:tcBorders>
                  <w:noWrap w:val="0"/>
                  <w:vAlign w:val="center"/>
                </w:tcPr>
                <w:p w14:paraId="798EA859">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处理</w:t>
                  </w:r>
                </w:p>
                <w:p w14:paraId="38513DD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效率</w:t>
                  </w:r>
                </w:p>
              </w:tc>
              <w:tc>
                <w:tcPr>
                  <w:tcW w:w="278" w:type="pct"/>
                  <w:tcBorders>
                    <w:tl2br w:val="nil"/>
                    <w:tr2bl w:val="nil"/>
                  </w:tcBorders>
                  <w:noWrap w:val="0"/>
                  <w:vAlign w:val="center"/>
                </w:tcPr>
                <w:p w14:paraId="5B7AD6C2">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是否可</w:t>
                  </w:r>
                </w:p>
                <w:p w14:paraId="2B8E44B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行技术</w:t>
                  </w:r>
                </w:p>
              </w:tc>
              <w:tc>
                <w:tcPr>
                  <w:tcW w:w="342" w:type="pct"/>
                  <w:vMerge w:val="continue"/>
                  <w:tcBorders>
                    <w:tl2br w:val="nil"/>
                    <w:tr2bl w:val="nil"/>
                  </w:tcBorders>
                  <w:noWrap w:val="0"/>
                  <w:vAlign w:val="center"/>
                </w:tcPr>
                <w:p w14:paraId="4973D74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265" w:type="pct"/>
                  <w:vMerge w:val="continue"/>
                  <w:tcBorders>
                    <w:tl2br w:val="nil"/>
                    <w:tr2bl w:val="nil"/>
                  </w:tcBorders>
                  <w:noWrap w:val="0"/>
                  <w:vAlign w:val="center"/>
                </w:tcPr>
                <w:p w14:paraId="3A7A4708">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r>
            <w:tr w14:paraId="751E21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5" w:type="pct"/>
                  <w:vMerge w:val="restart"/>
                  <w:tcBorders>
                    <w:tl2br w:val="nil"/>
                    <w:tr2bl w:val="nil"/>
                  </w:tcBorders>
                  <w:noWrap w:val="0"/>
                  <w:vAlign w:val="center"/>
                </w:tcPr>
                <w:p w14:paraId="6CE4F416">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w:t>
                  </w:r>
                </w:p>
              </w:tc>
              <w:tc>
                <w:tcPr>
                  <w:tcW w:w="493" w:type="pct"/>
                  <w:vMerge w:val="restart"/>
                  <w:tcBorders>
                    <w:tl2br w:val="nil"/>
                    <w:tr2bl w:val="nil"/>
                  </w:tcBorders>
                  <w:noWrap w:val="0"/>
                  <w:vAlign w:val="center"/>
                </w:tcPr>
                <w:p w14:paraId="5519147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000000"/>
                      <w:sz w:val="21"/>
                      <w:szCs w:val="21"/>
                      <w:lang w:val="en-US" w:eastAsia="zh-CN"/>
                    </w:rPr>
                    <w:t>单棒炉、时效炉</w:t>
                  </w:r>
                  <w:r>
                    <w:rPr>
                      <w:rFonts w:hint="eastAsia" w:ascii="Times New Roman" w:hAnsi="Times New Roman" w:eastAsia="宋体" w:cs="Times New Roman"/>
                      <w:b w:val="0"/>
                      <w:bCs/>
                      <w:color w:val="000000"/>
                      <w:sz w:val="21"/>
                      <w:szCs w:val="21"/>
                      <w:lang w:val="en-US" w:eastAsia="zh-CN"/>
                    </w:rPr>
                    <w:t>天然气燃烧</w:t>
                  </w:r>
                </w:p>
              </w:tc>
              <w:tc>
                <w:tcPr>
                  <w:tcW w:w="192" w:type="pct"/>
                  <w:vMerge w:val="restart"/>
                  <w:tcBorders>
                    <w:tl2br w:val="nil"/>
                    <w:tr2bl w:val="nil"/>
                  </w:tcBorders>
                  <w:noWrap/>
                  <w:vAlign w:val="center"/>
                </w:tcPr>
                <w:p w14:paraId="5EC2DC26">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G1</w:t>
                  </w:r>
                </w:p>
              </w:tc>
              <w:tc>
                <w:tcPr>
                  <w:tcW w:w="419" w:type="pct"/>
                  <w:tcBorders>
                    <w:tl2br w:val="nil"/>
                    <w:tr2bl w:val="nil"/>
                  </w:tcBorders>
                  <w:noWrap/>
                  <w:vAlign w:val="center"/>
                </w:tcPr>
                <w:p w14:paraId="68B4C5D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p>
              </w:tc>
              <w:tc>
                <w:tcPr>
                  <w:tcW w:w="930" w:type="dxa"/>
                  <w:tcBorders>
                    <w:tl2br w:val="nil"/>
                    <w:tr2bl w:val="nil"/>
                  </w:tcBorders>
                  <w:noWrap/>
                  <w:vAlign w:val="center"/>
                </w:tcPr>
                <w:p w14:paraId="3E74517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21.0</w:t>
                  </w:r>
                </w:p>
              </w:tc>
              <w:tc>
                <w:tcPr>
                  <w:tcW w:w="855" w:type="dxa"/>
                  <w:tcBorders>
                    <w:tl2br w:val="nil"/>
                    <w:tr2bl w:val="nil"/>
                  </w:tcBorders>
                  <w:noWrap/>
                  <w:vAlign w:val="center"/>
                </w:tcPr>
                <w:p w14:paraId="17C34A3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0.021</w:t>
                  </w:r>
                </w:p>
              </w:tc>
              <w:tc>
                <w:tcPr>
                  <w:tcW w:w="765" w:type="dxa"/>
                  <w:tcBorders>
                    <w:tl2br w:val="nil"/>
                    <w:tr2bl w:val="nil"/>
                  </w:tcBorders>
                  <w:noWrap/>
                  <w:vAlign w:val="center"/>
                </w:tcPr>
                <w:p w14:paraId="7045CCB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0.051</w:t>
                  </w:r>
                </w:p>
              </w:tc>
              <w:tc>
                <w:tcPr>
                  <w:tcW w:w="1005" w:type="dxa"/>
                  <w:tcBorders>
                    <w:tl2br w:val="nil"/>
                    <w:tr2bl w:val="nil"/>
                  </w:tcBorders>
                  <w:noWrap/>
                  <w:vAlign w:val="center"/>
                </w:tcPr>
                <w:p w14:paraId="6EBD9C5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21.0</w:t>
                  </w:r>
                </w:p>
              </w:tc>
              <w:tc>
                <w:tcPr>
                  <w:tcW w:w="870" w:type="dxa"/>
                  <w:tcBorders>
                    <w:tl2br w:val="nil"/>
                    <w:tr2bl w:val="nil"/>
                  </w:tcBorders>
                  <w:noWrap/>
                  <w:vAlign w:val="center"/>
                </w:tcPr>
                <w:p w14:paraId="6108099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0.021</w:t>
                  </w:r>
                </w:p>
              </w:tc>
              <w:tc>
                <w:tcPr>
                  <w:tcW w:w="840" w:type="dxa"/>
                  <w:tcBorders>
                    <w:tl2br w:val="nil"/>
                    <w:tr2bl w:val="nil"/>
                  </w:tcBorders>
                  <w:noWrap/>
                  <w:vAlign w:val="center"/>
                </w:tcPr>
                <w:p w14:paraId="095A283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0.051</w:t>
                  </w:r>
                </w:p>
              </w:tc>
              <w:tc>
                <w:tcPr>
                  <w:tcW w:w="408" w:type="pct"/>
                  <w:vMerge w:val="restart"/>
                  <w:tcBorders>
                    <w:tl2br w:val="nil"/>
                    <w:tr2bl w:val="nil"/>
                  </w:tcBorders>
                  <w:noWrap/>
                  <w:vAlign w:val="center"/>
                </w:tcPr>
                <w:p w14:paraId="71DFCE0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w:t>
                  </w:r>
                  <w:r>
                    <w:rPr>
                      <w:rFonts w:hint="eastAsia" w:cs="Times New Roman"/>
                      <w:i w:val="0"/>
                      <w:iCs w:val="0"/>
                      <w:color w:val="auto"/>
                      <w:kern w:val="0"/>
                      <w:sz w:val="21"/>
                      <w:szCs w:val="21"/>
                      <w:u w:val="none"/>
                      <w:lang w:val="en-US" w:eastAsia="zh-CN" w:bidi="ar"/>
                    </w:rPr>
                    <w:t>020</w:t>
                  </w:r>
                </w:p>
              </w:tc>
              <w:tc>
                <w:tcPr>
                  <w:tcW w:w="360" w:type="pct"/>
                  <w:tcBorders>
                    <w:tl2br w:val="nil"/>
                    <w:tr2bl w:val="nil"/>
                  </w:tcBorders>
                  <w:noWrap/>
                  <w:vAlign w:val="center"/>
                </w:tcPr>
                <w:p w14:paraId="5E414BD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36" w:type="pct"/>
                  <w:tcBorders>
                    <w:tl2br w:val="nil"/>
                    <w:tr2bl w:val="nil"/>
                  </w:tcBorders>
                  <w:noWrap/>
                  <w:vAlign w:val="center"/>
                </w:tcPr>
                <w:p w14:paraId="1DEF83C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78" w:type="pct"/>
                  <w:vMerge w:val="restart"/>
                  <w:tcBorders>
                    <w:tl2br w:val="nil"/>
                    <w:tr2bl w:val="nil"/>
                  </w:tcBorders>
                  <w:noWrap w:val="0"/>
                  <w:vAlign w:val="center"/>
                </w:tcPr>
                <w:p w14:paraId="7B6CB617">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是</w:t>
                  </w:r>
                </w:p>
              </w:tc>
              <w:tc>
                <w:tcPr>
                  <w:tcW w:w="342" w:type="pct"/>
                  <w:vMerge w:val="restart"/>
                  <w:tcBorders>
                    <w:tl2br w:val="nil"/>
                    <w:tr2bl w:val="nil"/>
                  </w:tcBorders>
                  <w:noWrap w:val="0"/>
                  <w:vAlign w:val="center"/>
                </w:tcPr>
                <w:p w14:paraId="705280F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稳定连续</w:t>
                  </w:r>
                </w:p>
              </w:tc>
              <w:tc>
                <w:tcPr>
                  <w:tcW w:w="265" w:type="pct"/>
                  <w:vMerge w:val="restart"/>
                  <w:tcBorders>
                    <w:tl2br w:val="nil"/>
                    <w:tr2bl w:val="nil"/>
                  </w:tcBorders>
                  <w:noWrap w:val="0"/>
                  <w:vAlign w:val="center"/>
                </w:tcPr>
                <w:p w14:paraId="2B20B7B8">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DA001</w:t>
                  </w:r>
                </w:p>
              </w:tc>
            </w:tr>
            <w:tr w14:paraId="3BA22F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5" w:type="pct"/>
                  <w:vMerge w:val="continue"/>
                  <w:tcBorders>
                    <w:tl2br w:val="nil"/>
                    <w:tr2bl w:val="nil"/>
                  </w:tcBorders>
                  <w:noWrap w:val="0"/>
                  <w:vAlign w:val="center"/>
                </w:tcPr>
                <w:p w14:paraId="5E22F3B9">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93" w:type="pct"/>
                  <w:vMerge w:val="continue"/>
                  <w:tcBorders>
                    <w:tl2br w:val="nil"/>
                    <w:tr2bl w:val="nil"/>
                  </w:tcBorders>
                  <w:noWrap w:val="0"/>
                  <w:vAlign w:val="center"/>
                </w:tcPr>
                <w:p w14:paraId="7FAB648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c>
                <w:tcPr>
                  <w:tcW w:w="192" w:type="pct"/>
                  <w:vMerge w:val="continue"/>
                  <w:tcBorders>
                    <w:tl2br w:val="nil"/>
                    <w:tr2bl w:val="nil"/>
                  </w:tcBorders>
                  <w:noWrap/>
                  <w:vAlign w:val="center"/>
                </w:tcPr>
                <w:p w14:paraId="39972C5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19" w:type="pct"/>
                  <w:tcBorders>
                    <w:tl2br w:val="nil"/>
                    <w:tr2bl w:val="nil"/>
                  </w:tcBorders>
                  <w:noWrap/>
                  <w:vAlign w:val="center"/>
                </w:tcPr>
                <w:p w14:paraId="14D041D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SO</w:t>
                  </w:r>
                  <w:r>
                    <w:rPr>
                      <w:rFonts w:hint="eastAsia" w:ascii="Times New Roman" w:hAnsi="Times New Roman" w:eastAsia="宋体" w:cs="Times New Roman"/>
                      <w:color w:val="auto"/>
                      <w:sz w:val="21"/>
                      <w:szCs w:val="21"/>
                      <w:vertAlign w:val="subscript"/>
                      <w:lang w:val="en-US" w:eastAsia="zh-CN"/>
                    </w:rPr>
                    <w:t>2</w:t>
                  </w:r>
                </w:p>
              </w:tc>
              <w:tc>
                <w:tcPr>
                  <w:tcW w:w="930" w:type="dxa"/>
                  <w:tcBorders>
                    <w:tl2br w:val="nil"/>
                    <w:tr2bl w:val="nil"/>
                  </w:tcBorders>
                  <w:noWrap/>
                  <w:vAlign w:val="center"/>
                </w:tcPr>
                <w:p w14:paraId="5F3B196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14.7</w:t>
                  </w:r>
                </w:p>
              </w:tc>
              <w:tc>
                <w:tcPr>
                  <w:tcW w:w="855" w:type="dxa"/>
                  <w:tcBorders>
                    <w:tl2br w:val="nil"/>
                    <w:tr2bl w:val="nil"/>
                  </w:tcBorders>
                  <w:noWrap/>
                  <w:vAlign w:val="center"/>
                </w:tcPr>
                <w:p w14:paraId="0BF9C1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0.015</w:t>
                  </w:r>
                </w:p>
              </w:tc>
              <w:tc>
                <w:tcPr>
                  <w:tcW w:w="765" w:type="dxa"/>
                  <w:tcBorders>
                    <w:tl2br w:val="nil"/>
                    <w:tr2bl w:val="nil"/>
                  </w:tcBorders>
                  <w:noWrap/>
                  <w:vAlign w:val="center"/>
                </w:tcPr>
                <w:p w14:paraId="11C6126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1005" w:type="dxa"/>
                  <w:tcBorders>
                    <w:tl2br w:val="nil"/>
                    <w:tr2bl w:val="nil"/>
                  </w:tcBorders>
                  <w:noWrap/>
                  <w:vAlign w:val="center"/>
                </w:tcPr>
                <w:p w14:paraId="5992CC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14.7</w:t>
                  </w:r>
                </w:p>
              </w:tc>
              <w:tc>
                <w:tcPr>
                  <w:tcW w:w="870" w:type="dxa"/>
                  <w:tcBorders>
                    <w:tl2br w:val="nil"/>
                    <w:tr2bl w:val="nil"/>
                  </w:tcBorders>
                  <w:noWrap/>
                  <w:vAlign w:val="center"/>
                </w:tcPr>
                <w:p w14:paraId="3074C0C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0.015</w:t>
                  </w:r>
                </w:p>
              </w:tc>
              <w:tc>
                <w:tcPr>
                  <w:tcW w:w="840" w:type="dxa"/>
                  <w:tcBorders>
                    <w:tl2br w:val="nil"/>
                    <w:tr2bl w:val="nil"/>
                  </w:tcBorders>
                  <w:noWrap/>
                  <w:vAlign w:val="center"/>
                </w:tcPr>
                <w:p w14:paraId="05B988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408" w:type="pct"/>
                  <w:vMerge w:val="continue"/>
                  <w:tcBorders>
                    <w:tl2br w:val="nil"/>
                    <w:tr2bl w:val="nil"/>
                  </w:tcBorders>
                  <w:noWrap/>
                  <w:vAlign w:val="center"/>
                </w:tcPr>
                <w:p w14:paraId="3F0A769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360" w:type="pct"/>
                  <w:tcBorders>
                    <w:tl2br w:val="nil"/>
                    <w:tr2bl w:val="nil"/>
                  </w:tcBorders>
                  <w:noWrap/>
                  <w:vAlign w:val="center"/>
                </w:tcPr>
                <w:p w14:paraId="6060834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36" w:type="pct"/>
                  <w:tcBorders>
                    <w:tl2br w:val="nil"/>
                    <w:tr2bl w:val="nil"/>
                  </w:tcBorders>
                  <w:noWrap/>
                  <w:vAlign w:val="center"/>
                </w:tcPr>
                <w:p w14:paraId="3C13CB3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78" w:type="pct"/>
                  <w:vMerge w:val="continue"/>
                  <w:tcBorders>
                    <w:tl2br w:val="nil"/>
                    <w:tr2bl w:val="nil"/>
                  </w:tcBorders>
                  <w:noWrap w:val="0"/>
                  <w:vAlign w:val="center"/>
                </w:tcPr>
                <w:p w14:paraId="170A123E">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342" w:type="pct"/>
                  <w:vMerge w:val="continue"/>
                  <w:tcBorders>
                    <w:tl2br w:val="nil"/>
                    <w:tr2bl w:val="nil"/>
                  </w:tcBorders>
                  <w:noWrap w:val="0"/>
                  <w:vAlign w:val="center"/>
                </w:tcPr>
                <w:p w14:paraId="11FA2ED5">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265" w:type="pct"/>
                  <w:vMerge w:val="continue"/>
                  <w:tcBorders>
                    <w:tl2br w:val="nil"/>
                    <w:tr2bl w:val="nil"/>
                  </w:tcBorders>
                  <w:noWrap w:val="0"/>
                  <w:vAlign w:val="center"/>
                </w:tcPr>
                <w:p w14:paraId="6138DC64">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p>
              </w:tc>
            </w:tr>
            <w:tr w14:paraId="429155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5" w:type="pct"/>
                  <w:vMerge w:val="continue"/>
                  <w:tcBorders>
                    <w:tl2br w:val="nil"/>
                    <w:tr2bl w:val="nil"/>
                  </w:tcBorders>
                  <w:noWrap w:val="0"/>
                  <w:vAlign w:val="center"/>
                </w:tcPr>
                <w:p w14:paraId="30CF6E88">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93" w:type="pct"/>
                  <w:vMerge w:val="continue"/>
                  <w:tcBorders>
                    <w:tl2br w:val="nil"/>
                    <w:tr2bl w:val="nil"/>
                  </w:tcBorders>
                  <w:noWrap w:val="0"/>
                  <w:vAlign w:val="center"/>
                </w:tcPr>
                <w:p w14:paraId="7FA9956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p>
              </w:tc>
              <w:tc>
                <w:tcPr>
                  <w:tcW w:w="192" w:type="pct"/>
                  <w:vMerge w:val="continue"/>
                  <w:tcBorders>
                    <w:tl2br w:val="nil"/>
                    <w:tr2bl w:val="nil"/>
                  </w:tcBorders>
                  <w:noWrap/>
                  <w:vAlign w:val="center"/>
                </w:tcPr>
                <w:p w14:paraId="6FBFEF12">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19" w:type="pct"/>
                  <w:tcBorders>
                    <w:tl2br w:val="nil"/>
                    <w:tr2bl w:val="nil"/>
                  </w:tcBorders>
                  <w:noWrap/>
                  <w:vAlign w:val="center"/>
                </w:tcPr>
                <w:p w14:paraId="529BB9E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NOx</w:t>
                  </w:r>
                </w:p>
              </w:tc>
              <w:tc>
                <w:tcPr>
                  <w:tcW w:w="930" w:type="dxa"/>
                  <w:tcBorders>
                    <w:tl2br w:val="nil"/>
                    <w:tr2bl w:val="nil"/>
                  </w:tcBorders>
                  <w:noWrap/>
                  <w:vAlign w:val="center"/>
                </w:tcPr>
                <w:p w14:paraId="7EB8B9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137.5</w:t>
                  </w:r>
                </w:p>
              </w:tc>
              <w:tc>
                <w:tcPr>
                  <w:tcW w:w="855" w:type="dxa"/>
                  <w:tcBorders>
                    <w:tl2br w:val="nil"/>
                    <w:tr2bl w:val="nil"/>
                  </w:tcBorders>
                  <w:noWrap/>
                  <w:vAlign w:val="center"/>
                </w:tcPr>
                <w:p w14:paraId="2B8B94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0.140</w:t>
                  </w:r>
                </w:p>
              </w:tc>
              <w:tc>
                <w:tcPr>
                  <w:tcW w:w="765" w:type="dxa"/>
                  <w:tcBorders>
                    <w:tl2br w:val="nil"/>
                    <w:tr2bl w:val="nil"/>
                  </w:tcBorders>
                  <w:noWrap/>
                  <w:vAlign w:val="center"/>
                </w:tcPr>
                <w:p w14:paraId="55E3D56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0.337</w:t>
                  </w:r>
                </w:p>
              </w:tc>
              <w:tc>
                <w:tcPr>
                  <w:tcW w:w="1005" w:type="dxa"/>
                  <w:tcBorders>
                    <w:tl2br w:val="nil"/>
                    <w:tr2bl w:val="nil"/>
                  </w:tcBorders>
                  <w:noWrap/>
                  <w:vAlign w:val="center"/>
                </w:tcPr>
                <w:p w14:paraId="56C9FF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68.8</w:t>
                  </w:r>
                </w:p>
              </w:tc>
              <w:tc>
                <w:tcPr>
                  <w:tcW w:w="870" w:type="dxa"/>
                  <w:tcBorders>
                    <w:tl2br w:val="nil"/>
                    <w:tr2bl w:val="nil"/>
                  </w:tcBorders>
                  <w:noWrap/>
                  <w:vAlign w:val="center"/>
                </w:tcPr>
                <w:p w14:paraId="710826D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0.070</w:t>
                  </w:r>
                </w:p>
              </w:tc>
              <w:tc>
                <w:tcPr>
                  <w:tcW w:w="840" w:type="dxa"/>
                  <w:tcBorders>
                    <w:tl2br w:val="nil"/>
                    <w:tr2bl w:val="nil"/>
                  </w:tcBorders>
                  <w:noWrap/>
                  <w:vAlign w:val="center"/>
                </w:tcPr>
                <w:p w14:paraId="192AAD9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408" w:type="pct"/>
                  <w:vMerge w:val="continue"/>
                  <w:tcBorders>
                    <w:tl2br w:val="nil"/>
                    <w:tr2bl w:val="nil"/>
                  </w:tcBorders>
                  <w:noWrap/>
                  <w:vAlign w:val="center"/>
                </w:tcPr>
                <w:p w14:paraId="428512D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360" w:type="pct"/>
                  <w:tcBorders>
                    <w:tl2br w:val="nil"/>
                    <w:tr2bl w:val="nil"/>
                  </w:tcBorders>
                  <w:noWrap/>
                  <w:vAlign w:val="center"/>
                </w:tcPr>
                <w:p w14:paraId="37774F8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低氮燃烧</w:t>
                  </w:r>
                </w:p>
              </w:tc>
              <w:tc>
                <w:tcPr>
                  <w:tcW w:w="236" w:type="pct"/>
                  <w:tcBorders>
                    <w:tl2br w:val="nil"/>
                    <w:tr2bl w:val="nil"/>
                  </w:tcBorders>
                  <w:noWrap/>
                  <w:vAlign w:val="center"/>
                </w:tcPr>
                <w:p w14:paraId="5D298D5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c>
                <w:tcPr>
                  <w:tcW w:w="278" w:type="pct"/>
                  <w:vMerge w:val="continue"/>
                  <w:tcBorders>
                    <w:tl2br w:val="nil"/>
                    <w:tr2bl w:val="nil"/>
                  </w:tcBorders>
                  <w:noWrap w:val="0"/>
                  <w:vAlign w:val="center"/>
                </w:tcPr>
                <w:p w14:paraId="0821B1A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342" w:type="pct"/>
                  <w:vMerge w:val="continue"/>
                  <w:tcBorders>
                    <w:tl2br w:val="nil"/>
                    <w:tr2bl w:val="nil"/>
                  </w:tcBorders>
                  <w:noWrap w:val="0"/>
                  <w:vAlign w:val="center"/>
                </w:tcPr>
                <w:p w14:paraId="39953363">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265" w:type="pct"/>
                  <w:vMerge w:val="continue"/>
                  <w:tcBorders>
                    <w:tl2br w:val="nil"/>
                    <w:tr2bl w:val="nil"/>
                  </w:tcBorders>
                  <w:noWrap w:val="0"/>
                  <w:vAlign w:val="center"/>
                </w:tcPr>
                <w:p w14:paraId="56B38493">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p>
              </w:tc>
            </w:tr>
            <w:tr w14:paraId="3193A3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5" w:type="pct"/>
                  <w:tcBorders>
                    <w:tl2br w:val="nil"/>
                    <w:tr2bl w:val="nil"/>
                  </w:tcBorders>
                  <w:noWrap w:val="0"/>
                  <w:vAlign w:val="center"/>
                </w:tcPr>
                <w:p w14:paraId="0BA8F26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2</w:t>
                  </w:r>
                </w:p>
              </w:tc>
              <w:tc>
                <w:tcPr>
                  <w:tcW w:w="493" w:type="pct"/>
                  <w:tcBorders>
                    <w:tl2br w:val="nil"/>
                    <w:tr2bl w:val="nil"/>
                  </w:tcBorders>
                  <w:noWrap w:val="0"/>
                  <w:vAlign w:val="center"/>
                </w:tcPr>
                <w:p w14:paraId="1E7B4B1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eastAsia" w:ascii="Times New Roman" w:hAnsi="Times New Roman" w:eastAsia="宋体" w:cs="Times New Roman"/>
                      <w:b w:val="0"/>
                      <w:bCs/>
                      <w:color w:val="000000"/>
                      <w:sz w:val="21"/>
                      <w:szCs w:val="21"/>
                      <w:lang w:val="en-US" w:eastAsia="zh-CN"/>
                    </w:rPr>
                    <w:t>锯切</w:t>
                  </w:r>
                  <w:r>
                    <w:rPr>
                      <w:rFonts w:hint="eastAsia" w:cs="Times New Roman"/>
                      <w:b w:val="0"/>
                      <w:bCs/>
                      <w:color w:val="000000"/>
                      <w:sz w:val="21"/>
                      <w:szCs w:val="21"/>
                      <w:lang w:val="en-US" w:eastAsia="zh-CN"/>
                    </w:rPr>
                    <w:t>工序</w:t>
                  </w:r>
                </w:p>
              </w:tc>
              <w:tc>
                <w:tcPr>
                  <w:tcW w:w="192" w:type="pct"/>
                  <w:tcBorders>
                    <w:tl2br w:val="nil"/>
                    <w:tr2bl w:val="nil"/>
                  </w:tcBorders>
                  <w:noWrap/>
                  <w:vAlign w:val="center"/>
                </w:tcPr>
                <w:p w14:paraId="663A09EB">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G2</w:t>
                  </w:r>
                </w:p>
              </w:tc>
              <w:tc>
                <w:tcPr>
                  <w:tcW w:w="419" w:type="pct"/>
                  <w:tcBorders>
                    <w:tl2br w:val="nil"/>
                    <w:tr2bl w:val="nil"/>
                  </w:tcBorders>
                  <w:noWrap/>
                  <w:vAlign w:val="center"/>
                </w:tcPr>
                <w:p w14:paraId="30D0554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p>
              </w:tc>
              <w:tc>
                <w:tcPr>
                  <w:tcW w:w="930" w:type="dxa"/>
                  <w:tcBorders>
                    <w:tl2br w:val="nil"/>
                    <w:tr2bl w:val="nil"/>
                  </w:tcBorders>
                  <w:noWrap/>
                  <w:vAlign w:val="center"/>
                </w:tcPr>
                <w:p w14:paraId="53D821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6996.0</w:t>
                  </w:r>
                </w:p>
              </w:tc>
              <w:tc>
                <w:tcPr>
                  <w:tcW w:w="855" w:type="dxa"/>
                  <w:tcBorders>
                    <w:tl2br w:val="nil"/>
                    <w:tr2bl w:val="nil"/>
                  </w:tcBorders>
                  <w:noWrap/>
                  <w:vAlign w:val="center"/>
                </w:tcPr>
                <w:p w14:paraId="700D76F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34.980</w:t>
                  </w:r>
                </w:p>
              </w:tc>
              <w:tc>
                <w:tcPr>
                  <w:tcW w:w="765" w:type="dxa"/>
                  <w:tcBorders>
                    <w:tl2br w:val="nil"/>
                    <w:tr2bl w:val="nil"/>
                  </w:tcBorders>
                  <w:noWrap/>
                  <w:vAlign w:val="center"/>
                </w:tcPr>
                <w:p w14:paraId="5AB0A1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83.952</w:t>
                  </w:r>
                </w:p>
              </w:tc>
              <w:tc>
                <w:tcPr>
                  <w:tcW w:w="1005" w:type="dxa"/>
                  <w:tcBorders>
                    <w:tl2br w:val="nil"/>
                    <w:tr2bl w:val="nil"/>
                  </w:tcBorders>
                  <w:noWrap/>
                  <w:vAlign w:val="center"/>
                </w:tcPr>
                <w:p w14:paraId="4ECEED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70.0</w:t>
                  </w:r>
                </w:p>
              </w:tc>
              <w:tc>
                <w:tcPr>
                  <w:tcW w:w="870" w:type="dxa"/>
                  <w:tcBorders>
                    <w:tl2br w:val="nil"/>
                    <w:tr2bl w:val="nil"/>
                  </w:tcBorders>
                  <w:noWrap/>
                  <w:vAlign w:val="center"/>
                </w:tcPr>
                <w:p w14:paraId="40CCBC2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0.350</w:t>
                  </w:r>
                </w:p>
              </w:tc>
              <w:tc>
                <w:tcPr>
                  <w:tcW w:w="840" w:type="dxa"/>
                  <w:tcBorders>
                    <w:tl2br w:val="nil"/>
                    <w:tr2bl w:val="nil"/>
                  </w:tcBorders>
                  <w:noWrap/>
                  <w:vAlign w:val="center"/>
                </w:tcPr>
                <w:p w14:paraId="698C666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0.840</w:t>
                  </w:r>
                </w:p>
              </w:tc>
              <w:tc>
                <w:tcPr>
                  <w:tcW w:w="408" w:type="pct"/>
                  <w:tcBorders>
                    <w:tl2br w:val="nil"/>
                    <w:tr2bl w:val="nil"/>
                  </w:tcBorders>
                  <w:noWrap/>
                  <w:vAlign w:val="center"/>
                </w:tcPr>
                <w:p w14:paraId="74C9162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5000</w:t>
                  </w:r>
                </w:p>
              </w:tc>
              <w:tc>
                <w:tcPr>
                  <w:tcW w:w="360" w:type="pct"/>
                  <w:tcBorders>
                    <w:tl2br w:val="nil"/>
                    <w:tr2bl w:val="nil"/>
                  </w:tcBorders>
                  <w:noWrap/>
                  <w:vAlign w:val="center"/>
                </w:tcPr>
                <w:p w14:paraId="201C12A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布袋除尘</w:t>
                  </w:r>
                </w:p>
              </w:tc>
              <w:tc>
                <w:tcPr>
                  <w:tcW w:w="236" w:type="pct"/>
                  <w:tcBorders>
                    <w:tl2br w:val="nil"/>
                    <w:tr2bl w:val="nil"/>
                  </w:tcBorders>
                  <w:noWrap/>
                  <w:vAlign w:val="center"/>
                </w:tcPr>
                <w:p w14:paraId="3125FAC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99%</w:t>
                  </w:r>
                </w:p>
              </w:tc>
              <w:tc>
                <w:tcPr>
                  <w:tcW w:w="278" w:type="pct"/>
                  <w:tcBorders>
                    <w:tl2br w:val="nil"/>
                    <w:tr2bl w:val="nil"/>
                  </w:tcBorders>
                  <w:noWrap w:val="0"/>
                  <w:vAlign w:val="center"/>
                </w:tcPr>
                <w:p w14:paraId="5FE69FD8">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是</w:t>
                  </w:r>
                </w:p>
              </w:tc>
              <w:tc>
                <w:tcPr>
                  <w:tcW w:w="342" w:type="pct"/>
                  <w:tcBorders>
                    <w:tl2br w:val="nil"/>
                    <w:tr2bl w:val="nil"/>
                  </w:tcBorders>
                  <w:noWrap w:val="0"/>
                  <w:vAlign w:val="center"/>
                </w:tcPr>
                <w:p w14:paraId="7DB7116D">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稳定连续</w:t>
                  </w:r>
                </w:p>
              </w:tc>
              <w:tc>
                <w:tcPr>
                  <w:tcW w:w="265" w:type="pct"/>
                  <w:tcBorders>
                    <w:tl2br w:val="nil"/>
                    <w:tr2bl w:val="nil"/>
                  </w:tcBorders>
                  <w:noWrap w:val="0"/>
                  <w:vAlign w:val="center"/>
                </w:tcPr>
                <w:p w14:paraId="42151E86">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DA00</w:t>
                  </w:r>
                  <w:r>
                    <w:rPr>
                      <w:rFonts w:hint="eastAsia" w:cs="Times New Roman"/>
                      <w:b w:val="0"/>
                      <w:bCs/>
                      <w:color w:val="auto"/>
                      <w:sz w:val="21"/>
                      <w:szCs w:val="21"/>
                      <w:lang w:val="en-US" w:eastAsia="zh-CN"/>
                    </w:rPr>
                    <w:t>2</w:t>
                  </w:r>
                </w:p>
              </w:tc>
            </w:tr>
            <w:tr w14:paraId="723413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801" w:type="pct"/>
                  <w:gridSpan w:val="3"/>
                  <w:vMerge w:val="restart"/>
                  <w:tcBorders>
                    <w:tl2br w:val="nil"/>
                    <w:tr2bl w:val="nil"/>
                  </w:tcBorders>
                  <w:noWrap w:val="0"/>
                  <w:vAlign w:val="center"/>
                </w:tcPr>
                <w:p w14:paraId="0F5DD526">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合计</w:t>
                  </w:r>
                </w:p>
              </w:tc>
              <w:tc>
                <w:tcPr>
                  <w:tcW w:w="419" w:type="pct"/>
                  <w:tcBorders>
                    <w:tl2br w:val="nil"/>
                    <w:tr2bl w:val="nil"/>
                  </w:tcBorders>
                  <w:noWrap/>
                  <w:vAlign w:val="center"/>
                </w:tcPr>
                <w:p w14:paraId="0C33E12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颗粒物</w:t>
                  </w:r>
                </w:p>
              </w:tc>
              <w:tc>
                <w:tcPr>
                  <w:tcW w:w="930" w:type="dxa"/>
                  <w:tcBorders>
                    <w:tl2br w:val="nil"/>
                    <w:tr2bl w:val="nil"/>
                  </w:tcBorders>
                  <w:noWrap/>
                  <w:vAlign w:val="center"/>
                </w:tcPr>
                <w:p w14:paraId="619D6EC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55" w:type="dxa"/>
                  <w:tcBorders>
                    <w:tl2br w:val="nil"/>
                    <w:tr2bl w:val="nil"/>
                  </w:tcBorders>
                  <w:noWrap/>
                  <w:vAlign w:val="center"/>
                </w:tcPr>
                <w:p w14:paraId="000C06C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35.001</w:t>
                  </w:r>
                </w:p>
              </w:tc>
              <w:tc>
                <w:tcPr>
                  <w:tcW w:w="765" w:type="dxa"/>
                  <w:tcBorders>
                    <w:tl2br w:val="nil"/>
                    <w:tr2bl w:val="nil"/>
                  </w:tcBorders>
                  <w:noWrap/>
                  <w:vAlign w:val="center"/>
                </w:tcPr>
                <w:p w14:paraId="6C3BD43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84.003</w:t>
                  </w:r>
                </w:p>
              </w:tc>
              <w:tc>
                <w:tcPr>
                  <w:tcW w:w="1005" w:type="dxa"/>
                  <w:tcBorders>
                    <w:tl2br w:val="nil"/>
                    <w:tr2bl w:val="nil"/>
                  </w:tcBorders>
                  <w:noWrap/>
                  <w:vAlign w:val="center"/>
                </w:tcPr>
                <w:p w14:paraId="46D68434">
                  <w:pPr>
                    <w:jc w:val="center"/>
                    <w:rPr>
                      <w:rFonts w:hint="default" w:ascii="Times New Roman" w:hAnsi="Times New Roman" w:eastAsia="宋体" w:cs="Times New Roman"/>
                      <w:i w:val="0"/>
                      <w:iCs w:val="0"/>
                      <w:color w:val="000000"/>
                      <w:kern w:val="0"/>
                      <w:sz w:val="21"/>
                      <w:szCs w:val="21"/>
                      <w:u w:val="none"/>
                      <w:lang w:val="en-US" w:eastAsia="zh-CN" w:bidi="ar"/>
                    </w:rPr>
                  </w:pPr>
                </w:p>
              </w:tc>
              <w:tc>
                <w:tcPr>
                  <w:tcW w:w="870" w:type="dxa"/>
                  <w:tcBorders>
                    <w:tl2br w:val="nil"/>
                    <w:tr2bl w:val="nil"/>
                  </w:tcBorders>
                  <w:noWrap/>
                  <w:vAlign w:val="center"/>
                </w:tcPr>
                <w:p w14:paraId="54FB15B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0.371</w:t>
                  </w:r>
                </w:p>
              </w:tc>
              <w:tc>
                <w:tcPr>
                  <w:tcW w:w="840" w:type="dxa"/>
                  <w:tcBorders>
                    <w:tl2br w:val="nil"/>
                    <w:tr2bl w:val="nil"/>
                  </w:tcBorders>
                  <w:noWrap/>
                  <w:vAlign w:val="center"/>
                </w:tcPr>
                <w:p w14:paraId="21AC78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0.891</w:t>
                  </w:r>
                </w:p>
              </w:tc>
              <w:tc>
                <w:tcPr>
                  <w:tcW w:w="408" w:type="pct"/>
                  <w:vMerge w:val="restart"/>
                  <w:tcBorders>
                    <w:tl2br w:val="nil"/>
                    <w:tr2bl w:val="nil"/>
                  </w:tcBorders>
                  <w:noWrap/>
                  <w:vAlign w:val="center"/>
                </w:tcPr>
                <w:p w14:paraId="60F94BE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360" w:type="pct"/>
                  <w:tcBorders>
                    <w:tl2br w:val="nil"/>
                    <w:tr2bl w:val="nil"/>
                  </w:tcBorders>
                  <w:noWrap/>
                  <w:vAlign w:val="center"/>
                </w:tcPr>
                <w:p w14:paraId="01445C1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36" w:type="pct"/>
                  <w:tcBorders>
                    <w:tl2br w:val="nil"/>
                    <w:tr2bl w:val="nil"/>
                  </w:tcBorders>
                  <w:noWrap/>
                  <w:vAlign w:val="center"/>
                </w:tcPr>
                <w:p w14:paraId="51F0A27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78" w:type="pct"/>
                  <w:vMerge w:val="restart"/>
                  <w:tcBorders>
                    <w:tl2br w:val="nil"/>
                    <w:tr2bl w:val="nil"/>
                  </w:tcBorders>
                  <w:noWrap w:val="0"/>
                  <w:vAlign w:val="center"/>
                </w:tcPr>
                <w:p w14:paraId="642976E0">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w:t>
                  </w:r>
                </w:p>
              </w:tc>
              <w:tc>
                <w:tcPr>
                  <w:tcW w:w="342" w:type="pct"/>
                  <w:vMerge w:val="restart"/>
                  <w:tcBorders>
                    <w:tl2br w:val="nil"/>
                    <w:tr2bl w:val="nil"/>
                  </w:tcBorders>
                  <w:noWrap w:val="0"/>
                  <w:vAlign w:val="center"/>
                </w:tcPr>
                <w:p w14:paraId="1AFE6B5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65" w:type="pct"/>
                  <w:tcBorders>
                    <w:tl2br w:val="nil"/>
                    <w:tr2bl w:val="nil"/>
                  </w:tcBorders>
                  <w:noWrap w:val="0"/>
                  <w:vAlign w:val="center"/>
                </w:tcPr>
                <w:p w14:paraId="62DEA6A6">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w:t>
                  </w:r>
                </w:p>
              </w:tc>
            </w:tr>
            <w:tr w14:paraId="37A88C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801" w:type="pct"/>
                  <w:gridSpan w:val="3"/>
                  <w:vMerge w:val="continue"/>
                  <w:tcBorders>
                    <w:tl2br w:val="nil"/>
                    <w:tr2bl w:val="nil"/>
                  </w:tcBorders>
                  <w:noWrap w:val="0"/>
                  <w:vAlign w:val="center"/>
                </w:tcPr>
                <w:p w14:paraId="121077E7">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19" w:type="pct"/>
                  <w:tcBorders>
                    <w:tl2br w:val="nil"/>
                    <w:tr2bl w:val="nil"/>
                  </w:tcBorders>
                  <w:noWrap/>
                  <w:vAlign w:val="center"/>
                </w:tcPr>
                <w:p w14:paraId="35DC890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SO</w:t>
                  </w:r>
                  <w:r>
                    <w:rPr>
                      <w:rFonts w:hint="eastAsia" w:ascii="Times New Roman" w:hAnsi="Times New Roman" w:eastAsia="宋体" w:cs="Times New Roman"/>
                      <w:color w:val="auto"/>
                      <w:sz w:val="21"/>
                      <w:szCs w:val="21"/>
                      <w:vertAlign w:val="subscript"/>
                      <w:lang w:val="en-US" w:eastAsia="zh-CN"/>
                    </w:rPr>
                    <w:t>2</w:t>
                  </w:r>
                </w:p>
              </w:tc>
              <w:tc>
                <w:tcPr>
                  <w:tcW w:w="930" w:type="dxa"/>
                  <w:tcBorders>
                    <w:tl2br w:val="nil"/>
                    <w:tr2bl w:val="nil"/>
                  </w:tcBorders>
                  <w:noWrap/>
                  <w:vAlign w:val="center"/>
                </w:tcPr>
                <w:p w14:paraId="15DB97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55" w:type="dxa"/>
                  <w:tcBorders>
                    <w:tl2br w:val="nil"/>
                    <w:tr2bl w:val="nil"/>
                  </w:tcBorders>
                  <w:noWrap/>
                  <w:vAlign w:val="center"/>
                </w:tcPr>
                <w:p w14:paraId="469979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0.015</w:t>
                  </w:r>
                </w:p>
              </w:tc>
              <w:tc>
                <w:tcPr>
                  <w:tcW w:w="765" w:type="dxa"/>
                  <w:tcBorders>
                    <w:tl2br w:val="nil"/>
                    <w:tr2bl w:val="nil"/>
                  </w:tcBorders>
                  <w:noWrap/>
                  <w:vAlign w:val="center"/>
                </w:tcPr>
                <w:p w14:paraId="69A0F9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1005" w:type="dxa"/>
                  <w:tcBorders>
                    <w:tl2br w:val="nil"/>
                    <w:tr2bl w:val="nil"/>
                  </w:tcBorders>
                  <w:noWrap/>
                  <w:vAlign w:val="center"/>
                </w:tcPr>
                <w:p w14:paraId="25765F3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70" w:type="dxa"/>
                  <w:tcBorders>
                    <w:tl2br w:val="nil"/>
                    <w:tr2bl w:val="nil"/>
                  </w:tcBorders>
                  <w:noWrap/>
                  <w:vAlign w:val="center"/>
                </w:tcPr>
                <w:p w14:paraId="4C50D45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0.015</w:t>
                  </w:r>
                </w:p>
              </w:tc>
              <w:tc>
                <w:tcPr>
                  <w:tcW w:w="840" w:type="dxa"/>
                  <w:tcBorders>
                    <w:tl2br w:val="nil"/>
                    <w:tr2bl w:val="nil"/>
                  </w:tcBorders>
                  <w:noWrap/>
                  <w:vAlign w:val="center"/>
                </w:tcPr>
                <w:p w14:paraId="1BEB27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408" w:type="pct"/>
                  <w:vMerge w:val="continue"/>
                  <w:tcBorders>
                    <w:tl2br w:val="nil"/>
                    <w:tr2bl w:val="nil"/>
                  </w:tcBorders>
                  <w:noWrap/>
                  <w:vAlign w:val="center"/>
                </w:tcPr>
                <w:p w14:paraId="3E2C1AC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360" w:type="pct"/>
                  <w:tcBorders>
                    <w:tl2br w:val="nil"/>
                    <w:tr2bl w:val="nil"/>
                  </w:tcBorders>
                  <w:noWrap/>
                  <w:vAlign w:val="center"/>
                </w:tcPr>
                <w:p w14:paraId="1E55BA2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36" w:type="pct"/>
                  <w:tcBorders>
                    <w:tl2br w:val="nil"/>
                    <w:tr2bl w:val="nil"/>
                  </w:tcBorders>
                  <w:noWrap/>
                  <w:vAlign w:val="center"/>
                </w:tcPr>
                <w:p w14:paraId="7FB6786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78" w:type="pct"/>
                  <w:vMerge w:val="continue"/>
                  <w:tcBorders>
                    <w:tl2br w:val="nil"/>
                    <w:tr2bl w:val="nil"/>
                  </w:tcBorders>
                  <w:noWrap w:val="0"/>
                  <w:vAlign w:val="center"/>
                </w:tcPr>
                <w:p w14:paraId="219D141C">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342" w:type="pct"/>
                  <w:vMerge w:val="continue"/>
                  <w:tcBorders>
                    <w:tl2br w:val="nil"/>
                    <w:tr2bl w:val="nil"/>
                  </w:tcBorders>
                  <w:noWrap w:val="0"/>
                  <w:vAlign w:val="center"/>
                </w:tcPr>
                <w:p w14:paraId="3341321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265" w:type="pct"/>
                  <w:tcBorders>
                    <w:tl2br w:val="nil"/>
                    <w:tr2bl w:val="nil"/>
                  </w:tcBorders>
                  <w:noWrap w:val="0"/>
                  <w:vAlign w:val="center"/>
                </w:tcPr>
                <w:p w14:paraId="1FE62996">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w:t>
                  </w:r>
                </w:p>
              </w:tc>
            </w:tr>
            <w:tr w14:paraId="3EC2ED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801" w:type="pct"/>
                  <w:gridSpan w:val="3"/>
                  <w:vMerge w:val="continue"/>
                  <w:tcBorders>
                    <w:tl2br w:val="nil"/>
                    <w:tr2bl w:val="nil"/>
                  </w:tcBorders>
                  <w:noWrap w:val="0"/>
                  <w:vAlign w:val="center"/>
                </w:tcPr>
                <w:p w14:paraId="2AC465A2">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419" w:type="pct"/>
                  <w:tcBorders>
                    <w:tl2br w:val="nil"/>
                    <w:tr2bl w:val="nil"/>
                  </w:tcBorders>
                  <w:noWrap/>
                  <w:vAlign w:val="center"/>
                </w:tcPr>
                <w:p w14:paraId="046F98F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NOx</w:t>
                  </w:r>
                </w:p>
              </w:tc>
              <w:tc>
                <w:tcPr>
                  <w:tcW w:w="930" w:type="dxa"/>
                  <w:tcBorders>
                    <w:tl2br w:val="nil"/>
                    <w:tr2bl w:val="nil"/>
                  </w:tcBorders>
                  <w:noWrap/>
                  <w:vAlign w:val="center"/>
                </w:tcPr>
                <w:p w14:paraId="1062423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55" w:type="dxa"/>
                  <w:tcBorders>
                    <w:tl2br w:val="nil"/>
                    <w:tr2bl w:val="nil"/>
                  </w:tcBorders>
                  <w:noWrap/>
                  <w:vAlign w:val="center"/>
                </w:tcPr>
                <w:p w14:paraId="308CE86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0.140</w:t>
                  </w:r>
                </w:p>
              </w:tc>
              <w:tc>
                <w:tcPr>
                  <w:tcW w:w="765" w:type="dxa"/>
                  <w:tcBorders>
                    <w:tl2br w:val="nil"/>
                    <w:tr2bl w:val="nil"/>
                  </w:tcBorders>
                  <w:noWrap/>
                  <w:vAlign w:val="center"/>
                </w:tcPr>
                <w:p w14:paraId="399E1DA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0.337</w:t>
                  </w:r>
                </w:p>
              </w:tc>
              <w:tc>
                <w:tcPr>
                  <w:tcW w:w="1005" w:type="dxa"/>
                  <w:tcBorders>
                    <w:tl2br w:val="nil"/>
                    <w:tr2bl w:val="nil"/>
                  </w:tcBorders>
                  <w:noWrap/>
                  <w:vAlign w:val="center"/>
                </w:tcPr>
                <w:p w14:paraId="7860A3A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70" w:type="dxa"/>
                  <w:tcBorders>
                    <w:tl2br w:val="nil"/>
                    <w:tr2bl w:val="nil"/>
                  </w:tcBorders>
                  <w:noWrap/>
                  <w:vAlign w:val="center"/>
                </w:tcPr>
                <w:p w14:paraId="58D3C1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0.070</w:t>
                  </w:r>
                </w:p>
              </w:tc>
              <w:tc>
                <w:tcPr>
                  <w:tcW w:w="840" w:type="dxa"/>
                  <w:tcBorders>
                    <w:tl2br w:val="nil"/>
                    <w:tr2bl w:val="nil"/>
                  </w:tcBorders>
                  <w:noWrap/>
                  <w:vAlign w:val="center"/>
                </w:tcPr>
                <w:p w14:paraId="37FDDEC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408" w:type="pct"/>
                  <w:vMerge w:val="continue"/>
                  <w:tcBorders>
                    <w:tl2br w:val="nil"/>
                    <w:tr2bl w:val="nil"/>
                  </w:tcBorders>
                  <w:noWrap/>
                  <w:vAlign w:val="center"/>
                </w:tcPr>
                <w:p w14:paraId="65BD035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360" w:type="pct"/>
                  <w:tcBorders>
                    <w:tl2br w:val="nil"/>
                    <w:tr2bl w:val="nil"/>
                  </w:tcBorders>
                  <w:noWrap/>
                  <w:vAlign w:val="center"/>
                </w:tcPr>
                <w:p w14:paraId="5DE0029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c>
                <w:tcPr>
                  <w:tcW w:w="236" w:type="pct"/>
                  <w:tcBorders>
                    <w:tl2br w:val="nil"/>
                    <w:tr2bl w:val="nil"/>
                  </w:tcBorders>
                  <w:noWrap/>
                  <w:vAlign w:val="center"/>
                </w:tcPr>
                <w:p w14:paraId="22B6180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c>
                <w:tcPr>
                  <w:tcW w:w="278" w:type="pct"/>
                  <w:vMerge w:val="continue"/>
                  <w:tcBorders>
                    <w:tl2br w:val="nil"/>
                    <w:tr2bl w:val="nil"/>
                  </w:tcBorders>
                  <w:noWrap w:val="0"/>
                  <w:vAlign w:val="center"/>
                </w:tcPr>
                <w:p w14:paraId="085C20E7">
                  <w:pPr>
                    <w:pStyle w:val="41"/>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342" w:type="pct"/>
                  <w:vMerge w:val="continue"/>
                  <w:tcBorders>
                    <w:tl2br w:val="nil"/>
                    <w:tr2bl w:val="nil"/>
                  </w:tcBorders>
                  <w:noWrap w:val="0"/>
                  <w:vAlign w:val="center"/>
                </w:tcPr>
                <w:p w14:paraId="51582EE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265" w:type="pct"/>
                  <w:tcBorders>
                    <w:tl2br w:val="nil"/>
                    <w:tr2bl w:val="nil"/>
                  </w:tcBorders>
                  <w:noWrap w:val="0"/>
                  <w:vAlign w:val="center"/>
                </w:tcPr>
                <w:p w14:paraId="60B653F5">
                  <w:pPr>
                    <w:pStyle w:val="41"/>
                    <w:keepNext w:val="0"/>
                    <w:keepLines w:val="0"/>
                    <w:pageBreakBefore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p>
              </w:tc>
            </w:tr>
          </w:tbl>
          <w:p w14:paraId="3A07C3EF">
            <w:pPr>
              <w:pStyle w:val="44"/>
              <w:keepNext w:val="0"/>
              <w:keepLines w:val="0"/>
              <w:pageBreakBefore w:val="0"/>
              <w:widowControl w:val="0"/>
              <w:kinsoku/>
              <w:wordWrap/>
              <w:overflowPunct/>
              <w:topLinePunct w:val="0"/>
              <w:autoSpaceDE/>
              <w:autoSpaceDN/>
              <w:bidi w:val="0"/>
              <w:adjustRightInd w:val="0"/>
              <w:snapToGrid w:val="0"/>
              <w:spacing w:before="313" w:beforeLines="100" w:line="240" w:lineRule="auto"/>
              <w:ind w:firstLine="0" w:firstLineChars="0"/>
              <w:textAlignment w:val="auto"/>
              <w:rPr>
                <w:rFonts w:hint="eastAsia" w:ascii="Times New Roman" w:hAnsi="Times New Roman"/>
                <w:color w:val="000000" w:themeColor="text1"/>
                <w:lang w:val="en-US" w:eastAsia="zh-CN" w:bidi="ar-SA"/>
                <w14:textFill>
                  <w14:solidFill>
                    <w14:schemeClr w14:val="tx1"/>
                  </w14:solidFill>
                </w14:textFill>
              </w:rPr>
            </w:pPr>
            <w:r>
              <w:rPr>
                <w:rFonts w:ascii="Times New Roman" w:hAnsi="Times New Roman"/>
                <w:color w:val="000000" w:themeColor="text1"/>
                <w:lang w:val="en-US" w:eastAsia="zh-CN" w:bidi="ar-SA"/>
                <w14:textFill>
                  <w14:solidFill>
                    <w14:schemeClr w14:val="tx1"/>
                  </w14:solidFill>
                </w14:textFill>
              </w:rPr>
              <w:t>表</w:t>
            </w:r>
            <w:r>
              <w:rPr>
                <w:rFonts w:hint="eastAsia" w:ascii="Times New Roman" w:hAnsi="Times New Roman"/>
                <w:color w:val="000000" w:themeColor="text1"/>
                <w:lang w:val="en-US" w:eastAsia="zh-CN" w:bidi="ar-SA"/>
                <w14:textFill>
                  <w14:solidFill>
                    <w14:schemeClr w14:val="tx1"/>
                  </w14:solidFill>
                </w14:textFill>
              </w:rPr>
              <w:t>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2</w:t>
            </w:r>
            <w:r>
              <w:rPr>
                <w:rFonts w:hint="default" w:ascii="Times New Roman" w:hAnsi="Times New Roman" w:cs="Times New Roman"/>
                <w:color w:val="000000"/>
              </w:rPr>
              <w:fldChar w:fldCharType="end"/>
            </w:r>
            <w:r>
              <w:rPr>
                <w:rFonts w:ascii="Times New Roman" w:hAnsi="Times New Roman"/>
                <w:color w:val="000000" w:themeColor="text1"/>
                <w:lang w:val="en-US" w:eastAsia="zh-CN" w:bidi="ar-SA"/>
                <w14:textFill>
                  <w14:solidFill>
                    <w14:schemeClr w14:val="tx1"/>
                  </w14:solidFill>
                </w14:textFill>
              </w:rPr>
              <w:t xml:space="preserve">  建设项目有组织废气</w:t>
            </w:r>
            <w:r>
              <w:rPr>
                <w:rFonts w:hint="eastAsia" w:ascii="Times New Roman" w:hAnsi="Times New Roman"/>
                <w:color w:val="000000" w:themeColor="text1"/>
                <w:lang w:val="en-US" w:eastAsia="zh-CN" w:bidi="ar-SA"/>
                <w14:textFill>
                  <w14:solidFill>
                    <w14:schemeClr w14:val="tx1"/>
                  </w14:solidFill>
                </w14:textFill>
              </w:rPr>
              <w:t>执行标准和监测要求</w:t>
            </w:r>
          </w:p>
          <w:tbl>
            <w:tblPr>
              <w:tblStyle w:val="23"/>
              <w:tblW w:w="4997"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836"/>
              <w:gridCol w:w="2318"/>
              <w:gridCol w:w="2359"/>
              <w:gridCol w:w="1063"/>
              <w:gridCol w:w="1091"/>
              <w:gridCol w:w="1091"/>
              <w:gridCol w:w="873"/>
              <w:gridCol w:w="2141"/>
              <w:gridCol w:w="1173"/>
              <w:gridCol w:w="1005"/>
            </w:tblGrid>
            <w:tr w14:paraId="44A1F37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1130" w:type="pct"/>
                  <w:gridSpan w:val="2"/>
                  <w:noWrap w:val="0"/>
                  <w:vAlign w:val="center"/>
                </w:tcPr>
                <w:p w14:paraId="6D7AE63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排气筒</w:t>
                  </w:r>
                </w:p>
              </w:tc>
              <w:tc>
                <w:tcPr>
                  <w:tcW w:w="845" w:type="pct"/>
                  <w:noWrap w:val="0"/>
                  <w:vAlign w:val="center"/>
                </w:tcPr>
                <w:p w14:paraId="31F293A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坐标</w:t>
                  </w:r>
                </w:p>
              </w:tc>
              <w:tc>
                <w:tcPr>
                  <w:tcW w:w="1163" w:type="pct"/>
                  <w:gridSpan w:val="3"/>
                  <w:noWrap w:val="0"/>
                  <w:vAlign w:val="center"/>
                </w:tcPr>
                <w:p w14:paraId="631CD5D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参数</w:t>
                  </w:r>
                </w:p>
              </w:tc>
              <w:tc>
                <w:tcPr>
                  <w:tcW w:w="312" w:type="pct"/>
                  <w:vMerge w:val="restart"/>
                  <w:noWrap w:val="0"/>
                  <w:vAlign w:val="center"/>
                </w:tcPr>
                <w:p w14:paraId="7801ECB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污染</w:t>
                  </w:r>
                </w:p>
                <w:p w14:paraId="5D36E91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因子</w:t>
                  </w:r>
                </w:p>
              </w:tc>
              <w:tc>
                <w:tcPr>
                  <w:tcW w:w="1187" w:type="pct"/>
                  <w:gridSpan w:val="2"/>
                  <w:noWrap w:val="0"/>
                  <w:vAlign w:val="center"/>
                </w:tcPr>
                <w:p w14:paraId="3646B1D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执行标准</w:t>
                  </w:r>
                </w:p>
              </w:tc>
              <w:tc>
                <w:tcPr>
                  <w:tcW w:w="360" w:type="pct"/>
                  <w:vMerge w:val="restart"/>
                  <w:noWrap w:val="0"/>
                  <w:vAlign w:val="center"/>
                </w:tcPr>
                <w:p w14:paraId="0CF8A3E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监测频次</w:t>
                  </w:r>
                </w:p>
              </w:tc>
            </w:tr>
            <w:tr w14:paraId="4B1235D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299" w:type="pct"/>
                  <w:noWrap w:val="0"/>
                  <w:vAlign w:val="center"/>
                </w:tcPr>
                <w:p w14:paraId="7B406DB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编号</w:t>
                  </w:r>
                </w:p>
              </w:tc>
              <w:tc>
                <w:tcPr>
                  <w:tcW w:w="830" w:type="pct"/>
                  <w:noWrap w:val="0"/>
                  <w:vAlign w:val="center"/>
                </w:tcPr>
                <w:p w14:paraId="1D508C1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名称</w:t>
                  </w:r>
                </w:p>
              </w:tc>
              <w:tc>
                <w:tcPr>
                  <w:tcW w:w="845" w:type="pct"/>
                  <w:noWrap w:val="0"/>
                  <w:vAlign w:val="center"/>
                </w:tcPr>
                <w:p w14:paraId="52492D4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经纬度</w:t>
                  </w:r>
                </w:p>
              </w:tc>
              <w:tc>
                <w:tcPr>
                  <w:tcW w:w="381" w:type="pct"/>
                  <w:noWrap w:val="0"/>
                  <w:vAlign w:val="center"/>
                </w:tcPr>
                <w:p w14:paraId="0FB4BEE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高度（m）</w:t>
                  </w:r>
                </w:p>
              </w:tc>
              <w:tc>
                <w:tcPr>
                  <w:tcW w:w="391" w:type="pct"/>
                  <w:noWrap w:val="0"/>
                  <w:vAlign w:val="center"/>
                </w:tcPr>
                <w:p w14:paraId="2BB5BB1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直径（m）</w:t>
                  </w:r>
                </w:p>
              </w:tc>
              <w:tc>
                <w:tcPr>
                  <w:tcW w:w="391" w:type="pct"/>
                  <w:noWrap w:val="0"/>
                  <w:vAlign w:val="center"/>
                </w:tcPr>
                <w:p w14:paraId="3D6C76B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温度（℃）</w:t>
                  </w:r>
                </w:p>
              </w:tc>
              <w:tc>
                <w:tcPr>
                  <w:tcW w:w="312" w:type="pct"/>
                  <w:vMerge w:val="continue"/>
                  <w:noWrap w:val="0"/>
                  <w:vAlign w:val="center"/>
                </w:tcPr>
                <w:p w14:paraId="558F839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c>
                <w:tcPr>
                  <w:tcW w:w="767" w:type="pct"/>
                  <w:noWrap w:val="0"/>
                  <w:vAlign w:val="center"/>
                </w:tcPr>
                <w:p w14:paraId="25D58B7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标准名称</w:t>
                  </w:r>
                </w:p>
              </w:tc>
              <w:tc>
                <w:tcPr>
                  <w:tcW w:w="420" w:type="pct"/>
                  <w:noWrap w:val="0"/>
                  <w:vAlign w:val="center"/>
                </w:tcPr>
                <w:p w14:paraId="3292812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限值要求</w:t>
                  </w:r>
                </w:p>
              </w:tc>
              <w:tc>
                <w:tcPr>
                  <w:tcW w:w="360" w:type="pct"/>
                  <w:vMerge w:val="continue"/>
                  <w:noWrap w:val="0"/>
                  <w:vAlign w:val="center"/>
                </w:tcPr>
                <w:p w14:paraId="04B7CB0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r>
            <w:tr w14:paraId="7CC1780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299" w:type="pct"/>
                  <w:vMerge w:val="restart"/>
                  <w:noWrap w:val="0"/>
                  <w:vAlign w:val="center"/>
                </w:tcPr>
                <w:p w14:paraId="2F89B88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DA001</w:t>
                  </w:r>
                </w:p>
              </w:tc>
              <w:tc>
                <w:tcPr>
                  <w:tcW w:w="830" w:type="pct"/>
                  <w:vMerge w:val="restart"/>
                  <w:noWrap w:val="0"/>
                  <w:vAlign w:val="center"/>
                </w:tcPr>
                <w:p w14:paraId="77D1A9B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天然气燃烧废气排气筒</w:t>
                  </w:r>
                </w:p>
              </w:tc>
              <w:tc>
                <w:tcPr>
                  <w:tcW w:w="845" w:type="pct"/>
                  <w:vMerge w:val="restart"/>
                  <w:noWrap w:val="0"/>
                  <w:vAlign w:val="center"/>
                </w:tcPr>
                <w:p w14:paraId="6E9414E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117.643972</w:t>
                  </w:r>
                  <w:r>
                    <w:rPr>
                      <w:rFonts w:hint="default" w:ascii="Times New Roman" w:hAnsi="Times New Roman" w:eastAsia="宋体" w:cs="宋体"/>
                      <w:color w:val="000000" w:themeColor="text1"/>
                      <w:sz w:val="21"/>
                      <w:szCs w:val="21"/>
                      <w:lang w:val="en-US" w:eastAsia="zh-CN" w:bidi="ar-SA"/>
                      <w14:textFill>
                        <w14:solidFill>
                          <w14:schemeClr w14:val="tx1"/>
                        </w14:solidFill>
                      </w14:textFill>
                    </w:rPr>
                    <w:t>°</w:t>
                  </w: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/30.719807</w:t>
                  </w:r>
                  <w:r>
                    <w:rPr>
                      <w:rFonts w:hint="default" w:ascii="Times New Roman" w:hAnsi="Times New Roman" w:eastAsia="宋体" w:cs="宋体"/>
                      <w:color w:val="000000" w:themeColor="text1"/>
                      <w:sz w:val="21"/>
                      <w:szCs w:val="21"/>
                      <w:lang w:val="en-US" w:eastAsia="zh-CN" w:bidi="ar-SA"/>
                      <w14:textFill>
                        <w14:solidFill>
                          <w14:schemeClr w14:val="tx1"/>
                        </w14:solidFill>
                      </w14:textFill>
                    </w:rPr>
                    <w:t>°</w:t>
                  </w:r>
                </w:p>
              </w:tc>
              <w:tc>
                <w:tcPr>
                  <w:tcW w:w="381" w:type="pct"/>
                  <w:vMerge w:val="restart"/>
                  <w:noWrap w:val="0"/>
                  <w:vAlign w:val="center"/>
                </w:tcPr>
                <w:p w14:paraId="51C446B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15.0</w:t>
                  </w:r>
                </w:p>
              </w:tc>
              <w:tc>
                <w:tcPr>
                  <w:tcW w:w="391" w:type="pct"/>
                  <w:vMerge w:val="restart"/>
                  <w:noWrap w:val="0"/>
                  <w:vAlign w:val="center"/>
                </w:tcPr>
                <w:p w14:paraId="39AD6E2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0.3</w:t>
                  </w:r>
                </w:p>
              </w:tc>
              <w:tc>
                <w:tcPr>
                  <w:tcW w:w="391" w:type="pct"/>
                  <w:vMerge w:val="restart"/>
                  <w:noWrap w:val="0"/>
                  <w:vAlign w:val="center"/>
                </w:tcPr>
                <w:p w14:paraId="0591379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50.0</w:t>
                  </w:r>
                </w:p>
              </w:tc>
              <w:tc>
                <w:tcPr>
                  <w:tcW w:w="312" w:type="pct"/>
                  <w:noWrap w:val="0"/>
                  <w:vAlign w:val="center"/>
                </w:tcPr>
                <w:p w14:paraId="68D6EF0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颗粒物</w:t>
                  </w:r>
                </w:p>
              </w:tc>
              <w:tc>
                <w:tcPr>
                  <w:tcW w:w="767" w:type="pct"/>
                  <w:vMerge w:val="restart"/>
                  <w:noWrap w:val="0"/>
                  <w:vAlign w:val="center"/>
                </w:tcPr>
                <w:p w14:paraId="557B82C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sz w:val="21"/>
                      <w:szCs w:val="21"/>
                      <w:lang w:val="en-US" w:eastAsia="zh-CN"/>
                    </w:rPr>
                  </w:pPr>
                  <w:r>
                    <w:rPr>
                      <w:rFonts w:hint="eastAsia" w:cs="Times New Roman"/>
                      <w:color w:val="auto"/>
                      <w:kern w:val="0"/>
                      <w:sz w:val="21"/>
                      <w:szCs w:val="21"/>
                      <w:lang w:eastAsia="zh-CN"/>
                    </w:rPr>
                    <w:t>环大气〔2019〕56号</w:t>
                  </w:r>
                </w:p>
              </w:tc>
              <w:tc>
                <w:tcPr>
                  <w:tcW w:w="420" w:type="pct"/>
                  <w:noWrap w:val="0"/>
                  <w:vAlign w:val="center"/>
                </w:tcPr>
                <w:p w14:paraId="7B85D93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30</w:t>
                  </w: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mg/m</w:t>
                  </w:r>
                  <w:r>
                    <w:rPr>
                      <w:rFonts w:hint="eastAsia" w:ascii="Times New Roman" w:hAnsi="Times New Roman" w:eastAsia="宋体" w:cs="宋体"/>
                      <w:color w:val="000000" w:themeColor="text1"/>
                      <w:sz w:val="21"/>
                      <w:szCs w:val="21"/>
                      <w:vertAlign w:val="superscript"/>
                      <w:lang w:val="en-US" w:eastAsia="zh-CN" w:bidi="ar-SA"/>
                      <w14:textFill>
                        <w14:solidFill>
                          <w14:schemeClr w14:val="tx1"/>
                        </w14:solidFill>
                      </w14:textFill>
                    </w:rPr>
                    <w:t>3</w:t>
                  </w:r>
                </w:p>
              </w:tc>
              <w:tc>
                <w:tcPr>
                  <w:tcW w:w="360" w:type="pct"/>
                  <w:noWrap w:val="0"/>
                  <w:vAlign w:val="center"/>
                </w:tcPr>
                <w:p w14:paraId="3953C3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1次/年</w:t>
                  </w:r>
                </w:p>
              </w:tc>
            </w:tr>
            <w:tr w14:paraId="4E9F598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299" w:type="pct"/>
                  <w:vMerge w:val="continue"/>
                  <w:noWrap w:val="0"/>
                  <w:vAlign w:val="center"/>
                </w:tcPr>
                <w:p w14:paraId="468C509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830" w:type="pct"/>
                  <w:vMerge w:val="continue"/>
                  <w:noWrap w:val="0"/>
                  <w:vAlign w:val="center"/>
                </w:tcPr>
                <w:p w14:paraId="23C6087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sz w:val="21"/>
                      <w:szCs w:val="21"/>
                      <w:lang w:val="en-US" w:eastAsia="zh-CN" w:bidi="ar-SA"/>
                      <w14:textFill>
                        <w14:solidFill>
                          <w14:schemeClr w14:val="tx1"/>
                        </w14:solidFill>
                      </w14:textFill>
                    </w:rPr>
                  </w:pPr>
                </w:p>
              </w:tc>
              <w:tc>
                <w:tcPr>
                  <w:tcW w:w="845" w:type="pct"/>
                  <w:vMerge w:val="continue"/>
                  <w:noWrap w:val="0"/>
                  <w:vAlign w:val="center"/>
                </w:tcPr>
                <w:p w14:paraId="4DB81CC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c>
                <w:tcPr>
                  <w:tcW w:w="381" w:type="pct"/>
                  <w:vMerge w:val="continue"/>
                  <w:noWrap w:val="0"/>
                  <w:vAlign w:val="center"/>
                </w:tcPr>
                <w:p w14:paraId="51C83FA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391" w:type="pct"/>
                  <w:vMerge w:val="continue"/>
                  <w:noWrap w:val="0"/>
                  <w:vAlign w:val="center"/>
                </w:tcPr>
                <w:p w14:paraId="0C87FC1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391" w:type="pct"/>
                  <w:vMerge w:val="continue"/>
                  <w:noWrap w:val="0"/>
                  <w:vAlign w:val="center"/>
                </w:tcPr>
                <w:p w14:paraId="0E284AA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312" w:type="pct"/>
                  <w:noWrap w:val="0"/>
                  <w:vAlign w:val="center"/>
                </w:tcPr>
                <w:p w14:paraId="2C07FD8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SO</w:t>
                  </w:r>
                  <w:r>
                    <w:rPr>
                      <w:rFonts w:hint="eastAsia"/>
                      <w:color w:val="000000" w:themeColor="text1"/>
                      <w:sz w:val="21"/>
                      <w:szCs w:val="21"/>
                      <w:vertAlign w:val="subscript"/>
                      <w:lang w:val="en-US" w:eastAsia="zh-CN" w:bidi="ar-SA"/>
                      <w14:textFill>
                        <w14:solidFill>
                          <w14:schemeClr w14:val="tx1"/>
                        </w14:solidFill>
                      </w14:textFill>
                    </w:rPr>
                    <w:t>2</w:t>
                  </w:r>
                </w:p>
              </w:tc>
              <w:tc>
                <w:tcPr>
                  <w:tcW w:w="767" w:type="pct"/>
                  <w:vMerge w:val="continue"/>
                  <w:noWrap w:val="0"/>
                  <w:vAlign w:val="center"/>
                </w:tcPr>
                <w:p w14:paraId="2A02A6B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sz w:val="21"/>
                      <w:szCs w:val="21"/>
                      <w:lang w:val="en-US" w:eastAsia="zh-CN"/>
                    </w:rPr>
                  </w:pPr>
                </w:p>
              </w:tc>
              <w:tc>
                <w:tcPr>
                  <w:tcW w:w="420" w:type="pct"/>
                  <w:noWrap w:val="0"/>
                  <w:vAlign w:val="center"/>
                </w:tcPr>
                <w:p w14:paraId="59BEAEC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200</w:t>
                  </w: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mg/m</w:t>
                  </w:r>
                  <w:r>
                    <w:rPr>
                      <w:rFonts w:hint="eastAsia" w:ascii="Times New Roman" w:hAnsi="Times New Roman" w:eastAsia="宋体" w:cs="宋体"/>
                      <w:color w:val="000000" w:themeColor="text1"/>
                      <w:sz w:val="21"/>
                      <w:szCs w:val="21"/>
                      <w:vertAlign w:val="superscript"/>
                      <w:lang w:val="en-US" w:eastAsia="zh-CN" w:bidi="ar-SA"/>
                      <w14:textFill>
                        <w14:solidFill>
                          <w14:schemeClr w14:val="tx1"/>
                        </w14:solidFill>
                      </w14:textFill>
                    </w:rPr>
                    <w:t>3</w:t>
                  </w:r>
                </w:p>
              </w:tc>
              <w:tc>
                <w:tcPr>
                  <w:tcW w:w="360" w:type="pct"/>
                  <w:noWrap w:val="0"/>
                  <w:vAlign w:val="center"/>
                </w:tcPr>
                <w:p w14:paraId="1D789D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1次/年</w:t>
                  </w:r>
                </w:p>
              </w:tc>
            </w:tr>
            <w:tr w14:paraId="1FFBDFB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299" w:type="pct"/>
                  <w:vMerge w:val="continue"/>
                  <w:noWrap w:val="0"/>
                  <w:vAlign w:val="center"/>
                </w:tcPr>
                <w:p w14:paraId="7FDF30E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830" w:type="pct"/>
                  <w:vMerge w:val="continue"/>
                  <w:noWrap w:val="0"/>
                  <w:vAlign w:val="center"/>
                </w:tcPr>
                <w:p w14:paraId="14AB165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sz w:val="21"/>
                      <w:szCs w:val="21"/>
                      <w:lang w:val="en-US" w:eastAsia="zh-CN" w:bidi="ar-SA"/>
                      <w14:textFill>
                        <w14:solidFill>
                          <w14:schemeClr w14:val="tx1"/>
                        </w14:solidFill>
                      </w14:textFill>
                    </w:rPr>
                  </w:pPr>
                </w:p>
              </w:tc>
              <w:tc>
                <w:tcPr>
                  <w:tcW w:w="845" w:type="pct"/>
                  <w:vMerge w:val="continue"/>
                  <w:noWrap w:val="0"/>
                  <w:vAlign w:val="center"/>
                </w:tcPr>
                <w:p w14:paraId="0C67C15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c>
                <w:tcPr>
                  <w:tcW w:w="381" w:type="pct"/>
                  <w:vMerge w:val="continue"/>
                  <w:noWrap w:val="0"/>
                  <w:vAlign w:val="center"/>
                </w:tcPr>
                <w:p w14:paraId="346D6E6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391" w:type="pct"/>
                  <w:vMerge w:val="continue"/>
                  <w:noWrap w:val="0"/>
                  <w:vAlign w:val="center"/>
                </w:tcPr>
                <w:p w14:paraId="1B2AC16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391" w:type="pct"/>
                  <w:vMerge w:val="continue"/>
                  <w:noWrap w:val="0"/>
                  <w:vAlign w:val="center"/>
                </w:tcPr>
                <w:p w14:paraId="0ABCA9F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p>
              </w:tc>
              <w:tc>
                <w:tcPr>
                  <w:tcW w:w="312" w:type="pct"/>
                  <w:noWrap w:val="0"/>
                  <w:vAlign w:val="center"/>
                </w:tcPr>
                <w:p w14:paraId="0CB9D67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NOx</w:t>
                  </w:r>
                </w:p>
              </w:tc>
              <w:tc>
                <w:tcPr>
                  <w:tcW w:w="767" w:type="pct"/>
                  <w:vMerge w:val="continue"/>
                  <w:noWrap w:val="0"/>
                  <w:vAlign w:val="center"/>
                </w:tcPr>
                <w:p w14:paraId="5CAEAD7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sz w:val="21"/>
                      <w:szCs w:val="21"/>
                      <w:lang w:val="en-US" w:eastAsia="zh-CN"/>
                    </w:rPr>
                  </w:pPr>
                </w:p>
              </w:tc>
              <w:tc>
                <w:tcPr>
                  <w:tcW w:w="420" w:type="pct"/>
                  <w:noWrap w:val="0"/>
                  <w:vAlign w:val="center"/>
                </w:tcPr>
                <w:p w14:paraId="44FB3E6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300mg</w:t>
                  </w: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/m</w:t>
                  </w:r>
                  <w:r>
                    <w:rPr>
                      <w:rFonts w:hint="eastAsia" w:ascii="Times New Roman" w:hAnsi="Times New Roman" w:eastAsia="宋体" w:cs="宋体"/>
                      <w:color w:val="000000" w:themeColor="text1"/>
                      <w:sz w:val="21"/>
                      <w:szCs w:val="21"/>
                      <w:vertAlign w:val="superscript"/>
                      <w:lang w:val="en-US" w:eastAsia="zh-CN" w:bidi="ar-SA"/>
                      <w14:textFill>
                        <w14:solidFill>
                          <w14:schemeClr w14:val="tx1"/>
                        </w14:solidFill>
                      </w14:textFill>
                    </w:rPr>
                    <w:t>3</w:t>
                  </w:r>
                </w:p>
              </w:tc>
              <w:tc>
                <w:tcPr>
                  <w:tcW w:w="360" w:type="pct"/>
                  <w:noWrap w:val="0"/>
                  <w:vAlign w:val="center"/>
                </w:tcPr>
                <w:p w14:paraId="584C7B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1次/年</w:t>
                  </w:r>
                </w:p>
              </w:tc>
            </w:tr>
            <w:tr w14:paraId="2992B9E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jc w:val="center"/>
              </w:trPr>
              <w:tc>
                <w:tcPr>
                  <w:tcW w:w="299" w:type="pct"/>
                  <w:noWrap w:val="0"/>
                  <w:vAlign w:val="center"/>
                </w:tcPr>
                <w:p w14:paraId="311B0C8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DA002</w:t>
                  </w:r>
                </w:p>
              </w:tc>
              <w:tc>
                <w:tcPr>
                  <w:tcW w:w="830" w:type="pct"/>
                  <w:noWrap w:val="0"/>
                  <w:vAlign w:val="center"/>
                </w:tcPr>
                <w:p w14:paraId="600ECD3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锯切废气排气筒</w:t>
                  </w:r>
                </w:p>
              </w:tc>
              <w:tc>
                <w:tcPr>
                  <w:tcW w:w="845" w:type="pct"/>
                  <w:noWrap w:val="0"/>
                  <w:vAlign w:val="center"/>
                </w:tcPr>
                <w:p w14:paraId="754A86F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117.643929</w:t>
                  </w:r>
                  <w:r>
                    <w:rPr>
                      <w:rFonts w:hint="default" w:ascii="Times New Roman" w:hAnsi="Times New Roman" w:eastAsia="宋体" w:cs="宋体"/>
                      <w:color w:val="000000" w:themeColor="text1"/>
                      <w:sz w:val="21"/>
                      <w:szCs w:val="21"/>
                      <w:lang w:val="en-US" w:eastAsia="zh-CN" w:bidi="ar-SA"/>
                      <w14:textFill>
                        <w14:solidFill>
                          <w14:schemeClr w14:val="tx1"/>
                        </w14:solidFill>
                      </w14:textFill>
                    </w:rPr>
                    <w:t>°</w:t>
                  </w: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/30.719669</w:t>
                  </w:r>
                  <w:r>
                    <w:rPr>
                      <w:rFonts w:hint="default" w:ascii="Times New Roman" w:hAnsi="Times New Roman" w:eastAsia="宋体" w:cs="宋体"/>
                      <w:color w:val="000000" w:themeColor="text1"/>
                      <w:sz w:val="21"/>
                      <w:szCs w:val="21"/>
                      <w:lang w:val="en-US" w:eastAsia="zh-CN" w:bidi="ar-SA"/>
                      <w14:textFill>
                        <w14:solidFill>
                          <w14:schemeClr w14:val="tx1"/>
                        </w14:solidFill>
                      </w14:textFill>
                    </w:rPr>
                    <w:t>°</w:t>
                  </w:r>
                </w:p>
              </w:tc>
              <w:tc>
                <w:tcPr>
                  <w:tcW w:w="381" w:type="pct"/>
                  <w:noWrap w:val="0"/>
                  <w:vAlign w:val="center"/>
                </w:tcPr>
                <w:p w14:paraId="5F1F4B9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15.0</w:t>
                  </w:r>
                </w:p>
              </w:tc>
              <w:tc>
                <w:tcPr>
                  <w:tcW w:w="391" w:type="pct"/>
                  <w:noWrap w:val="0"/>
                  <w:vAlign w:val="center"/>
                </w:tcPr>
                <w:p w14:paraId="386E7F4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0.5</w:t>
                  </w:r>
                </w:p>
              </w:tc>
              <w:tc>
                <w:tcPr>
                  <w:tcW w:w="391" w:type="pct"/>
                  <w:noWrap w:val="0"/>
                  <w:vAlign w:val="center"/>
                </w:tcPr>
                <w:p w14:paraId="04A5B77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25.0</w:t>
                  </w:r>
                </w:p>
              </w:tc>
              <w:tc>
                <w:tcPr>
                  <w:tcW w:w="312" w:type="pct"/>
                  <w:noWrap w:val="0"/>
                  <w:vAlign w:val="center"/>
                </w:tcPr>
                <w:p w14:paraId="24B51B6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颗粒物</w:t>
                  </w:r>
                </w:p>
              </w:tc>
              <w:tc>
                <w:tcPr>
                  <w:tcW w:w="767" w:type="pct"/>
                  <w:noWrap w:val="0"/>
                  <w:vAlign w:val="center"/>
                </w:tcPr>
                <w:p w14:paraId="7D51BA0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auto"/>
                      <w:kern w:val="0"/>
                      <w:sz w:val="21"/>
                      <w:szCs w:val="21"/>
                      <w:lang w:val="en-US" w:eastAsia="zh-CN"/>
                    </w:rPr>
                  </w:pPr>
                  <w:r>
                    <w:rPr>
                      <w:rFonts w:hint="eastAsia" w:cs="Times New Roman"/>
                      <w:color w:val="auto"/>
                      <w:kern w:val="0"/>
                      <w:sz w:val="21"/>
                      <w:szCs w:val="21"/>
                      <w:lang w:val="en-US" w:eastAsia="zh-CN"/>
                    </w:rPr>
                    <w:t>GB16297-1996</w:t>
                  </w:r>
                </w:p>
              </w:tc>
              <w:tc>
                <w:tcPr>
                  <w:tcW w:w="420" w:type="pct"/>
                  <w:noWrap w:val="0"/>
                  <w:vAlign w:val="center"/>
                </w:tcPr>
                <w:p w14:paraId="46CF101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120mg</w:t>
                  </w: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/m</w:t>
                  </w:r>
                  <w:r>
                    <w:rPr>
                      <w:rFonts w:hint="eastAsia" w:ascii="Times New Roman" w:hAnsi="Times New Roman" w:eastAsia="宋体" w:cs="宋体"/>
                      <w:color w:val="000000" w:themeColor="text1"/>
                      <w:sz w:val="21"/>
                      <w:szCs w:val="21"/>
                      <w:vertAlign w:val="superscript"/>
                      <w:lang w:val="en-US" w:eastAsia="zh-CN" w:bidi="ar-SA"/>
                      <w14:textFill>
                        <w14:solidFill>
                          <w14:schemeClr w14:val="tx1"/>
                        </w14:solidFill>
                      </w14:textFill>
                    </w:rPr>
                    <w:t>3</w:t>
                  </w:r>
                </w:p>
              </w:tc>
              <w:tc>
                <w:tcPr>
                  <w:tcW w:w="360" w:type="pct"/>
                  <w:noWrap w:val="0"/>
                  <w:vAlign w:val="center"/>
                </w:tcPr>
                <w:p w14:paraId="3D067F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1次/年</w:t>
                  </w:r>
                </w:p>
              </w:tc>
            </w:tr>
          </w:tbl>
          <w:p w14:paraId="66F7F779">
            <w:pPr>
              <w:pStyle w:val="44"/>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3</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建设项目无组织废气污染源强</w:t>
            </w:r>
          </w:p>
          <w:tbl>
            <w:tblPr>
              <w:tblStyle w:val="23"/>
              <w:tblW w:w="4997"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1494"/>
              <w:gridCol w:w="1212"/>
              <w:gridCol w:w="818"/>
              <w:gridCol w:w="941"/>
              <w:gridCol w:w="771"/>
              <w:gridCol w:w="941"/>
              <w:gridCol w:w="908"/>
              <w:gridCol w:w="676"/>
              <w:gridCol w:w="623"/>
              <w:gridCol w:w="1572"/>
              <w:gridCol w:w="1220"/>
              <w:gridCol w:w="1109"/>
              <w:gridCol w:w="1117"/>
              <w:gridCol w:w="548"/>
            </w:tblGrid>
            <w:tr w14:paraId="72FCF78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535" w:type="pct"/>
                  <w:vMerge w:val="restart"/>
                  <w:noWrap w:val="0"/>
                  <w:tcMar>
                    <w:top w:w="12" w:type="dxa"/>
                    <w:left w:w="12" w:type="dxa"/>
                    <w:right w:w="12" w:type="dxa"/>
                  </w:tcMar>
                  <w:vAlign w:val="center"/>
                </w:tcPr>
                <w:p w14:paraId="7E03DEA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污染物产生</w:t>
                  </w:r>
                </w:p>
                <w:p w14:paraId="40B4648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单元或装置</w:t>
                  </w:r>
                </w:p>
              </w:tc>
              <w:tc>
                <w:tcPr>
                  <w:tcW w:w="727" w:type="pct"/>
                  <w:gridSpan w:val="2"/>
                  <w:vMerge w:val="restart"/>
                  <w:noWrap w:val="0"/>
                  <w:tcMar>
                    <w:top w:w="12" w:type="dxa"/>
                    <w:left w:w="12" w:type="dxa"/>
                    <w:right w:w="12" w:type="dxa"/>
                  </w:tcMar>
                  <w:vAlign w:val="center"/>
                </w:tcPr>
                <w:p w14:paraId="0AA33AC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污染因子</w:t>
                  </w:r>
                </w:p>
              </w:tc>
              <w:tc>
                <w:tcPr>
                  <w:tcW w:w="613" w:type="pct"/>
                  <w:gridSpan w:val="2"/>
                  <w:noWrap w:val="0"/>
                  <w:tcMar>
                    <w:top w:w="12" w:type="dxa"/>
                    <w:left w:w="12" w:type="dxa"/>
                    <w:right w:w="12" w:type="dxa"/>
                  </w:tcMar>
                  <w:vAlign w:val="center"/>
                </w:tcPr>
                <w:p w14:paraId="3E7AE58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产生量</w:t>
                  </w:r>
                </w:p>
              </w:tc>
              <w:tc>
                <w:tcPr>
                  <w:tcW w:w="662" w:type="pct"/>
                  <w:gridSpan w:val="2"/>
                  <w:noWrap w:val="0"/>
                  <w:tcMar>
                    <w:top w:w="12" w:type="dxa"/>
                    <w:left w:w="12" w:type="dxa"/>
                    <w:right w:w="12" w:type="dxa"/>
                  </w:tcMar>
                  <w:vAlign w:val="center"/>
                </w:tcPr>
                <w:p w14:paraId="06246C3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排放量</w:t>
                  </w:r>
                </w:p>
              </w:tc>
              <w:tc>
                <w:tcPr>
                  <w:tcW w:w="242" w:type="pct"/>
                  <w:noWrap w:val="0"/>
                  <w:tcMar>
                    <w:top w:w="12" w:type="dxa"/>
                    <w:left w:w="12" w:type="dxa"/>
                    <w:right w:w="12" w:type="dxa"/>
                  </w:tcMar>
                  <w:vAlign w:val="center"/>
                </w:tcPr>
                <w:p w14:paraId="427224C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面积</w:t>
                  </w:r>
                </w:p>
              </w:tc>
              <w:tc>
                <w:tcPr>
                  <w:tcW w:w="223" w:type="pct"/>
                  <w:noWrap w:val="0"/>
                  <w:tcMar>
                    <w:top w:w="12" w:type="dxa"/>
                    <w:left w:w="12" w:type="dxa"/>
                    <w:right w:w="12" w:type="dxa"/>
                  </w:tcMar>
                  <w:vAlign w:val="center"/>
                </w:tcPr>
                <w:p w14:paraId="3F17217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高度</w:t>
                  </w:r>
                </w:p>
              </w:tc>
              <w:tc>
                <w:tcPr>
                  <w:tcW w:w="1000" w:type="pct"/>
                  <w:gridSpan w:val="2"/>
                  <w:noWrap w:val="0"/>
                  <w:tcMar>
                    <w:top w:w="12" w:type="dxa"/>
                    <w:left w:w="12" w:type="dxa"/>
                    <w:right w:w="12" w:type="dxa"/>
                  </w:tcMar>
                  <w:vAlign w:val="center"/>
                </w:tcPr>
                <w:p w14:paraId="05E624D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执行标准</w:t>
                  </w:r>
                </w:p>
              </w:tc>
              <w:tc>
                <w:tcPr>
                  <w:tcW w:w="797" w:type="pct"/>
                  <w:gridSpan w:val="2"/>
                  <w:tcBorders>
                    <w:bottom w:val="single" w:color="auto" w:sz="4" w:space="0"/>
                  </w:tcBorders>
                  <w:noWrap w:val="0"/>
                  <w:tcMar>
                    <w:top w:w="12" w:type="dxa"/>
                    <w:left w:w="12" w:type="dxa"/>
                    <w:right w:w="12" w:type="dxa"/>
                  </w:tcMar>
                  <w:vAlign w:val="center"/>
                </w:tcPr>
                <w:p w14:paraId="58688AD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监测要求</w:t>
                  </w:r>
                </w:p>
              </w:tc>
              <w:tc>
                <w:tcPr>
                  <w:tcW w:w="196" w:type="pct"/>
                  <w:vMerge w:val="restart"/>
                  <w:noWrap w:val="0"/>
                  <w:tcMar>
                    <w:top w:w="12" w:type="dxa"/>
                    <w:left w:w="12" w:type="dxa"/>
                    <w:right w:w="12" w:type="dxa"/>
                  </w:tcMar>
                  <w:vAlign w:val="center"/>
                </w:tcPr>
                <w:p w14:paraId="4388081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备注</w:t>
                  </w:r>
                </w:p>
              </w:tc>
            </w:tr>
            <w:tr w14:paraId="6C0D29F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535" w:type="pct"/>
                  <w:vMerge w:val="continue"/>
                  <w:noWrap w:val="0"/>
                  <w:tcMar>
                    <w:top w:w="12" w:type="dxa"/>
                    <w:left w:w="12" w:type="dxa"/>
                    <w:right w:w="12" w:type="dxa"/>
                  </w:tcMar>
                  <w:vAlign w:val="center"/>
                </w:tcPr>
                <w:p w14:paraId="13903B7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c>
                <w:tcPr>
                  <w:tcW w:w="727" w:type="pct"/>
                  <w:gridSpan w:val="2"/>
                  <w:vMerge w:val="continue"/>
                  <w:noWrap w:val="0"/>
                  <w:tcMar>
                    <w:top w:w="12" w:type="dxa"/>
                    <w:left w:w="12" w:type="dxa"/>
                    <w:right w:w="12" w:type="dxa"/>
                  </w:tcMar>
                  <w:vAlign w:val="center"/>
                </w:tcPr>
                <w:p w14:paraId="4CAAA0A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c>
                <w:tcPr>
                  <w:tcW w:w="337" w:type="pct"/>
                  <w:noWrap w:val="0"/>
                  <w:tcMar>
                    <w:top w:w="12" w:type="dxa"/>
                    <w:left w:w="12" w:type="dxa"/>
                    <w:right w:w="12" w:type="dxa"/>
                  </w:tcMar>
                  <w:vAlign w:val="center"/>
                </w:tcPr>
                <w:p w14:paraId="6A79A8E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速率</w:t>
                  </w:r>
                </w:p>
                <w:p w14:paraId="4C845FC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kg/h</w:t>
                  </w:r>
                </w:p>
              </w:tc>
              <w:tc>
                <w:tcPr>
                  <w:tcW w:w="276" w:type="pct"/>
                  <w:noWrap w:val="0"/>
                  <w:tcMar>
                    <w:top w:w="12" w:type="dxa"/>
                    <w:left w:w="12" w:type="dxa"/>
                    <w:right w:w="12" w:type="dxa"/>
                  </w:tcMar>
                  <w:vAlign w:val="center"/>
                </w:tcPr>
                <w:p w14:paraId="3526278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产生量t/a</w:t>
                  </w:r>
                </w:p>
              </w:tc>
              <w:tc>
                <w:tcPr>
                  <w:tcW w:w="337" w:type="pct"/>
                  <w:noWrap w:val="0"/>
                  <w:tcMar>
                    <w:top w:w="12" w:type="dxa"/>
                    <w:left w:w="12" w:type="dxa"/>
                    <w:right w:w="12" w:type="dxa"/>
                  </w:tcMar>
                  <w:vAlign w:val="center"/>
                </w:tcPr>
                <w:p w14:paraId="3C0A2AC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速率</w:t>
                  </w:r>
                </w:p>
                <w:p w14:paraId="4CE7B07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kg/h</w:t>
                  </w:r>
                </w:p>
              </w:tc>
              <w:tc>
                <w:tcPr>
                  <w:tcW w:w="325" w:type="pct"/>
                  <w:noWrap w:val="0"/>
                  <w:tcMar>
                    <w:top w:w="12" w:type="dxa"/>
                    <w:left w:w="12" w:type="dxa"/>
                    <w:right w:w="12" w:type="dxa"/>
                  </w:tcMar>
                  <w:vAlign w:val="center"/>
                </w:tcPr>
                <w:p w14:paraId="2FD5BAB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排放量</w:t>
                  </w:r>
                </w:p>
                <w:p w14:paraId="6D013B3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t/a</w:t>
                  </w:r>
                </w:p>
              </w:tc>
              <w:tc>
                <w:tcPr>
                  <w:tcW w:w="242" w:type="pct"/>
                  <w:noWrap w:val="0"/>
                  <w:tcMar>
                    <w:top w:w="12" w:type="dxa"/>
                    <w:left w:w="12" w:type="dxa"/>
                    <w:right w:w="12" w:type="dxa"/>
                  </w:tcMar>
                  <w:vAlign w:val="center"/>
                </w:tcPr>
                <w:p w14:paraId="6C97269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m</w:t>
                  </w:r>
                  <w:r>
                    <w:rPr>
                      <w:rFonts w:hint="eastAsia" w:ascii="Times New Roman" w:hAnsi="Times New Roman" w:eastAsia="宋体" w:cs="宋体"/>
                      <w:color w:val="000000" w:themeColor="text1"/>
                      <w:sz w:val="21"/>
                      <w:szCs w:val="21"/>
                      <w:vertAlign w:val="superscript"/>
                      <w:lang w:val="en-US" w:eastAsia="zh-CN" w:bidi="ar-SA"/>
                      <w14:textFill>
                        <w14:solidFill>
                          <w14:schemeClr w14:val="tx1"/>
                        </w14:solidFill>
                      </w14:textFill>
                    </w:rPr>
                    <w:t>2</w:t>
                  </w:r>
                </w:p>
              </w:tc>
              <w:tc>
                <w:tcPr>
                  <w:tcW w:w="223" w:type="pct"/>
                  <w:noWrap w:val="0"/>
                  <w:tcMar>
                    <w:top w:w="12" w:type="dxa"/>
                    <w:left w:w="12" w:type="dxa"/>
                    <w:right w:w="12" w:type="dxa"/>
                  </w:tcMar>
                  <w:vAlign w:val="center"/>
                </w:tcPr>
                <w:p w14:paraId="4FF96F7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m</w:t>
                  </w:r>
                </w:p>
              </w:tc>
              <w:tc>
                <w:tcPr>
                  <w:tcW w:w="563" w:type="pct"/>
                  <w:noWrap w:val="0"/>
                  <w:tcMar>
                    <w:top w:w="12" w:type="dxa"/>
                    <w:left w:w="12" w:type="dxa"/>
                    <w:right w:w="12" w:type="dxa"/>
                  </w:tcMar>
                  <w:vAlign w:val="center"/>
                </w:tcPr>
                <w:p w14:paraId="6528818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标准名称</w:t>
                  </w:r>
                </w:p>
              </w:tc>
              <w:tc>
                <w:tcPr>
                  <w:tcW w:w="437" w:type="pct"/>
                  <w:noWrap w:val="0"/>
                  <w:tcMar>
                    <w:top w:w="12" w:type="dxa"/>
                    <w:left w:w="12" w:type="dxa"/>
                    <w:right w:w="12" w:type="dxa"/>
                  </w:tcMar>
                  <w:vAlign w:val="center"/>
                </w:tcPr>
                <w:p w14:paraId="3B755BE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限值要求</w:t>
                  </w:r>
                </w:p>
              </w:tc>
              <w:tc>
                <w:tcPr>
                  <w:tcW w:w="397" w:type="pct"/>
                  <w:tcBorders>
                    <w:top w:val="single" w:color="auto" w:sz="4" w:space="0"/>
                  </w:tcBorders>
                  <w:noWrap w:val="0"/>
                  <w:tcMar>
                    <w:top w:w="12" w:type="dxa"/>
                    <w:left w:w="12" w:type="dxa"/>
                    <w:right w:w="12" w:type="dxa"/>
                  </w:tcMar>
                  <w:vAlign w:val="center"/>
                </w:tcPr>
                <w:p w14:paraId="56B3E66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地点</w:t>
                  </w:r>
                </w:p>
              </w:tc>
              <w:tc>
                <w:tcPr>
                  <w:tcW w:w="400" w:type="pct"/>
                  <w:noWrap w:val="0"/>
                  <w:tcMar>
                    <w:top w:w="12" w:type="dxa"/>
                    <w:left w:w="12" w:type="dxa"/>
                    <w:right w:w="12" w:type="dxa"/>
                  </w:tcMar>
                  <w:vAlign w:val="center"/>
                </w:tcPr>
                <w:p w14:paraId="3DAE5FE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频次</w:t>
                  </w:r>
                </w:p>
              </w:tc>
              <w:tc>
                <w:tcPr>
                  <w:tcW w:w="196" w:type="pct"/>
                  <w:vMerge w:val="continue"/>
                  <w:noWrap w:val="0"/>
                  <w:tcMar>
                    <w:top w:w="12" w:type="dxa"/>
                    <w:left w:w="12" w:type="dxa"/>
                    <w:right w:w="12" w:type="dxa"/>
                  </w:tcMar>
                  <w:vAlign w:val="center"/>
                </w:tcPr>
                <w:p w14:paraId="2137AAF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r>
            <w:tr w14:paraId="70FEBF4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535" w:type="pct"/>
                  <w:noWrap/>
                  <w:tcMar>
                    <w:top w:w="12" w:type="dxa"/>
                    <w:left w:w="12" w:type="dxa"/>
                    <w:right w:w="12" w:type="dxa"/>
                  </w:tcMar>
                  <w:vAlign w:val="center"/>
                </w:tcPr>
                <w:p w14:paraId="1AC7621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2#厂房</w:t>
                  </w:r>
                </w:p>
              </w:tc>
              <w:tc>
                <w:tcPr>
                  <w:tcW w:w="434" w:type="pct"/>
                  <w:noWrap/>
                  <w:tcMar>
                    <w:top w:w="12" w:type="dxa"/>
                    <w:left w:w="12" w:type="dxa"/>
                    <w:right w:w="12" w:type="dxa"/>
                  </w:tcMar>
                  <w:vAlign w:val="center"/>
                </w:tcPr>
                <w:p w14:paraId="75EA3F8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G2未收集</w:t>
                  </w:r>
                </w:p>
              </w:tc>
              <w:tc>
                <w:tcPr>
                  <w:tcW w:w="293" w:type="pct"/>
                  <w:noWrap/>
                  <w:tcMar>
                    <w:top w:w="12" w:type="dxa"/>
                    <w:left w:w="12" w:type="dxa"/>
                    <w:right w:w="12" w:type="dxa"/>
                  </w:tcMar>
                  <w:vAlign w:val="center"/>
                </w:tcPr>
                <w:p w14:paraId="14AD9C5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颗粒物</w:t>
                  </w:r>
                </w:p>
              </w:tc>
              <w:tc>
                <w:tcPr>
                  <w:tcW w:w="941" w:type="dxa"/>
                  <w:noWrap/>
                  <w:tcMar>
                    <w:top w:w="12" w:type="dxa"/>
                    <w:left w:w="12" w:type="dxa"/>
                    <w:right w:w="12" w:type="dxa"/>
                  </w:tcMar>
                  <w:vAlign w:val="center"/>
                </w:tcPr>
                <w:p w14:paraId="051CDAA2">
                  <w:pPr>
                    <w:keepNext w:val="0"/>
                    <w:keepLines w:val="0"/>
                    <w:widowControl/>
                    <w:suppressLineNumbers w:val="0"/>
                    <w:jc w:val="center"/>
                    <w:textAlignment w:val="cente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3.887</w:t>
                  </w:r>
                </w:p>
              </w:tc>
              <w:tc>
                <w:tcPr>
                  <w:tcW w:w="771" w:type="dxa"/>
                  <w:noWrap/>
                  <w:tcMar>
                    <w:top w:w="12" w:type="dxa"/>
                    <w:left w:w="12" w:type="dxa"/>
                    <w:right w:w="12" w:type="dxa"/>
                  </w:tcMar>
                  <w:vAlign w:val="center"/>
                </w:tcPr>
                <w:p w14:paraId="75EDB339">
                  <w:pPr>
                    <w:keepNext w:val="0"/>
                    <w:keepLines w:val="0"/>
                    <w:widowControl/>
                    <w:suppressLineNumbers w:val="0"/>
                    <w:jc w:val="center"/>
                    <w:textAlignment w:val="cente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9.328</w:t>
                  </w:r>
                </w:p>
              </w:tc>
              <w:tc>
                <w:tcPr>
                  <w:tcW w:w="941" w:type="dxa"/>
                  <w:noWrap/>
                  <w:tcMar>
                    <w:top w:w="12" w:type="dxa"/>
                    <w:left w:w="12" w:type="dxa"/>
                    <w:right w:w="12" w:type="dxa"/>
                  </w:tcMar>
                  <w:vAlign w:val="center"/>
                </w:tcPr>
                <w:p w14:paraId="525F857C">
                  <w:pPr>
                    <w:keepNext w:val="0"/>
                    <w:keepLines w:val="0"/>
                    <w:widowControl/>
                    <w:suppressLineNumbers w:val="0"/>
                    <w:jc w:val="center"/>
                    <w:textAlignment w:val="cente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0.389</w:t>
                  </w:r>
                </w:p>
              </w:tc>
              <w:tc>
                <w:tcPr>
                  <w:tcW w:w="908" w:type="dxa"/>
                  <w:noWrap/>
                  <w:tcMar>
                    <w:top w:w="12" w:type="dxa"/>
                    <w:left w:w="12" w:type="dxa"/>
                    <w:right w:w="12" w:type="dxa"/>
                  </w:tcMar>
                  <w:vAlign w:val="center"/>
                </w:tcPr>
                <w:p w14:paraId="4F8C6F6C">
                  <w:pPr>
                    <w:keepNext w:val="0"/>
                    <w:keepLines w:val="0"/>
                    <w:widowControl/>
                    <w:suppressLineNumbers w:val="0"/>
                    <w:jc w:val="center"/>
                    <w:textAlignment w:val="cente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0.933</w:t>
                  </w:r>
                </w:p>
              </w:tc>
              <w:tc>
                <w:tcPr>
                  <w:tcW w:w="242" w:type="pct"/>
                  <w:noWrap/>
                  <w:tcMar>
                    <w:top w:w="12" w:type="dxa"/>
                    <w:left w:w="12" w:type="dxa"/>
                    <w:right w:w="12" w:type="dxa"/>
                  </w:tcMar>
                  <w:vAlign w:val="center"/>
                </w:tcPr>
                <w:p w14:paraId="507868F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3213</w:t>
                  </w:r>
                </w:p>
              </w:tc>
              <w:tc>
                <w:tcPr>
                  <w:tcW w:w="223" w:type="pct"/>
                  <w:noWrap/>
                  <w:tcMar>
                    <w:top w:w="12" w:type="dxa"/>
                    <w:left w:w="12" w:type="dxa"/>
                    <w:right w:w="12" w:type="dxa"/>
                  </w:tcMar>
                  <w:vAlign w:val="center"/>
                </w:tcPr>
                <w:p w14:paraId="06621C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s="宋体"/>
                      <w:color w:val="000000" w:themeColor="text1"/>
                      <w:sz w:val="21"/>
                      <w:szCs w:val="21"/>
                      <w:lang w:val="en-US" w:eastAsia="zh-CN" w:bidi="ar-SA"/>
                      <w14:textFill>
                        <w14:solidFill>
                          <w14:schemeClr w14:val="tx1"/>
                        </w14:solidFill>
                      </w14:textFill>
                    </w:rPr>
                    <w:t>12</w:t>
                  </w:r>
                </w:p>
              </w:tc>
              <w:tc>
                <w:tcPr>
                  <w:tcW w:w="563" w:type="pct"/>
                  <w:noWrap/>
                  <w:tcMar>
                    <w:top w:w="12" w:type="dxa"/>
                    <w:left w:w="12" w:type="dxa"/>
                    <w:right w:w="12" w:type="dxa"/>
                  </w:tcMar>
                  <w:vAlign w:val="center"/>
                </w:tcPr>
                <w:p w14:paraId="3B2F1C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s="Times New Roman"/>
                      <w:color w:val="auto"/>
                      <w:kern w:val="0"/>
                      <w:sz w:val="21"/>
                      <w:szCs w:val="21"/>
                      <w:lang w:val="en-US" w:eastAsia="zh-CN"/>
                    </w:rPr>
                    <w:t>GB16297-1996</w:t>
                  </w:r>
                </w:p>
              </w:tc>
              <w:tc>
                <w:tcPr>
                  <w:tcW w:w="437" w:type="pct"/>
                  <w:noWrap/>
                  <w:tcMar>
                    <w:top w:w="12" w:type="dxa"/>
                    <w:left w:w="12" w:type="dxa"/>
                    <w:right w:w="12" w:type="dxa"/>
                  </w:tcMar>
                  <w:vAlign w:val="center"/>
                </w:tcPr>
                <w:p w14:paraId="6C131B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1.0</w:t>
                  </w:r>
                </w:p>
              </w:tc>
              <w:tc>
                <w:tcPr>
                  <w:tcW w:w="397" w:type="pct"/>
                  <w:noWrap/>
                  <w:tcMar>
                    <w:top w:w="12" w:type="dxa"/>
                    <w:left w:w="12" w:type="dxa"/>
                    <w:right w:w="12" w:type="dxa"/>
                  </w:tcMar>
                  <w:vAlign w:val="center"/>
                </w:tcPr>
                <w:p w14:paraId="0031DAE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企业边界</w:t>
                  </w:r>
                </w:p>
              </w:tc>
              <w:tc>
                <w:tcPr>
                  <w:tcW w:w="400" w:type="pct"/>
                  <w:noWrap/>
                  <w:tcMar>
                    <w:top w:w="12" w:type="dxa"/>
                    <w:left w:w="12" w:type="dxa"/>
                    <w:right w:w="12" w:type="dxa"/>
                  </w:tcMar>
                  <w:vAlign w:val="center"/>
                </w:tcPr>
                <w:p w14:paraId="18EE531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1"/>
                      <w:lang w:val="en-US" w:eastAsia="zh-CN" w:bidi="ar-SA"/>
                      <w14:textFill>
                        <w14:solidFill>
                          <w14:schemeClr w14:val="tx1"/>
                        </w14:solidFill>
                      </w14:textFill>
                    </w:rPr>
                    <w:t>1次/年</w:t>
                  </w:r>
                </w:p>
              </w:tc>
              <w:tc>
                <w:tcPr>
                  <w:tcW w:w="196" w:type="pct"/>
                  <w:noWrap/>
                  <w:tcMar>
                    <w:top w:w="12" w:type="dxa"/>
                    <w:left w:w="12" w:type="dxa"/>
                    <w:right w:w="12" w:type="dxa"/>
                  </w:tcMar>
                  <w:vAlign w:val="center"/>
                </w:tcPr>
                <w:p w14:paraId="0D8F01F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宋体"/>
                      <w:color w:val="000000" w:themeColor="text1"/>
                      <w:sz w:val="21"/>
                      <w:szCs w:val="21"/>
                      <w:lang w:val="en-US" w:eastAsia="zh-CN" w:bidi="ar-SA"/>
                      <w14:textFill>
                        <w14:solidFill>
                          <w14:schemeClr w14:val="tx1"/>
                        </w14:solidFill>
                      </w14:textFill>
                    </w:rPr>
                  </w:pPr>
                </w:p>
              </w:tc>
            </w:tr>
          </w:tbl>
          <w:p w14:paraId="2535ACF1">
            <w:pPr>
              <w:pStyle w:val="44"/>
              <w:keepNext/>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rPr>
                <w:rFonts w:hint="default" w:ascii="Times New Roman" w:hAnsi="Times New Roman" w:cs="Times New Roman"/>
                <w:color w:val="000000" w:themeColor="text1"/>
                <w:lang w:val="en-US" w:eastAsia="zh-CN" w:bidi="ar-SA"/>
                <w14:textFill>
                  <w14:solidFill>
                    <w14:schemeClr w14:val="tx1"/>
                  </w14:solidFill>
                </w14:textFill>
              </w:rPr>
            </w:pPr>
            <w:r>
              <w:rPr>
                <w:rFonts w:hint="default" w:ascii="Times New Roman" w:hAnsi="Times New Roman" w:cs="Times New Roman"/>
                <w:color w:val="000000" w:themeColor="text1"/>
                <w:lang w:val="en-US" w:eastAsia="zh-CN" w:bidi="ar-SA"/>
                <w14:textFill>
                  <w14:solidFill>
                    <w14:schemeClr w14:val="tx1"/>
                  </w14:solidFill>
                </w14:textFill>
              </w:rPr>
              <w:t xml:space="preserve">表 </w:t>
            </w:r>
            <w:r>
              <w:rPr>
                <w:rFonts w:hint="default" w:ascii="Times New Roman" w:hAnsi="Times New Roman" w:cs="Times New Roman"/>
                <w:color w:val="000000" w:themeColor="text1"/>
                <w:lang w:val="en-US" w:eastAsia="zh-CN" w:bidi="ar-SA"/>
                <w14:textFill>
                  <w14:solidFill>
                    <w14:schemeClr w14:val="tx1"/>
                  </w14:solidFill>
                </w14:textFill>
              </w:rPr>
              <w:fldChar w:fldCharType="begin"/>
            </w:r>
            <w:r>
              <w:rPr>
                <w:rFonts w:hint="default" w:ascii="Times New Roman" w:hAnsi="Times New Roman" w:cs="Times New Roman"/>
                <w:color w:val="000000" w:themeColor="text1"/>
                <w:lang w:val="en-US" w:eastAsia="zh-CN" w:bidi="ar-SA"/>
                <w14:textFill>
                  <w14:solidFill>
                    <w14:schemeClr w14:val="tx1"/>
                  </w14:solidFill>
                </w14:textFill>
              </w:rPr>
              <w:instrText xml:space="preserve"> STYLEREF 1 \s </w:instrText>
            </w:r>
            <w:r>
              <w:rPr>
                <w:rFonts w:hint="default" w:ascii="Times New Roman" w:hAnsi="Times New Roman" w:cs="Times New Roman"/>
                <w:color w:val="000000" w:themeColor="text1"/>
                <w:lang w:val="en-US" w:eastAsia="zh-CN" w:bidi="ar-SA"/>
                <w14:textFill>
                  <w14:solidFill>
                    <w14:schemeClr w14:val="tx1"/>
                  </w14:solidFill>
                </w14:textFill>
              </w:rPr>
              <w:fldChar w:fldCharType="separate"/>
            </w:r>
            <w:r>
              <w:rPr>
                <w:rFonts w:hint="default" w:ascii="Times New Roman" w:hAnsi="Times New Roman" w:cs="Times New Roman"/>
                <w:color w:val="000000" w:themeColor="text1"/>
                <w:lang w:val="en-US" w:eastAsia="zh-CN" w:bidi="ar-SA"/>
                <w14:textFill>
                  <w14:solidFill>
                    <w14:schemeClr w14:val="tx1"/>
                  </w14:solidFill>
                </w14:textFill>
              </w:rPr>
              <w:t>4</w:t>
            </w:r>
            <w:r>
              <w:rPr>
                <w:rFonts w:hint="default" w:ascii="Times New Roman" w:hAnsi="Times New Roman" w:cs="Times New Roman"/>
                <w:color w:val="000000" w:themeColor="text1"/>
                <w:lang w:val="en-US" w:eastAsia="zh-CN" w:bidi="ar-SA"/>
                <w14:textFill>
                  <w14:solidFill>
                    <w14:schemeClr w14:val="tx1"/>
                  </w14:solidFill>
                </w14:textFill>
              </w:rPr>
              <w:fldChar w:fldCharType="end"/>
            </w:r>
            <w:r>
              <w:rPr>
                <w:rFonts w:hint="default" w:ascii="Times New Roman" w:hAnsi="Times New Roman" w:cs="Times New Roman"/>
                <w:color w:val="000000" w:themeColor="text1"/>
                <w:lang w:val="en-US" w:eastAsia="zh-CN" w:bidi="ar-SA"/>
                <w14:textFill>
                  <w14:solidFill>
                    <w14:schemeClr w14:val="tx1"/>
                  </w14:solidFill>
                </w14:textFill>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themeColor="text1"/>
                <w:lang w:val="en-US" w:eastAsia="zh-CN" w:bidi="ar-SA"/>
                <w14:textFill>
                  <w14:solidFill>
                    <w14:schemeClr w14:val="tx1"/>
                  </w14:solidFill>
                </w14:textFill>
              </w:rPr>
              <w:t xml:space="preserve">  </w:t>
            </w:r>
            <w:r>
              <w:rPr>
                <w:rFonts w:hint="eastAsia" w:ascii="Times New Roman" w:hAnsi="Times New Roman" w:cs="Times New Roman"/>
                <w:color w:val="000000" w:themeColor="text1"/>
                <w:lang w:val="en-US" w:eastAsia="zh-CN" w:bidi="ar-SA"/>
                <w14:textFill>
                  <w14:solidFill>
                    <w14:schemeClr w14:val="tx1"/>
                  </w14:solidFill>
                </w14:textFill>
              </w:rPr>
              <w:t>本项目</w:t>
            </w:r>
            <w:r>
              <w:rPr>
                <w:rFonts w:hint="default" w:ascii="Times New Roman" w:hAnsi="Times New Roman" w:cs="Times New Roman"/>
                <w:color w:val="000000" w:themeColor="text1"/>
                <w:lang w:val="en-US" w:eastAsia="zh-CN" w:bidi="ar-SA"/>
                <w14:textFill>
                  <w14:solidFill>
                    <w14:schemeClr w14:val="tx1"/>
                  </w14:solidFill>
                </w14:textFill>
              </w:rPr>
              <w:t>实施后废气排放</w:t>
            </w:r>
            <w:r>
              <w:rPr>
                <w:rFonts w:hint="default" w:ascii="Times New Roman" w:hAnsi="Times New Roman" w:cs="Times New Roman"/>
                <w:color w:val="000000" w:themeColor="text1"/>
                <w:highlight w:val="none"/>
                <w:lang w:val="en-US" w:eastAsia="zh-CN" w:bidi="ar-SA"/>
                <w14:textFill>
                  <w14:solidFill>
                    <w14:schemeClr w14:val="tx1"/>
                  </w14:solidFill>
                </w14:textFill>
              </w:rPr>
              <w:t>汇总</w:t>
            </w:r>
          </w:p>
          <w:tbl>
            <w:tblPr>
              <w:tblStyle w:val="23"/>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2831"/>
              <w:gridCol w:w="1420"/>
              <w:gridCol w:w="2247"/>
              <w:gridCol w:w="2243"/>
              <w:gridCol w:w="1894"/>
              <w:gridCol w:w="1893"/>
            </w:tblGrid>
            <w:tr w14:paraId="01FE26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8" w:type="dxa"/>
                  <w:tcBorders>
                    <w:tl2br w:val="nil"/>
                    <w:tr2bl w:val="nil"/>
                  </w:tcBorders>
                  <w:noWrap w:val="0"/>
                  <w:vAlign w:val="center"/>
                </w:tcPr>
                <w:p w14:paraId="6DC4BC85">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序号</w:t>
                  </w:r>
                </w:p>
              </w:tc>
              <w:tc>
                <w:tcPr>
                  <w:tcW w:w="2831" w:type="dxa"/>
                  <w:tcBorders>
                    <w:tl2br w:val="nil"/>
                    <w:tr2bl w:val="nil"/>
                  </w:tcBorders>
                  <w:noWrap w:val="0"/>
                  <w:vAlign w:val="center"/>
                </w:tcPr>
                <w:p w14:paraId="038AAF33">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污染物名称</w:t>
                  </w:r>
                </w:p>
              </w:tc>
              <w:tc>
                <w:tcPr>
                  <w:tcW w:w="1420" w:type="dxa"/>
                  <w:tcBorders>
                    <w:tl2br w:val="nil"/>
                    <w:tr2bl w:val="nil"/>
                  </w:tcBorders>
                  <w:noWrap w:val="0"/>
                  <w:vAlign w:val="center"/>
                </w:tcPr>
                <w:p w14:paraId="5A052EE0">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单位</w:t>
                  </w:r>
                </w:p>
              </w:tc>
              <w:tc>
                <w:tcPr>
                  <w:tcW w:w="2247" w:type="dxa"/>
                  <w:tcBorders>
                    <w:tl2br w:val="nil"/>
                    <w:tr2bl w:val="nil"/>
                  </w:tcBorders>
                  <w:noWrap w:val="0"/>
                  <w:vAlign w:val="center"/>
                </w:tcPr>
                <w:p w14:paraId="73F2A555">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产生量</w:t>
                  </w:r>
                </w:p>
              </w:tc>
              <w:tc>
                <w:tcPr>
                  <w:tcW w:w="2243" w:type="dxa"/>
                  <w:tcBorders>
                    <w:tl2br w:val="nil"/>
                    <w:tr2bl w:val="nil"/>
                  </w:tcBorders>
                  <w:noWrap w:val="0"/>
                  <w:vAlign w:val="center"/>
                </w:tcPr>
                <w:p w14:paraId="6F6F4384">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削减量</w:t>
                  </w:r>
                </w:p>
              </w:tc>
              <w:tc>
                <w:tcPr>
                  <w:tcW w:w="1894" w:type="dxa"/>
                  <w:tcBorders>
                    <w:tl2br w:val="nil"/>
                    <w:tr2bl w:val="nil"/>
                  </w:tcBorders>
                  <w:noWrap w:val="0"/>
                  <w:vAlign w:val="center"/>
                </w:tcPr>
                <w:p w14:paraId="771F57D3">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排放量</w:t>
                  </w:r>
                </w:p>
              </w:tc>
              <w:tc>
                <w:tcPr>
                  <w:tcW w:w="1893" w:type="dxa"/>
                  <w:tcBorders>
                    <w:tl2br w:val="nil"/>
                    <w:tr2bl w:val="nil"/>
                  </w:tcBorders>
                  <w:noWrap w:val="0"/>
                  <w:vAlign w:val="center"/>
                </w:tcPr>
                <w:p w14:paraId="486A1A83">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备注</w:t>
                  </w:r>
                </w:p>
              </w:tc>
            </w:tr>
            <w:tr w14:paraId="658DCF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8" w:type="dxa"/>
                  <w:vMerge w:val="restart"/>
                  <w:tcBorders>
                    <w:tl2br w:val="nil"/>
                    <w:tr2bl w:val="nil"/>
                  </w:tcBorders>
                  <w:noWrap w:val="0"/>
                  <w:vAlign w:val="center"/>
                </w:tcPr>
                <w:p w14:paraId="54C41F0B">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w:t>
                  </w:r>
                </w:p>
              </w:tc>
              <w:tc>
                <w:tcPr>
                  <w:tcW w:w="2831" w:type="dxa"/>
                  <w:vMerge w:val="restart"/>
                  <w:tcBorders>
                    <w:tl2br w:val="nil"/>
                    <w:tr2bl w:val="nil"/>
                  </w:tcBorders>
                  <w:noWrap w:val="0"/>
                  <w:vAlign w:val="center"/>
                </w:tcPr>
                <w:p w14:paraId="5F1D417D">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颗粒物</w:t>
                  </w:r>
                </w:p>
              </w:tc>
              <w:tc>
                <w:tcPr>
                  <w:tcW w:w="1420" w:type="dxa"/>
                  <w:tcBorders>
                    <w:tl2br w:val="nil"/>
                    <w:tr2bl w:val="nil"/>
                  </w:tcBorders>
                  <w:noWrap w:val="0"/>
                  <w:vAlign w:val="center"/>
                </w:tcPr>
                <w:p w14:paraId="1F19D270">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t/a</w:t>
                  </w:r>
                </w:p>
              </w:tc>
              <w:tc>
                <w:tcPr>
                  <w:tcW w:w="2247" w:type="dxa"/>
                  <w:tcBorders>
                    <w:tl2br w:val="nil"/>
                    <w:tr2bl w:val="nil"/>
                  </w:tcBorders>
                  <w:noWrap w:val="0"/>
                  <w:vAlign w:val="center"/>
                </w:tcPr>
                <w:p w14:paraId="0D140828">
                  <w:pPr>
                    <w:keepNext w:val="0"/>
                    <w:keepLines w:val="0"/>
                    <w:widowControl/>
                    <w:suppressLineNumbers w:val="0"/>
                    <w:jc w:val="center"/>
                    <w:textAlignment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84.003</w:t>
                  </w:r>
                </w:p>
              </w:tc>
              <w:tc>
                <w:tcPr>
                  <w:tcW w:w="2243" w:type="dxa"/>
                  <w:tcBorders>
                    <w:tl2br w:val="nil"/>
                    <w:tr2bl w:val="nil"/>
                  </w:tcBorders>
                  <w:noWrap w:val="0"/>
                  <w:vAlign w:val="center"/>
                </w:tcPr>
                <w:p w14:paraId="1306AE55">
                  <w:pPr>
                    <w:keepNext w:val="0"/>
                    <w:keepLines w:val="0"/>
                    <w:widowControl/>
                    <w:suppressLineNumbers w:val="0"/>
                    <w:jc w:val="center"/>
                    <w:textAlignment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83.112</w:t>
                  </w:r>
                </w:p>
              </w:tc>
              <w:tc>
                <w:tcPr>
                  <w:tcW w:w="1894" w:type="dxa"/>
                  <w:tcBorders>
                    <w:tl2br w:val="nil"/>
                    <w:tr2bl w:val="nil"/>
                  </w:tcBorders>
                  <w:noWrap w:val="0"/>
                  <w:vAlign w:val="center"/>
                </w:tcPr>
                <w:p w14:paraId="2059DDF5">
                  <w:pPr>
                    <w:keepNext w:val="0"/>
                    <w:keepLines w:val="0"/>
                    <w:widowControl/>
                    <w:suppressLineNumbers w:val="0"/>
                    <w:jc w:val="center"/>
                    <w:textAlignment w:val="center"/>
                    <w:rPr>
                      <w:rFonts w:hint="default" w:ascii="Times New Roman" w:hAnsi="Times New Roman" w:eastAsia="宋体" w:cs="宋体"/>
                      <w:color w:val="000000" w:themeColor="text1"/>
                      <w:sz w:val="21"/>
                      <w:lang w:val="en-US" w:eastAsia="zh-CN"/>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0.891</w:t>
                  </w:r>
                </w:p>
              </w:tc>
              <w:tc>
                <w:tcPr>
                  <w:tcW w:w="1893" w:type="dxa"/>
                  <w:tcBorders>
                    <w:tl2br w:val="nil"/>
                    <w:tr2bl w:val="nil"/>
                  </w:tcBorders>
                  <w:noWrap w:val="0"/>
                  <w:vAlign w:val="center"/>
                </w:tcPr>
                <w:p w14:paraId="7E73C8E1">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有组织</w:t>
                  </w:r>
                </w:p>
              </w:tc>
            </w:tr>
            <w:tr w14:paraId="32274D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8" w:type="dxa"/>
                  <w:vMerge w:val="continue"/>
                  <w:tcBorders>
                    <w:tl2br w:val="nil"/>
                    <w:tr2bl w:val="nil"/>
                  </w:tcBorders>
                  <w:noWrap w:val="0"/>
                  <w:vAlign w:val="center"/>
                </w:tcPr>
                <w:p w14:paraId="2828E528">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p>
              </w:tc>
              <w:tc>
                <w:tcPr>
                  <w:tcW w:w="2831" w:type="dxa"/>
                  <w:vMerge w:val="continue"/>
                  <w:tcBorders>
                    <w:tl2br w:val="nil"/>
                    <w:tr2bl w:val="nil"/>
                  </w:tcBorders>
                  <w:noWrap w:val="0"/>
                  <w:vAlign w:val="center"/>
                </w:tcPr>
                <w:p w14:paraId="1EADFB3F">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1420" w:type="dxa"/>
                  <w:tcBorders>
                    <w:tl2br w:val="nil"/>
                    <w:tr2bl w:val="nil"/>
                  </w:tcBorders>
                  <w:noWrap w:val="0"/>
                  <w:vAlign w:val="center"/>
                </w:tcPr>
                <w:p w14:paraId="0E90D834">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t/a</w:t>
                  </w:r>
                </w:p>
              </w:tc>
              <w:tc>
                <w:tcPr>
                  <w:tcW w:w="2247" w:type="dxa"/>
                  <w:tcBorders>
                    <w:tl2br w:val="nil"/>
                    <w:tr2bl w:val="nil"/>
                  </w:tcBorders>
                  <w:noWrap w:val="0"/>
                  <w:vAlign w:val="center"/>
                </w:tcPr>
                <w:p w14:paraId="1806F556">
                  <w:pPr>
                    <w:keepNext w:val="0"/>
                    <w:keepLines w:val="0"/>
                    <w:widowControl/>
                    <w:suppressLineNumbers w:val="0"/>
                    <w:jc w:val="center"/>
                    <w:textAlignment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9.328</w:t>
                  </w:r>
                </w:p>
              </w:tc>
              <w:tc>
                <w:tcPr>
                  <w:tcW w:w="2243" w:type="dxa"/>
                  <w:tcBorders>
                    <w:tl2br w:val="nil"/>
                    <w:tr2bl w:val="nil"/>
                  </w:tcBorders>
                  <w:noWrap w:val="0"/>
                  <w:vAlign w:val="center"/>
                </w:tcPr>
                <w:p w14:paraId="4F0A65BC">
                  <w:pPr>
                    <w:keepNext w:val="0"/>
                    <w:keepLines w:val="0"/>
                    <w:widowControl/>
                    <w:suppressLineNumbers w:val="0"/>
                    <w:jc w:val="center"/>
                    <w:textAlignment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8.395</w:t>
                  </w:r>
                </w:p>
              </w:tc>
              <w:tc>
                <w:tcPr>
                  <w:tcW w:w="1894" w:type="dxa"/>
                  <w:tcBorders>
                    <w:tl2br w:val="nil"/>
                    <w:tr2bl w:val="nil"/>
                  </w:tcBorders>
                  <w:noWrap w:val="0"/>
                  <w:vAlign w:val="center"/>
                </w:tcPr>
                <w:p w14:paraId="5F12E99A">
                  <w:pPr>
                    <w:keepNext w:val="0"/>
                    <w:keepLines w:val="0"/>
                    <w:widowControl/>
                    <w:suppressLineNumbers w:val="0"/>
                    <w:jc w:val="center"/>
                    <w:textAlignment w:val="center"/>
                    <w:rPr>
                      <w:rFonts w:hint="default" w:cs="Times New Roman"/>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0.933</w:t>
                  </w:r>
                </w:p>
              </w:tc>
              <w:tc>
                <w:tcPr>
                  <w:tcW w:w="1893" w:type="dxa"/>
                  <w:tcBorders>
                    <w:tl2br w:val="nil"/>
                    <w:tr2bl w:val="nil"/>
                  </w:tcBorders>
                  <w:noWrap w:val="0"/>
                  <w:vAlign w:val="center"/>
                </w:tcPr>
                <w:p w14:paraId="6A0B21C8">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无组织</w:t>
                  </w:r>
                </w:p>
              </w:tc>
            </w:tr>
            <w:tr w14:paraId="7F43D9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8" w:type="dxa"/>
                  <w:vMerge w:val="continue"/>
                  <w:tcBorders>
                    <w:tl2br w:val="nil"/>
                    <w:tr2bl w:val="nil"/>
                  </w:tcBorders>
                  <w:noWrap w:val="0"/>
                  <w:vAlign w:val="center"/>
                </w:tcPr>
                <w:p w14:paraId="13DE6F46">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p>
              </w:tc>
              <w:tc>
                <w:tcPr>
                  <w:tcW w:w="2831" w:type="dxa"/>
                  <w:vMerge w:val="continue"/>
                  <w:tcBorders>
                    <w:tl2br w:val="nil"/>
                    <w:tr2bl w:val="nil"/>
                  </w:tcBorders>
                  <w:noWrap w:val="0"/>
                  <w:vAlign w:val="center"/>
                </w:tcPr>
                <w:p w14:paraId="34A1845C">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eastAsia="zh-CN"/>
                      <w14:textFill>
                        <w14:solidFill>
                          <w14:schemeClr w14:val="tx1"/>
                        </w14:solidFill>
                      </w14:textFill>
                    </w:rPr>
                  </w:pPr>
                </w:p>
              </w:tc>
              <w:tc>
                <w:tcPr>
                  <w:tcW w:w="1420" w:type="dxa"/>
                  <w:tcBorders>
                    <w:tl2br w:val="nil"/>
                    <w:tr2bl w:val="nil"/>
                  </w:tcBorders>
                  <w:noWrap w:val="0"/>
                  <w:vAlign w:val="center"/>
                </w:tcPr>
                <w:p w14:paraId="34797760">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t/a</w:t>
                  </w:r>
                </w:p>
              </w:tc>
              <w:tc>
                <w:tcPr>
                  <w:tcW w:w="2247" w:type="dxa"/>
                  <w:tcBorders>
                    <w:tl2br w:val="nil"/>
                    <w:tr2bl w:val="nil"/>
                  </w:tcBorders>
                  <w:noWrap w:val="0"/>
                  <w:vAlign w:val="center"/>
                </w:tcPr>
                <w:p w14:paraId="62F1DD4F">
                  <w:pPr>
                    <w:keepNext w:val="0"/>
                    <w:keepLines w:val="0"/>
                    <w:widowControl/>
                    <w:suppressLineNumbers w:val="0"/>
                    <w:jc w:val="center"/>
                    <w:textAlignment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93.331</w:t>
                  </w:r>
                </w:p>
              </w:tc>
              <w:tc>
                <w:tcPr>
                  <w:tcW w:w="2243" w:type="dxa"/>
                  <w:tcBorders>
                    <w:tl2br w:val="nil"/>
                    <w:tr2bl w:val="nil"/>
                  </w:tcBorders>
                  <w:noWrap w:val="0"/>
                  <w:vAlign w:val="center"/>
                </w:tcPr>
                <w:p w14:paraId="33B47245">
                  <w:pPr>
                    <w:keepNext w:val="0"/>
                    <w:keepLines w:val="0"/>
                    <w:widowControl/>
                    <w:suppressLineNumbers w:val="0"/>
                    <w:jc w:val="center"/>
                    <w:textAlignment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91.507</w:t>
                  </w:r>
                </w:p>
              </w:tc>
              <w:tc>
                <w:tcPr>
                  <w:tcW w:w="1894" w:type="dxa"/>
                  <w:tcBorders>
                    <w:tl2br w:val="nil"/>
                    <w:tr2bl w:val="nil"/>
                  </w:tcBorders>
                  <w:noWrap w:val="0"/>
                  <w:vAlign w:val="center"/>
                </w:tcPr>
                <w:p w14:paraId="4C57B627">
                  <w:pPr>
                    <w:keepNext w:val="0"/>
                    <w:keepLines w:val="0"/>
                    <w:widowControl/>
                    <w:suppressLineNumbers w:val="0"/>
                    <w:jc w:val="center"/>
                    <w:textAlignment w:val="center"/>
                    <w:rPr>
                      <w:rFonts w:hint="default" w:ascii="Times New Roman" w:hAnsi="Times New Roman" w:eastAsia="宋体" w:cs="宋体"/>
                      <w:color w:val="000000" w:themeColor="text1"/>
                      <w:sz w:val="21"/>
                      <w:lang w:val="en-US" w:eastAsia="zh-CN"/>
                      <w14:textFill>
                        <w14:solidFill>
                          <w14:schemeClr w14:val="tx1"/>
                        </w14:solidFill>
                      </w14:textFill>
                    </w:rPr>
                  </w:pPr>
                  <w:r>
                    <w:rPr>
                      <w:rFonts w:hint="default" w:ascii="Times New Roman" w:hAnsi="Times New Roman" w:eastAsia="宋体" w:cs="Times New Roman"/>
                      <w:i w:val="0"/>
                      <w:iCs w:val="0"/>
                      <w:color w:val="000000"/>
                      <w:kern w:val="0"/>
                      <w:sz w:val="21"/>
                      <w:szCs w:val="21"/>
                      <w:u w:val="none"/>
                      <w:lang w:val="en-US" w:eastAsia="zh-CN" w:bidi="ar"/>
                    </w:rPr>
                    <w:t>1.824</w:t>
                  </w:r>
                </w:p>
              </w:tc>
              <w:tc>
                <w:tcPr>
                  <w:tcW w:w="1893" w:type="dxa"/>
                  <w:tcBorders>
                    <w:tl2br w:val="nil"/>
                    <w:tr2bl w:val="nil"/>
                  </w:tcBorders>
                  <w:noWrap w:val="0"/>
                  <w:vAlign w:val="center"/>
                </w:tcPr>
                <w:p w14:paraId="4B6BCCDE">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合计</w:t>
                  </w:r>
                </w:p>
              </w:tc>
            </w:tr>
            <w:tr w14:paraId="4FA47C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8" w:type="dxa"/>
                  <w:tcBorders>
                    <w:tl2br w:val="nil"/>
                    <w:tr2bl w:val="nil"/>
                  </w:tcBorders>
                  <w:noWrap w:val="0"/>
                  <w:vAlign w:val="center"/>
                </w:tcPr>
                <w:p w14:paraId="088B26DE">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2</w:t>
                  </w:r>
                </w:p>
              </w:tc>
              <w:tc>
                <w:tcPr>
                  <w:tcW w:w="2831" w:type="dxa"/>
                  <w:tcBorders>
                    <w:tl2br w:val="nil"/>
                    <w:tr2bl w:val="nil"/>
                  </w:tcBorders>
                  <w:noWrap w:val="0"/>
                  <w:vAlign w:val="center"/>
                </w:tcPr>
                <w:p w14:paraId="7043340E">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SO</w:t>
                  </w:r>
                  <w:r>
                    <w:rPr>
                      <w:rFonts w:hint="eastAsia" w:cs="Times New Roman"/>
                      <w:color w:val="000000" w:themeColor="text1"/>
                      <w:sz w:val="21"/>
                      <w:szCs w:val="21"/>
                      <w:vertAlign w:val="subscript"/>
                      <w:lang w:val="en-US" w:eastAsia="zh-CN"/>
                      <w14:textFill>
                        <w14:solidFill>
                          <w14:schemeClr w14:val="tx1"/>
                        </w14:solidFill>
                      </w14:textFill>
                    </w:rPr>
                    <w:t>2</w:t>
                  </w:r>
                </w:p>
              </w:tc>
              <w:tc>
                <w:tcPr>
                  <w:tcW w:w="1420" w:type="dxa"/>
                  <w:tcBorders>
                    <w:tl2br w:val="nil"/>
                    <w:tr2bl w:val="nil"/>
                  </w:tcBorders>
                  <w:noWrap w:val="0"/>
                  <w:vAlign w:val="center"/>
                </w:tcPr>
                <w:p w14:paraId="1B7A897B">
                  <w:pPr>
                    <w:keepNext w:val="0"/>
                    <w:keepLines w:val="0"/>
                    <w:pageBreakBefore w:val="0"/>
                    <w:kinsoku/>
                    <w:wordWrap/>
                    <w:overflowPunct/>
                    <w:topLinePunct w:val="0"/>
                    <w:autoSpaceDE/>
                    <w:autoSpaceDN/>
                    <w:bidi w:val="0"/>
                    <w:spacing w:before="0" w:beforeLines="0" w:after="0" w:afterLines="0"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t/a</w:t>
                  </w:r>
                </w:p>
              </w:tc>
              <w:tc>
                <w:tcPr>
                  <w:tcW w:w="2247" w:type="dxa"/>
                  <w:tcBorders>
                    <w:tl2br w:val="nil"/>
                    <w:tr2bl w:val="nil"/>
                  </w:tcBorders>
                  <w:noWrap w:val="0"/>
                  <w:vAlign w:val="center"/>
                </w:tcPr>
                <w:p w14:paraId="2D3D7B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2243" w:type="dxa"/>
                  <w:tcBorders>
                    <w:tl2br w:val="nil"/>
                    <w:tr2bl w:val="nil"/>
                  </w:tcBorders>
                  <w:noWrap w:val="0"/>
                  <w:vAlign w:val="center"/>
                </w:tcPr>
                <w:p w14:paraId="0A41AC1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1894" w:type="dxa"/>
                  <w:tcBorders>
                    <w:tl2br w:val="nil"/>
                    <w:tr2bl w:val="nil"/>
                  </w:tcBorders>
                  <w:noWrap w:val="0"/>
                  <w:vAlign w:val="center"/>
                </w:tcPr>
                <w:p w14:paraId="307745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1893" w:type="dxa"/>
                  <w:tcBorders>
                    <w:tl2br w:val="nil"/>
                    <w:tr2bl w:val="nil"/>
                  </w:tcBorders>
                  <w:noWrap w:val="0"/>
                  <w:vAlign w:val="center"/>
                </w:tcPr>
                <w:p w14:paraId="7AA307CA">
                  <w:pPr>
                    <w:keepNext w:val="0"/>
                    <w:keepLines w:val="0"/>
                    <w:pageBreakBefore w:val="0"/>
                    <w:kinsoku/>
                    <w:wordWrap/>
                    <w:overflowPunct/>
                    <w:topLinePunct w:val="0"/>
                    <w:autoSpaceDE/>
                    <w:autoSpaceDN/>
                    <w:bidi w:val="0"/>
                    <w:spacing w:before="0" w:beforeLines="0" w:after="0" w:afterLines="0" w:line="240" w:lineRule="auto"/>
                    <w:ind w:firstLine="0" w:firstLineChars="0"/>
                    <w:jc w:val="center"/>
                    <w:textAlignment w:val="auto"/>
                    <w:rPr>
                      <w:rFonts w:hint="eastAsia"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有组织</w:t>
                  </w:r>
                </w:p>
              </w:tc>
            </w:tr>
            <w:tr w14:paraId="5A34B9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8" w:type="dxa"/>
                  <w:tcBorders>
                    <w:tl2br w:val="nil"/>
                    <w:tr2bl w:val="nil"/>
                  </w:tcBorders>
                  <w:noWrap w:val="0"/>
                  <w:vAlign w:val="center"/>
                </w:tcPr>
                <w:p w14:paraId="76EDDFF2">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w:t>
                  </w:r>
                </w:p>
              </w:tc>
              <w:tc>
                <w:tcPr>
                  <w:tcW w:w="2831" w:type="dxa"/>
                  <w:tcBorders>
                    <w:tl2br w:val="nil"/>
                    <w:tr2bl w:val="nil"/>
                  </w:tcBorders>
                  <w:noWrap w:val="0"/>
                  <w:vAlign w:val="center"/>
                </w:tcPr>
                <w:p w14:paraId="14628948">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NOx</w:t>
                  </w:r>
                </w:p>
              </w:tc>
              <w:tc>
                <w:tcPr>
                  <w:tcW w:w="1420" w:type="dxa"/>
                  <w:tcBorders>
                    <w:tl2br w:val="nil"/>
                    <w:tr2bl w:val="nil"/>
                  </w:tcBorders>
                  <w:noWrap w:val="0"/>
                  <w:vAlign w:val="center"/>
                </w:tcPr>
                <w:p w14:paraId="575070FD">
                  <w:pPr>
                    <w:keepNext w:val="0"/>
                    <w:keepLines w:val="0"/>
                    <w:pageBreakBefore w:val="0"/>
                    <w:kinsoku/>
                    <w:wordWrap/>
                    <w:overflowPunct/>
                    <w:topLinePunct w:val="0"/>
                    <w:autoSpaceDE/>
                    <w:autoSpaceDN/>
                    <w:bidi w:val="0"/>
                    <w:spacing w:before="0" w:beforeLines="0" w:after="0" w:afterLines="0"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t/a</w:t>
                  </w:r>
                </w:p>
              </w:tc>
              <w:tc>
                <w:tcPr>
                  <w:tcW w:w="2247" w:type="dxa"/>
                  <w:tcBorders>
                    <w:tl2br w:val="nil"/>
                    <w:tr2bl w:val="nil"/>
                  </w:tcBorders>
                  <w:noWrap w:val="0"/>
                  <w:vAlign w:val="center"/>
                </w:tcPr>
                <w:p w14:paraId="60E4721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0.337</w:t>
                  </w:r>
                </w:p>
              </w:tc>
              <w:tc>
                <w:tcPr>
                  <w:tcW w:w="2243" w:type="dxa"/>
                  <w:tcBorders>
                    <w:tl2br w:val="nil"/>
                    <w:tr2bl w:val="nil"/>
                  </w:tcBorders>
                  <w:noWrap w:val="0"/>
                  <w:vAlign w:val="center"/>
                </w:tcPr>
                <w:p w14:paraId="1BC615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0.169</w:t>
                  </w:r>
                </w:p>
              </w:tc>
              <w:tc>
                <w:tcPr>
                  <w:tcW w:w="1894" w:type="dxa"/>
                  <w:tcBorders>
                    <w:tl2br w:val="nil"/>
                    <w:tr2bl w:val="nil"/>
                  </w:tcBorders>
                  <w:noWrap w:val="0"/>
                  <w:vAlign w:val="center"/>
                </w:tcPr>
                <w:p w14:paraId="2DC5DD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1893" w:type="dxa"/>
                  <w:tcBorders>
                    <w:tl2br w:val="nil"/>
                    <w:tr2bl w:val="nil"/>
                  </w:tcBorders>
                  <w:noWrap w:val="0"/>
                  <w:vAlign w:val="center"/>
                </w:tcPr>
                <w:p w14:paraId="0EEE10D7">
                  <w:pPr>
                    <w:keepNext w:val="0"/>
                    <w:keepLines w:val="0"/>
                    <w:pageBreakBefore w:val="0"/>
                    <w:kinsoku/>
                    <w:wordWrap/>
                    <w:overflowPunct/>
                    <w:topLinePunct w:val="0"/>
                    <w:autoSpaceDE/>
                    <w:autoSpaceDN/>
                    <w:bidi w:val="0"/>
                    <w:spacing w:before="0" w:beforeLines="0" w:after="0" w:afterLines="0" w:line="240" w:lineRule="auto"/>
                    <w:ind w:firstLine="0" w:firstLineChars="0"/>
                    <w:jc w:val="center"/>
                    <w:textAlignment w:val="auto"/>
                    <w:rPr>
                      <w:rFonts w:hint="eastAsia"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有组织</w:t>
                  </w:r>
                </w:p>
              </w:tc>
            </w:tr>
          </w:tbl>
          <w:p w14:paraId="273C0C8D">
            <w:pPr>
              <w:ind w:left="0" w:leftChars="0" w:firstLine="0" w:firstLineChars="0"/>
              <w:rPr>
                <w:rFonts w:hint="default" w:eastAsia="黑体" w:cs="Times New Roman"/>
                <w:snapToGrid w:val="0"/>
                <w:color w:val="000000" w:themeColor="text1"/>
                <w:sz w:val="30"/>
                <w:szCs w:val="30"/>
                <w:vertAlign w:val="baseline"/>
                <w:lang w:val="en-US" w:eastAsia="zh-CN"/>
                <w14:textFill>
                  <w14:solidFill>
                    <w14:schemeClr w14:val="tx1"/>
                  </w14:solidFill>
                </w14:textFill>
              </w:rPr>
            </w:pPr>
          </w:p>
        </w:tc>
      </w:tr>
    </w:tbl>
    <w:p w14:paraId="34A188AA">
      <w:pPr>
        <w:jc w:val="both"/>
        <w:rPr>
          <w:rFonts w:hint="default"/>
          <w:color w:val="000000" w:themeColor="text1"/>
          <w:lang w:val="en-US" w:eastAsia="zh-CN"/>
          <w14:textFill>
            <w14:solidFill>
              <w14:schemeClr w14:val="tx1"/>
            </w14:solidFill>
          </w14:textFill>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4"/>
        <w:tblW w:w="8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5"/>
      </w:tblGrid>
      <w:tr w14:paraId="741B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676" w:hRule="atLeast"/>
        </w:trPr>
        <w:tc>
          <w:tcPr>
            <w:tcW w:w="8555" w:type="dxa"/>
          </w:tcPr>
          <w:p w14:paraId="639498AB">
            <w:pPr>
              <w:pStyle w:val="43"/>
              <w:keepNext w:val="0"/>
              <w:keepLines w:val="0"/>
              <w:pageBreakBefore w:val="0"/>
              <w:widowControl/>
              <w:kinsoku/>
              <w:wordWrap/>
              <w:overflowPunct/>
              <w:topLinePunct w:val="0"/>
              <w:autoSpaceDE/>
              <w:autoSpaceDN/>
              <w:bidi w:val="0"/>
              <w:adjustRightInd w:val="0"/>
              <w:snapToGrid w:val="0"/>
              <w:spacing w:before="157" w:beforeLines="50"/>
              <w:textAlignment w:val="auto"/>
              <w:rPr>
                <w:rFonts w:hint="eastAsia"/>
                <w:color w:val="000000"/>
                <w:lang w:val="en-US" w:eastAsia="zh-CN" w:bidi="ar-SA"/>
              </w:rPr>
            </w:pPr>
            <w:r>
              <w:rPr>
                <w:rFonts w:hint="eastAsia"/>
                <w:color w:val="000000"/>
                <w:lang w:val="en-US" w:eastAsia="zh-CN" w:bidi="ar-SA"/>
              </w:rPr>
              <w:t>1.2  废气污染源</w:t>
            </w:r>
            <w:r>
              <w:rPr>
                <w:rFonts w:hint="eastAsia"/>
                <w:color w:val="000000"/>
                <w:highlight w:val="none"/>
                <w:lang w:val="en-US" w:eastAsia="zh-CN" w:bidi="ar-SA"/>
              </w:rPr>
              <w:t>强</w:t>
            </w:r>
            <w:r>
              <w:rPr>
                <w:rFonts w:hint="eastAsia"/>
                <w:color w:val="000000"/>
                <w:lang w:val="en-US" w:eastAsia="zh-CN" w:bidi="ar-SA"/>
              </w:rPr>
              <w:t>核算</w:t>
            </w:r>
          </w:p>
          <w:p w14:paraId="67FBBF53">
            <w:pPr>
              <w:pStyle w:val="43"/>
              <w:keepNext w:val="0"/>
              <w:keepLines w:val="0"/>
              <w:pageBreakBefore w:val="0"/>
              <w:kinsoku/>
              <w:wordWrap/>
              <w:overflowPunct/>
              <w:topLinePunct w:val="0"/>
              <w:autoSpaceDE/>
              <w:autoSpaceDN/>
              <w:bidi w:val="0"/>
              <w:adjustRightInd w:val="0"/>
              <w:snapToGrid w:val="0"/>
              <w:textAlignment w:val="auto"/>
              <w:rPr>
                <w:rFonts w:hint="eastAsia"/>
                <w:color w:val="000000"/>
                <w:lang w:val="en-US" w:eastAsia="zh-CN" w:bidi="ar-SA"/>
              </w:rPr>
            </w:pPr>
            <w:r>
              <w:rPr>
                <w:rFonts w:hint="eastAsia"/>
                <w:color w:val="000000"/>
                <w:lang w:val="en-US" w:eastAsia="zh-CN" w:bidi="ar-SA"/>
              </w:rPr>
              <w:t>本项目废气主要为单棒炉和时效炉天然气燃烧废气以及锯切废气。</w:t>
            </w:r>
          </w:p>
          <w:p w14:paraId="717BFD51">
            <w:pPr>
              <w:pStyle w:val="43"/>
              <w:keepNext w:val="0"/>
              <w:keepLines w:val="0"/>
              <w:pageBreakBefore w:val="0"/>
              <w:widowControl/>
              <w:kinsoku/>
              <w:wordWrap/>
              <w:overflowPunct/>
              <w:topLinePunct w:val="0"/>
              <w:autoSpaceDE/>
              <w:autoSpaceDN/>
              <w:bidi w:val="0"/>
              <w:adjustRightInd w:val="0"/>
              <w:snapToGrid w:val="0"/>
              <w:spacing w:line="384" w:lineRule="auto"/>
              <w:jc w:val="both"/>
              <w:textAlignment w:val="auto"/>
              <w:rPr>
                <w:rFonts w:hint="default"/>
                <w:color w:val="000000"/>
                <w:lang w:val="en-US" w:eastAsia="zh-CN" w:bidi="ar-SA"/>
              </w:rPr>
            </w:pPr>
            <w:r>
              <w:rPr>
                <w:rFonts w:hint="eastAsia"/>
                <w:color w:val="000000"/>
                <w:lang w:val="en-US" w:eastAsia="zh-CN" w:bidi="ar-SA"/>
              </w:rPr>
              <w:t>（1）天然气燃烧废气G1</w:t>
            </w:r>
          </w:p>
          <w:p w14:paraId="60C7B004">
            <w:pPr>
              <w:pStyle w:val="43"/>
              <w:keepNext w:val="0"/>
              <w:keepLines w:val="0"/>
              <w:pageBreakBefore w:val="0"/>
              <w:widowControl/>
              <w:kinsoku/>
              <w:wordWrap/>
              <w:overflowPunct/>
              <w:topLinePunct w:val="0"/>
              <w:autoSpaceDE/>
              <w:autoSpaceDN/>
              <w:bidi w:val="0"/>
              <w:adjustRightInd w:val="0"/>
              <w:snapToGrid w:val="0"/>
              <w:spacing w:line="384" w:lineRule="auto"/>
              <w:jc w:val="both"/>
              <w:textAlignment w:val="auto"/>
              <w:rPr>
                <w:rFonts w:hint="eastAsia"/>
                <w:color w:val="000000"/>
                <w:lang w:val="en-US" w:eastAsia="zh-CN" w:bidi="ar-SA"/>
              </w:rPr>
            </w:pPr>
            <w:r>
              <w:rPr>
                <w:rFonts w:hint="eastAsia"/>
                <w:color w:val="000000"/>
                <w:lang w:val="en-US" w:eastAsia="zh-CN" w:bidi="ar-SA"/>
              </w:rPr>
              <w:t>项目单棒炉和时效炉加热均采用天然气为燃料，天然气燃烧过程中产生的主要污染物为SO</w:t>
            </w:r>
            <w:r>
              <w:rPr>
                <w:rFonts w:hint="eastAsia"/>
                <w:color w:val="000000"/>
                <w:vertAlign w:val="subscript"/>
                <w:lang w:val="en-US" w:eastAsia="zh-CN" w:bidi="ar-SA"/>
              </w:rPr>
              <w:t>2</w:t>
            </w:r>
            <w:r>
              <w:rPr>
                <w:rFonts w:hint="eastAsia"/>
                <w:color w:val="000000"/>
                <w:lang w:val="en-US" w:eastAsia="zh-CN" w:bidi="ar-SA"/>
              </w:rPr>
              <w:t>、NOx和烟尘（颗粒物）。根据建设单位提供资料，一台单棒炉及时效炉天然气消耗量均为15m</w:t>
            </w:r>
            <w:r>
              <w:rPr>
                <w:rFonts w:hint="eastAsia"/>
                <w:color w:val="000000"/>
                <w:vertAlign w:val="superscript"/>
                <w:lang w:val="en-US" w:eastAsia="zh-CN" w:bidi="ar-SA"/>
              </w:rPr>
              <w:t>3</w:t>
            </w:r>
            <w:r>
              <w:rPr>
                <w:rFonts w:hint="eastAsia"/>
                <w:color w:val="000000"/>
                <w:vertAlign w:val="baseline"/>
                <w:lang w:val="en-US" w:eastAsia="zh-CN" w:bidi="ar-SA"/>
              </w:rPr>
              <w:t>/</w:t>
            </w:r>
            <w:r>
              <w:rPr>
                <w:rFonts w:hint="eastAsia"/>
                <w:color w:val="000000"/>
                <w:lang w:val="en-US" w:eastAsia="zh-CN" w:bidi="ar-SA"/>
              </w:rPr>
              <w:t>h</w:t>
            </w:r>
            <w:r>
              <w:rPr>
                <w:rFonts w:hint="eastAsia" w:ascii="宋体" w:hAnsi="宋体" w:eastAsia="宋体" w:cs="宋体"/>
                <w:color w:val="000000"/>
                <w:lang w:val="en-US" w:eastAsia="zh-CN" w:bidi="ar-SA"/>
              </w:rPr>
              <w:t>，</w:t>
            </w:r>
            <w:r>
              <w:rPr>
                <w:rFonts w:hint="eastAsia" w:cs="Times New Roman"/>
                <w:color w:val="000000"/>
                <w:lang w:val="en-US" w:eastAsia="zh-CN" w:bidi="ar-SA"/>
              </w:rPr>
              <w:t>4</w:t>
            </w:r>
            <w:r>
              <w:rPr>
                <w:rFonts w:hint="default" w:ascii="Times New Roman" w:hAnsi="Times New Roman" w:eastAsia="宋体" w:cs="Times New Roman"/>
                <w:color w:val="000000"/>
                <w:lang w:val="en-US" w:eastAsia="zh-CN" w:bidi="ar-SA"/>
              </w:rPr>
              <w:t>台</w:t>
            </w:r>
            <w:r>
              <w:rPr>
                <w:rFonts w:hint="eastAsia" w:cs="Times New Roman"/>
                <w:color w:val="000000"/>
                <w:lang w:val="en-US" w:eastAsia="zh-CN" w:bidi="ar-SA"/>
              </w:rPr>
              <w:t>单棒炉</w:t>
            </w:r>
            <w:r>
              <w:rPr>
                <w:rFonts w:hint="default" w:ascii="Times New Roman" w:hAnsi="Times New Roman" w:cs="Times New Roman"/>
                <w:color w:val="000000"/>
                <w:lang w:val="en-US" w:eastAsia="zh-CN" w:bidi="ar-SA"/>
              </w:rPr>
              <w:t>和1</w:t>
            </w:r>
            <w:r>
              <w:rPr>
                <w:rFonts w:hint="eastAsia"/>
                <w:color w:val="000000"/>
                <w:lang w:val="en-US" w:eastAsia="zh-CN" w:bidi="ar-SA"/>
              </w:rPr>
              <w:t>台时效炉年工作时间为2400小时，则项目4台单棒炉年天然气消耗量合计为14.4万m</w:t>
            </w:r>
            <w:r>
              <w:rPr>
                <w:rFonts w:hint="eastAsia"/>
                <w:color w:val="000000"/>
                <w:vertAlign w:val="superscript"/>
                <w:lang w:val="en-US" w:eastAsia="zh-CN" w:bidi="ar-SA"/>
              </w:rPr>
              <w:t>3</w:t>
            </w:r>
            <w:r>
              <w:rPr>
                <w:rFonts w:hint="eastAsia"/>
                <w:color w:val="000000"/>
                <w:lang w:val="en-US" w:eastAsia="zh-CN" w:bidi="ar-SA"/>
              </w:rPr>
              <w:t>/a、1台时效炉年天然气消耗量为3.6万m</w:t>
            </w:r>
            <w:r>
              <w:rPr>
                <w:rFonts w:hint="eastAsia"/>
                <w:color w:val="000000"/>
                <w:vertAlign w:val="superscript"/>
                <w:lang w:val="en-US" w:eastAsia="zh-CN" w:bidi="ar-SA"/>
              </w:rPr>
              <w:t>3</w:t>
            </w:r>
            <w:r>
              <w:rPr>
                <w:rFonts w:hint="eastAsia"/>
                <w:color w:val="000000"/>
                <w:lang w:val="en-US" w:eastAsia="zh-CN" w:bidi="ar-SA"/>
              </w:rPr>
              <w:t>/a，天然气总消耗量为18万m</w:t>
            </w:r>
            <w:r>
              <w:rPr>
                <w:rFonts w:hint="eastAsia"/>
                <w:color w:val="000000"/>
                <w:vertAlign w:val="superscript"/>
                <w:lang w:val="en-US" w:eastAsia="zh-CN" w:bidi="ar-SA"/>
              </w:rPr>
              <w:t>3</w:t>
            </w:r>
            <w:r>
              <w:rPr>
                <w:rFonts w:hint="eastAsia"/>
                <w:color w:val="000000"/>
                <w:lang w:val="en-US" w:eastAsia="zh-CN" w:bidi="ar-SA"/>
              </w:rPr>
              <w:t>/a。</w:t>
            </w:r>
          </w:p>
          <w:p w14:paraId="37D1E27A">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①烟气量</w:t>
            </w:r>
          </w:p>
          <w:p w14:paraId="6F24F5E8">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参照《排放源统计调查产排污核算方法和系数手册·33-37，431-434机械行业系数手册》</w:t>
            </w:r>
            <w:r>
              <w:rPr>
                <w:rFonts w:hint="eastAsia" w:ascii="Times New Roman" w:hAnsi="Times New Roman" w:eastAsia="宋体" w:cs="Times New Roman"/>
                <w:color w:val="000000"/>
                <w:sz w:val="24"/>
                <w:lang w:val="en-US" w:eastAsia="zh-CN" w:bidi="ar-SA"/>
              </w:rPr>
              <w:t>中的</w:t>
            </w:r>
            <w:r>
              <w:rPr>
                <w:rFonts w:hint="default" w:ascii="Times New Roman" w:hAnsi="Times New Roman" w:eastAsia="宋体" w:cs="Times New Roman"/>
                <w:color w:val="000000"/>
                <w:sz w:val="24"/>
                <w:lang w:val="en-US" w:eastAsia="zh-CN" w:bidi="ar-SA"/>
              </w:rPr>
              <w:t>天然气工业炉窑，天然气燃烧产生的废气量取</w:t>
            </w:r>
            <w:r>
              <w:rPr>
                <w:rFonts w:hint="eastAsia" w:ascii="Times New Roman" w:hAnsi="Times New Roman" w:eastAsia="宋体" w:cs="Times New Roman"/>
                <w:color w:val="000000"/>
                <w:sz w:val="24"/>
                <w:lang w:val="en-US" w:eastAsia="zh-CN" w:bidi="ar-SA"/>
              </w:rPr>
              <w:t>13.6</w:t>
            </w:r>
            <w:r>
              <w:rPr>
                <w:rFonts w:hint="default" w:ascii="Times New Roman" w:hAnsi="Times New Roman" w:eastAsia="宋体" w:cs="Times New Roman"/>
                <w:color w:val="000000"/>
                <w:sz w:val="24"/>
                <w:lang w:val="en-US" w:eastAsia="zh-CN" w:bidi="ar-SA"/>
              </w:rPr>
              <w:t>m³/m³-燃料。</w:t>
            </w:r>
          </w:p>
          <w:p w14:paraId="6C5F6A86">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②二氧化硫</w:t>
            </w:r>
          </w:p>
          <w:p w14:paraId="69C609F8">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参照《排放源统计调查产排污核算方法和系数手册·</w:t>
            </w:r>
            <w:r>
              <w:rPr>
                <w:rFonts w:hint="eastAsia" w:ascii="Times New Roman" w:hAnsi="Times New Roman" w:eastAsia="宋体" w:cs="Times New Roman"/>
                <w:b w:val="0"/>
                <w:bCs/>
                <w:color w:val="000000"/>
                <w:sz w:val="24"/>
                <w:szCs w:val="24"/>
                <w:highlight w:val="none"/>
                <w:lang w:val="en-US" w:eastAsia="zh-CN"/>
              </w:rPr>
              <w:t>33-37，431-434机械行业系数手册</w:t>
            </w:r>
            <w:r>
              <w:rPr>
                <w:rFonts w:hint="default" w:ascii="Times New Roman" w:hAnsi="Times New Roman" w:eastAsia="宋体" w:cs="Times New Roman"/>
                <w:color w:val="000000"/>
                <w:sz w:val="24"/>
                <w:lang w:val="en-US" w:eastAsia="zh-CN" w:bidi="ar-SA"/>
              </w:rPr>
              <w:t>》，天然气燃烧产生的二氧化硫取0.0</w:t>
            </w:r>
            <w:r>
              <w:rPr>
                <w:rFonts w:hint="eastAsia" w:ascii="Times New Roman" w:hAnsi="Times New Roman" w:eastAsia="宋体" w:cs="Times New Roman"/>
                <w:color w:val="000000"/>
                <w:sz w:val="24"/>
                <w:lang w:val="en-US" w:eastAsia="zh-CN" w:bidi="ar-SA"/>
              </w:rPr>
              <w:t>0000</w:t>
            </w:r>
            <w:r>
              <w:rPr>
                <w:rFonts w:hint="default" w:ascii="Times New Roman" w:hAnsi="Times New Roman" w:eastAsia="宋体" w:cs="Times New Roman"/>
                <w:color w:val="000000"/>
                <w:sz w:val="24"/>
                <w:lang w:val="en-US" w:eastAsia="zh-CN" w:bidi="ar-SA"/>
              </w:rPr>
              <w:t>2S千克/立方米-燃料，其中含硫量（S）是指燃气收到基硫分含量，单位为毫克/立方米，本项目按《天然气》（GB17820-2018）要求按100mg/m³取值。即天然气燃烧产生的二氧化硫取2kg/万m³-燃料。</w:t>
            </w:r>
          </w:p>
          <w:p w14:paraId="2306F683">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③氮氧化物</w:t>
            </w:r>
          </w:p>
          <w:p w14:paraId="0B2C3807">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参照《排放源统计调查产排污核算方法和系数手册·</w:t>
            </w:r>
            <w:r>
              <w:rPr>
                <w:rFonts w:hint="eastAsia" w:ascii="Times New Roman" w:hAnsi="Times New Roman" w:eastAsia="宋体" w:cs="Times New Roman"/>
                <w:b w:val="0"/>
                <w:bCs/>
                <w:color w:val="000000"/>
                <w:sz w:val="24"/>
                <w:szCs w:val="24"/>
                <w:highlight w:val="none"/>
                <w:lang w:val="en-US" w:eastAsia="zh-CN"/>
              </w:rPr>
              <w:t>33-37，431-434机械行业系数手册</w:t>
            </w:r>
            <w:r>
              <w:rPr>
                <w:rFonts w:hint="default" w:ascii="Times New Roman" w:hAnsi="Times New Roman" w:eastAsia="宋体" w:cs="Times New Roman"/>
                <w:color w:val="000000"/>
                <w:sz w:val="24"/>
                <w:lang w:val="en-US" w:eastAsia="zh-CN" w:bidi="ar-SA"/>
              </w:rPr>
              <w:t>》，天然气燃烧产生的</w:t>
            </w:r>
            <w:r>
              <w:rPr>
                <w:rFonts w:hint="eastAsia" w:ascii="Times New Roman" w:hAnsi="Times New Roman" w:eastAsia="宋体" w:cs="Times New Roman"/>
                <w:color w:val="000000"/>
                <w:sz w:val="24"/>
                <w:lang w:val="en-US" w:eastAsia="zh-CN" w:bidi="ar-SA"/>
              </w:rPr>
              <w:t>氮氧化物</w:t>
            </w:r>
            <w:r>
              <w:rPr>
                <w:rFonts w:hint="default" w:ascii="Times New Roman" w:hAnsi="Times New Roman" w:eastAsia="宋体" w:cs="Times New Roman"/>
                <w:color w:val="000000"/>
                <w:sz w:val="24"/>
                <w:lang w:val="en-US" w:eastAsia="zh-CN" w:bidi="ar-SA"/>
              </w:rPr>
              <w:t>取0.0</w:t>
            </w:r>
            <w:r>
              <w:rPr>
                <w:rFonts w:hint="eastAsia" w:ascii="Times New Roman" w:hAnsi="Times New Roman" w:eastAsia="宋体" w:cs="Times New Roman"/>
                <w:color w:val="000000"/>
                <w:sz w:val="24"/>
                <w:lang w:val="en-US" w:eastAsia="zh-CN" w:bidi="ar-SA"/>
              </w:rPr>
              <w:t>0187</w:t>
            </w:r>
            <w:r>
              <w:rPr>
                <w:rFonts w:hint="default" w:ascii="Times New Roman" w:hAnsi="Times New Roman" w:eastAsia="宋体" w:cs="Times New Roman"/>
                <w:color w:val="000000"/>
                <w:sz w:val="24"/>
                <w:lang w:val="en-US" w:eastAsia="zh-CN" w:bidi="ar-SA"/>
              </w:rPr>
              <w:t>千克/立方米-燃料</w:t>
            </w:r>
            <w:r>
              <w:rPr>
                <w:rFonts w:hint="eastAsia" w:ascii="Times New Roman" w:hAnsi="Times New Roman" w:eastAsia="宋体" w:cs="Times New Roman"/>
                <w:color w:val="000000"/>
                <w:sz w:val="24"/>
                <w:lang w:val="en-US" w:eastAsia="zh-CN" w:bidi="ar-SA"/>
              </w:rPr>
              <w:t>，低氮燃烧法末端治理技术效率为50%。</w:t>
            </w:r>
          </w:p>
          <w:p w14:paraId="5B27C67C">
            <w:pPr>
              <w:pStyle w:val="22"/>
              <w:keepNext w:val="0"/>
              <w:keepLines w:val="0"/>
              <w:pageBreakBefore w:val="0"/>
              <w:widowControl w:val="0"/>
              <w:kinsoku/>
              <w:wordWrap/>
              <w:overflowPunct/>
              <w:topLinePunct w:val="0"/>
              <w:autoSpaceDE/>
              <w:autoSpaceDN/>
              <w:bidi w:val="0"/>
              <w:adjustRightInd w:val="0"/>
              <w:snapToGrid w:val="0"/>
              <w:spacing w:line="384" w:lineRule="auto"/>
              <w:ind w:firstLine="480"/>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④颗粒物</w:t>
            </w:r>
          </w:p>
          <w:p w14:paraId="050B72FF">
            <w:pPr>
              <w:pStyle w:val="22"/>
              <w:keepNext w:val="0"/>
              <w:keepLines w:val="0"/>
              <w:pageBreakBefore w:val="0"/>
              <w:widowControl w:val="0"/>
              <w:kinsoku/>
              <w:wordWrap/>
              <w:overflowPunct/>
              <w:topLinePunct w:val="0"/>
              <w:autoSpaceDE/>
              <w:autoSpaceDN/>
              <w:bidi w:val="0"/>
              <w:adjustRightInd/>
              <w:snapToGrid w:val="0"/>
              <w:spacing w:line="384" w:lineRule="auto"/>
              <w:ind w:right="0"/>
              <w:jc w:val="both"/>
              <w:textAlignment w:val="auto"/>
              <w:rPr>
                <w:rFonts w:hint="default" w:ascii="Times New Roman" w:hAnsi="Times New Roman" w:eastAsia="宋体" w:cs="Times New Roman"/>
                <w:color w:val="000000"/>
                <w:sz w:val="24"/>
                <w:lang w:val="en-US" w:eastAsia="zh-CN" w:bidi="ar-SA"/>
              </w:rPr>
            </w:pPr>
            <w:r>
              <w:rPr>
                <w:rFonts w:hint="default" w:ascii="Times New Roman" w:hAnsi="Times New Roman" w:eastAsia="宋体" w:cs="Times New Roman"/>
                <w:color w:val="000000"/>
                <w:sz w:val="24"/>
                <w:lang w:val="en-US" w:eastAsia="zh-CN" w:bidi="ar-SA"/>
              </w:rPr>
              <w:t>参照《排放源统计调查产排污核算方法和系数手册·</w:t>
            </w:r>
            <w:r>
              <w:rPr>
                <w:rFonts w:hint="eastAsia" w:ascii="Times New Roman" w:hAnsi="Times New Roman" w:eastAsia="宋体" w:cs="Times New Roman"/>
                <w:b w:val="0"/>
                <w:bCs/>
                <w:color w:val="000000"/>
                <w:sz w:val="24"/>
                <w:szCs w:val="24"/>
                <w:highlight w:val="none"/>
                <w:lang w:val="en-US" w:eastAsia="zh-CN"/>
              </w:rPr>
              <w:t>33-37，431-434机械行业系数手册</w:t>
            </w:r>
            <w:r>
              <w:rPr>
                <w:rFonts w:hint="default" w:ascii="Times New Roman" w:hAnsi="Times New Roman" w:eastAsia="宋体" w:cs="Times New Roman"/>
                <w:color w:val="000000"/>
                <w:sz w:val="24"/>
                <w:lang w:val="en-US" w:eastAsia="zh-CN" w:bidi="ar-SA"/>
              </w:rPr>
              <w:t>》，天然气燃烧产生的</w:t>
            </w:r>
            <w:r>
              <w:rPr>
                <w:rFonts w:hint="eastAsia" w:ascii="Times New Roman" w:hAnsi="Times New Roman" w:eastAsia="宋体" w:cs="Times New Roman"/>
                <w:color w:val="000000"/>
                <w:sz w:val="24"/>
                <w:lang w:val="en-US" w:eastAsia="zh-CN" w:bidi="ar-SA"/>
              </w:rPr>
              <w:t>颗粒物</w:t>
            </w:r>
            <w:r>
              <w:rPr>
                <w:rFonts w:hint="default" w:ascii="Times New Roman" w:hAnsi="Times New Roman" w:eastAsia="宋体" w:cs="Times New Roman"/>
                <w:color w:val="000000"/>
                <w:sz w:val="24"/>
                <w:lang w:val="en-US" w:eastAsia="zh-CN" w:bidi="ar-SA"/>
              </w:rPr>
              <w:t>取0.0</w:t>
            </w:r>
            <w:r>
              <w:rPr>
                <w:rFonts w:hint="eastAsia" w:ascii="Times New Roman" w:hAnsi="Times New Roman" w:eastAsia="宋体" w:cs="Times New Roman"/>
                <w:color w:val="000000"/>
                <w:sz w:val="24"/>
                <w:lang w:val="en-US" w:eastAsia="zh-CN" w:bidi="ar-SA"/>
              </w:rPr>
              <w:t>00286</w:t>
            </w:r>
            <w:r>
              <w:rPr>
                <w:rFonts w:hint="default" w:ascii="Times New Roman" w:hAnsi="Times New Roman" w:eastAsia="宋体" w:cs="Times New Roman"/>
                <w:color w:val="000000"/>
                <w:sz w:val="24"/>
                <w:lang w:val="en-US" w:eastAsia="zh-CN" w:bidi="ar-SA"/>
              </w:rPr>
              <w:t>千克/立方米-燃料</w:t>
            </w:r>
            <w:r>
              <w:rPr>
                <w:rFonts w:hint="default" w:ascii="Times New Roman" w:hAnsi="Times New Roman" w:eastAsia="宋体" w:cs="Times New Roman"/>
                <w:b w:val="0"/>
                <w:color w:val="auto"/>
              </w:rPr>
              <w:t>。</w:t>
            </w:r>
          </w:p>
          <w:p w14:paraId="07A93041">
            <w:pPr>
              <w:pStyle w:val="22"/>
              <w:keepNext w:val="0"/>
              <w:keepLines w:val="0"/>
              <w:pageBreakBefore w:val="0"/>
              <w:widowControl w:val="0"/>
              <w:kinsoku/>
              <w:wordWrap/>
              <w:overflowPunct/>
              <w:topLinePunct w:val="0"/>
              <w:autoSpaceDE/>
              <w:autoSpaceDN/>
              <w:bidi w:val="0"/>
              <w:adjustRightInd/>
              <w:snapToGrid w:val="0"/>
              <w:spacing w:line="384" w:lineRule="auto"/>
              <w:ind w:right="0"/>
              <w:jc w:val="both"/>
              <w:textAlignment w:val="auto"/>
              <w:rPr>
                <w:rFonts w:hint="default" w:ascii="Times New Roman" w:hAnsi="Times New Roman" w:cs="Times New Roman"/>
                <w:color w:val="auto"/>
                <w:lang w:val="en-US" w:eastAsia="zh-CN"/>
              </w:rPr>
            </w:pPr>
            <w:r>
              <w:rPr>
                <w:rFonts w:hint="default" w:ascii="Times New Roman" w:hAnsi="Times New Roman" w:eastAsia="宋体" w:cs="Times New Roman"/>
                <w:color w:val="000000"/>
                <w:sz w:val="24"/>
                <w:lang w:val="en-US" w:eastAsia="zh-CN" w:bidi="ar-SA"/>
              </w:rPr>
              <w:t>项目</w:t>
            </w:r>
            <w:r>
              <w:rPr>
                <w:rFonts w:hint="eastAsia" w:cs="Times New Roman"/>
                <w:color w:val="000000"/>
                <w:sz w:val="24"/>
                <w:lang w:val="en-US" w:eastAsia="zh-CN" w:bidi="ar-SA"/>
              </w:rPr>
              <w:t>4</w:t>
            </w:r>
            <w:r>
              <w:rPr>
                <w:rFonts w:hint="eastAsia" w:ascii="Times New Roman" w:hAnsi="Times New Roman" w:eastAsia="宋体" w:cs="Times New Roman"/>
                <w:color w:val="000000"/>
                <w:sz w:val="24"/>
                <w:lang w:val="en-US" w:eastAsia="zh-CN" w:bidi="ar-SA"/>
              </w:rPr>
              <w:t>台</w:t>
            </w:r>
            <w:r>
              <w:rPr>
                <w:rFonts w:hint="eastAsia" w:cs="Times New Roman"/>
                <w:color w:val="000000"/>
                <w:sz w:val="24"/>
                <w:lang w:val="en-US" w:eastAsia="zh-CN" w:bidi="ar-SA"/>
              </w:rPr>
              <w:t>单棒炉</w:t>
            </w:r>
            <w:r>
              <w:rPr>
                <w:rFonts w:hint="default" w:ascii="Times New Roman" w:hAnsi="Times New Roman" w:eastAsia="宋体" w:cs="Times New Roman"/>
                <w:color w:val="000000"/>
                <w:sz w:val="24"/>
                <w:lang w:val="en-US" w:eastAsia="zh-CN" w:bidi="ar-SA"/>
              </w:rPr>
              <w:t>天然气燃烧</w:t>
            </w:r>
            <w:r>
              <w:rPr>
                <w:rFonts w:hint="eastAsia" w:cs="Times New Roman"/>
                <w:color w:val="000000"/>
                <w:sz w:val="24"/>
                <w:lang w:val="en-US" w:eastAsia="zh-CN" w:bidi="ar-SA"/>
              </w:rPr>
              <w:t>废气和</w:t>
            </w:r>
            <w:r>
              <w:rPr>
                <w:rFonts w:hint="eastAsia" w:ascii="Times New Roman" w:hAnsi="Times New Roman" w:eastAsia="宋体" w:cs="Times New Roman"/>
                <w:color w:val="000000"/>
                <w:sz w:val="24"/>
                <w:lang w:val="en-US" w:eastAsia="zh-CN" w:bidi="ar-SA"/>
              </w:rPr>
              <w:t>1台时效炉</w:t>
            </w:r>
            <w:r>
              <w:rPr>
                <w:rFonts w:hint="default" w:ascii="Times New Roman" w:hAnsi="Times New Roman" w:eastAsia="宋体" w:cs="Times New Roman"/>
                <w:color w:val="000000"/>
                <w:sz w:val="24"/>
                <w:lang w:val="en-US" w:eastAsia="zh-CN" w:bidi="ar-SA"/>
              </w:rPr>
              <w:t>天然气燃烧</w:t>
            </w:r>
            <w:r>
              <w:rPr>
                <w:rFonts w:hint="eastAsia" w:cs="Times New Roman"/>
                <w:color w:val="000000"/>
                <w:sz w:val="24"/>
                <w:lang w:val="en-US" w:eastAsia="zh-CN" w:bidi="ar-SA"/>
              </w:rPr>
              <w:t>废气</w:t>
            </w:r>
            <w:r>
              <w:rPr>
                <w:rFonts w:hint="eastAsia" w:cs="Times New Roman"/>
                <w:color w:val="000000"/>
                <w:sz w:val="24"/>
                <w:szCs w:val="24"/>
                <w:lang w:val="en-US" w:eastAsia="zh-CN" w:bidi="ar-SA"/>
              </w:rPr>
              <w:t>经低氮燃烧后通过密闭管道</w:t>
            </w:r>
            <w:r>
              <w:rPr>
                <w:rFonts w:hint="default" w:ascii="Times New Roman" w:hAnsi="Times New Roman" w:eastAsia="宋体" w:cs="Times New Roman"/>
                <w:color w:val="000000"/>
                <w:sz w:val="24"/>
                <w:szCs w:val="24"/>
                <w:lang w:val="en-US" w:eastAsia="zh-CN" w:bidi="ar-SA"/>
              </w:rPr>
              <w:t>收集</w:t>
            </w:r>
            <w:r>
              <w:rPr>
                <w:rFonts w:hint="eastAsia" w:ascii="Times New Roman" w:hAnsi="Times New Roman" w:eastAsia="宋体" w:cs="Times New Roman"/>
                <w:color w:val="000000"/>
                <w:sz w:val="24"/>
                <w:szCs w:val="24"/>
                <w:lang w:val="en-US" w:eastAsia="zh-CN" w:bidi="ar-SA"/>
              </w:rPr>
              <w:t>合并由一根</w:t>
            </w:r>
            <w:r>
              <w:rPr>
                <w:rFonts w:hint="eastAsia" w:cs="Times New Roman"/>
                <w:color w:val="000000"/>
                <w:sz w:val="24"/>
                <w:szCs w:val="24"/>
                <w:lang w:val="en-US" w:eastAsia="zh-CN" w:bidi="ar-SA"/>
              </w:rPr>
              <w:t>15</w:t>
            </w:r>
            <w:r>
              <w:rPr>
                <w:rFonts w:hint="default" w:ascii="Times New Roman" w:hAnsi="Times New Roman" w:eastAsia="宋体" w:cs="Times New Roman"/>
                <w:color w:val="000000"/>
                <w:sz w:val="24"/>
                <w:szCs w:val="24"/>
                <w:lang w:val="en-US" w:eastAsia="zh-CN" w:bidi="ar-SA"/>
              </w:rPr>
              <w:t>m高排气筒</w:t>
            </w:r>
            <w:r>
              <w:rPr>
                <w:rFonts w:hint="default" w:ascii="Times New Roman" w:hAnsi="Times New Roman" w:eastAsia="宋体" w:cs="Times New Roman"/>
                <w:color w:val="000000"/>
                <w:sz w:val="24"/>
                <w:lang w:val="en-US" w:eastAsia="zh-CN" w:bidi="ar-SA"/>
              </w:rPr>
              <w:t>（</w:t>
            </w:r>
            <w:r>
              <w:rPr>
                <w:rFonts w:hint="eastAsia" w:ascii="Times New Roman" w:hAnsi="Times New Roman" w:eastAsia="宋体" w:cs="Times New Roman"/>
                <w:color w:val="000000"/>
                <w:sz w:val="24"/>
                <w:lang w:val="en-US" w:eastAsia="zh-CN" w:bidi="ar-SA"/>
              </w:rPr>
              <w:t>DA001</w:t>
            </w:r>
            <w:r>
              <w:rPr>
                <w:rFonts w:hint="default" w:ascii="Times New Roman" w:hAnsi="Times New Roman" w:eastAsia="宋体" w:cs="Times New Roman"/>
                <w:color w:val="000000"/>
                <w:sz w:val="24"/>
                <w:lang w:val="en-US" w:eastAsia="zh-CN" w:bidi="ar-SA"/>
              </w:rPr>
              <w:t>）排放</w:t>
            </w:r>
            <w:r>
              <w:rPr>
                <w:rFonts w:hint="eastAsia" w:ascii="Times New Roman" w:hAnsi="Times New Roman" w:eastAsia="宋体" w:cs="Times New Roman"/>
                <w:color w:val="000000"/>
                <w:sz w:val="24"/>
                <w:lang w:val="en-US" w:eastAsia="zh-CN" w:bidi="ar-SA"/>
              </w:rPr>
              <w:t>，</w:t>
            </w:r>
            <w:r>
              <w:rPr>
                <w:rFonts w:hint="default" w:ascii="Times New Roman" w:hAnsi="Times New Roman" w:eastAsia="宋体" w:cs="Times New Roman"/>
                <w:color w:val="000000"/>
                <w:sz w:val="24"/>
                <w:lang w:val="en-US" w:eastAsia="zh-CN" w:bidi="ar-SA"/>
              </w:rPr>
              <w:t>收集效率</w:t>
            </w:r>
            <w:r>
              <w:rPr>
                <w:rFonts w:hint="eastAsia" w:ascii="Times New Roman" w:hAnsi="Times New Roman" w:eastAsia="宋体" w:cs="Times New Roman"/>
                <w:color w:val="000000"/>
                <w:sz w:val="24"/>
                <w:lang w:val="en-US" w:eastAsia="zh-CN" w:bidi="ar-SA"/>
              </w:rPr>
              <w:t>均按</w:t>
            </w:r>
            <w:r>
              <w:rPr>
                <w:rFonts w:hint="default" w:ascii="Times New Roman" w:hAnsi="Times New Roman" w:eastAsia="宋体" w:cs="Times New Roman"/>
                <w:color w:val="000000"/>
                <w:sz w:val="24"/>
                <w:lang w:val="en-US" w:eastAsia="zh-CN" w:bidi="ar-SA"/>
              </w:rPr>
              <w:t>100%</w:t>
            </w:r>
            <w:r>
              <w:rPr>
                <w:rFonts w:hint="eastAsia" w:ascii="Times New Roman" w:hAnsi="Times New Roman" w:eastAsia="宋体" w:cs="Times New Roman"/>
                <w:color w:val="000000"/>
                <w:sz w:val="24"/>
                <w:lang w:val="en-US" w:eastAsia="zh-CN" w:bidi="ar-SA"/>
              </w:rPr>
              <w:t>计，则</w:t>
            </w:r>
            <w:r>
              <w:rPr>
                <w:rFonts w:hint="eastAsia" w:cs="Times New Roman"/>
                <w:color w:val="000000"/>
                <w:sz w:val="24"/>
                <w:lang w:val="en-US" w:eastAsia="zh-CN" w:bidi="ar-SA"/>
              </w:rPr>
              <w:t>单棒炉</w:t>
            </w:r>
            <w:r>
              <w:rPr>
                <w:rFonts w:hint="eastAsia" w:ascii="Times New Roman" w:hAnsi="Times New Roman" w:eastAsia="宋体" w:cs="Times New Roman"/>
                <w:color w:val="000000"/>
                <w:sz w:val="24"/>
                <w:lang w:val="en-US" w:eastAsia="zh-CN" w:bidi="ar-SA"/>
              </w:rPr>
              <w:t>和时效炉</w:t>
            </w:r>
            <w:r>
              <w:rPr>
                <w:rFonts w:hint="eastAsia" w:cs="Times New Roman"/>
                <w:color w:val="000000"/>
                <w:sz w:val="24"/>
                <w:lang w:val="en-US" w:eastAsia="zh-CN" w:bidi="ar-SA"/>
              </w:rPr>
              <w:t>天然气</w:t>
            </w:r>
            <w:r>
              <w:rPr>
                <w:rFonts w:hint="eastAsia" w:ascii="Times New Roman" w:hAnsi="Times New Roman" w:eastAsia="宋体" w:cs="Times New Roman"/>
                <w:color w:val="000000"/>
                <w:sz w:val="24"/>
                <w:lang w:val="en-US" w:eastAsia="zh-CN" w:bidi="ar-SA"/>
              </w:rPr>
              <w:t>燃烧</w:t>
            </w:r>
            <w:r>
              <w:rPr>
                <w:rFonts w:hint="eastAsia" w:cs="Times New Roman"/>
                <w:color w:val="000000"/>
                <w:sz w:val="24"/>
                <w:lang w:val="en-US" w:eastAsia="zh-CN" w:bidi="ar-SA"/>
              </w:rPr>
              <w:t>废气</w:t>
            </w:r>
            <w:r>
              <w:rPr>
                <w:rFonts w:hint="default" w:ascii="Times New Roman" w:hAnsi="Times New Roman" w:eastAsia="宋体" w:cs="Times New Roman"/>
                <w:color w:val="000000"/>
                <w:sz w:val="24"/>
                <w:lang w:val="en-US" w:eastAsia="zh-CN" w:bidi="ar-SA"/>
              </w:rPr>
              <w:t>污染物产生、排放情况具体见</w:t>
            </w:r>
            <w:r>
              <w:rPr>
                <w:rFonts w:hint="eastAsia" w:ascii="Times New Roman" w:hAnsi="Times New Roman" w:eastAsia="宋体" w:cs="Times New Roman"/>
                <w:color w:val="000000"/>
                <w:sz w:val="24"/>
                <w:lang w:val="en-US" w:eastAsia="zh-CN" w:bidi="ar-SA"/>
              </w:rPr>
              <w:t>下表</w:t>
            </w:r>
            <w:r>
              <w:rPr>
                <w:rFonts w:hint="default" w:ascii="Times New Roman" w:hAnsi="Times New Roman" w:cs="Times New Roman"/>
                <w:color w:val="auto"/>
                <w:lang w:val="en-US" w:eastAsia="zh-CN"/>
              </w:rPr>
              <w:t>。</w:t>
            </w:r>
          </w:p>
          <w:p w14:paraId="7808BB34">
            <w:pPr>
              <w:pStyle w:val="44"/>
              <w:bidi w:val="0"/>
              <w:spacing w:line="24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lang w:eastAsia="zh-CN"/>
              </w:rPr>
              <w:br w:type="page"/>
            </w: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5</w:t>
            </w:r>
            <w:r>
              <w:rPr>
                <w:rFonts w:hint="default" w:ascii="Times New Roman" w:hAnsi="Times New Roman" w:cs="Times New Roman"/>
                <w:color w:val="000000"/>
              </w:rPr>
              <w:fldChar w:fldCharType="end"/>
            </w:r>
            <w:r>
              <w:rPr>
                <w:rFonts w:hint="default"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G1</w:t>
            </w:r>
            <w:r>
              <w:rPr>
                <w:rFonts w:hint="eastAsia" w:cs="Times New Roman"/>
                <w:color w:val="000000"/>
                <w:sz w:val="24"/>
                <w:lang w:val="en-US" w:eastAsia="zh-CN" w:bidi="ar-SA"/>
              </w:rPr>
              <w:t>天然气</w:t>
            </w:r>
            <w:r>
              <w:rPr>
                <w:rFonts w:hint="eastAsia" w:ascii="Times New Roman" w:hAnsi="Times New Roman" w:eastAsia="宋体" w:cs="Times New Roman"/>
                <w:color w:val="000000"/>
                <w:sz w:val="24"/>
                <w:lang w:val="en-US" w:eastAsia="zh-CN" w:bidi="ar-SA"/>
              </w:rPr>
              <w:t>燃烧</w:t>
            </w:r>
            <w:r>
              <w:rPr>
                <w:rFonts w:hint="eastAsia" w:cs="Times New Roman"/>
                <w:color w:val="000000"/>
                <w:sz w:val="24"/>
                <w:lang w:val="en-US" w:eastAsia="zh-CN" w:bidi="ar-SA"/>
              </w:rPr>
              <w:t>废气</w:t>
            </w:r>
            <w:r>
              <w:rPr>
                <w:rFonts w:hint="default" w:ascii="Times New Roman" w:hAnsi="Times New Roman" w:eastAsia="宋体" w:cs="Times New Roman"/>
                <w:color w:val="auto"/>
                <w:sz w:val="24"/>
                <w:szCs w:val="24"/>
                <w:lang w:val="en-US" w:eastAsia="zh-CN"/>
              </w:rPr>
              <w:t>产生与排放</w:t>
            </w:r>
            <w:r>
              <w:rPr>
                <w:rFonts w:hint="default" w:ascii="Times New Roman" w:hAnsi="Times New Roman" w:eastAsia="宋体" w:cs="Times New Roman"/>
                <w:color w:val="auto"/>
                <w:sz w:val="24"/>
                <w:szCs w:val="24"/>
              </w:rPr>
              <w:t>情况</w:t>
            </w:r>
          </w:p>
          <w:tbl>
            <w:tblPr>
              <w:tblStyle w:val="23"/>
              <w:tblW w:w="4998" w:type="pct"/>
              <w:tblInd w:w="17" w:type="dxa"/>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769"/>
              <w:gridCol w:w="742"/>
              <w:gridCol w:w="657"/>
              <w:gridCol w:w="792"/>
              <w:gridCol w:w="697"/>
              <w:gridCol w:w="694"/>
              <w:gridCol w:w="704"/>
              <w:gridCol w:w="771"/>
              <w:gridCol w:w="679"/>
              <w:gridCol w:w="694"/>
              <w:gridCol w:w="587"/>
              <w:gridCol w:w="550"/>
            </w:tblGrid>
            <w:tr w14:paraId="4FA4809B">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blHeader/>
              </w:trPr>
              <w:tc>
                <w:tcPr>
                  <w:tcW w:w="461" w:type="pct"/>
                  <w:vMerge w:val="restart"/>
                  <w:tcBorders>
                    <w:tl2br w:val="nil"/>
                    <w:tr2bl w:val="nil"/>
                  </w:tcBorders>
                  <w:noWrap w:val="0"/>
                  <w:vAlign w:val="center"/>
                </w:tcPr>
                <w:p w14:paraId="3F3F79B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产污节点</w:t>
                  </w:r>
                </w:p>
              </w:tc>
              <w:tc>
                <w:tcPr>
                  <w:tcW w:w="445" w:type="pct"/>
                  <w:vMerge w:val="restart"/>
                  <w:tcBorders>
                    <w:tl2br w:val="nil"/>
                    <w:tr2bl w:val="nil"/>
                  </w:tcBorders>
                  <w:noWrap w:val="0"/>
                  <w:vAlign w:val="center"/>
                </w:tcPr>
                <w:p w14:paraId="4B4036A2">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排气筒</w:t>
                  </w:r>
                </w:p>
                <w:p w14:paraId="556DA73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编号</w:t>
                  </w:r>
                </w:p>
              </w:tc>
              <w:tc>
                <w:tcPr>
                  <w:tcW w:w="394" w:type="pct"/>
                  <w:vMerge w:val="restart"/>
                  <w:tcBorders>
                    <w:tl2br w:val="nil"/>
                    <w:tr2bl w:val="nil"/>
                  </w:tcBorders>
                  <w:noWrap w:val="0"/>
                  <w:vAlign w:val="center"/>
                </w:tcPr>
                <w:p w14:paraId="2422F87B">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风量</w:t>
                  </w:r>
                </w:p>
                <w:p w14:paraId="44B0D09B">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/h)</w:t>
                  </w:r>
                </w:p>
              </w:tc>
              <w:tc>
                <w:tcPr>
                  <w:tcW w:w="893" w:type="pct"/>
                  <w:gridSpan w:val="2"/>
                  <w:vMerge w:val="restart"/>
                  <w:tcBorders>
                    <w:tl2br w:val="nil"/>
                    <w:tr2bl w:val="nil"/>
                  </w:tcBorders>
                  <w:noWrap w:val="0"/>
                  <w:vAlign w:val="center"/>
                </w:tcPr>
                <w:p w14:paraId="1C9D7D06">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污染</w:t>
                  </w:r>
                </w:p>
                <w:p w14:paraId="220093DB">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因子</w:t>
                  </w:r>
                </w:p>
              </w:tc>
              <w:tc>
                <w:tcPr>
                  <w:tcW w:w="2169" w:type="dxa"/>
                  <w:gridSpan w:val="3"/>
                  <w:tcBorders>
                    <w:tl2br w:val="nil"/>
                    <w:tr2bl w:val="nil"/>
                  </w:tcBorders>
                  <w:noWrap w:val="0"/>
                  <w:vAlign w:val="center"/>
                </w:tcPr>
                <w:p w14:paraId="10619484">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w:t>
                  </w:r>
                  <w:r>
                    <w:rPr>
                      <w:rFonts w:hint="eastAsia" w:cs="Times New Roman"/>
                      <w:b w:val="0"/>
                      <w:bCs/>
                      <w:color w:val="auto"/>
                      <w:sz w:val="21"/>
                      <w:szCs w:val="21"/>
                      <w:lang w:val="en-US" w:eastAsia="zh-CN"/>
                    </w:rPr>
                    <w:t>情况</w:t>
                  </w:r>
                </w:p>
              </w:tc>
              <w:tc>
                <w:tcPr>
                  <w:tcW w:w="1960" w:type="dxa"/>
                  <w:gridSpan w:val="3"/>
                  <w:tcBorders>
                    <w:tl2br w:val="nil"/>
                    <w:tr2bl w:val="nil"/>
                  </w:tcBorders>
                  <w:noWrap w:val="0"/>
                  <w:vAlign w:val="center"/>
                </w:tcPr>
                <w:p w14:paraId="21725B7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w:t>
                  </w:r>
                  <w:r>
                    <w:rPr>
                      <w:rFonts w:hint="eastAsia" w:cs="Times New Roman"/>
                      <w:b w:val="0"/>
                      <w:bCs/>
                      <w:color w:val="auto"/>
                      <w:sz w:val="21"/>
                      <w:szCs w:val="21"/>
                      <w:lang w:val="en-US" w:eastAsia="zh-CN"/>
                    </w:rPr>
                    <w:t>情况</w:t>
                  </w:r>
                </w:p>
              </w:tc>
              <w:tc>
                <w:tcPr>
                  <w:tcW w:w="329" w:type="pct"/>
                  <w:vMerge w:val="restart"/>
                  <w:tcBorders>
                    <w:tl2br w:val="nil"/>
                    <w:tr2bl w:val="nil"/>
                  </w:tcBorders>
                  <w:noWrap w:val="0"/>
                  <w:vAlign w:val="center"/>
                </w:tcPr>
                <w:p w14:paraId="6175D2AA">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处理</w:t>
                  </w:r>
                </w:p>
                <w:p w14:paraId="32250F73">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效率</w:t>
                  </w:r>
                </w:p>
              </w:tc>
            </w:tr>
            <w:tr w14:paraId="1805612B">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blHeader/>
              </w:trPr>
              <w:tc>
                <w:tcPr>
                  <w:tcW w:w="461" w:type="pct"/>
                  <w:vMerge w:val="continue"/>
                  <w:tcBorders>
                    <w:tl2br w:val="nil"/>
                    <w:tr2bl w:val="nil"/>
                  </w:tcBorders>
                  <w:noWrap w:val="0"/>
                  <w:vAlign w:val="center"/>
                </w:tcPr>
                <w:p w14:paraId="674ECD8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445" w:type="pct"/>
                  <w:vMerge w:val="continue"/>
                  <w:tcBorders>
                    <w:tl2br w:val="nil"/>
                    <w:tr2bl w:val="nil"/>
                  </w:tcBorders>
                  <w:noWrap w:val="0"/>
                  <w:vAlign w:val="center"/>
                </w:tcPr>
                <w:p w14:paraId="10E6712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394" w:type="pct"/>
                  <w:vMerge w:val="continue"/>
                  <w:tcBorders>
                    <w:tl2br w:val="nil"/>
                    <w:tr2bl w:val="nil"/>
                  </w:tcBorders>
                  <w:noWrap w:val="0"/>
                  <w:vAlign w:val="center"/>
                </w:tcPr>
                <w:p w14:paraId="7C441830">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893" w:type="pct"/>
                  <w:gridSpan w:val="2"/>
                  <w:vMerge w:val="continue"/>
                  <w:tcBorders>
                    <w:tl2br w:val="nil"/>
                    <w:tr2bl w:val="nil"/>
                  </w:tcBorders>
                  <w:noWrap w:val="0"/>
                  <w:vAlign w:val="center"/>
                </w:tcPr>
                <w:p w14:paraId="14A2DC5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416" w:type="pct"/>
                  <w:tcBorders>
                    <w:tl2br w:val="nil"/>
                    <w:tr2bl w:val="nil"/>
                  </w:tcBorders>
                  <w:noWrap w:val="0"/>
                  <w:vAlign w:val="center"/>
                </w:tcPr>
                <w:p w14:paraId="24AADAC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浓度</w:t>
                  </w:r>
                  <w:r>
                    <w:rPr>
                      <w:rFonts w:hint="default" w:ascii="Times New Roman" w:hAnsi="Times New Roman" w:eastAsia="宋体" w:cs="Times New Roman"/>
                      <w:i w:val="0"/>
                      <w:iCs w:val="0"/>
                      <w:color w:val="000000"/>
                      <w:kern w:val="0"/>
                      <w:sz w:val="21"/>
                      <w:szCs w:val="21"/>
                      <w:u w:val="none"/>
                      <w:lang w:val="en-US" w:eastAsia="zh-CN" w:bidi="ar"/>
                    </w:rPr>
                    <w:t>mg/m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422" w:type="pct"/>
                  <w:tcBorders>
                    <w:tl2br w:val="nil"/>
                    <w:tr2bl w:val="nil"/>
                  </w:tcBorders>
                  <w:noWrap w:val="0"/>
                  <w:vAlign w:val="center"/>
                </w:tcPr>
                <w:p w14:paraId="4234978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速率</w:t>
                  </w:r>
                  <w:r>
                    <w:rPr>
                      <w:rFonts w:hint="default" w:ascii="Times New Roman" w:hAnsi="Times New Roman" w:eastAsia="宋体" w:cs="Times New Roman"/>
                      <w:i w:val="0"/>
                      <w:iCs w:val="0"/>
                      <w:color w:val="000000"/>
                      <w:kern w:val="0"/>
                      <w:sz w:val="21"/>
                      <w:szCs w:val="21"/>
                      <w:u w:val="none"/>
                      <w:lang w:val="en-US" w:eastAsia="zh-CN" w:bidi="ar"/>
                    </w:rPr>
                    <w:t>kg/h</w:t>
                  </w:r>
                </w:p>
              </w:tc>
              <w:tc>
                <w:tcPr>
                  <w:tcW w:w="462" w:type="pct"/>
                  <w:tcBorders>
                    <w:tl2br w:val="nil"/>
                    <w:tr2bl w:val="nil"/>
                  </w:tcBorders>
                  <w:noWrap w:val="0"/>
                  <w:vAlign w:val="center"/>
                </w:tcPr>
                <w:p w14:paraId="72B161D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产生量</w:t>
                  </w:r>
                  <w:r>
                    <w:rPr>
                      <w:rFonts w:hint="default" w:ascii="Times New Roman" w:hAnsi="Times New Roman" w:eastAsia="宋体" w:cs="Times New Roman"/>
                      <w:i w:val="0"/>
                      <w:iCs w:val="0"/>
                      <w:color w:val="000000"/>
                      <w:kern w:val="0"/>
                      <w:sz w:val="21"/>
                      <w:szCs w:val="21"/>
                      <w:u w:val="none"/>
                      <w:lang w:val="en-US" w:eastAsia="zh-CN" w:bidi="ar"/>
                    </w:rPr>
                    <w:t>t/a</w:t>
                  </w:r>
                </w:p>
              </w:tc>
              <w:tc>
                <w:tcPr>
                  <w:tcW w:w="407" w:type="pct"/>
                  <w:tcBorders>
                    <w:tl2br w:val="nil"/>
                    <w:tr2bl w:val="nil"/>
                  </w:tcBorders>
                  <w:noWrap w:val="0"/>
                  <w:vAlign w:val="center"/>
                </w:tcPr>
                <w:p w14:paraId="4AD734C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浓度</w:t>
                  </w:r>
                  <w:r>
                    <w:rPr>
                      <w:rFonts w:hint="default" w:ascii="Times New Roman" w:hAnsi="Times New Roman" w:eastAsia="宋体" w:cs="Times New Roman"/>
                      <w:i w:val="0"/>
                      <w:iCs w:val="0"/>
                      <w:color w:val="000000"/>
                      <w:kern w:val="0"/>
                      <w:sz w:val="21"/>
                      <w:szCs w:val="21"/>
                      <w:u w:val="none"/>
                      <w:lang w:val="en-US" w:eastAsia="zh-CN" w:bidi="ar"/>
                    </w:rPr>
                    <w:t>mg/m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416" w:type="pct"/>
                  <w:tcBorders>
                    <w:tl2br w:val="nil"/>
                    <w:tr2bl w:val="nil"/>
                  </w:tcBorders>
                  <w:noWrap w:val="0"/>
                  <w:vAlign w:val="center"/>
                </w:tcPr>
                <w:p w14:paraId="4D3ABE2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速率</w:t>
                  </w:r>
                  <w:r>
                    <w:rPr>
                      <w:rFonts w:hint="default" w:ascii="Times New Roman" w:hAnsi="Times New Roman" w:eastAsia="宋体" w:cs="Times New Roman"/>
                      <w:i w:val="0"/>
                      <w:iCs w:val="0"/>
                      <w:color w:val="000000"/>
                      <w:kern w:val="0"/>
                      <w:sz w:val="21"/>
                      <w:szCs w:val="21"/>
                      <w:u w:val="none"/>
                      <w:lang w:val="en-US" w:eastAsia="zh-CN" w:bidi="ar"/>
                    </w:rPr>
                    <w:t>kg/h</w:t>
                  </w:r>
                </w:p>
              </w:tc>
              <w:tc>
                <w:tcPr>
                  <w:tcW w:w="352" w:type="pct"/>
                  <w:tcBorders>
                    <w:tl2br w:val="nil"/>
                    <w:tr2bl w:val="nil"/>
                  </w:tcBorders>
                  <w:noWrap w:val="0"/>
                  <w:vAlign w:val="center"/>
                </w:tcPr>
                <w:p w14:paraId="2CA529F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排放量</w:t>
                  </w:r>
                  <w:r>
                    <w:rPr>
                      <w:rFonts w:hint="default" w:ascii="Times New Roman" w:hAnsi="Times New Roman" w:eastAsia="宋体" w:cs="Times New Roman"/>
                      <w:i w:val="0"/>
                      <w:iCs w:val="0"/>
                      <w:color w:val="000000"/>
                      <w:kern w:val="0"/>
                      <w:sz w:val="21"/>
                      <w:szCs w:val="21"/>
                      <w:u w:val="none"/>
                      <w:lang w:val="en-US" w:eastAsia="zh-CN" w:bidi="ar"/>
                    </w:rPr>
                    <w:t>t/a</w:t>
                  </w:r>
                </w:p>
              </w:tc>
              <w:tc>
                <w:tcPr>
                  <w:tcW w:w="329" w:type="pct"/>
                  <w:vMerge w:val="continue"/>
                  <w:tcBorders>
                    <w:tl2br w:val="nil"/>
                    <w:tr2bl w:val="nil"/>
                  </w:tcBorders>
                  <w:noWrap w:val="0"/>
                  <w:vAlign w:val="center"/>
                </w:tcPr>
                <w:p w14:paraId="356EFBB7">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r>
            <w:tr w14:paraId="0ECB1B02">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rPr>
              <w:tc>
                <w:tcPr>
                  <w:tcW w:w="461" w:type="pct"/>
                  <w:vMerge w:val="restart"/>
                  <w:tcBorders>
                    <w:tl2br w:val="nil"/>
                    <w:tr2bl w:val="nil"/>
                  </w:tcBorders>
                  <w:noWrap w:val="0"/>
                  <w:vAlign w:val="center"/>
                </w:tcPr>
                <w:p w14:paraId="5B0FA8CA">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单棒炉、时效炉</w:t>
                  </w:r>
                  <w:r>
                    <w:rPr>
                      <w:rFonts w:hint="eastAsia" w:ascii="Times New Roman" w:hAnsi="Times New Roman" w:eastAsia="宋体" w:cs="Times New Roman"/>
                      <w:b w:val="0"/>
                      <w:bCs/>
                      <w:color w:val="auto"/>
                      <w:sz w:val="21"/>
                      <w:szCs w:val="21"/>
                      <w:lang w:val="en-US" w:eastAsia="zh-CN"/>
                    </w:rPr>
                    <w:t>天然气燃烧</w:t>
                  </w:r>
                </w:p>
              </w:tc>
              <w:tc>
                <w:tcPr>
                  <w:tcW w:w="445" w:type="pct"/>
                  <w:vMerge w:val="restart"/>
                  <w:tcBorders>
                    <w:tl2br w:val="nil"/>
                    <w:tr2bl w:val="nil"/>
                  </w:tcBorders>
                  <w:noWrap w:val="0"/>
                  <w:vAlign w:val="center"/>
                </w:tcPr>
                <w:p w14:paraId="112ABFA6">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DA00</w:t>
                  </w:r>
                  <w:r>
                    <w:rPr>
                      <w:rFonts w:hint="eastAsia" w:ascii="Times New Roman" w:hAnsi="Times New Roman" w:eastAsia="宋体" w:cs="Times New Roman"/>
                      <w:b w:val="0"/>
                      <w:bCs/>
                      <w:color w:val="auto"/>
                      <w:sz w:val="21"/>
                      <w:szCs w:val="21"/>
                      <w:lang w:val="en-US" w:eastAsia="zh-CN"/>
                    </w:rPr>
                    <w:t>1</w:t>
                  </w:r>
                </w:p>
              </w:tc>
              <w:tc>
                <w:tcPr>
                  <w:tcW w:w="394" w:type="pct"/>
                  <w:vMerge w:val="restart"/>
                  <w:tcBorders>
                    <w:tl2br w:val="nil"/>
                    <w:tr2bl w:val="nil"/>
                  </w:tcBorders>
                  <w:noWrap w:val="0"/>
                  <w:vAlign w:val="center"/>
                </w:tcPr>
                <w:p w14:paraId="7009F1B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i w:val="0"/>
                      <w:iCs w:val="0"/>
                      <w:color w:val="auto"/>
                      <w:kern w:val="0"/>
                      <w:sz w:val="21"/>
                      <w:szCs w:val="21"/>
                      <w:u w:val="none"/>
                      <w:lang w:val="en-US" w:eastAsia="zh-CN" w:bidi="ar"/>
                    </w:rPr>
                    <w:t>1</w:t>
                  </w:r>
                  <w:r>
                    <w:rPr>
                      <w:rFonts w:hint="eastAsia" w:cs="Times New Roman"/>
                      <w:i w:val="0"/>
                      <w:iCs w:val="0"/>
                      <w:color w:val="auto"/>
                      <w:kern w:val="0"/>
                      <w:sz w:val="21"/>
                      <w:szCs w:val="21"/>
                      <w:u w:val="none"/>
                      <w:lang w:val="en-US" w:eastAsia="zh-CN" w:bidi="ar"/>
                    </w:rPr>
                    <w:t>020</w:t>
                  </w:r>
                </w:p>
              </w:tc>
              <w:tc>
                <w:tcPr>
                  <w:tcW w:w="475" w:type="pct"/>
                  <w:tcBorders>
                    <w:tl2br w:val="nil"/>
                    <w:tr2bl w:val="nil"/>
                  </w:tcBorders>
                  <w:noWrap w:val="0"/>
                  <w:vAlign w:val="center"/>
                </w:tcPr>
                <w:p w14:paraId="1B368F7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颗粒物</w:t>
                  </w:r>
                </w:p>
              </w:tc>
              <w:tc>
                <w:tcPr>
                  <w:tcW w:w="418" w:type="pct"/>
                  <w:tcBorders>
                    <w:tl2br w:val="nil"/>
                    <w:tr2bl w:val="nil"/>
                  </w:tcBorders>
                  <w:noWrap w:val="0"/>
                  <w:vAlign w:val="center"/>
                </w:tcPr>
                <w:p w14:paraId="779F496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有组织</w:t>
                  </w:r>
                </w:p>
              </w:tc>
              <w:tc>
                <w:tcPr>
                  <w:tcW w:w="416" w:type="pct"/>
                  <w:tcBorders>
                    <w:tl2br w:val="nil"/>
                    <w:tr2bl w:val="nil"/>
                  </w:tcBorders>
                  <w:noWrap w:val="0"/>
                  <w:vAlign w:val="center"/>
                </w:tcPr>
                <w:p w14:paraId="43EFDA9A">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21.0</w:t>
                  </w:r>
                </w:p>
              </w:tc>
              <w:tc>
                <w:tcPr>
                  <w:tcW w:w="422" w:type="pct"/>
                  <w:tcBorders>
                    <w:tl2br w:val="nil"/>
                    <w:tr2bl w:val="nil"/>
                  </w:tcBorders>
                  <w:noWrap/>
                  <w:vAlign w:val="center"/>
                </w:tcPr>
                <w:p w14:paraId="046B2831">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0.021</w:t>
                  </w:r>
                </w:p>
              </w:tc>
              <w:tc>
                <w:tcPr>
                  <w:tcW w:w="462" w:type="pct"/>
                  <w:tcBorders>
                    <w:tl2br w:val="nil"/>
                    <w:tr2bl w:val="nil"/>
                  </w:tcBorders>
                  <w:noWrap w:val="0"/>
                  <w:vAlign w:val="center"/>
                </w:tcPr>
                <w:p w14:paraId="025141D1">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0.051</w:t>
                  </w:r>
                </w:p>
              </w:tc>
              <w:tc>
                <w:tcPr>
                  <w:tcW w:w="407" w:type="pct"/>
                  <w:tcBorders>
                    <w:tl2br w:val="nil"/>
                    <w:tr2bl w:val="nil"/>
                  </w:tcBorders>
                  <w:noWrap w:val="0"/>
                  <w:vAlign w:val="center"/>
                </w:tcPr>
                <w:p w14:paraId="3ED87628">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21.0</w:t>
                  </w:r>
                </w:p>
              </w:tc>
              <w:tc>
                <w:tcPr>
                  <w:tcW w:w="416" w:type="pct"/>
                  <w:tcBorders>
                    <w:tl2br w:val="nil"/>
                    <w:tr2bl w:val="nil"/>
                  </w:tcBorders>
                  <w:noWrap/>
                  <w:vAlign w:val="center"/>
                </w:tcPr>
                <w:p w14:paraId="46F4EDBE">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0.021</w:t>
                  </w:r>
                </w:p>
              </w:tc>
              <w:tc>
                <w:tcPr>
                  <w:tcW w:w="352" w:type="pct"/>
                  <w:tcBorders>
                    <w:tl2br w:val="nil"/>
                    <w:tr2bl w:val="nil"/>
                  </w:tcBorders>
                  <w:noWrap w:val="0"/>
                  <w:vAlign w:val="center"/>
                </w:tcPr>
                <w:p w14:paraId="797C67BC">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0.051</w:t>
                  </w:r>
                </w:p>
              </w:tc>
              <w:tc>
                <w:tcPr>
                  <w:tcW w:w="329" w:type="pct"/>
                  <w:tcBorders>
                    <w:tl2br w:val="nil"/>
                    <w:tr2bl w:val="nil"/>
                  </w:tcBorders>
                  <w:noWrap w:val="0"/>
                  <w:vAlign w:val="center"/>
                </w:tcPr>
                <w:p w14:paraId="55511DE7">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w:t>
                  </w:r>
                </w:p>
              </w:tc>
            </w:tr>
            <w:tr w14:paraId="64E5F32C">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rPr>
              <w:tc>
                <w:tcPr>
                  <w:tcW w:w="461" w:type="pct"/>
                  <w:vMerge w:val="continue"/>
                  <w:tcBorders>
                    <w:tl2br w:val="nil"/>
                    <w:tr2bl w:val="nil"/>
                  </w:tcBorders>
                  <w:noWrap w:val="0"/>
                  <w:vAlign w:val="center"/>
                </w:tcPr>
                <w:p w14:paraId="31C1A015">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45" w:type="pct"/>
                  <w:vMerge w:val="continue"/>
                  <w:tcBorders>
                    <w:tl2br w:val="nil"/>
                    <w:tr2bl w:val="nil"/>
                  </w:tcBorders>
                  <w:noWrap w:val="0"/>
                  <w:vAlign w:val="center"/>
                </w:tcPr>
                <w:p w14:paraId="2E647A55">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394" w:type="pct"/>
                  <w:vMerge w:val="continue"/>
                  <w:tcBorders>
                    <w:tl2br w:val="nil"/>
                    <w:tr2bl w:val="nil"/>
                  </w:tcBorders>
                  <w:noWrap w:val="0"/>
                  <w:vAlign w:val="center"/>
                </w:tcPr>
                <w:p w14:paraId="4656A74C">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75" w:type="pct"/>
                  <w:tcBorders>
                    <w:tl2br w:val="nil"/>
                    <w:tr2bl w:val="nil"/>
                  </w:tcBorders>
                  <w:noWrap w:val="0"/>
                  <w:vAlign w:val="center"/>
                </w:tcPr>
                <w:p w14:paraId="5EDDCDB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000000"/>
                      <w:lang w:val="en-US" w:eastAsia="zh-CN"/>
                    </w:rPr>
                    <w:t>SO</w:t>
                  </w:r>
                  <w:r>
                    <w:rPr>
                      <w:rFonts w:hint="default" w:ascii="Times New Roman" w:hAnsi="Times New Roman" w:eastAsia="宋体" w:cs="Times New Roman"/>
                      <w:b w:val="0"/>
                      <w:bCs/>
                      <w:color w:val="000000"/>
                      <w:vertAlign w:val="subscript"/>
                      <w:lang w:val="en-US" w:eastAsia="zh-CN"/>
                    </w:rPr>
                    <w:t>2</w:t>
                  </w:r>
                </w:p>
              </w:tc>
              <w:tc>
                <w:tcPr>
                  <w:tcW w:w="418" w:type="pct"/>
                  <w:tcBorders>
                    <w:tl2br w:val="nil"/>
                    <w:tr2bl w:val="nil"/>
                  </w:tcBorders>
                  <w:noWrap w:val="0"/>
                  <w:vAlign w:val="center"/>
                </w:tcPr>
                <w:p w14:paraId="7DBB041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000000"/>
                      <w:lang w:val="en-US" w:eastAsia="zh-CN"/>
                    </w:rPr>
                  </w:pPr>
                  <w:r>
                    <w:rPr>
                      <w:rFonts w:hint="eastAsia" w:ascii="Times New Roman" w:hAnsi="Times New Roman" w:eastAsia="宋体" w:cs="Times New Roman"/>
                      <w:b w:val="0"/>
                      <w:bCs/>
                      <w:color w:val="auto"/>
                      <w:sz w:val="21"/>
                      <w:szCs w:val="21"/>
                      <w:lang w:val="en-US" w:eastAsia="zh-CN"/>
                    </w:rPr>
                    <w:t>有组织</w:t>
                  </w:r>
                </w:p>
              </w:tc>
              <w:tc>
                <w:tcPr>
                  <w:tcW w:w="416" w:type="pct"/>
                  <w:tcBorders>
                    <w:tl2br w:val="nil"/>
                    <w:tr2bl w:val="nil"/>
                  </w:tcBorders>
                  <w:noWrap w:val="0"/>
                  <w:vAlign w:val="center"/>
                </w:tcPr>
                <w:p w14:paraId="3224B21D">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14.7</w:t>
                  </w:r>
                </w:p>
              </w:tc>
              <w:tc>
                <w:tcPr>
                  <w:tcW w:w="422" w:type="pct"/>
                  <w:tcBorders>
                    <w:tl2br w:val="nil"/>
                    <w:tr2bl w:val="nil"/>
                  </w:tcBorders>
                  <w:noWrap/>
                  <w:vAlign w:val="center"/>
                </w:tcPr>
                <w:p w14:paraId="2CDA3460">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0.015</w:t>
                  </w:r>
                </w:p>
              </w:tc>
              <w:tc>
                <w:tcPr>
                  <w:tcW w:w="462" w:type="pct"/>
                  <w:tcBorders>
                    <w:tl2br w:val="nil"/>
                    <w:tr2bl w:val="nil"/>
                  </w:tcBorders>
                  <w:noWrap w:val="0"/>
                  <w:vAlign w:val="center"/>
                </w:tcPr>
                <w:p w14:paraId="6768E51E">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407" w:type="pct"/>
                  <w:tcBorders>
                    <w:tl2br w:val="nil"/>
                    <w:tr2bl w:val="nil"/>
                  </w:tcBorders>
                  <w:noWrap w:val="0"/>
                  <w:vAlign w:val="center"/>
                </w:tcPr>
                <w:p w14:paraId="67313E6E">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14.7</w:t>
                  </w:r>
                </w:p>
              </w:tc>
              <w:tc>
                <w:tcPr>
                  <w:tcW w:w="416" w:type="pct"/>
                  <w:tcBorders>
                    <w:tl2br w:val="nil"/>
                    <w:tr2bl w:val="nil"/>
                  </w:tcBorders>
                  <w:noWrap/>
                  <w:vAlign w:val="center"/>
                </w:tcPr>
                <w:p w14:paraId="0B75EA0F">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0.019</w:t>
                  </w:r>
                </w:p>
              </w:tc>
              <w:tc>
                <w:tcPr>
                  <w:tcW w:w="352" w:type="pct"/>
                  <w:tcBorders>
                    <w:tl2br w:val="nil"/>
                    <w:tr2bl w:val="nil"/>
                  </w:tcBorders>
                  <w:noWrap w:val="0"/>
                  <w:vAlign w:val="center"/>
                </w:tcPr>
                <w:p w14:paraId="11763CC6">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0.158</w:t>
                  </w:r>
                </w:p>
              </w:tc>
              <w:tc>
                <w:tcPr>
                  <w:tcW w:w="329" w:type="pct"/>
                  <w:tcBorders>
                    <w:tl2br w:val="nil"/>
                    <w:tr2bl w:val="nil"/>
                  </w:tcBorders>
                  <w:noWrap w:val="0"/>
                  <w:vAlign w:val="center"/>
                </w:tcPr>
                <w:p w14:paraId="23174212">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r>
            <w:tr w14:paraId="349AFD9C">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rPr>
              <w:tc>
                <w:tcPr>
                  <w:tcW w:w="461" w:type="pct"/>
                  <w:vMerge w:val="continue"/>
                  <w:tcBorders>
                    <w:tl2br w:val="nil"/>
                    <w:tr2bl w:val="nil"/>
                  </w:tcBorders>
                  <w:noWrap w:val="0"/>
                  <w:vAlign w:val="center"/>
                </w:tcPr>
                <w:p w14:paraId="6D607E5D">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45" w:type="pct"/>
                  <w:vMerge w:val="continue"/>
                  <w:tcBorders>
                    <w:tl2br w:val="nil"/>
                    <w:tr2bl w:val="nil"/>
                  </w:tcBorders>
                  <w:noWrap w:val="0"/>
                  <w:vAlign w:val="center"/>
                </w:tcPr>
                <w:p w14:paraId="0E2E85F7">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394" w:type="pct"/>
                  <w:vMerge w:val="continue"/>
                  <w:tcBorders>
                    <w:tl2br w:val="nil"/>
                    <w:tr2bl w:val="nil"/>
                  </w:tcBorders>
                  <w:noWrap w:val="0"/>
                  <w:vAlign w:val="center"/>
                </w:tcPr>
                <w:p w14:paraId="6FBC5FC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75" w:type="pct"/>
                  <w:tcBorders>
                    <w:tl2br w:val="nil"/>
                    <w:tr2bl w:val="nil"/>
                  </w:tcBorders>
                  <w:noWrap w:val="0"/>
                  <w:vAlign w:val="center"/>
                </w:tcPr>
                <w:p w14:paraId="710EF107">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000000"/>
                      <w:lang w:val="en-US" w:eastAsia="zh-CN"/>
                    </w:rPr>
                    <w:t>NO</w:t>
                  </w:r>
                  <w:r>
                    <w:rPr>
                      <w:rFonts w:hint="default" w:ascii="Times New Roman" w:hAnsi="Times New Roman" w:eastAsia="宋体" w:cs="Times New Roman"/>
                      <w:b w:val="0"/>
                      <w:bCs/>
                      <w:color w:val="000000"/>
                      <w:vertAlign w:val="subscript"/>
                      <w:lang w:val="en-US" w:eastAsia="zh-CN"/>
                    </w:rPr>
                    <w:t>x</w:t>
                  </w:r>
                </w:p>
              </w:tc>
              <w:tc>
                <w:tcPr>
                  <w:tcW w:w="418" w:type="pct"/>
                  <w:tcBorders>
                    <w:tl2br w:val="nil"/>
                    <w:tr2bl w:val="nil"/>
                  </w:tcBorders>
                  <w:noWrap w:val="0"/>
                  <w:vAlign w:val="center"/>
                </w:tcPr>
                <w:p w14:paraId="673FC30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000000"/>
                      <w:lang w:val="en-US" w:eastAsia="zh-CN"/>
                    </w:rPr>
                  </w:pPr>
                  <w:r>
                    <w:rPr>
                      <w:rFonts w:hint="eastAsia" w:ascii="Times New Roman" w:hAnsi="Times New Roman" w:eastAsia="宋体" w:cs="Times New Roman"/>
                      <w:b w:val="0"/>
                      <w:bCs/>
                      <w:color w:val="auto"/>
                      <w:sz w:val="21"/>
                      <w:szCs w:val="21"/>
                      <w:lang w:val="en-US" w:eastAsia="zh-CN"/>
                    </w:rPr>
                    <w:t>有组织</w:t>
                  </w:r>
                </w:p>
              </w:tc>
              <w:tc>
                <w:tcPr>
                  <w:tcW w:w="416" w:type="pct"/>
                  <w:tcBorders>
                    <w:tl2br w:val="nil"/>
                    <w:tr2bl w:val="nil"/>
                  </w:tcBorders>
                  <w:noWrap w:val="0"/>
                  <w:vAlign w:val="center"/>
                </w:tcPr>
                <w:p w14:paraId="09B8AFFB">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137.5</w:t>
                  </w:r>
                </w:p>
              </w:tc>
              <w:tc>
                <w:tcPr>
                  <w:tcW w:w="422" w:type="pct"/>
                  <w:tcBorders>
                    <w:tl2br w:val="nil"/>
                    <w:tr2bl w:val="nil"/>
                  </w:tcBorders>
                  <w:noWrap/>
                  <w:vAlign w:val="center"/>
                </w:tcPr>
                <w:p w14:paraId="1CD0EF40">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0.140</w:t>
                  </w:r>
                </w:p>
              </w:tc>
              <w:tc>
                <w:tcPr>
                  <w:tcW w:w="462" w:type="pct"/>
                  <w:tcBorders>
                    <w:tl2br w:val="nil"/>
                    <w:tr2bl w:val="nil"/>
                  </w:tcBorders>
                  <w:noWrap w:val="0"/>
                  <w:vAlign w:val="center"/>
                </w:tcPr>
                <w:p w14:paraId="3D491C6C">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0.337</w:t>
                  </w:r>
                </w:p>
              </w:tc>
              <w:tc>
                <w:tcPr>
                  <w:tcW w:w="407" w:type="pct"/>
                  <w:tcBorders>
                    <w:tl2br w:val="nil"/>
                    <w:tr2bl w:val="nil"/>
                  </w:tcBorders>
                  <w:noWrap w:val="0"/>
                  <w:vAlign w:val="center"/>
                </w:tcPr>
                <w:p w14:paraId="582E9709">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68.8</w:t>
                  </w:r>
                </w:p>
              </w:tc>
              <w:tc>
                <w:tcPr>
                  <w:tcW w:w="416" w:type="pct"/>
                  <w:tcBorders>
                    <w:tl2br w:val="nil"/>
                    <w:tr2bl w:val="nil"/>
                  </w:tcBorders>
                  <w:noWrap/>
                  <w:vAlign w:val="center"/>
                </w:tcPr>
                <w:p w14:paraId="5609F8BE">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0.070</w:t>
                  </w:r>
                </w:p>
              </w:tc>
              <w:tc>
                <w:tcPr>
                  <w:tcW w:w="352" w:type="pct"/>
                  <w:tcBorders>
                    <w:tl2br w:val="nil"/>
                    <w:tr2bl w:val="nil"/>
                  </w:tcBorders>
                  <w:noWrap w:val="0"/>
                  <w:vAlign w:val="center"/>
                </w:tcPr>
                <w:p w14:paraId="2203F7DD">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329" w:type="pct"/>
                  <w:tcBorders>
                    <w:tl2br w:val="nil"/>
                    <w:tr2bl w:val="nil"/>
                  </w:tcBorders>
                  <w:noWrap w:val="0"/>
                  <w:vAlign w:val="center"/>
                </w:tcPr>
                <w:p w14:paraId="1A0223AD">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50%</w:t>
                  </w:r>
                </w:p>
              </w:tc>
            </w:tr>
          </w:tbl>
          <w:p w14:paraId="508DAEF6">
            <w:pPr>
              <w:pStyle w:val="43"/>
              <w:keepNext w:val="0"/>
              <w:keepLines w:val="0"/>
              <w:pageBreakBefore w:val="0"/>
              <w:widowControl/>
              <w:numPr>
                <w:ilvl w:val="0"/>
                <w:numId w:val="0"/>
              </w:numPr>
              <w:kinsoku/>
              <w:wordWrap/>
              <w:overflowPunct/>
              <w:topLinePunct w:val="0"/>
              <w:autoSpaceDE/>
              <w:autoSpaceDN/>
              <w:bidi w:val="0"/>
              <w:adjustRightInd w:val="0"/>
              <w:snapToGrid w:val="0"/>
              <w:spacing w:before="313" w:beforeLines="100" w:line="360" w:lineRule="auto"/>
              <w:ind w:firstLine="480" w:firstLineChars="200"/>
              <w:jc w:val="both"/>
              <w:textAlignment w:val="auto"/>
              <w:rPr>
                <w:rFonts w:hint="eastAsia"/>
                <w:color w:val="000000"/>
                <w:lang w:val="en-US" w:eastAsia="zh-CN" w:bidi="ar-SA"/>
              </w:rPr>
            </w:pPr>
            <w:r>
              <w:rPr>
                <w:rFonts w:hint="eastAsia" w:ascii="Times New Roman" w:hAnsi="Times New Roman" w:eastAsia="宋体" w:cs="Times New Roman"/>
                <w:color w:val="000000"/>
                <w:sz w:val="24"/>
                <w:lang w:val="en-US" w:eastAsia="zh-CN" w:bidi="ar-SA"/>
              </w:rPr>
              <w:t>（</w:t>
            </w:r>
            <w:r>
              <w:rPr>
                <w:rFonts w:hint="eastAsia" w:cs="Times New Roman"/>
                <w:color w:val="000000"/>
                <w:sz w:val="24"/>
                <w:lang w:val="en-US" w:eastAsia="zh-CN" w:bidi="ar-SA"/>
              </w:rPr>
              <w:t>2</w:t>
            </w:r>
            <w:r>
              <w:rPr>
                <w:rFonts w:hint="eastAsia" w:ascii="Times New Roman" w:hAnsi="Times New Roman" w:eastAsia="宋体" w:cs="Times New Roman"/>
                <w:color w:val="000000"/>
                <w:sz w:val="24"/>
                <w:lang w:val="en-US" w:eastAsia="zh-CN" w:bidi="ar-SA"/>
              </w:rPr>
              <w:t>）</w:t>
            </w:r>
            <w:r>
              <w:rPr>
                <w:rFonts w:hint="eastAsia"/>
                <w:color w:val="000000"/>
                <w:lang w:val="en-US" w:eastAsia="zh-CN" w:bidi="ar-SA"/>
              </w:rPr>
              <w:t>锯切废气G2</w:t>
            </w:r>
          </w:p>
          <w:p w14:paraId="30595257">
            <w:pPr>
              <w:pStyle w:val="43"/>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color w:val="000000"/>
                <w:lang w:val="en-US" w:eastAsia="zh-CN" w:bidi="ar-SA"/>
              </w:rPr>
            </w:pPr>
            <w:r>
              <w:rPr>
                <w:rFonts w:hint="default"/>
                <w:color w:val="000000"/>
                <w:lang w:val="en-US" w:eastAsia="zh-CN" w:bidi="ar-SA"/>
              </w:rPr>
              <w:t>本项目</w:t>
            </w:r>
            <w:r>
              <w:rPr>
                <w:rFonts w:hint="eastAsia"/>
                <w:color w:val="000000"/>
                <w:lang w:val="en-US" w:eastAsia="zh-CN" w:bidi="ar-SA"/>
              </w:rPr>
              <w:t>铝材</w:t>
            </w:r>
            <w:r>
              <w:rPr>
                <w:rFonts w:hint="default"/>
                <w:color w:val="000000"/>
                <w:lang w:val="en-US" w:eastAsia="zh-CN" w:bidi="ar-SA"/>
              </w:rPr>
              <w:t>锯切</w:t>
            </w:r>
            <w:r>
              <w:rPr>
                <w:rFonts w:hint="eastAsia"/>
                <w:color w:val="000000"/>
                <w:lang w:val="en-US" w:eastAsia="zh-CN" w:bidi="ar-SA"/>
              </w:rPr>
              <w:t>工序过程</w:t>
            </w:r>
            <w:r>
              <w:rPr>
                <w:rFonts w:hint="default"/>
                <w:color w:val="000000"/>
                <w:lang w:val="en-US" w:eastAsia="zh-CN" w:bidi="ar-SA"/>
              </w:rPr>
              <w:t>会产生颗粒物</w:t>
            </w:r>
            <w:r>
              <w:rPr>
                <w:rFonts w:hint="eastAsia"/>
                <w:color w:val="000000"/>
                <w:lang w:val="en-US" w:eastAsia="zh-CN" w:bidi="ar-SA"/>
              </w:rPr>
              <w:t>，项目配备成品锯4台，设备均自带集气和布袋除尘装置，集气罩尺寸均为1*0.4m，</w:t>
            </w:r>
            <w:r>
              <w:rPr>
                <w:rFonts w:hint="default"/>
                <w:color w:val="000000"/>
                <w:lang w:val="en-US" w:eastAsia="zh-CN" w:bidi="ar-SA"/>
              </w:rPr>
              <w:t>参照《排放源统计调查产排污核算方法和系数手册》中《机械行业系数手册》，锯切颗粒物产污系数</w:t>
            </w:r>
            <w:r>
              <w:rPr>
                <w:rFonts w:hint="eastAsia"/>
                <w:color w:val="000000"/>
                <w:lang w:val="en-US" w:eastAsia="zh-CN" w:bidi="ar-SA"/>
              </w:rPr>
              <w:t>均</w:t>
            </w:r>
            <w:r>
              <w:rPr>
                <w:rFonts w:hint="default"/>
                <w:color w:val="000000"/>
                <w:lang w:val="en-US" w:eastAsia="zh-CN" w:bidi="ar-SA"/>
              </w:rPr>
              <w:t>为5.3kg/t-原料，本项目使用铝棒</w:t>
            </w:r>
            <w:r>
              <w:rPr>
                <w:rFonts w:hint="eastAsia"/>
                <w:color w:val="000000"/>
                <w:lang w:val="en-US" w:eastAsia="zh-CN" w:bidi="ar-SA"/>
              </w:rPr>
              <w:t>17600</w:t>
            </w:r>
            <w:r>
              <w:rPr>
                <w:rFonts w:hint="default"/>
                <w:color w:val="000000"/>
                <w:lang w:val="en-US" w:eastAsia="zh-CN" w:bidi="ar-SA"/>
              </w:rPr>
              <w:t>t</w:t>
            </w:r>
            <w:r>
              <w:rPr>
                <w:rFonts w:hint="eastAsia"/>
                <w:color w:val="000000"/>
                <w:lang w:val="en-US" w:eastAsia="zh-CN" w:bidi="ar-SA"/>
              </w:rPr>
              <w:t>/</w:t>
            </w:r>
            <w:r>
              <w:rPr>
                <w:rFonts w:hint="default"/>
                <w:color w:val="000000"/>
                <w:lang w:val="en-US" w:eastAsia="zh-CN" w:bidi="ar-SA"/>
              </w:rPr>
              <w:t>a，</w:t>
            </w:r>
            <w:r>
              <w:rPr>
                <w:rFonts w:hint="eastAsia"/>
                <w:color w:val="000000"/>
                <w:lang w:val="en-US" w:eastAsia="zh-CN" w:bidi="ar-SA"/>
              </w:rPr>
              <w:t>则锯切过程合计</w:t>
            </w:r>
            <w:r>
              <w:rPr>
                <w:rFonts w:hint="default"/>
                <w:color w:val="000000"/>
                <w:lang w:val="en-US" w:eastAsia="zh-CN" w:bidi="ar-SA"/>
              </w:rPr>
              <w:t>产生颗粒物</w:t>
            </w:r>
            <w:r>
              <w:rPr>
                <w:rFonts w:hint="eastAsia"/>
                <w:color w:val="000000"/>
                <w:lang w:val="en-US" w:eastAsia="zh-CN" w:bidi="ar-SA"/>
              </w:rPr>
              <w:t>93.28t</w:t>
            </w:r>
            <w:r>
              <w:rPr>
                <w:rFonts w:hint="default"/>
                <w:color w:val="000000"/>
                <w:lang w:val="en-US" w:eastAsia="zh-CN" w:bidi="ar-SA"/>
              </w:rPr>
              <w:t>/a。</w:t>
            </w:r>
            <w:r>
              <w:rPr>
                <w:rFonts w:hint="eastAsia"/>
                <w:color w:val="000000"/>
                <w:lang w:val="en-US" w:eastAsia="zh-CN" w:bidi="ar-SA"/>
              </w:rPr>
              <w:t>该废气</w:t>
            </w:r>
            <w:r>
              <w:rPr>
                <w:rFonts w:hint="default"/>
                <w:color w:val="000000"/>
                <w:lang w:val="en-US" w:eastAsia="zh-CN" w:bidi="ar-SA"/>
              </w:rPr>
              <w:t>通过</w:t>
            </w:r>
            <w:r>
              <w:rPr>
                <w:rFonts w:hint="eastAsia"/>
                <w:color w:val="000000"/>
                <w:lang w:val="en-US" w:eastAsia="zh-CN" w:bidi="ar-SA"/>
              </w:rPr>
              <w:t>集气罩</w:t>
            </w:r>
            <w:r>
              <w:rPr>
                <w:rFonts w:hint="default"/>
                <w:color w:val="000000"/>
                <w:lang w:val="en-US" w:eastAsia="zh-CN" w:bidi="ar-SA"/>
              </w:rPr>
              <w:t>收集后经设备自带的</w:t>
            </w:r>
            <w:r>
              <w:rPr>
                <w:rFonts w:hint="eastAsia"/>
                <w:color w:val="000000"/>
                <w:lang w:val="en-US" w:eastAsia="zh-CN" w:bidi="ar-SA"/>
              </w:rPr>
              <w:t>布袋除尘器</w:t>
            </w:r>
            <w:r>
              <w:rPr>
                <w:rFonts w:hint="default"/>
                <w:color w:val="000000"/>
                <w:lang w:val="en-US" w:eastAsia="zh-CN" w:bidi="ar-SA"/>
              </w:rPr>
              <w:t>处理后</w:t>
            </w:r>
            <w:r>
              <w:rPr>
                <w:rFonts w:hint="eastAsia"/>
                <w:color w:val="000000"/>
                <w:lang w:val="en-US" w:eastAsia="zh-CN" w:bidi="ar-SA"/>
              </w:rPr>
              <w:t>由一根15m高的排气筒（DA002）</w:t>
            </w:r>
            <w:r>
              <w:rPr>
                <w:rFonts w:hint="default"/>
                <w:color w:val="000000"/>
                <w:lang w:val="en-US" w:eastAsia="zh-CN" w:bidi="ar-SA"/>
              </w:rPr>
              <w:t>排放</w:t>
            </w:r>
            <w:r>
              <w:rPr>
                <w:rFonts w:hint="eastAsia"/>
                <w:color w:val="000000"/>
                <w:lang w:val="en-US" w:eastAsia="zh-CN" w:bidi="ar-SA"/>
              </w:rPr>
              <w:t>，</w:t>
            </w:r>
            <w:r>
              <w:rPr>
                <w:rFonts w:hint="default"/>
                <w:color w:val="000000"/>
                <w:lang w:val="en-US" w:eastAsia="zh-CN" w:bidi="ar-SA"/>
              </w:rPr>
              <w:t>收集效率为90%，去除效率为9</w:t>
            </w:r>
            <w:r>
              <w:rPr>
                <w:rFonts w:hint="eastAsia"/>
                <w:color w:val="000000"/>
                <w:lang w:val="en-US" w:eastAsia="zh-CN" w:bidi="ar-SA"/>
              </w:rPr>
              <w:t>9</w:t>
            </w:r>
            <w:r>
              <w:rPr>
                <w:rFonts w:hint="default"/>
                <w:color w:val="000000"/>
                <w:lang w:val="en-US" w:eastAsia="zh-CN" w:bidi="ar-SA"/>
              </w:rPr>
              <w:t>%</w:t>
            </w:r>
            <w:r>
              <w:rPr>
                <w:rFonts w:hint="eastAsia"/>
                <w:color w:val="000000"/>
                <w:lang w:val="en-US" w:eastAsia="zh-CN" w:bidi="ar-SA"/>
              </w:rPr>
              <w:t>。</w:t>
            </w:r>
          </w:p>
          <w:p w14:paraId="339485EB">
            <w:pPr>
              <w:pStyle w:val="13"/>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锯切废气</w:t>
            </w:r>
            <w:r>
              <w:rPr>
                <w:rFonts w:hint="default" w:ascii="Times New Roman" w:hAnsi="Times New Roman" w:eastAsia="宋体" w:cs="Times New Roman"/>
                <w:color w:val="auto"/>
                <w:sz w:val="24"/>
                <w:szCs w:val="24"/>
                <w:highlight w:val="none"/>
              </w:rPr>
              <w:t>集气罩风量参照下列经验公式进行计算：</w:t>
            </w:r>
          </w:p>
          <w:p w14:paraId="50C90D4A">
            <w:pPr>
              <w:pStyle w:val="13"/>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position w:val="-10"/>
                <w:highlight w:val="none"/>
              </w:rPr>
              <w:object>
                <v:shape id="_x0000_i1027" o:spt="75" type="#_x0000_t75" style="height:25.65pt;width:94.6pt;" o:ole="t" filled="f" o:preferrelative="t" stroked="f" coordsize="21600,21600">
                  <v:path/>
                  <v:fill on="f" focussize="0,0"/>
                  <v:stroke on="f"/>
                  <v:imagedata r:id="rId17" o:title=""/>
                  <o:lock v:ext="edit" aspectratio="t"/>
                  <w10:wrap type="none"/>
                  <w10:anchorlock/>
                </v:shape>
                <o:OLEObject Type="Embed" ProgID="Equation.KSEE3" ShapeID="_x0000_i1027" DrawAspect="Content" ObjectID="_1468075727" r:id="rId16">
                  <o:LockedField>false</o:LockedField>
                </o:OLEObject>
              </w:object>
            </w:r>
          </w:p>
          <w:p w14:paraId="0976E26E">
            <w:pPr>
              <w:pStyle w:val="1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其中：P-排气罩口敞开面的周长，m；</w:t>
            </w:r>
          </w:p>
          <w:p w14:paraId="07EEFF4B">
            <w:pPr>
              <w:pStyle w:val="1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H－罩口至污染源距离，m；</w:t>
            </w:r>
          </w:p>
          <w:p w14:paraId="11BF2ED6">
            <w:pPr>
              <w:pStyle w:val="1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Vr-污染源边缘控制风速（取0.5m/s）；</w:t>
            </w:r>
          </w:p>
          <w:p w14:paraId="3444EED5">
            <w:pPr>
              <w:pStyle w:val="1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k-安全系数，本次取k=1.2。</w:t>
            </w:r>
          </w:p>
          <w:p w14:paraId="29CEE245">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表</w:t>
            </w:r>
            <w:r>
              <w:rPr>
                <w:rFonts w:hint="eastAsia" w:ascii="Times New Roman" w:hAnsi="Times New Roman" w:eastAsia="宋体" w:cs="Times New Roman"/>
                <w:color w:val="auto"/>
                <w:highlight w:val="none"/>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6</w:t>
            </w:r>
            <w:r>
              <w:rPr>
                <w:rFonts w:hint="default" w:ascii="Times New Roman" w:hAnsi="Times New Roman" w:cs="Times New Roman"/>
                <w:color w:val="000000"/>
              </w:rPr>
              <w:fldChar w:fldCharType="end"/>
            </w:r>
            <w:r>
              <w:rPr>
                <w:rFonts w:hint="default" w:ascii="Times New Roman" w:hAnsi="Times New Roman" w:eastAsia="宋体" w:cs="Times New Roman"/>
                <w:color w:val="auto"/>
                <w:highlight w:val="none"/>
                <w:lang w:eastAsia="zh-CN"/>
              </w:rPr>
              <w:t xml:space="preserve">  </w:t>
            </w:r>
            <w:r>
              <w:rPr>
                <w:rFonts w:hint="eastAsia" w:cs="Times New Roman"/>
                <w:color w:val="auto"/>
                <w:highlight w:val="none"/>
                <w:lang w:val="en-US" w:eastAsia="zh-CN"/>
              </w:rPr>
              <w:t>单台集气罩</w:t>
            </w:r>
            <w:r>
              <w:rPr>
                <w:rFonts w:hint="default" w:ascii="Times New Roman" w:hAnsi="Times New Roman" w:eastAsia="宋体" w:cs="Times New Roman"/>
                <w:color w:val="auto"/>
                <w:highlight w:val="none"/>
                <w:lang w:eastAsia="zh-CN"/>
              </w:rPr>
              <w:t>集气量计算过程</w:t>
            </w:r>
          </w:p>
          <w:tbl>
            <w:tblPr>
              <w:tblStyle w:val="23"/>
              <w:tblW w:w="8285" w:type="dxa"/>
              <w:jc w:val="center"/>
              <w:tblBorders>
                <w:top w:val="single" w:color="auto" w:sz="12" w:space="0"/>
                <w:left w:val="single" w:color="FFFFFF" w:sz="12"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1937"/>
              <w:gridCol w:w="1230"/>
              <w:gridCol w:w="1155"/>
              <w:gridCol w:w="1455"/>
              <w:gridCol w:w="1127"/>
              <w:gridCol w:w="1381"/>
            </w:tblGrid>
            <w:tr w14:paraId="1B9E0CDD">
              <w:tblPrEx>
                <w:tblBorders>
                  <w:top w:val="single" w:color="auto" w:sz="12" w:space="0"/>
                  <w:left w:val="single" w:color="FFFFFF" w:sz="12"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25" w:hRule="atLeast"/>
                <w:jc w:val="center"/>
              </w:trPr>
              <w:tc>
                <w:tcPr>
                  <w:tcW w:w="1937" w:type="dxa"/>
                  <w:vMerge w:val="restart"/>
                  <w:noWrap w:val="0"/>
                  <w:vAlign w:val="center"/>
                </w:tcPr>
                <w:p w14:paraId="768AB97B">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设施名称</w:t>
                  </w:r>
                </w:p>
              </w:tc>
              <w:tc>
                <w:tcPr>
                  <w:tcW w:w="4967" w:type="dxa"/>
                  <w:gridSpan w:val="4"/>
                  <w:noWrap w:val="0"/>
                  <w:vAlign w:val="center"/>
                </w:tcPr>
                <w:p w14:paraId="4F8AE872">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计算参数</w:t>
                  </w:r>
                </w:p>
              </w:tc>
              <w:tc>
                <w:tcPr>
                  <w:tcW w:w="1381" w:type="dxa"/>
                  <w:vMerge w:val="restart"/>
                  <w:noWrap w:val="0"/>
                  <w:vAlign w:val="center"/>
                </w:tcPr>
                <w:p w14:paraId="43CC7BAD">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Q（m</w:t>
                  </w:r>
                  <w:r>
                    <w:rPr>
                      <w:rFonts w:hint="default" w:ascii="Times New Roman" w:hAnsi="Times New Roman" w:eastAsia="宋体" w:cs="Times New Roman"/>
                      <w:color w:val="auto"/>
                      <w:sz w:val="21"/>
                      <w:szCs w:val="21"/>
                      <w:highlight w:val="none"/>
                      <w:vertAlign w:val="superscript"/>
                      <w:lang w:eastAsia="zh-CN"/>
                    </w:rPr>
                    <w:t>3</w:t>
                  </w:r>
                  <w:r>
                    <w:rPr>
                      <w:rFonts w:hint="default" w:ascii="Times New Roman" w:hAnsi="Times New Roman" w:eastAsia="宋体" w:cs="Times New Roman"/>
                      <w:color w:val="auto"/>
                      <w:sz w:val="21"/>
                      <w:szCs w:val="21"/>
                      <w:highlight w:val="none"/>
                      <w:lang w:eastAsia="zh-CN"/>
                    </w:rPr>
                    <w:t>/h）</w:t>
                  </w:r>
                </w:p>
              </w:tc>
            </w:tr>
            <w:tr w14:paraId="7E74280B">
              <w:tblPrEx>
                <w:tblBorders>
                  <w:top w:val="single" w:color="auto" w:sz="12" w:space="0"/>
                  <w:left w:val="single" w:color="FFFFFF" w:sz="12"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25" w:hRule="atLeast"/>
                <w:jc w:val="center"/>
              </w:trPr>
              <w:tc>
                <w:tcPr>
                  <w:tcW w:w="1937" w:type="dxa"/>
                  <w:vMerge w:val="continue"/>
                  <w:noWrap w:val="0"/>
                  <w:vAlign w:val="center"/>
                </w:tcPr>
                <w:p w14:paraId="648EBBD5">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p>
              </w:tc>
              <w:tc>
                <w:tcPr>
                  <w:tcW w:w="1230" w:type="dxa"/>
                  <w:noWrap w:val="0"/>
                  <w:vAlign w:val="center"/>
                </w:tcPr>
                <w:p w14:paraId="19D9C38A">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P（m）</w:t>
                  </w:r>
                </w:p>
              </w:tc>
              <w:tc>
                <w:tcPr>
                  <w:tcW w:w="1155" w:type="dxa"/>
                  <w:noWrap w:val="0"/>
                  <w:vAlign w:val="center"/>
                </w:tcPr>
                <w:p w14:paraId="04B5F331">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H（m）</w:t>
                  </w:r>
                </w:p>
              </w:tc>
              <w:tc>
                <w:tcPr>
                  <w:tcW w:w="1455" w:type="dxa"/>
                  <w:noWrap w:val="0"/>
                  <w:vAlign w:val="center"/>
                </w:tcPr>
                <w:p w14:paraId="2C8FDB2B">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Vr(m/s)</w:t>
                  </w:r>
                </w:p>
              </w:tc>
              <w:tc>
                <w:tcPr>
                  <w:tcW w:w="1127" w:type="dxa"/>
                  <w:noWrap w:val="0"/>
                  <w:vAlign w:val="center"/>
                </w:tcPr>
                <w:p w14:paraId="3417A16F">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k</w:t>
                  </w:r>
                </w:p>
              </w:tc>
              <w:tc>
                <w:tcPr>
                  <w:tcW w:w="1381" w:type="dxa"/>
                  <w:vMerge w:val="continue"/>
                  <w:noWrap w:val="0"/>
                  <w:vAlign w:val="center"/>
                </w:tcPr>
                <w:p w14:paraId="000E4121">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p>
              </w:tc>
            </w:tr>
            <w:tr w14:paraId="4B6250DF">
              <w:tblPrEx>
                <w:tblBorders>
                  <w:top w:val="single" w:color="auto" w:sz="12" w:space="0"/>
                  <w:left w:val="single" w:color="FFFFFF" w:sz="12"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25" w:hRule="atLeast"/>
                <w:jc w:val="center"/>
              </w:trPr>
              <w:tc>
                <w:tcPr>
                  <w:tcW w:w="1937" w:type="dxa"/>
                  <w:noWrap w:val="0"/>
                  <w:vAlign w:val="center"/>
                </w:tcPr>
                <w:p w14:paraId="6D102D13">
                  <w:pPr>
                    <w:pStyle w:val="22"/>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eastAsia" w:eastAsia="宋体" w:cs="Times New Roman"/>
                      <w:color w:val="auto"/>
                      <w:sz w:val="21"/>
                      <w:szCs w:val="21"/>
                      <w:highlight w:val="none"/>
                      <w:lang w:val="en-US" w:eastAsia="zh-CN"/>
                    </w:rPr>
                    <w:t>锯切</w:t>
                  </w:r>
                  <w:r>
                    <w:rPr>
                      <w:rFonts w:hint="default" w:ascii="Times New Roman" w:hAnsi="Times New Roman" w:eastAsia="宋体" w:cs="Times New Roman"/>
                      <w:color w:val="auto"/>
                      <w:sz w:val="21"/>
                      <w:szCs w:val="21"/>
                      <w:highlight w:val="none"/>
                      <w:lang w:eastAsia="zh-CN"/>
                    </w:rPr>
                    <w:t>集气罩</w:t>
                  </w:r>
                </w:p>
              </w:tc>
              <w:tc>
                <w:tcPr>
                  <w:tcW w:w="1230" w:type="dxa"/>
                  <w:noWrap w:val="0"/>
                  <w:vAlign w:val="center"/>
                </w:tcPr>
                <w:p w14:paraId="53BB06E1">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i w:val="0"/>
                      <w:iCs w:val="0"/>
                      <w:color w:val="auto"/>
                      <w:kern w:val="0"/>
                      <w:sz w:val="21"/>
                      <w:szCs w:val="21"/>
                      <w:highlight w:val="none"/>
                      <w:u w:val="none"/>
                      <w:lang w:val="en-US" w:eastAsia="zh-CN" w:bidi="ar"/>
                    </w:rPr>
                    <w:t>2.8</w:t>
                  </w:r>
                </w:p>
              </w:tc>
              <w:tc>
                <w:tcPr>
                  <w:tcW w:w="1155" w:type="dxa"/>
                  <w:noWrap w:val="0"/>
                  <w:vAlign w:val="center"/>
                </w:tcPr>
                <w:p w14:paraId="55FFCF51">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i w:val="0"/>
                      <w:iCs w:val="0"/>
                      <w:color w:val="auto"/>
                      <w:kern w:val="0"/>
                      <w:sz w:val="21"/>
                      <w:szCs w:val="21"/>
                      <w:highlight w:val="none"/>
                      <w:u w:val="none"/>
                      <w:lang w:val="en-US" w:eastAsia="zh-CN" w:bidi="ar"/>
                    </w:rPr>
                    <w:t>0.</w:t>
                  </w: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1455" w:type="dxa"/>
                  <w:noWrap w:val="0"/>
                  <w:vAlign w:val="center"/>
                </w:tcPr>
                <w:p w14:paraId="3CB8561F">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i w:val="0"/>
                      <w:iCs w:val="0"/>
                      <w:color w:val="auto"/>
                      <w:kern w:val="0"/>
                      <w:sz w:val="21"/>
                      <w:szCs w:val="21"/>
                      <w:highlight w:val="none"/>
                      <w:u w:val="none"/>
                      <w:lang w:val="en-US" w:eastAsia="zh-CN" w:bidi="ar"/>
                    </w:rPr>
                    <w:t>0.5</w:t>
                  </w:r>
                </w:p>
              </w:tc>
              <w:tc>
                <w:tcPr>
                  <w:tcW w:w="1127" w:type="dxa"/>
                  <w:noWrap w:val="0"/>
                  <w:vAlign w:val="center"/>
                </w:tcPr>
                <w:p w14:paraId="13DF7C88">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1381" w:type="dxa"/>
                  <w:noWrap w:val="0"/>
                  <w:vAlign w:val="center"/>
                </w:tcPr>
                <w:p w14:paraId="06EC722F">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w:t>
                  </w:r>
                  <w:r>
                    <w:rPr>
                      <w:rFonts w:hint="eastAsia" w:cs="Times New Roman"/>
                      <w:i w:val="0"/>
                      <w:iCs w:val="0"/>
                      <w:color w:val="auto"/>
                      <w:kern w:val="0"/>
                      <w:sz w:val="21"/>
                      <w:szCs w:val="21"/>
                      <w:highlight w:val="none"/>
                      <w:u w:val="none"/>
                      <w:lang w:val="en-US" w:eastAsia="zh-CN" w:bidi="ar"/>
                    </w:rPr>
                    <w:t>209.6</w:t>
                  </w:r>
                </w:p>
              </w:tc>
            </w:tr>
          </w:tbl>
          <w:p w14:paraId="2C7E2A3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根据计算，本项目锯切</w:t>
            </w:r>
            <w:r>
              <w:rPr>
                <w:rFonts w:hint="eastAsia" w:ascii="Times New Roman" w:hAnsi="Times New Roman" w:eastAsia="宋体" w:cs="Times New Roman"/>
                <w:color w:val="auto"/>
                <w:sz w:val="24"/>
                <w:szCs w:val="24"/>
                <w:highlight w:val="none"/>
                <w:lang w:val="en-US" w:eastAsia="zh-CN"/>
              </w:rPr>
              <w:t>设备</w:t>
            </w:r>
            <w:r>
              <w:rPr>
                <w:rFonts w:hint="default" w:ascii="Times New Roman" w:hAnsi="Times New Roman" w:eastAsia="宋体" w:cs="Times New Roman"/>
                <w:color w:val="auto"/>
                <w:sz w:val="24"/>
                <w:szCs w:val="24"/>
                <w:highlight w:val="none"/>
              </w:rPr>
              <w:t>配套单个集气罩风量</w:t>
            </w:r>
            <w:r>
              <w:rPr>
                <w:rFonts w:hint="default" w:ascii="Times New Roman" w:hAnsi="Times New Roman" w:eastAsia="宋体" w:cs="Times New Roman"/>
                <w:color w:val="auto"/>
                <w:sz w:val="24"/>
                <w:szCs w:val="24"/>
                <w:highlight w:val="none"/>
                <w:lang w:val="en-US" w:eastAsia="zh-CN"/>
              </w:rPr>
              <w:t>分别</w:t>
            </w:r>
            <w:r>
              <w:rPr>
                <w:rFonts w:hint="default" w:ascii="Times New Roman" w:hAnsi="Times New Roman" w:eastAsia="宋体" w:cs="Times New Roman"/>
                <w:color w:val="auto"/>
                <w:sz w:val="24"/>
                <w:szCs w:val="24"/>
                <w:highlight w:val="none"/>
              </w:rPr>
              <w:t>为</w:t>
            </w:r>
            <w:r>
              <w:rPr>
                <w:rFonts w:hint="eastAsia"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209.6</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/h，项目</w:t>
            </w:r>
            <w:r>
              <w:rPr>
                <w:rFonts w:hint="eastAsia"/>
                <w:color w:val="000000"/>
                <w:sz w:val="24"/>
                <w:szCs w:val="24"/>
                <w:lang w:val="en-US" w:eastAsia="zh-CN" w:bidi="ar-SA"/>
              </w:rPr>
              <w:t>成品锯4台，则</w:t>
            </w:r>
            <w:r>
              <w:rPr>
                <w:rFonts w:hint="default" w:ascii="Times New Roman" w:hAnsi="Times New Roman" w:eastAsia="宋体" w:cs="Times New Roman"/>
                <w:color w:val="auto"/>
                <w:sz w:val="24"/>
                <w:szCs w:val="24"/>
                <w:highlight w:val="none"/>
              </w:rPr>
              <w:t>总装机风量为</w:t>
            </w:r>
            <w:r>
              <w:rPr>
                <w:rFonts w:hint="eastAsia" w:ascii="Times New Roman" w:hAnsi="Times New Roman" w:eastAsia="宋体" w:cs="Times New Roman"/>
                <w:color w:val="auto"/>
                <w:sz w:val="24"/>
                <w:szCs w:val="24"/>
                <w:highlight w:val="none"/>
                <w:lang w:val="en-US" w:eastAsia="zh-CN"/>
              </w:rPr>
              <w:t>4838.4</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/h，考虑到管道长度及弯折情况，建设单位拟按风量</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000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/h进行风机安装，可满足风量要求。</w:t>
            </w:r>
          </w:p>
          <w:p w14:paraId="3A4769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000000"/>
                <w:sz w:val="24"/>
                <w:szCs w:val="24"/>
                <w:lang w:val="en-US" w:eastAsia="zh-CN" w:bidi="ar-SA"/>
              </w:rPr>
              <w:t>此类锯切产生的粉尘主要以</w:t>
            </w:r>
            <w:r>
              <w:rPr>
                <w:rFonts w:hint="eastAsia" w:ascii="Times New Roman" w:hAnsi="Times New Roman" w:eastAsia="宋体" w:cs="Times New Roman"/>
                <w:color w:val="000000"/>
                <w:sz w:val="24"/>
                <w:szCs w:val="24"/>
                <w:lang w:val="en-US" w:eastAsia="zh-CN" w:bidi="ar-SA"/>
              </w:rPr>
              <w:t>铝粉尘</w:t>
            </w:r>
            <w:r>
              <w:rPr>
                <w:rFonts w:hint="default" w:ascii="Times New Roman" w:hAnsi="Times New Roman" w:eastAsia="宋体" w:cs="Times New Roman"/>
                <w:color w:val="000000"/>
                <w:sz w:val="24"/>
                <w:szCs w:val="24"/>
                <w:lang w:val="en-US" w:eastAsia="zh-CN" w:bidi="ar-SA"/>
              </w:rPr>
              <w:t>颗粒物为主。</w:t>
            </w:r>
            <w:r>
              <w:rPr>
                <w:rFonts w:hint="eastAsia" w:ascii="Times New Roman" w:hAnsi="Times New Roman" w:eastAsia="宋体" w:cs="Times New Roman"/>
                <w:color w:val="000000"/>
                <w:sz w:val="24"/>
                <w:szCs w:val="24"/>
                <w:lang w:val="en-US" w:eastAsia="zh-CN" w:bidi="ar-SA"/>
              </w:rPr>
              <w:t>铝尘</w:t>
            </w:r>
            <w:r>
              <w:rPr>
                <w:rFonts w:hint="default" w:ascii="Times New Roman" w:hAnsi="Times New Roman" w:eastAsia="宋体" w:cs="Times New Roman"/>
                <w:color w:val="000000"/>
                <w:sz w:val="24"/>
                <w:szCs w:val="24"/>
                <w:lang w:val="en-US" w:eastAsia="zh-CN" w:bidi="ar-SA"/>
              </w:rPr>
              <w:t>粒径较大，铝粉尘的密度约为2.7g/</w:t>
            </w:r>
            <w:r>
              <w:rPr>
                <w:rFonts w:hint="eastAsia" w:ascii="Times New Roman" w:hAnsi="Times New Roman" w:eastAsia="宋体" w:cs="Times New Roman"/>
                <w:color w:val="000000"/>
                <w:sz w:val="24"/>
                <w:szCs w:val="24"/>
                <w:lang w:val="en-US" w:eastAsia="zh-CN" w:bidi="ar-SA"/>
              </w:rPr>
              <w:t>c</w:t>
            </w:r>
            <w:r>
              <w:rPr>
                <w:rFonts w:hint="default" w:ascii="Times New Roman" w:hAnsi="Times New Roman" w:eastAsia="宋体" w:cs="Times New Roman"/>
                <w:color w:val="000000"/>
                <w:sz w:val="24"/>
                <w:szCs w:val="24"/>
                <w:lang w:val="en-US" w:eastAsia="zh-CN" w:bidi="ar-SA"/>
              </w:rPr>
              <w:t>m</w:t>
            </w:r>
            <w:r>
              <w:rPr>
                <w:rFonts w:hint="default" w:ascii="Times New Roman" w:hAnsi="Times New Roman" w:eastAsia="宋体" w:cs="Times New Roman"/>
                <w:color w:val="000000"/>
                <w:sz w:val="24"/>
                <w:szCs w:val="24"/>
                <w:vertAlign w:val="superscript"/>
                <w:lang w:val="en-US" w:eastAsia="zh-CN" w:bidi="ar-SA"/>
              </w:rPr>
              <w:t>3</w:t>
            </w:r>
            <w:r>
              <w:rPr>
                <w:rFonts w:hint="default" w:ascii="Times New Roman" w:hAnsi="Times New Roman" w:eastAsia="宋体" w:cs="Times New Roman"/>
                <w:color w:val="000000"/>
                <w:sz w:val="24"/>
                <w:szCs w:val="24"/>
                <w:lang w:val="en-US" w:eastAsia="zh-CN" w:bidi="ar-SA"/>
              </w:rPr>
              <w:t>，</w:t>
            </w:r>
            <w:r>
              <w:rPr>
                <w:rFonts w:hint="eastAsia" w:ascii="Times New Roman" w:hAnsi="Times New Roman" w:eastAsia="宋体" w:cs="Times New Roman"/>
                <w:color w:val="000000"/>
                <w:sz w:val="24"/>
                <w:szCs w:val="24"/>
                <w:lang w:val="en-US" w:eastAsia="zh-CN" w:bidi="ar-SA"/>
              </w:rPr>
              <w:t>远高于空气的密度0.001204g/cm</w:t>
            </w:r>
            <w:r>
              <w:rPr>
                <w:rFonts w:hint="default"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vertAlign w:val="baseline"/>
                <w:lang w:val="en-US" w:eastAsia="zh-CN" w:bidi="ar-SA"/>
              </w:rPr>
              <w:t>，</w:t>
            </w:r>
            <w:r>
              <w:rPr>
                <w:rFonts w:hint="default" w:ascii="Times New Roman" w:hAnsi="Times New Roman" w:eastAsia="宋体" w:cs="Times New Roman"/>
                <w:color w:val="000000"/>
                <w:sz w:val="24"/>
                <w:szCs w:val="24"/>
                <w:lang w:val="en-US" w:eastAsia="zh-CN" w:bidi="ar-SA"/>
              </w:rPr>
              <w:t>且有车间厂房阻拦，颗粒物散落范围很小，多在5m范围内沉降，飘逸至车间外环境的</w:t>
            </w:r>
            <w:r>
              <w:rPr>
                <w:rFonts w:hint="eastAsia" w:ascii="Times New Roman" w:hAnsi="Times New Roman" w:eastAsia="宋体" w:cs="Times New Roman"/>
                <w:color w:val="000000"/>
                <w:sz w:val="24"/>
                <w:szCs w:val="24"/>
                <w:lang w:val="en-US" w:eastAsia="zh-CN" w:bidi="ar-SA"/>
              </w:rPr>
              <w:t>铝粉尘</w:t>
            </w:r>
            <w:r>
              <w:rPr>
                <w:rFonts w:hint="default" w:ascii="Times New Roman" w:hAnsi="Times New Roman" w:eastAsia="宋体" w:cs="Times New Roman"/>
                <w:color w:val="000000"/>
                <w:sz w:val="24"/>
                <w:szCs w:val="24"/>
                <w:lang w:val="en-US" w:eastAsia="zh-CN" w:bidi="ar-SA"/>
              </w:rPr>
              <w:t>较少，</w:t>
            </w:r>
            <w:r>
              <w:rPr>
                <w:rFonts w:hint="eastAsia" w:ascii="Times New Roman" w:hAnsi="Times New Roman" w:eastAsia="宋体" w:cs="Times New Roman"/>
                <w:color w:val="000000"/>
                <w:sz w:val="24"/>
                <w:szCs w:val="24"/>
                <w:lang w:val="en-US" w:eastAsia="zh-CN" w:bidi="ar-SA"/>
              </w:rPr>
              <w:t>未收集的铝粉尘</w:t>
            </w:r>
            <w:r>
              <w:rPr>
                <w:rFonts w:hint="default" w:ascii="Times New Roman" w:hAnsi="Times New Roman" w:eastAsia="宋体" w:cs="Times New Roman"/>
                <w:color w:val="000000"/>
                <w:sz w:val="24"/>
                <w:szCs w:val="24"/>
                <w:lang w:val="en-US" w:eastAsia="zh-CN" w:bidi="ar-SA"/>
              </w:rPr>
              <w:t>90%会沉降在设备地面附近</w:t>
            </w:r>
            <w:r>
              <w:rPr>
                <w:rFonts w:hint="eastAsia" w:ascii="Times New Roman" w:hAnsi="Times New Roman" w:eastAsia="宋体" w:cs="Times New Roman"/>
                <w:color w:val="000000"/>
                <w:sz w:val="24"/>
                <w:szCs w:val="24"/>
                <w:lang w:val="en-US" w:eastAsia="zh-CN" w:bidi="ar-SA"/>
              </w:rPr>
              <w:t>，</w:t>
            </w:r>
            <w:r>
              <w:rPr>
                <w:rFonts w:hint="default" w:ascii="Times New Roman" w:hAnsi="Times New Roman" w:eastAsia="宋体" w:cs="Times New Roman"/>
                <w:color w:val="000000"/>
                <w:sz w:val="24"/>
                <w:szCs w:val="24"/>
                <w:lang w:val="en-US" w:eastAsia="zh-CN" w:bidi="ar-SA"/>
              </w:rPr>
              <w:t>其余部分扩散到大气中形成气态粉尘，气态粉尘在生产车间内无组织排放。</w:t>
            </w:r>
            <w:r>
              <w:rPr>
                <w:rFonts w:hint="default" w:ascii="Times New Roman" w:hAnsi="Times New Roman" w:eastAsia="宋体" w:cs="Times New Roman"/>
                <w:color w:val="auto"/>
                <w:sz w:val="24"/>
                <w:szCs w:val="24"/>
                <w:highlight w:val="none"/>
                <w:lang w:eastAsia="zh-CN"/>
              </w:rPr>
              <w:t>则拟建项目</w:t>
            </w:r>
            <w:r>
              <w:rPr>
                <w:rFonts w:hint="eastAsia" w:ascii="Times New Roman" w:hAnsi="Times New Roman" w:eastAsia="宋体" w:cs="Times New Roman"/>
                <w:color w:val="auto"/>
                <w:sz w:val="24"/>
                <w:szCs w:val="24"/>
                <w:highlight w:val="none"/>
                <w:lang w:val="en-US" w:eastAsia="zh-CN"/>
              </w:rPr>
              <w:t>锯切</w:t>
            </w:r>
            <w:r>
              <w:rPr>
                <w:rFonts w:hint="default" w:ascii="Times New Roman" w:hAnsi="Times New Roman" w:eastAsia="宋体" w:cs="Times New Roman"/>
                <w:color w:val="auto"/>
                <w:sz w:val="24"/>
                <w:szCs w:val="24"/>
                <w:highlight w:val="none"/>
                <w:lang w:val="en-US" w:eastAsia="zh-CN"/>
              </w:rPr>
              <w:t>废气</w:t>
            </w:r>
            <w:r>
              <w:rPr>
                <w:rFonts w:hint="default" w:ascii="Times New Roman" w:hAnsi="Times New Roman" w:eastAsia="宋体" w:cs="Times New Roman"/>
                <w:color w:val="auto"/>
                <w:sz w:val="24"/>
                <w:szCs w:val="24"/>
                <w:highlight w:val="none"/>
                <w:lang w:eastAsia="zh-CN"/>
              </w:rPr>
              <w:t>产生和排放情况详见</w:t>
            </w:r>
            <w:r>
              <w:rPr>
                <w:rFonts w:hint="default" w:ascii="Times New Roman" w:hAnsi="Times New Roman" w:eastAsia="宋体" w:cs="Times New Roman"/>
                <w:color w:val="auto"/>
                <w:sz w:val="24"/>
                <w:szCs w:val="24"/>
                <w:highlight w:val="none"/>
                <w:lang w:val="en-US" w:eastAsia="zh-CN"/>
              </w:rPr>
              <w:t>下表。</w:t>
            </w:r>
          </w:p>
          <w:p w14:paraId="67A1B8D4">
            <w:pPr>
              <w:pStyle w:val="44"/>
              <w:bidi w:val="0"/>
              <w:spacing w:line="24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lang w:eastAsia="zh-CN"/>
              </w:rPr>
              <w:br w:type="page"/>
            </w: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7</w:t>
            </w:r>
            <w:r>
              <w:rPr>
                <w:rFonts w:hint="default" w:ascii="Times New Roman" w:hAnsi="Times New Roman" w:cs="Times New Roman"/>
                <w:color w:val="000000"/>
              </w:rPr>
              <w:fldChar w:fldCharType="end"/>
            </w:r>
            <w:r>
              <w:rPr>
                <w:rFonts w:hint="default"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G2锯切废气</w:t>
            </w:r>
            <w:r>
              <w:rPr>
                <w:rFonts w:hint="default" w:ascii="Times New Roman" w:hAnsi="Times New Roman" w:eastAsia="宋体" w:cs="Times New Roman"/>
                <w:color w:val="auto"/>
                <w:sz w:val="24"/>
                <w:szCs w:val="24"/>
                <w:lang w:val="en-US" w:eastAsia="zh-CN"/>
              </w:rPr>
              <w:t>产生与排放</w:t>
            </w:r>
            <w:r>
              <w:rPr>
                <w:rFonts w:hint="default" w:ascii="Times New Roman" w:hAnsi="Times New Roman" w:eastAsia="宋体" w:cs="Times New Roman"/>
                <w:color w:val="auto"/>
                <w:sz w:val="24"/>
                <w:szCs w:val="24"/>
              </w:rPr>
              <w:t>情况</w:t>
            </w:r>
          </w:p>
          <w:tbl>
            <w:tblPr>
              <w:tblStyle w:val="23"/>
              <w:tblW w:w="4998" w:type="pct"/>
              <w:tblInd w:w="17" w:type="dxa"/>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637"/>
              <w:gridCol w:w="769"/>
              <w:gridCol w:w="649"/>
              <w:gridCol w:w="649"/>
              <w:gridCol w:w="754"/>
              <w:gridCol w:w="647"/>
              <w:gridCol w:w="737"/>
              <w:gridCol w:w="756"/>
              <w:gridCol w:w="707"/>
              <w:gridCol w:w="814"/>
              <w:gridCol w:w="689"/>
              <w:gridCol w:w="528"/>
            </w:tblGrid>
            <w:tr w14:paraId="39080B0C">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blHeader/>
              </w:trPr>
              <w:tc>
                <w:tcPr>
                  <w:tcW w:w="382" w:type="pct"/>
                  <w:vMerge w:val="restart"/>
                  <w:tcBorders>
                    <w:tl2br w:val="nil"/>
                    <w:tr2bl w:val="nil"/>
                  </w:tcBorders>
                  <w:noWrap w:val="0"/>
                  <w:vAlign w:val="center"/>
                </w:tcPr>
                <w:p w14:paraId="347A0F63">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产污节点</w:t>
                  </w:r>
                </w:p>
              </w:tc>
              <w:tc>
                <w:tcPr>
                  <w:tcW w:w="461" w:type="pct"/>
                  <w:vMerge w:val="restart"/>
                  <w:tcBorders>
                    <w:tl2br w:val="nil"/>
                    <w:tr2bl w:val="nil"/>
                  </w:tcBorders>
                  <w:noWrap w:val="0"/>
                  <w:vAlign w:val="center"/>
                </w:tcPr>
                <w:p w14:paraId="53F207C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排气筒</w:t>
                  </w:r>
                </w:p>
                <w:p w14:paraId="71B711E5">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编号</w:t>
                  </w:r>
                </w:p>
              </w:tc>
              <w:tc>
                <w:tcPr>
                  <w:tcW w:w="389" w:type="pct"/>
                  <w:vMerge w:val="restart"/>
                  <w:tcBorders>
                    <w:tl2br w:val="nil"/>
                    <w:tr2bl w:val="nil"/>
                  </w:tcBorders>
                  <w:noWrap w:val="0"/>
                  <w:vAlign w:val="center"/>
                </w:tcPr>
                <w:p w14:paraId="58A86EC1">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风量</w:t>
                  </w:r>
                </w:p>
                <w:p w14:paraId="4D17B1B6">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/h)</w:t>
                  </w:r>
                </w:p>
              </w:tc>
              <w:tc>
                <w:tcPr>
                  <w:tcW w:w="841" w:type="pct"/>
                  <w:gridSpan w:val="2"/>
                  <w:vMerge w:val="restart"/>
                  <w:tcBorders>
                    <w:tl2br w:val="nil"/>
                    <w:tr2bl w:val="nil"/>
                  </w:tcBorders>
                  <w:noWrap w:val="0"/>
                  <w:vAlign w:val="center"/>
                </w:tcPr>
                <w:p w14:paraId="45E7933A">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污染</w:t>
                  </w:r>
                </w:p>
                <w:p w14:paraId="6D616BBD">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因子</w:t>
                  </w:r>
                </w:p>
              </w:tc>
              <w:tc>
                <w:tcPr>
                  <w:tcW w:w="1283" w:type="pct"/>
                  <w:gridSpan w:val="3"/>
                  <w:tcBorders>
                    <w:tl2br w:val="nil"/>
                    <w:tr2bl w:val="nil"/>
                  </w:tcBorders>
                  <w:noWrap w:val="0"/>
                  <w:vAlign w:val="center"/>
                </w:tcPr>
                <w:p w14:paraId="44DC796E">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w:t>
                  </w:r>
                  <w:r>
                    <w:rPr>
                      <w:rFonts w:hint="eastAsia" w:cs="Times New Roman"/>
                      <w:b w:val="0"/>
                      <w:bCs/>
                      <w:color w:val="auto"/>
                      <w:sz w:val="21"/>
                      <w:szCs w:val="21"/>
                      <w:lang w:val="en-US" w:eastAsia="zh-CN"/>
                    </w:rPr>
                    <w:t>情况</w:t>
                  </w:r>
                </w:p>
              </w:tc>
              <w:tc>
                <w:tcPr>
                  <w:tcW w:w="1325" w:type="pct"/>
                  <w:gridSpan w:val="3"/>
                  <w:tcBorders>
                    <w:tl2br w:val="nil"/>
                    <w:tr2bl w:val="nil"/>
                  </w:tcBorders>
                  <w:noWrap w:val="0"/>
                  <w:vAlign w:val="center"/>
                </w:tcPr>
                <w:p w14:paraId="2909379A">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w:t>
                  </w:r>
                  <w:r>
                    <w:rPr>
                      <w:rFonts w:hint="eastAsia" w:cs="Times New Roman"/>
                      <w:b w:val="0"/>
                      <w:bCs/>
                      <w:color w:val="auto"/>
                      <w:sz w:val="21"/>
                      <w:szCs w:val="21"/>
                      <w:lang w:val="en-US" w:eastAsia="zh-CN"/>
                    </w:rPr>
                    <w:t>情况</w:t>
                  </w:r>
                </w:p>
              </w:tc>
              <w:tc>
                <w:tcPr>
                  <w:tcW w:w="316" w:type="pct"/>
                  <w:vMerge w:val="restart"/>
                  <w:tcBorders>
                    <w:tl2br w:val="nil"/>
                    <w:tr2bl w:val="nil"/>
                  </w:tcBorders>
                  <w:noWrap w:val="0"/>
                  <w:vAlign w:val="center"/>
                </w:tcPr>
                <w:p w14:paraId="192E56EC">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处理</w:t>
                  </w:r>
                </w:p>
                <w:p w14:paraId="61189C44">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效率</w:t>
                  </w:r>
                </w:p>
              </w:tc>
            </w:tr>
            <w:tr w14:paraId="34BAEA25">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blHeader/>
              </w:trPr>
              <w:tc>
                <w:tcPr>
                  <w:tcW w:w="382" w:type="pct"/>
                  <w:vMerge w:val="continue"/>
                  <w:tcBorders>
                    <w:tl2br w:val="nil"/>
                    <w:tr2bl w:val="nil"/>
                  </w:tcBorders>
                  <w:noWrap w:val="0"/>
                  <w:vAlign w:val="center"/>
                </w:tcPr>
                <w:p w14:paraId="732607B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461" w:type="pct"/>
                  <w:vMerge w:val="continue"/>
                  <w:tcBorders>
                    <w:tl2br w:val="nil"/>
                    <w:tr2bl w:val="nil"/>
                  </w:tcBorders>
                  <w:noWrap w:val="0"/>
                  <w:vAlign w:val="center"/>
                </w:tcPr>
                <w:p w14:paraId="712B3D1E">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389" w:type="pct"/>
                  <w:vMerge w:val="continue"/>
                  <w:tcBorders>
                    <w:tl2br w:val="nil"/>
                    <w:tr2bl w:val="nil"/>
                  </w:tcBorders>
                  <w:noWrap w:val="0"/>
                  <w:vAlign w:val="center"/>
                </w:tcPr>
                <w:p w14:paraId="0E0D1855">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841" w:type="pct"/>
                  <w:gridSpan w:val="2"/>
                  <w:vMerge w:val="continue"/>
                  <w:tcBorders>
                    <w:tl2br w:val="nil"/>
                    <w:tr2bl w:val="nil"/>
                  </w:tcBorders>
                  <w:noWrap w:val="0"/>
                  <w:vAlign w:val="center"/>
                </w:tcPr>
                <w:p w14:paraId="70F9D21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c>
                <w:tcPr>
                  <w:tcW w:w="647" w:type="dxa"/>
                  <w:tcBorders>
                    <w:tl2br w:val="nil"/>
                    <w:tr2bl w:val="nil"/>
                  </w:tcBorders>
                  <w:noWrap w:val="0"/>
                  <w:vAlign w:val="center"/>
                </w:tcPr>
                <w:p w14:paraId="577E1D2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浓度</w:t>
                  </w:r>
                  <w:r>
                    <w:rPr>
                      <w:rFonts w:hint="default" w:ascii="Times New Roman" w:hAnsi="Times New Roman" w:eastAsia="宋体" w:cs="Times New Roman"/>
                      <w:i w:val="0"/>
                      <w:iCs w:val="0"/>
                      <w:color w:val="000000"/>
                      <w:kern w:val="0"/>
                      <w:sz w:val="21"/>
                      <w:szCs w:val="21"/>
                      <w:u w:val="none"/>
                      <w:lang w:val="en-US" w:eastAsia="zh-CN" w:bidi="ar"/>
                    </w:rPr>
                    <w:t>mg/m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737" w:type="dxa"/>
                  <w:tcBorders>
                    <w:tl2br w:val="nil"/>
                    <w:tr2bl w:val="nil"/>
                  </w:tcBorders>
                  <w:noWrap w:val="0"/>
                  <w:vAlign w:val="center"/>
                </w:tcPr>
                <w:p w14:paraId="79CBAD2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速率</w:t>
                  </w:r>
                  <w:r>
                    <w:rPr>
                      <w:rFonts w:hint="default" w:ascii="Times New Roman" w:hAnsi="Times New Roman" w:eastAsia="宋体" w:cs="Times New Roman"/>
                      <w:i w:val="0"/>
                      <w:iCs w:val="0"/>
                      <w:color w:val="000000"/>
                      <w:kern w:val="0"/>
                      <w:sz w:val="21"/>
                      <w:szCs w:val="21"/>
                      <w:u w:val="none"/>
                      <w:lang w:val="en-US" w:eastAsia="zh-CN" w:bidi="ar"/>
                    </w:rPr>
                    <w:t>kg/h</w:t>
                  </w:r>
                </w:p>
              </w:tc>
              <w:tc>
                <w:tcPr>
                  <w:tcW w:w="756" w:type="dxa"/>
                  <w:tcBorders>
                    <w:tl2br w:val="nil"/>
                    <w:tr2bl w:val="nil"/>
                  </w:tcBorders>
                  <w:noWrap w:val="0"/>
                  <w:vAlign w:val="center"/>
                </w:tcPr>
                <w:p w14:paraId="6D2AA9F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产生量</w:t>
                  </w:r>
                  <w:r>
                    <w:rPr>
                      <w:rFonts w:hint="default" w:ascii="Times New Roman" w:hAnsi="Times New Roman" w:eastAsia="宋体" w:cs="Times New Roman"/>
                      <w:i w:val="0"/>
                      <w:iCs w:val="0"/>
                      <w:color w:val="000000"/>
                      <w:kern w:val="0"/>
                      <w:sz w:val="21"/>
                      <w:szCs w:val="21"/>
                      <w:u w:val="none"/>
                      <w:lang w:val="en-US" w:eastAsia="zh-CN" w:bidi="ar"/>
                    </w:rPr>
                    <w:t>t/a</w:t>
                  </w:r>
                </w:p>
              </w:tc>
              <w:tc>
                <w:tcPr>
                  <w:tcW w:w="707" w:type="dxa"/>
                  <w:tcBorders>
                    <w:tl2br w:val="nil"/>
                    <w:tr2bl w:val="nil"/>
                  </w:tcBorders>
                  <w:noWrap w:val="0"/>
                  <w:vAlign w:val="center"/>
                </w:tcPr>
                <w:p w14:paraId="4C29CA0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浓度</w:t>
                  </w:r>
                  <w:r>
                    <w:rPr>
                      <w:rFonts w:hint="default" w:ascii="Times New Roman" w:hAnsi="Times New Roman" w:eastAsia="宋体" w:cs="Times New Roman"/>
                      <w:i w:val="0"/>
                      <w:iCs w:val="0"/>
                      <w:color w:val="000000"/>
                      <w:kern w:val="0"/>
                      <w:sz w:val="21"/>
                      <w:szCs w:val="21"/>
                      <w:u w:val="none"/>
                      <w:lang w:val="en-US" w:eastAsia="zh-CN" w:bidi="ar"/>
                    </w:rPr>
                    <w:t>mg/m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814" w:type="dxa"/>
                  <w:tcBorders>
                    <w:tl2br w:val="nil"/>
                    <w:tr2bl w:val="nil"/>
                  </w:tcBorders>
                  <w:noWrap w:val="0"/>
                  <w:vAlign w:val="center"/>
                </w:tcPr>
                <w:p w14:paraId="2C95C49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速率</w:t>
                  </w:r>
                  <w:r>
                    <w:rPr>
                      <w:rFonts w:hint="default" w:ascii="Times New Roman" w:hAnsi="Times New Roman" w:eastAsia="宋体" w:cs="Times New Roman"/>
                      <w:i w:val="0"/>
                      <w:iCs w:val="0"/>
                      <w:color w:val="000000"/>
                      <w:kern w:val="0"/>
                      <w:sz w:val="21"/>
                      <w:szCs w:val="21"/>
                      <w:u w:val="none"/>
                      <w:lang w:val="en-US" w:eastAsia="zh-CN" w:bidi="ar"/>
                    </w:rPr>
                    <w:t>kg/h</w:t>
                  </w:r>
                </w:p>
              </w:tc>
              <w:tc>
                <w:tcPr>
                  <w:tcW w:w="689" w:type="dxa"/>
                  <w:tcBorders>
                    <w:tl2br w:val="nil"/>
                    <w:tr2bl w:val="nil"/>
                  </w:tcBorders>
                  <w:noWrap w:val="0"/>
                  <w:vAlign w:val="center"/>
                </w:tcPr>
                <w:p w14:paraId="73B414B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000000"/>
                      <w:kern w:val="0"/>
                      <w:sz w:val="21"/>
                      <w:szCs w:val="21"/>
                      <w:u w:val="none"/>
                      <w:lang w:val="en-US" w:eastAsia="zh-CN" w:bidi="ar"/>
                    </w:rPr>
                    <w:t>排放量</w:t>
                  </w:r>
                  <w:r>
                    <w:rPr>
                      <w:rFonts w:hint="default" w:ascii="Times New Roman" w:hAnsi="Times New Roman" w:eastAsia="宋体" w:cs="Times New Roman"/>
                      <w:i w:val="0"/>
                      <w:iCs w:val="0"/>
                      <w:color w:val="000000"/>
                      <w:kern w:val="0"/>
                      <w:sz w:val="21"/>
                      <w:szCs w:val="21"/>
                      <w:u w:val="none"/>
                      <w:lang w:val="en-US" w:eastAsia="zh-CN" w:bidi="ar"/>
                    </w:rPr>
                    <w:t>t/a</w:t>
                  </w:r>
                </w:p>
              </w:tc>
              <w:tc>
                <w:tcPr>
                  <w:tcW w:w="316" w:type="pct"/>
                  <w:vMerge w:val="continue"/>
                  <w:tcBorders>
                    <w:tl2br w:val="nil"/>
                    <w:tr2bl w:val="nil"/>
                  </w:tcBorders>
                  <w:noWrap w:val="0"/>
                  <w:vAlign w:val="center"/>
                </w:tcPr>
                <w:p w14:paraId="78B7A6E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p>
              </w:tc>
            </w:tr>
            <w:tr w14:paraId="568705B4">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rPr>
              <w:tc>
                <w:tcPr>
                  <w:tcW w:w="382" w:type="pct"/>
                  <w:vMerge w:val="restart"/>
                  <w:tcBorders>
                    <w:tl2br w:val="nil"/>
                    <w:tr2bl w:val="nil"/>
                  </w:tcBorders>
                  <w:noWrap w:val="0"/>
                  <w:vAlign w:val="center"/>
                </w:tcPr>
                <w:p w14:paraId="2807A5D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锯切</w:t>
                  </w:r>
                </w:p>
              </w:tc>
              <w:tc>
                <w:tcPr>
                  <w:tcW w:w="461" w:type="pct"/>
                  <w:vMerge w:val="restart"/>
                  <w:tcBorders>
                    <w:tl2br w:val="nil"/>
                    <w:tr2bl w:val="nil"/>
                  </w:tcBorders>
                  <w:noWrap w:val="0"/>
                  <w:vAlign w:val="center"/>
                </w:tcPr>
                <w:p w14:paraId="5BD482F4">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DA00</w:t>
                  </w:r>
                  <w:r>
                    <w:rPr>
                      <w:rFonts w:hint="eastAsia" w:cs="Times New Roman"/>
                      <w:b w:val="0"/>
                      <w:bCs/>
                      <w:color w:val="auto"/>
                      <w:sz w:val="21"/>
                      <w:szCs w:val="21"/>
                      <w:lang w:val="en-US" w:eastAsia="zh-CN"/>
                    </w:rPr>
                    <w:t>2</w:t>
                  </w:r>
                </w:p>
              </w:tc>
              <w:tc>
                <w:tcPr>
                  <w:tcW w:w="389" w:type="pct"/>
                  <w:vMerge w:val="restart"/>
                  <w:tcBorders>
                    <w:tl2br w:val="nil"/>
                    <w:tr2bl w:val="nil"/>
                  </w:tcBorders>
                  <w:noWrap w:val="0"/>
                  <w:vAlign w:val="center"/>
                </w:tcPr>
                <w:p w14:paraId="23738CA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i w:val="0"/>
                      <w:iCs w:val="0"/>
                      <w:color w:val="auto"/>
                      <w:kern w:val="0"/>
                      <w:sz w:val="21"/>
                      <w:szCs w:val="21"/>
                      <w:u w:val="none"/>
                      <w:lang w:val="en-US" w:eastAsia="zh-CN" w:bidi="ar"/>
                    </w:rPr>
                    <w:t>5</w:t>
                  </w:r>
                  <w:r>
                    <w:rPr>
                      <w:rFonts w:hint="default" w:ascii="Times New Roman" w:hAnsi="Times New Roman" w:eastAsia="宋体" w:cs="Times New Roman"/>
                      <w:i w:val="0"/>
                      <w:iCs w:val="0"/>
                      <w:color w:val="auto"/>
                      <w:kern w:val="0"/>
                      <w:sz w:val="21"/>
                      <w:szCs w:val="21"/>
                      <w:u w:val="none"/>
                      <w:lang w:val="en-US" w:eastAsia="zh-CN" w:bidi="ar"/>
                    </w:rPr>
                    <w:t>000</w:t>
                  </w:r>
                </w:p>
              </w:tc>
              <w:tc>
                <w:tcPr>
                  <w:tcW w:w="389" w:type="pct"/>
                  <w:vMerge w:val="restart"/>
                  <w:tcBorders>
                    <w:tl2br w:val="nil"/>
                    <w:tr2bl w:val="nil"/>
                  </w:tcBorders>
                  <w:noWrap w:val="0"/>
                  <w:vAlign w:val="center"/>
                </w:tcPr>
                <w:p w14:paraId="0D27BE4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颗粒物</w:t>
                  </w:r>
                </w:p>
              </w:tc>
              <w:tc>
                <w:tcPr>
                  <w:tcW w:w="451" w:type="pct"/>
                  <w:tcBorders>
                    <w:tl2br w:val="nil"/>
                    <w:tr2bl w:val="nil"/>
                  </w:tcBorders>
                  <w:noWrap w:val="0"/>
                  <w:vAlign w:val="center"/>
                </w:tcPr>
                <w:p w14:paraId="08548D8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有组织</w:t>
                  </w:r>
                </w:p>
              </w:tc>
              <w:tc>
                <w:tcPr>
                  <w:tcW w:w="647" w:type="dxa"/>
                  <w:tcBorders>
                    <w:tl2br w:val="nil"/>
                    <w:tr2bl w:val="nil"/>
                  </w:tcBorders>
                  <w:noWrap w:val="0"/>
                  <w:vAlign w:val="center"/>
                </w:tcPr>
                <w:p w14:paraId="7B6D3481">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6996</w:t>
                  </w:r>
                </w:p>
              </w:tc>
              <w:tc>
                <w:tcPr>
                  <w:tcW w:w="737" w:type="dxa"/>
                  <w:tcBorders>
                    <w:tl2br w:val="nil"/>
                    <w:tr2bl w:val="nil"/>
                  </w:tcBorders>
                  <w:noWrap/>
                  <w:vAlign w:val="center"/>
                </w:tcPr>
                <w:p w14:paraId="7C8149A3">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34.980</w:t>
                  </w:r>
                </w:p>
              </w:tc>
              <w:tc>
                <w:tcPr>
                  <w:tcW w:w="756" w:type="dxa"/>
                  <w:tcBorders>
                    <w:tl2br w:val="nil"/>
                    <w:tr2bl w:val="nil"/>
                  </w:tcBorders>
                  <w:noWrap w:val="0"/>
                  <w:vAlign w:val="center"/>
                </w:tcPr>
                <w:p w14:paraId="419FA286">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83.952</w:t>
                  </w:r>
                </w:p>
              </w:tc>
              <w:tc>
                <w:tcPr>
                  <w:tcW w:w="707" w:type="dxa"/>
                  <w:tcBorders>
                    <w:tl2br w:val="nil"/>
                    <w:tr2bl w:val="nil"/>
                  </w:tcBorders>
                  <w:noWrap w:val="0"/>
                  <w:vAlign w:val="center"/>
                </w:tcPr>
                <w:p w14:paraId="54E9D320">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eastAsia" w:eastAsia="宋体" w:cs="Times New Roman"/>
                      <w:i w:val="0"/>
                      <w:iCs w:val="0"/>
                      <w:color w:val="000000"/>
                      <w:kern w:val="0"/>
                      <w:sz w:val="21"/>
                      <w:szCs w:val="21"/>
                      <w:u w:val="none"/>
                      <w:lang w:val="en-US" w:eastAsia="zh-CN" w:bidi="ar"/>
                    </w:rPr>
                    <w:t>70.0</w:t>
                  </w:r>
                </w:p>
              </w:tc>
              <w:tc>
                <w:tcPr>
                  <w:tcW w:w="814" w:type="dxa"/>
                  <w:tcBorders>
                    <w:tl2br w:val="nil"/>
                    <w:tr2bl w:val="nil"/>
                  </w:tcBorders>
                  <w:noWrap/>
                  <w:vAlign w:val="center"/>
                </w:tcPr>
                <w:p w14:paraId="2766243E">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0.350</w:t>
                  </w:r>
                </w:p>
              </w:tc>
              <w:tc>
                <w:tcPr>
                  <w:tcW w:w="689" w:type="dxa"/>
                  <w:tcBorders>
                    <w:tl2br w:val="nil"/>
                    <w:tr2bl w:val="nil"/>
                  </w:tcBorders>
                  <w:noWrap w:val="0"/>
                  <w:vAlign w:val="center"/>
                </w:tcPr>
                <w:p w14:paraId="0B9727A8">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0.840</w:t>
                  </w:r>
                </w:p>
              </w:tc>
              <w:tc>
                <w:tcPr>
                  <w:tcW w:w="316" w:type="pct"/>
                  <w:tcBorders>
                    <w:tl2br w:val="nil"/>
                    <w:tr2bl w:val="nil"/>
                  </w:tcBorders>
                  <w:noWrap w:val="0"/>
                  <w:vAlign w:val="center"/>
                </w:tcPr>
                <w:p w14:paraId="4D11A7B6">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99%</w:t>
                  </w:r>
                </w:p>
              </w:tc>
            </w:tr>
            <w:tr w14:paraId="74D68AD2">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rPr>
              <w:tc>
                <w:tcPr>
                  <w:tcW w:w="382" w:type="pct"/>
                  <w:vMerge w:val="continue"/>
                  <w:tcBorders>
                    <w:tl2br w:val="nil"/>
                    <w:tr2bl w:val="nil"/>
                  </w:tcBorders>
                  <w:noWrap w:val="0"/>
                  <w:vAlign w:val="center"/>
                </w:tcPr>
                <w:p w14:paraId="2E74F74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61" w:type="pct"/>
                  <w:vMerge w:val="continue"/>
                  <w:tcBorders>
                    <w:tl2br w:val="nil"/>
                    <w:tr2bl w:val="nil"/>
                  </w:tcBorders>
                  <w:noWrap w:val="0"/>
                  <w:vAlign w:val="center"/>
                </w:tcPr>
                <w:p w14:paraId="1768A19D">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389" w:type="pct"/>
                  <w:vMerge w:val="continue"/>
                  <w:tcBorders>
                    <w:tl2br w:val="nil"/>
                    <w:tr2bl w:val="nil"/>
                  </w:tcBorders>
                  <w:noWrap w:val="0"/>
                  <w:vAlign w:val="center"/>
                </w:tcPr>
                <w:p w14:paraId="1477F9C1">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389" w:type="pct"/>
                  <w:vMerge w:val="continue"/>
                  <w:tcBorders>
                    <w:tl2br w:val="nil"/>
                    <w:tr2bl w:val="nil"/>
                  </w:tcBorders>
                  <w:noWrap w:val="0"/>
                  <w:vAlign w:val="center"/>
                </w:tcPr>
                <w:p w14:paraId="601A9EA7">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51" w:type="pct"/>
                  <w:tcBorders>
                    <w:tl2br w:val="nil"/>
                    <w:tr2bl w:val="nil"/>
                  </w:tcBorders>
                  <w:noWrap w:val="0"/>
                  <w:vAlign w:val="center"/>
                </w:tcPr>
                <w:p w14:paraId="2ABF943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000000"/>
                      <w:lang w:val="en-US" w:eastAsia="zh-CN"/>
                    </w:rPr>
                  </w:pPr>
                  <w:r>
                    <w:rPr>
                      <w:rFonts w:hint="default" w:ascii="Times New Roman" w:hAnsi="Times New Roman" w:eastAsia="宋体" w:cs="Times New Roman"/>
                      <w:b w:val="0"/>
                      <w:bCs/>
                      <w:color w:val="auto"/>
                      <w:sz w:val="21"/>
                      <w:szCs w:val="21"/>
                      <w:lang w:val="en-US" w:eastAsia="zh-CN"/>
                    </w:rPr>
                    <w:t>无组织</w:t>
                  </w:r>
                </w:p>
              </w:tc>
              <w:tc>
                <w:tcPr>
                  <w:tcW w:w="647" w:type="dxa"/>
                  <w:tcBorders>
                    <w:tl2br w:val="nil"/>
                    <w:tr2bl w:val="nil"/>
                  </w:tcBorders>
                  <w:noWrap w:val="0"/>
                  <w:vAlign w:val="center"/>
                </w:tcPr>
                <w:p w14:paraId="124B9D15">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37" w:type="dxa"/>
                  <w:tcBorders>
                    <w:tl2br w:val="nil"/>
                    <w:tr2bl w:val="nil"/>
                  </w:tcBorders>
                  <w:noWrap/>
                  <w:vAlign w:val="center"/>
                </w:tcPr>
                <w:p w14:paraId="7E838821">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3.887</w:t>
                  </w:r>
                </w:p>
              </w:tc>
              <w:tc>
                <w:tcPr>
                  <w:tcW w:w="756" w:type="dxa"/>
                  <w:tcBorders>
                    <w:tl2br w:val="nil"/>
                    <w:tr2bl w:val="nil"/>
                  </w:tcBorders>
                  <w:noWrap w:val="0"/>
                  <w:vAlign w:val="center"/>
                </w:tcPr>
                <w:p w14:paraId="26D4DBD6">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9.328</w:t>
                  </w:r>
                </w:p>
              </w:tc>
              <w:tc>
                <w:tcPr>
                  <w:tcW w:w="707" w:type="dxa"/>
                  <w:tcBorders>
                    <w:tl2br w:val="nil"/>
                    <w:tr2bl w:val="nil"/>
                  </w:tcBorders>
                  <w:noWrap w:val="0"/>
                  <w:vAlign w:val="center"/>
                </w:tcPr>
                <w:p w14:paraId="0AC39DAF">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14" w:type="dxa"/>
                  <w:tcBorders>
                    <w:tl2br w:val="nil"/>
                    <w:tr2bl w:val="nil"/>
                  </w:tcBorders>
                  <w:noWrap/>
                  <w:vAlign w:val="center"/>
                </w:tcPr>
                <w:p w14:paraId="1EF71DB9">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0.389</w:t>
                  </w:r>
                </w:p>
              </w:tc>
              <w:tc>
                <w:tcPr>
                  <w:tcW w:w="689" w:type="dxa"/>
                  <w:tcBorders>
                    <w:tl2br w:val="nil"/>
                    <w:tr2bl w:val="nil"/>
                  </w:tcBorders>
                  <w:noWrap w:val="0"/>
                  <w:vAlign w:val="center"/>
                </w:tcPr>
                <w:p w14:paraId="0BD51776">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0.933</w:t>
                  </w:r>
                </w:p>
              </w:tc>
              <w:tc>
                <w:tcPr>
                  <w:tcW w:w="316" w:type="pct"/>
                  <w:tcBorders>
                    <w:tl2br w:val="nil"/>
                    <w:tr2bl w:val="nil"/>
                  </w:tcBorders>
                  <w:noWrap w:val="0"/>
                  <w:vAlign w:val="center"/>
                </w:tcPr>
                <w:p w14:paraId="09DF629E">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r>
            <w:tr w14:paraId="5EF56D34">
              <w:tblPrEx>
                <w:tblBorders>
                  <w:top w:val="single" w:color="000000" w:sz="12" w:space="0"/>
                  <w:left w:val="none" w:color="auto" w:sz="0" w:space="0"/>
                  <w:bottom w:val="single" w:color="000000"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trPr>
              <w:tc>
                <w:tcPr>
                  <w:tcW w:w="382" w:type="pct"/>
                  <w:vMerge w:val="continue"/>
                  <w:tcBorders>
                    <w:tl2br w:val="nil"/>
                    <w:tr2bl w:val="nil"/>
                  </w:tcBorders>
                  <w:noWrap w:val="0"/>
                  <w:vAlign w:val="center"/>
                </w:tcPr>
                <w:p w14:paraId="27FD9DBE">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61" w:type="pct"/>
                  <w:vMerge w:val="continue"/>
                  <w:tcBorders>
                    <w:tl2br w:val="nil"/>
                    <w:tr2bl w:val="nil"/>
                  </w:tcBorders>
                  <w:noWrap w:val="0"/>
                  <w:vAlign w:val="center"/>
                </w:tcPr>
                <w:p w14:paraId="3D271D21">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389" w:type="pct"/>
                  <w:vMerge w:val="continue"/>
                  <w:tcBorders>
                    <w:tl2br w:val="nil"/>
                    <w:tr2bl w:val="nil"/>
                  </w:tcBorders>
                  <w:noWrap w:val="0"/>
                  <w:vAlign w:val="center"/>
                </w:tcPr>
                <w:p w14:paraId="1A0402D0">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389" w:type="pct"/>
                  <w:vMerge w:val="continue"/>
                  <w:tcBorders>
                    <w:tl2br w:val="nil"/>
                    <w:tr2bl w:val="nil"/>
                  </w:tcBorders>
                  <w:noWrap w:val="0"/>
                  <w:vAlign w:val="center"/>
                </w:tcPr>
                <w:p w14:paraId="1E32B7D0">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p>
              </w:tc>
              <w:tc>
                <w:tcPr>
                  <w:tcW w:w="451" w:type="pct"/>
                  <w:tcBorders>
                    <w:tl2br w:val="nil"/>
                    <w:tr2bl w:val="nil"/>
                  </w:tcBorders>
                  <w:noWrap w:val="0"/>
                  <w:vAlign w:val="center"/>
                </w:tcPr>
                <w:p w14:paraId="4006F784">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000000"/>
                      <w:lang w:val="en-US" w:eastAsia="zh-CN"/>
                    </w:rPr>
                  </w:pPr>
                  <w:r>
                    <w:rPr>
                      <w:rFonts w:hint="default" w:ascii="Times New Roman" w:hAnsi="Times New Roman" w:eastAsia="宋体" w:cs="Times New Roman"/>
                      <w:b w:val="0"/>
                      <w:bCs/>
                      <w:color w:val="auto"/>
                      <w:sz w:val="21"/>
                      <w:szCs w:val="21"/>
                      <w:lang w:val="en-US" w:eastAsia="zh-CN"/>
                    </w:rPr>
                    <w:t>合计</w:t>
                  </w:r>
                </w:p>
              </w:tc>
              <w:tc>
                <w:tcPr>
                  <w:tcW w:w="647" w:type="dxa"/>
                  <w:tcBorders>
                    <w:tl2br w:val="nil"/>
                    <w:tr2bl w:val="nil"/>
                  </w:tcBorders>
                  <w:noWrap w:val="0"/>
                  <w:vAlign w:val="center"/>
                </w:tcPr>
                <w:p w14:paraId="37856396">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37" w:type="dxa"/>
                  <w:tcBorders>
                    <w:tl2br w:val="nil"/>
                    <w:tr2bl w:val="nil"/>
                  </w:tcBorders>
                  <w:noWrap/>
                  <w:vAlign w:val="center"/>
                </w:tcPr>
                <w:p w14:paraId="544D827E">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38.867</w:t>
                  </w:r>
                </w:p>
              </w:tc>
              <w:tc>
                <w:tcPr>
                  <w:tcW w:w="756" w:type="dxa"/>
                  <w:tcBorders>
                    <w:tl2br w:val="nil"/>
                    <w:tr2bl w:val="nil"/>
                  </w:tcBorders>
                  <w:noWrap w:val="0"/>
                  <w:vAlign w:val="center"/>
                </w:tcPr>
                <w:p w14:paraId="75FB24D6">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93.280</w:t>
                  </w:r>
                </w:p>
              </w:tc>
              <w:tc>
                <w:tcPr>
                  <w:tcW w:w="707" w:type="dxa"/>
                  <w:tcBorders>
                    <w:tl2br w:val="nil"/>
                    <w:tr2bl w:val="nil"/>
                  </w:tcBorders>
                  <w:noWrap w:val="0"/>
                  <w:vAlign w:val="center"/>
                </w:tcPr>
                <w:p w14:paraId="49B2B8ED">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p>
              </w:tc>
              <w:tc>
                <w:tcPr>
                  <w:tcW w:w="814" w:type="dxa"/>
                  <w:tcBorders>
                    <w:tl2br w:val="nil"/>
                    <w:tr2bl w:val="nil"/>
                  </w:tcBorders>
                  <w:noWrap/>
                  <w:vAlign w:val="center"/>
                </w:tcPr>
                <w:p w14:paraId="1CE3E07A">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0.738</w:t>
                  </w:r>
                </w:p>
              </w:tc>
              <w:tc>
                <w:tcPr>
                  <w:tcW w:w="689" w:type="dxa"/>
                  <w:tcBorders>
                    <w:tl2br w:val="nil"/>
                    <w:tr2bl w:val="nil"/>
                  </w:tcBorders>
                  <w:noWrap w:val="0"/>
                  <w:vAlign w:val="center"/>
                </w:tcPr>
                <w:p w14:paraId="367EAB75">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1.511</w:t>
                  </w:r>
                </w:p>
              </w:tc>
              <w:tc>
                <w:tcPr>
                  <w:tcW w:w="316" w:type="pct"/>
                  <w:tcBorders>
                    <w:tl2br w:val="nil"/>
                    <w:tr2bl w:val="nil"/>
                  </w:tcBorders>
                  <w:noWrap w:val="0"/>
                  <w:vAlign w:val="center"/>
                </w:tcPr>
                <w:p w14:paraId="153C9535">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r>
          </w:tbl>
          <w:p w14:paraId="7816732D">
            <w:pPr>
              <w:pStyle w:val="43"/>
              <w:keepNext w:val="0"/>
              <w:keepLines w:val="0"/>
              <w:pageBreakBefore w:val="0"/>
              <w:widowControl/>
              <w:kinsoku/>
              <w:wordWrap/>
              <w:overflowPunct/>
              <w:topLinePunct w:val="0"/>
              <w:autoSpaceDE/>
              <w:autoSpaceDN/>
              <w:bidi w:val="0"/>
              <w:adjustRightInd w:val="0"/>
              <w:snapToGrid w:val="0"/>
              <w:spacing w:before="157" w:beforeLines="50" w:line="360" w:lineRule="auto"/>
              <w:jc w:val="both"/>
              <w:textAlignment w:val="auto"/>
              <w:rPr>
                <w:rFonts w:hint="eastAsia"/>
                <w:color w:val="000000"/>
                <w:lang w:val="en-US" w:eastAsia="zh-CN" w:bidi="ar-SA"/>
              </w:rPr>
            </w:pPr>
            <w:r>
              <w:rPr>
                <w:rFonts w:hint="eastAsia"/>
                <w:color w:val="000000"/>
                <w:lang w:val="en-US" w:eastAsia="zh-CN" w:bidi="ar-SA"/>
              </w:rPr>
              <w:t>1.3  废气污染防治措施及达标分析</w:t>
            </w:r>
          </w:p>
          <w:p w14:paraId="1DE2AA17">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auto"/>
                <w:lang w:val="en-US" w:eastAsia="zh-CN" w:bidi="ar-SA"/>
              </w:rPr>
            </w:pPr>
            <w:r>
              <w:rPr>
                <w:rFonts w:hint="eastAsia"/>
                <w:color w:val="000000"/>
                <w:lang w:val="en-US" w:eastAsia="zh-CN" w:bidi="ar-SA"/>
              </w:rPr>
              <w:t>单棒炉、时效炉天然气燃烧废气G1：</w:t>
            </w:r>
            <w:r>
              <w:rPr>
                <w:rFonts w:hint="eastAsia" w:ascii="Times New Roman" w:hAnsi="Times New Roman" w:cs="Times New Roman"/>
                <w:color w:val="auto"/>
                <w:lang w:val="en-US" w:eastAsia="zh-CN" w:bidi="ar-SA"/>
              </w:rPr>
              <w:t>项目</w:t>
            </w:r>
            <w:r>
              <w:rPr>
                <w:rFonts w:hint="eastAsia" w:cs="Times New Roman"/>
                <w:color w:val="auto"/>
                <w:lang w:val="en-US" w:eastAsia="zh-CN" w:bidi="ar-SA"/>
              </w:rPr>
              <w:t>单棒炉</w:t>
            </w:r>
            <w:r>
              <w:rPr>
                <w:rFonts w:hint="eastAsia" w:ascii="Times New Roman" w:hAnsi="Times New Roman" w:cs="Times New Roman"/>
                <w:color w:val="auto"/>
                <w:lang w:val="en-US" w:eastAsia="zh-CN" w:bidi="ar-SA"/>
              </w:rPr>
              <w:t>和时效炉天然气燃烧过程中会有燃烧废气产生，</w:t>
            </w:r>
            <w:r>
              <w:rPr>
                <w:rFonts w:hint="default" w:ascii="Times New Roman" w:hAnsi="Times New Roman" w:eastAsia="宋体" w:cs="Times New Roman"/>
                <w:color w:val="auto"/>
                <w:lang w:val="en-US" w:eastAsia="zh-CN" w:bidi="ar-SA"/>
              </w:rPr>
              <w:t xml:space="preserve">参照《排污许可证申请与核发技术规范 </w:t>
            </w:r>
            <w:r>
              <w:rPr>
                <w:rFonts w:hint="eastAsia" w:ascii="Times New Roman" w:hAnsi="Times New Roman" w:eastAsia="宋体" w:cs="Times New Roman"/>
                <w:color w:val="auto"/>
                <w:lang w:val="en-US" w:eastAsia="zh-CN" w:bidi="ar-SA"/>
              </w:rPr>
              <w:t>工业炉窑</w:t>
            </w:r>
            <w:r>
              <w:rPr>
                <w:rFonts w:hint="default" w:ascii="Times New Roman" w:hAnsi="Times New Roman" w:eastAsia="宋体" w:cs="Times New Roman"/>
                <w:color w:val="auto"/>
                <w:lang w:val="en-US" w:eastAsia="zh-CN" w:bidi="ar-SA"/>
              </w:rPr>
              <w:t xml:space="preserve">》（HJ </w:t>
            </w:r>
            <w:r>
              <w:rPr>
                <w:rFonts w:hint="eastAsia" w:ascii="Times New Roman" w:hAnsi="Times New Roman" w:eastAsia="宋体" w:cs="Times New Roman"/>
                <w:color w:val="auto"/>
                <w:lang w:val="en-US" w:eastAsia="zh-CN" w:bidi="ar-SA"/>
              </w:rPr>
              <w:t>1121</w:t>
            </w:r>
            <w:r>
              <w:rPr>
                <w:rFonts w:hint="default" w:ascii="Times New Roman" w:hAnsi="Times New Roman" w:eastAsia="宋体" w:cs="Times New Roman"/>
                <w:color w:val="auto"/>
                <w:lang w:val="en-US" w:eastAsia="zh-CN" w:bidi="ar-SA"/>
              </w:rPr>
              <w:t>-20</w:t>
            </w:r>
            <w:r>
              <w:rPr>
                <w:rFonts w:hint="eastAsia" w:ascii="Times New Roman" w:hAnsi="Times New Roman" w:eastAsia="宋体" w:cs="Times New Roman"/>
                <w:color w:val="auto"/>
                <w:lang w:val="en-US" w:eastAsia="zh-CN" w:bidi="ar-SA"/>
              </w:rPr>
              <w:t>20</w:t>
            </w:r>
            <w:r>
              <w:rPr>
                <w:rFonts w:hint="default" w:ascii="Times New Roman" w:hAnsi="Times New Roman" w:eastAsia="宋体" w:cs="Times New Roman"/>
                <w:color w:val="auto"/>
                <w:lang w:val="en-US" w:eastAsia="zh-CN" w:bidi="ar-SA"/>
              </w:rPr>
              <w:t>），对于脱硝工艺，项目采用的低氮燃烧技术为可行工艺。</w:t>
            </w:r>
            <w:r>
              <w:rPr>
                <w:rFonts w:hint="default" w:ascii="Times New Roman" w:hAnsi="Times New Roman" w:eastAsia="宋体" w:cs="Times New Roman"/>
                <w:color w:val="000000"/>
                <w:sz w:val="24"/>
                <w:szCs w:val="24"/>
                <w:lang w:val="en-US" w:eastAsia="zh-CN" w:bidi="ar-SA"/>
              </w:rPr>
              <w:t>项目</w:t>
            </w:r>
            <w:r>
              <w:rPr>
                <w:rFonts w:hint="eastAsia" w:cs="Times New Roman"/>
                <w:color w:val="000000"/>
                <w:sz w:val="24"/>
                <w:szCs w:val="24"/>
                <w:lang w:val="en-US" w:eastAsia="zh-CN" w:bidi="ar-SA"/>
              </w:rPr>
              <w:t>天然气燃烧废气经低氮燃烧后通过密闭管道</w:t>
            </w:r>
            <w:r>
              <w:rPr>
                <w:rFonts w:hint="default" w:ascii="Times New Roman" w:hAnsi="Times New Roman" w:eastAsia="宋体" w:cs="Times New Roman"/>
                <w:color w:val="000000"/>
                <w:sz w:val="24"/>
                <w:szCs w:val="24"/>
                <w:lang w:val="en-US" w:eastAsia="zh-CN" w:bidi="ar-SA"/>
              </w:rPr>
              <w:t>收集利用</w:t>
            </w:r>
            <w:r>
              <w:rPr>
                <w:rFonts w:hint="eastAsia" w:cs="Times New Roman"/>
                <w:color w:val="000000"/>
                <w:sz w:val="24"/>
                <w:szCs w:val="24"/>
                <w:lang w:val="en-US" w:eastAsia="zh-CN" w:bidi="ar-SA"/>
              </w:rPr>
              <w:t>15</w:t>
            </w:r>
            <w:r>
              <w:rPr>
                <w:rFonts w:hint="default" w:ascii="Times New Roman" w:hAnsi="Times New Roman" w:eastAsia="宋体" w:cs="Times New Roman"/>
                <w:color w:val="000000"/>
                <w:sz w:val="24"/>
                <w:szCs w:val="24"/>
                <w:lang w:val="en-US" w:eastAsia="zh-CN" w:bidi="ar-SA"/>
              </w:rPr>
              <w:t>m高排气筒（DA00</w:t>
            </w:r>
            <w:r>
              <w:rPr>
                <w:rFonts w:hint="eastAsia" w:cs="Times New Roman"/>
                <w:color w:val="000000"/>
                <w:sz w:val="24"/>
                <w:szCs w:val="24"/>
                <w:lang w:val="en-US" w:eastAsia="zh-CN" w:bidi="ar-SA"/>
              </w:rPr>
              <w:t>1</w:t>
            </w:r>
            <w:r>
              <w:rPr>
                <w:rFonts w:hint="default" w:ascii="Times New Roman" w:hAnsi="Times New Roman" w:eastAsia="宋体" w:cs="Times New Roman"/>
                <w:color w:val="000000"/>
                <w:sz w:val="24"/>
                <w:szCs w:val="24"/>
                <w:lang w:val="en-US" w:eastAsia="zh-CN" w:bidi="ar-SA"/>
              </w:rPr>
              <w:t>）排放</w:t>
            </w:r>
            <w:r>
              <w:rPr>
                <w:rFonts w:hint="default" w:ascii="Times New Roman" w:hAnsi="Times New Roman" w:eastAsia="宋体" w:cs="Times New Roman"/>
                <w:color w:val="auto"/>
                <w:lang w:val="en-US" w:eastAsia="zh-CN" w:bidi="ar-SA"/>
              </w:rPr>
              <w:t>，根据分析燃烧</w:t>
            </w:r>
            <w:r>
              <w:rPr>
                <w:rFonts w:hint="eastAsia" w:cs="Times New Roman"/>
                <w:color w:val="auto"/>
                <w:lang w:val="en-US" w:eastAsia="zh-CN" w:bidi="ar-SA"/>
              </w:rPr>
              <w:t>废气</w:t>
            </w:r>
            <w:r>
              <w:rPr>
                <w:rFonts w:hint="default" w:ascii="Times New Roman" w:hAnsi="Times New Roman" w:eastAsia="宋体" w:cs="Times New Roman"/>
                <w:color w:val="auto"/>
                <w:lang w:val="en-US" w:eastAsia="zh-CN" w:bidi="ar-SA"/>
              </w:rPr>
              <w:t>中颗粒物、SO</w:t>
            </w:r>
            <w:r>
              <w:rPr>
                <w:rFonts w:hint="default" w:ascii="Times New Roman" w:hAnsi="Times New Roman" w:eastAsia="宋体" w:cs="Times New Roman"/>
                <w:color w:val="auto"/>
                <w:vertAlign w:val="subscript"/>
                <w:lang w:val="en-US" w:eastAsia="zh-CN" w:bidi="ar-SA"/>
              </w:rPr>
              <w:t>2</w:t>
            </w:r>
            <w:r>
              <w:rPr>
                <w:rFonts w:hint="eastAsia" w:ascii="Times New Roman" w:hAnsi="Times New Roman" w:eastAsia="宋体" w:cs="Times New Roman"/>
                <w:color w:val="auto"/>
                <w:vertAlign w:val="baseline"/>
                <w:lang w:val="en-US" w:eastAsia="zh-CN" w:bidi="ar-SA"/>
              </w:rPr>
              <w:t>、</w:t>
            </w:r>
            <w:r>
              <w:rPr>
                <w:rFonts w:hint="default" w:ascii="Times New Roman" w:hAnsi="Times New Roman" w:eastAsia="宋体" w:cs="Times New Roman"/>
                <w:color w:val="auto"/>
                <w:lang w:val="en-US" w:eastAsia="zh-CN" w:bidi="ar-SA"/>
              </w:rPr>
              <w:t>氮氧化物</w:t>
            </w:r>
            <w:r>
              <w:rPr>
                <w:rFonts w:hint="default" w:ascii="Times New Roman" w:hAnsi="Times New Roman" w:eastAsia="宋体" w:cs="Times New Roman"/>
                <w:color w:val="000000"/>
                <w:lang w:val="en-US" w:eastAsia="zh-CN" w:bidi="ar-SA"/>
              </w:rPr>
              <w:t>排放</w:t>
            </w:r>
            <w:r>
              <w:rPr>
                <w:rFonts w:hint="eastAsia" w:cs="Times New Roman"/>
                <w:color w:val="000000"/>
                <w:lang w:val="en-US" w:eastAsia="zh-CN" w:bidi="ar-SA"/>
              </w:rPr>
              <w:t>满足</w:t>
            </w:r>
            <w:r>
              <w:rPr>
                <w:rFonts w:hint="eastAsia" w:ascii="宋体" w:hAnsi="宋体" w:eastAsia="宋体" w:cs="宋体"/>
                <w:color w:val="000000"/>
                <w:kern w:val="0"/>
                <w:sz w:val="24"/>
                <w:szCs w:val="24"/>
                <w:lang w:val="en-US" w:eastAsia="zh-CN" w:bidi="ar"/>
              </w:rPr>
              <w:t>《工业炉窑大气污染综合治理方案》（环大气〔</w:t>
            </w:r>
            <w:r>
              <w:rPr>
                <w:rFonts w:hint="default" w:ascii="Times New Roman" w:hAnsi="Times New Roman" w:eastAsia="宋体" w:cs="Times New Roman"/>
                <w:color w:val="000000"/>
                <w:kern w:val="0"/>
                <w:sz w:val="24"/>
                <w:szCs w:val="24"/>
                <w:lang w:val="en-US" w:eastAsia="zh-CN" w:bidi="ar"/>
              </w:rPr>
              <w:t>2019</w:t>
            </w:r>
            <w:r>
              <w:rPr>
                <w:rFonts w:hint="eastAsia" w:ascii="宋体" w:hAnsi="宋体" w:eastAsia="宋体" w:cs="宋体"/>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56</w:t>
            </w:r>
            <w:r>
              <w:rPr>
                <w:rFonts w:hint="eastAsia" w:ascii="宋体" w:hAnsi="宋体" w:eastAsia="宋体" w:cs="宋体"/>
                <w:color w:val="000000"/>
                <w:kern w:val="0"/>
                <w:sz w:val="24"/>
                <w:szCs w:val="24"/>
                <w:lang w:val="en-US" w:eastAsia="zh-CN" w:bidi="ar"/>
              </w:rPr>
              <w:t>号）中的相关要求</w:t>
            </w:r>
            <w:r>
              <w:rPr>
                <w:rFonts w:hint="default" w:ascii="Times New Roman" w:hAnsi="Times New Roman" w:eastAsia="宋体" w:cs="Times New Roman"/>
                <w:lang w:val="en-US" w:eastAsia="zh-CN" w:bidi="ar-SA"/>
              </w:rPr>
              <w:t>，项目治理措施可行</w:t>
            </w:r>
            <w:r>
              <w:rPr>
                <w:rFonts w:hint="default" w:ascii="Times New Roman" w:hAnsi="Times New Roman" w:eastAsia="宋体" w:cs="Times New Roman"/>
                <w:color w:val="auto"/>
                <w:lang w:val="en-US" w:eastAsia="zh-CN" w:bidi="ar-SA"/>
              </w:rPr>
              <w:t>。</w:t>
            </w:r>
          </w:p>
          <w:p w14:paraId="4CCEB952">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ascii="Times New Roman" w:hAnsi="Times New Roman" w:eastAsia="宋体" w:cs="Times New Roman"/>
                <w:color w:val="auto"/>
                <w:lang w:val="en-US" w:eastAsia="zh-CN" w:bidi="ar-SA"/>
              </w:rPr>
            </w:pPr>
            <w:r>
              <w:rPr>
                <w:rFonts w:hint="eastAsia"/>
                <w:color w:val="000000"/>
                <w:lang w:val="en-US" w:eastAsia="zh-CN" w:bidi="ar-SA"/>
              </w:rPr>
              <w:t>锯切废气G2：</w:t>
            </w:r>
            <w:r>
              <w:rPr>
                <w:rFonts w:hint="eastAsia" w:ascii="Times New Roman" w:hAnsi="Times New Roman" w:cs="Times New Roman"/>
                <w:color w:val="auto"/>
                <w:lang w:val="en-US" w:eastAsia="zh-CN" w:bidi="ar-SA"/>
              </w:rPr>
              <w:t>项目锯切工序过程会产生颗粒物，</w:t>
            </w:r>
            <w:r>
              <w:rPr>
                <w:rFonts w:hint="default" w:ascii="Times New Roman" w:hAnsi="Times New Roman" w:eastAsia="宋体" w:cs="Times New Roman"/>
                <w:color w:val="auto"/>
                <w:lang w:val="en-US" w:eastAsia="zh-CN" w:bidi="ar-SA"/>
              </w:rPr>
              <w:t>参照</w:t>
            </w:r>
            <w:r>
              <w:rPr>
                <w:rFonts w:hint="eastAsia" w:ascii="Times New Roman" w:hAnsi="Times New Roman" w:eastAsia="宋体" w:cs="Times New Roman"/>
                <w:color w:val="auto"/>
                <w:lang w:val="en-US" w:eastAsia="zh-CN" w:bidi="ar-SA"/>
              </w:rPr>
              <w:t>《排污许可证申请与核发技术规范 总则》（HJ942-2018）</w:t>
            </w:r>
            <w:r>
              <w:rPr>
                <w:rFonts w:hint="default" w:ascii="Times New Roman" w:hAnsi="Times New Roman" w:eastAsia="宋体" w:cs="Times New Roman"/>
                <w:color w:val="auto"/>
                <w:lang w:val="en-US" w:eastAsia="zh-CN" w:bidi="ar-SA"/>
              </w:rPr>
              <w:t>，项目采用的</w:t>
            </w:r>
            <w:r>
              <w:rPr>
                <w:rFonts w:hint="eastAsia" w:ascii="Times New Roman" w:hAnsi="Times New Roman" w:eastAsia="宋体" w:cs="Times New Roman"/>
                <w:color w:val="auto"/>
                <w:lang w:val="en-US" w:eastAsia="zh-CN" w:bidi="ar-SA"/>
              </w:rPr>
              <w:t>布袋除尘器</w:t>
            </w:r>
            <w:r>
              <w:rPr>
                <w:rFonts w:hint="default" w:ascii="Times New Roman" w:hAnsi="Times New Roman" w:eastAsia="宋体" w:cs="Times New Roman"/>
                <w:color w:val="auto"/>
                <w:lang w:val="en-US" w:eastAsia="zh-CN" w:bidi="ar-SA"/>
              </w:rPr>
              <w:t>为可行工艺。</w:t>
            </w:r>
            <w:r>
              <w:rPr>
                <w:rFonts w:hint="default" w:ascii="Times New Roman" w:hAnsi="Times New Roman" w:eastAsia="宋体" w:cs="Times New Roman"/>
                <w:color w:val="000000"/>
                <w:sz w:val="24"/>
                <w:szCs w:val="24"/>
                <w:lang w:val="en-US" w:eastAsia="zh-CN" w:bidi="ar-SA"/>
              </w:rPr>
              <w:t>项目锯切废气</w:t>
            </w:r>
            <w:r>
              <w:rPr>
                <w:rFonts w:hint="eastAsia" w:ascii="Times New Roman" w:hAnsi="Times New Roman" w:eastAsia="宋体" w:cs="Times New Roman"/>
                <w:color w:val="000000"/>
                <w:sz w:val="24"/>
                <w:szCs w:val="24"/>
                <w:lang w:val="en-US" w:eastAsia="zh-CN" w:bidi="ar-SA"/>
              </w:rPr>
              <w:t>经过集气罩收集后</w:t>
            </w:r>
            <w:r>
              <w:rPr>
                <w:rFonts w:hint="default" w:ascii="Times New Roman" w:hAnsi="Times New Roman" w:eastAsia="宋体" w:cs="Times New Roman"/>
                <w:color w:val="000000"/>
                <w:sz w:val="24"/>
                <w:szCs w:val="24"/>
                <w:lang w:val="en-US" w:eastAsia="zh-CN" w:bidi="ar-SA"/>
              </w:rPr>
              <w:t>利用</w:t>
            </w:r>
            <w:r>
              <w:rPr>
                <w:rFonts w:hint="eastAsia" w:ascii="Times New Roman" w:hAnsi="Times New Roman" w:eastAsia="宋体" w:cs="Times New Roman"/>
                <w:color w:val="000000"/>
                <w:sz w:val="24"/>
                <w:szCs w:val="24"/>
                <w:lang w:val="en-US" w:eastAsia="zh-CN" w:bidi="ar-SA"/>
              </w:rPr>
              <w:t>布袋除尘器处理后由</w:t>
            </w:r>
            <w:r>
              <w:rPr>
                <w:rFonts w:hint="eastAsia" w:cs="Times New Roman"/>
                <w:color w:val="000000"/>
                <w:sz w:val="24"/>
                <w:szCs w:val="24"/>
                <w:lang w:val="en-US" w:eastAsia="zh-CN" w:bidi="ar-SA"/>
              </w:rPr>
              <w:t>15</w:t>
            </w:r>
            <w:r>
              <w:rPr>
                <w:rFonts w:hint="default" w:ascii="Times New Roman" w:hAnsi="Times New Roman" w:eastAsia="宋体" w:cs="Times New Roman"/>
                <w:color w:val="000000"/>
                <w:sz w:val="24"/>
                <w:szCs w:val="24"/>
                <w:lang w:val="en-US" w:eastAsia="zh-CN" w:bidi="ar-SA"/>
              </w:rPr>
              <w:t>m高排气筒（DA00</w:t>
            </w:r>
            <w:r>
              <w:rPr>
                <w:rFonts w:hint="eastAsia" w:cs="Times New Roman"/>
                <w:color w:val="000000"/>
                <w:sz w:val="24"/>
                <w:szCs w:val="24"/>
                <w:lang w:val="en-US" w:eastAsia="zh-CN" w:bidi="ar-SA"/>
              </w:rPr>
              <w:t>2</w:t>
            </w:r>
            <w:r>
              <w:rPr>
                <w:rFonts w:hint="default" w:ascii="Times New Roman" w:hAnsi="Times New Roman" w:eastAsia="宋体" w:cs="Times New Roman"/>
                <w:color w:val="000000"/>
                <w:sz w:val="24"/>
                <w:szCs w:val="24"/>
                <w:lang w:val="en-US" w:eastAsia="zh-CN" w:bidi="ar-SA"/>
              </w:rPr>
              <w:t>）排放</w:t>
            </w:r>
            <w:r>
              <w:rPr>
                <w:rFonts w:hint="default" w:ascii="Times New Roman" w:hAnsi="Times New Roman" w:eastAsia="宋体" w:cs="Times New Roman"/>
                <w:color w:val="auto"/>
                <w:lang w:val="en-US" w:eastAsia="zh-CN" w:bidi="ar-SA"/>
              </w:rPr>
              <w:t>，根据分析</w:t>
            </w:r>
            <w:r>
              <w:rPr>
                <w:rFonts w:hint="eastAsia" w:cs="Times New Roman"/>
                <w:color w:val="auto"/>
                <w:lang w:val="en-US" w:eastAsia="zh-CN" w:bidi="ar-SA"/>
              </w:rPr>
              <w:t>废气</w:t>
            </w:r>
            <w:r>
              <w:rPr>
                <w:rFonts w:hint="default" w:ascii="Times New Roman" w:hAnsi="Times New Roman" w:eastAsia="宋体" w:cs="Times New Roman"/>
                <w:color w:val="auto"/>
                <w:lang w:val="en-US" w:eastAsia="zh-CN" w:bidi="ar-SA"/>
              </w:rPr>
              <w:t>中颗粒物</w:t>
            </w:r>
            <w:r>
              <w:rPr>
                <w:rFonts w:hint="default" w:ascii="Times New Roman" w:hAnsi="Times New Roman" w:eastAsia="宋体" w:cs="Times New Roman"/>
                <w:color w:val="000000"/>
                <w:lang w:val="en-US" w:eastAsia="zh-CN" w:bidi="ar-SA"/>
              </w:rPr>
              <w:t>排放</w:t>
            </w:r>
            <w:r>
              <w:rPr>
                <w:rFonts w:hint="eastAsia" w:cs="Times New Roman"/>
                <w:color w:val="000000"/>
                <w:lang w:val="en-US" w:eastAsia="zh-CN" w:bidi="ar-SA"/>
              </w:rPr>
              <w:t>满足《大气污染物综合排放标准》（GB16297-1996）</w:t>
            </w:r>
            <w:r>
              <w:rPr>
                <w:rFonts w:hint="eastAsia" w:ascii="宋体" w:hAnsi="宋体" w:eastAsia="宋体" w:cs="宋体"/>
                <w:color w:val="000000"/>
                <w:kern w:val="0"/>
                <w:sz w:val="24"/>
                <w:szCs w:val="24"/>
                <w:lang w:val="en-US" w:eastAsia="zh-CN" w:bidi="ar"/>
              </w:rPr>
              <w:t>中的相关要求</w:t>
            </w:r>
            <w:r>
              <w:rPr>
                <w:rFonts w:hint="default" w:ascii="Times New Roman" w:hAnsi="Times New Roman" w:eastAsia="宋体" w:cs="Times New Roman"/>
                <w:lang w:val="en-US" w:eastAsia="zh-CN" w:bidi="ar-SA"/>
              </w:rPr>
              <w:t>，项目治理措施可行</w:t>
            </w:r>
            <w:r>
              <w:rPr>
                <w:rFonts w:hint="default" w:ascii="Times New Roman" w:hAnsi="Times New Roman" w:eastAsia="宋体" w:cs="Times New Roman"/>
                <w:color w:val="auto"/>
                <w:lang w:val="en-US" w:eastAsia="zh-CN" w:bidi="ar-SA"/>
              </w:rPr>
              <w:t>。</w:t>
            </w:r>
          </w:p>
          <w:p w14:paraId="37AFAED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lang w:val="en-US" w:eastAsia="zh-CN" w:bidi="ar-SA"/>
              </w:rPr>
            </w:pPr>
            <w:r>
              <w:rPr>
                <w:rFonts w:hint="eastAsia"/>
                <w:color w:val="000000"/>
                <w:lang w:val="en-US" w:eastAsia="zh-CN" w:bidi="ar-SA"/>
              </w:rPr>
              <w:t>1.4  无组织排放措施</w:t>
            </w:r>
          </w:p>
          <w:p w14:paraId="62721B16">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lang w:val="en-US" w:eastAsia="zh-CN" w:bidi="ar-SA"/>
              </w:rPr>
            </w:pPr>
            <w:r>
              <w:rPr>
                <w:rFonts w:hint="eastAsia"/>
                <w:color w:val="000000"/>
                <w:lang w:val="en-US" w:eastAsia="zh-CN" w:bidi="ar-SA"/>
              </w:rPr>
              <w:t>拟建项目在锯切加工等生产过程会产生一定量的颗粒物在厂区内无组织排放，为减少无组织废气产生量，本工程拟采取预防为主、防治结合的方针进行无组织废气防治，主要措施为：</w:t>
            </w:r>
          </w:p>
          <w:p w14:paraId="603448FD">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lang w:val="en-US" w:eastAsia="zh-CN" w:bidi="ar-SA"/>
              </w:rPr>
            </w:pPr>
            <w:r>
              <w:rPr>
                <w:rFonts w:hint="eastAsia"/>
                <w:color w:val="000000"/>
                <w:lang w:val="en-US" w:eastAsia="zh-CN" w:bidi="ar-SA"/>
              </w:rPr>
              <w:t>（1）在工艺设计上尽量选择本行业中目前较为先进的生产设备，尽量优先选用密闭式设备和采取设备密闭措施，可减少废气跑、冒现象；</w:t>
            </w:r>
          </w:p>
          <w:p w14:paraId="279A5579">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lang w:val="en-US" w:eastAsia="zh-CN" w:bidi="ar-SA"/>
              </w:rPr>
            </w:pPr>
            <w:r>
              <w:rPr>
                <w:rFonts w:hint="eastAsia"/>
                <w:color w:val="000000"/>
                <w:lang w:val="en-US" w:eastAsia="zh-CN" w:bidi="ar-SA"/>
              </w:rPr>
              <w:t>（2）加强管理、定期清扫，安排专职人员负责厂区车间的清洁工作；</w:t>
            </w:r>
          </w:p>
          <w:p w14:paraId="2A6A229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lang w:val="en-US" w:eastAsia="zh-CN" w:bidi="ar-SA"/>
              </w:rPr>
            </w:pPr>
            <w:r>
              <w:rPr>
                <w:rFonts w:hint="eastAsia"/>
                <w:color w:val="000000"/>
                <w:lang w:val="en-US" w:eastAsia="zh-CN" w:bidi="ar-SA"/>
              </w:rPr>
              <w:t>（3）定期检查，确保各收尘器、管道等设备完好运行；</w:t>
            </w:r>
          </w:p>
          <w:p w14:paraId="1769C9BF">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cs="Times New Roman"/>
                <w:color w:val="000000"/>
                <w:lang w:val="en-US" w:eastAsia="zh-CN" w:bidi="ar-SA"/>
              </w:rPr>
            </w:pPr>
            <w:r>
              <w:rPr>
                <w:rFonts w:hint="eastAsia"/>
                <w:color w:val="000000"/>
                <w:lang w:val="en-US" w:eastAsia="zh-CN" w:bidi="ar-SA"/>
              </w:rPr>
              <w:t>（4）合理布置车间，将产生无组织废气的产生源布置在远离厂界的地方，以减少无组织废气对厂界周围环境的影响</w:t>
            </w:r>
            <w:r>
              <w:rPr>
                <w:rFonts w:hint="eastAsia" w:ascii="Times New Roman" w:hAnsi="Times New Roman" w:cs="Times New Roman"/>
                <w:color w:val="000000"/>
                <w:lang w:val="en-US" w:eastAsia="zh-CN" w:bidi="ar-SA"/>
              </w:rPr>
              <w:t>。</w:t>
            </w:r>
          </w:p>
          <w:p w14:paraId="150AC75B">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lang w:val="en-US" w:eastAsia="zh-CN" w:bidi="ar-SA"/>
              </w:rPr>
            </w:pPr>
            <w:r>
              <w:rPr>
                <w:rFonts w:hint="eastAsia"/>
                <w:color w:val="000000"/>
                <w:lang w:val="en-US" w:eastAsia="zh-CN" w:bidi="ar-SA"/>
              </w:rPr>
              <w:t>项目废气收集处理路线示意图如下：</w:t>
            </w:r>
          </w:p>
          <w:p w14:paraId="1A5A870B">
            <w:pPr>
              <w:pStyle w:val="4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color w:val="000000"/>
                <w:lang w:val="en-US" w:eastAsia="zh-CN" w:bidi="ar-SA"/>
              </w:rPr>
            </w:pPr>
            <w:r>
              <w:rPr>
                <w:rFonts w:hint="eastAsia"/>
                <w:color w:val="000000"/>
                <w:lang w:val="en-US" w:eastAsia="zh-CN" w:bidi="ar-SA"/>
              </w:rPr>
              <w:object>
                <v:shape id="_x0000_i1028" o:spt="75" type="#_x0000_t75" style="height:85.75pt;width:404.1pt;" o:ole="t" filled="f" o:preferrelative="t" stroked="f" coordsize="21600,21600">
                  <v:path/>
                  <v:fill on="f" focussize="0,0"/>
                  <v:stroke on="f"/>
                  <v:imagedata r:id="rId19" croptop="7697f" cropbottom="22451f" o:title=""/>
                  <o:lock v:ext="edit" aspectratio="f"/>
                  <w10:wrap type="none"/>
                  <w10:anchorlock/>
                </v:shape>
                <o:OLEObject Type="Embed" ProgID="Visio.Drawing.15" ShapeID="_x0000_i1028" DrawAspect="Content" ObjectID="_1468075728" r:id="rId18">
                  <o:LockedField>false</o:LockedField>
                </o:OLEObject>
              </w:object>
            </w:r>
          </w:p>
          <w:p w14:paraId="60668985">
            <w:pPr>
              <w:pStyle w:val="4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color w:val="000000"/>
                <w:lang w:val="en-US" w:eastAsia="zh-CN" w:bidi="ar-SA"/>
              </w:rPr>
            </w:pPr>
            <w:r>
              <w:rPr>
                <w:rFonts w:hint="eastAsia"/>
                <w:color w:val="000000"/>
                <w:lang w:val="en-US" w:eastAsia="zh-CN" w:bidi="ar-SA"/>
              </w:rPr>
              <w:t>图 4-1  项目废气收集处理路线图</w:t>
            </w:r>
          </w:p>
          <w:p w14:paraId="0A730A46">
            <w:pPr>
              <w:pStyle w:val="43"/>
              <w:bidi w:val="0"/>
              <w:jc w:val="both"/>
              <w:rPr>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2、废水</w:t>
            </w:r>
          </w:p>
          <w:p w14:paraId="01B2FF6A">
            <w:pPr>
              <w:pStyle w:val="43"/>
              <w:bidi w:val="0"/>
              <w:jc w:val="both"/>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2.1  废水污染源强</w:t>
            </w:r>
          </w:p>
          <w:p w14:paraId="6A58120F">
            <w:pPr>
              <w:pStyle w:val="43"/>
              <w:bidi w:val="0"/>
              <w:jc w:val="both"/>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项目废水污染物排放源详见下表。</w:t>
            </w:r>
          </w:p>
          <w:p w14:paraId="4991460B">
            <w:pPr>
              <w:pStyle w:val="44"/>
              <w:keepNext/>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8</w:t>
            </w:r>
            <w:r>
              <w:rPr>
                <w:rFonts w:hint="default" w:ascii="Times New Roman" w:hAnsi="Times New Roman" w:cs="Times New Roman"/>
                <w:color w:val="000000"/>
              </w:rPr>
              <w:fldChar w:fldCharType="end"/>
            </w:r>
            <w:r>
              <w:rPr>
                <w:rFonts w:hint="default" w:ascii="Times New Roman" w:hAnsi="Times New Roman" w:cs="Times New Roman"/>
                <w:color w:val="auto"/>
                <w:lang w:eastAsia="zh-CN"/>
              </w:rPr>
              <w:t xml:space="preserve">  项目废水产生和排放情况</w:t>
            </w:r>
          </w:p>
          <w:tbl>
            <w:tblPr>
              <w:tblStyle w:val="23"/>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547"/>
              <w:gridCol w:w="555"/>
              <w:gridCol w:w="696"/>
              <w:gridCol w:w="878"/>
              <w:gridCol w:w="845"/>
              <w:gridCol w:w="798"/>
              <w:gridCol w:w="933"/>
              <w:gridCol w:w="720"/>
              <w:gridCol w:w="720"/>
              <w:gridCol w:w="765"/>
              <w:gridCol w:w="556"/>
              <w:gridCol w:w="326"/>
            </w:tblGrid>
            <w:tr w14:paraId="6EB8E7A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28" w:type="pct"/>
                  <w:vMerge w:val="restart"/>
                  <w:tcBorders>
                    <w:tl2br w:val="nil"/>
                    <w:tr2bl w:val="nil"/>
                  </w:tcBorders>
                  <w:noWrap w:val="0"/>
                  <w:vAlign w:val="center"/>
                </w:tcPr>
                <w:p w14:paraId="37B7622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编号</w:t>
                  </w:r>
                </w:p>
              </w:tc>
              <w:tc>
                <w:tcPr>
                  <w:tcW w:w="333" w:type="pct"/>
                  <w:vMerge w:val="restart"/>
                  <w:tcBorders>
                    <w:tl2br w:val="nil"/>
                    <w:tr2bl w:val="nil"/>
                  </w:tcBorders>
                  <w:noWrap w:val="0"/>
                  <w:vAlign w:val="center"/>
                </w:tcPr>
                <w:p w14:paraId="30B04388">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废水</w:t>
                  </w:r>
                </w:p>
                <w:p w14:paraId="124E3F1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来源</w:t>
                  </w:r>
                </w:p>
              </w:tc>
              <w:tc>
                <w:tcPr>
                  <w:tcW w:w="417" w:type="pct"/>
                  <w:vMerge w:val="restart"/>
                  <w:tcBorders>
                    <w:tl2br w:val="nil"/>
                    <w:tr2bl w:val="nil"/>
                  </w:tcBorders>
                  <w:noWrap w:val="0"/>
                  <w:vAlign w:val="center"/>
                </w:tcPr>
                <w:p w14:paraId="5DFEFC19">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废水量</w:t>
                  </w:r>
                </w:p>
                <w:p w14:paraId="06432F3F">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/a)</w:t>
                  </w:r>
                </w:p>
              </w:tc>
              <w:tc>
                <w:tcPr>
                  <w:tcW w:w="526" w:type="pct"/>
                  <w:vMerge w:val="restart"/>
                  <w:tcBorders>
                    <w:tl2br w:val="nil"/>
                    <w:tr2bl w:val="nil"/>
                  </w:tcBorders>
                  <w:noWrap w:val="0"/>
                  <w:vAlign w:val="center"/>
                </w:tcPr>
                <w:p w14:paraId="45771030">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污染</w:t>
                  </w:r>
                </w:p>
                <w:p w14:paraId="64EE7772">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因子</w:t>
                  </w:r>
                </w:p>
              </w:tc>
              <w:tc>
                <w:tcPr>
                  <w:tcW w:w="984" w:type="pct"/>
                  <w:gridSpan w:val="2"/>
                  <w:tcBorders>
                    <w:tl2br w:val="nil"/>
                    <w:tr2bl w:val="nil"/>
                  </w:tcBorders>
                  <w:noWrap w:val="0"/>
                  <w:vAlign w:val="center"/>
                </w:tcPr>
                <w:p w14:paraId="2C46B0F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产生情况</w:t>
                  </w:r>
                </w:p>
              </w:tc>
              <w:tc>
                <w:tcPr>
                  <w:tcW w:w="559" w:type="pct"/>
                  <w:vMerge w:val="restart"/>
                  <w:tcBorders>
                    <w:tl2br w:val="nil"/>
                    <w:tr2bl w:val="nil"/>
                  </w:tcBorders>
                  <w:noWrap w:val="0"/>
                  <w:vAlign w:val="center"/>
                </w:tcPr>
                <w:p w14:paraId="3E623EF2">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处理</w:t>
                  </w:r>
                </w:p>
                <w:p w14:paraId="0B90E4EE">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措施</w:t>
                  </w:r>
                </w:p>
              </w:tc>
              <w:tc>
                <w:tcPr>
                  <w:tcW w:w="431" w:type="pct"/>
                  <w:vMerge w:val="restart"/>
                  <w:tcBorders>
                    <w:tl2br w:val="nil"/>
                    <w:tr2bl w:val="nil"/>
                  </w:tcBorders>
                  <w:noWrap w:val="0"/>
                  <w:vAlign w:val="center"/>
                </w:tcPr>
                <w:p w14:paraId="24AE2547">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排放量</w:t>
                  </w:r>
                </w:p>
                <w:p w14:paraId="050694E9">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/a)</w:t>
                  </w:r>
                </w:p>
              </w:tc>
              <w:tc>
                <w:tcPr>
                  <w:tcW w:w="889" w:type="pct"/>
                  <w:gridSpan w:val="2"/>
                  <w:tcBorders>
                    <w:tl2br w:val="nil"/>
                    <w:tr2bl w:val="nil"/>
                  </w:tcBorders>
                  <w:noWrap w:val="0"/>
                  <w:vAlign w:val="center"/>
                </w:tcPr>
                <w:p w14:paraId="67D6F6B1">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排放情况</w:t>
                  </w:r>
                </w:p>
              </w:tc>
              <w:tc>
                <w:tcPr>
                  <w:tcW w:w="333" w:type="pct"/>
                  <w:vMerge w:val="restart"/>
                  <w:tcBorders>
                    <w:tl2br w:val="nil"/>
                    <w:tr2bl w:val="nil"/>
                  </w:tcBorders>
                  <w:noWrap w:val="0"/>
                  <w:vAlign w:val="center"/>
                </w:tcPr>
                <w:p w14:paraId="4BA425EE">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w:t>
                  </w:r>
                </w:p>
                <w:p w14:paraId="5209A099">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去向</w:t>
                  </w:r>
                </w:p>
              </w:tc>
              <w:tc>
                <w:tcPr>
                  <w:tcW w:w="195" w:type="pct"/>
                  <w:vMerge w:val="restart"/>
                  <w:tcBorders>
                    <w:tl2br w:val="nil"/>
                    <w:tr2bl w:val="nil"/>
                  </w:tcBorders>
                  <w:noWrap w:val="0"/>
                  <w:vAlign w:val="center"/>
                </w:tcPr>
                <w:p w14:paraId="46F77774">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备注</w:t>
                  </w:r>
                </w:p>
              </w:tc>
            </w:tr>
            <w:tr w14:paraId="4A7814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28" w:type="pct"/>
                  <w:vMerge w:val="continue"/>
                  <w:tcBorders>
                    <w:tl2br w:val="nil"/>
                    <w:tr2bl w:val="nil"/>
                  </w:tcBorders>
                  <w:noWrap w:val="0"/>
                  <w:vAlign w:val="center"/>
                </w:tcPr>
                <w:p w14:paraId="7FCE77A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333" w:type="pct"/>
                  <w:vMerge w:val="continue"/>
                  <w:tcBorders>
                    <w:tl2br w:val="nil"/>
                    <w:tr2bl w:val="nil"/>
                  </w:tcBorders>
                  <w:noWrap w:val="0"/>
                  <w:vAlign w:val="center"/>
                </w:tcPr>
                <w:p w14:paraId="1167D8B2">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17" w:type="pct"/>
                  <w:vMerge w:val="continue"/>
                  <w:tcBorders>
                    <w:tl2br w:val="nil"/>
                    <w:tr2bl w:val="nil"/>
                  </w:tcBorders>
                  <w:noWrap w:val="0"/>
                  <w:vAlign w:val="center"/>
                </w:tcPr>
                <w:p w14:paraId="5B84E00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526" w:type="pct"/>
                  <w:vMerge w:val="continue"/>
                  <w:tcBorders>
                    <w:tl2br w:val="nil"/>
                    <w:tr2bl w:val="nil"/>
                  </w:tcBorders>
                  <w:noWrap w:val="0"/>
                  <w:vAlign w:val="center"/>
                </w:tcPr>
                <w:p w14:paraId="1A9EC481">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506" w:type="pct"/>
                  <w:tcBorders>
                    <w:tl2br w:val="nil"/>
                    <w:tr2bl w:val="nil"/>
                  </w:tcBorders>
                  <w:noWrap w:val="0"/>
                  <w:vAlign w:val="center"/>
                </w:tcPr>
                <w:p w14:paraId="05A7E9EF">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浓度</w:t>
                  </w:r>
                </w:p>
                <w:p w14:paraId="0F661113">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(mg/L)</w:t>
                  </w:r>
                </w:p>
              </w:tc>
              <w:tc>
                <w:tcPr>
                  <w:tcW w:w="478" w:type="pct"/>
                  <w:tcBorders>
                    <w:tl2br w:val="nil"/>
                    <w:tr2bl w:val="nil"/>
                  </w:tcBorders>
                  <w:noWrap w:val="0"/>
                  <w:vAlign w:val="center"/>
                </w:tcPr>
                <w:p w14:paraId="734BC06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产生量</w:t>
                  </w:r>
                </w:p>
                <w:p w14:paraId="2DE8E30A">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(t/a)</w:t>
                  </w:r>
                </w:p>
              </w:tc>
              <w:tc>
                <w:tcPr>
                  <w:tcW w:w="559" w:type="pct"/>
                  <w:vMerge w:val="continue"/>
                  <w:tcBorders>
                    <w:tl2br w:val="nil"/>
                    <w:tr2bl w:val="nil"/>
                  </w:tcBorders>
                  <w:noWrap w:val="0"/>
                  <w:vAlign w:val="center"/>
                </w:tcPr>
                <w:p w14:paraId="6282D3B7">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31" w:type="pct"/>
                  <w:vMerge w:val="continue"/>
                  <w:tcBorders>
                    <w:tl2br w:val="nil"/>
                    <w:tr2bl w:val="nil"/>
                  </w:tcBorders>
                  <w:noWrap w:val="0"/>
                  <w:vAlign w:val="center"/>
                </w:tcPr>
                <w:p w14:paraId="209AEEA3">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31" w:type="pct"/>
                  <w:tcBorders>
                    <w:tl2br w:val="nil"/>
                    <w:tr2bl w:val="nil"/>
                  </w:tcBorders>
                  <w:noWrap w:val="0"/>
                  <w:vAlign w:val="center"/>
                </w:tcPr>
                <w:p w14:paraId="12031A46">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浓度</w:t>
                  </w:r>
                </w:p>
                <w:p w14:paraId="7A0B6EE1">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(mg/L)</w:t>
                  </w:r>
                </w:p>
              </w:tc>
              <w:tc>
                <w:tcPr>
                  <w:tcW w:w="458" w:type="pct"/>
                  <w:tcBorders>
                    <w:tl2br w:val="nil"/>
                    <w:tr2bl w:val="nil"/>
                  </w:tcBorders>
                  <w:noWrap w:val="0"/>
                  <w:vAlign w:val="center"/>
                </w:tcPr>
                <w:p w14:paraId="5DE5B9B4">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排放量</w:t>
                  </w:r>
                </w:p>
                <w:p w14:paraId="07524C2D">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(t/a)</w:t>
                  </w:r>
                </w:p>
              </w:tc>
              <w:tc>
                <w:tcPr>
                  <w:tcW w:w="333" w:type="pct"/>
                  <w:vMerge w:val="continue"/>
                  <w:tcBorders>
                    <w:tl2br w:val="nil"/>
                    <w:tr2bl w:val="nil"/>
                  </w:tcBorders>
                  <w:noWrap w:val="0"/>
                  <w:vAlign w:val="center"/>
                </w:tcPr>
                <w:p w14:paraId="7B2CA933">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195" w:type="pct"/>
                  <w:vMerge w:val="continue"/>
                  <w:tcBorders>
                    <w:tl2br w:val="nil"/>
                    <w:tr2bl w:val="nil"/>
                  </w:tcBorders>
                  <w:noWrap w:val="0"/>
                  <w:vAlign w:val="center"/>
                </w:tcPr>
                <w:p w14:paraId="243D0E85">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r>
            <w:tr w14:paraId="71F34E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28" w:type="pct"/>
                  <w:vMerge w:val="restart"/>
                  <w:tcBorders>
                    <w:tl2br w:val="nil"/>
                    <w:tr2bl w:val="nil"/>
                  </w:tcBorders>
                  <w:noWrap w:val="0"/>
                  <w:vAlign w:val="center"/>
                </w:tcPr>
                <w:p w14:paraId="7511A851">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w:t>
                  </w:r>
                  <w:r>
                    <w:rPr>
                      <w:rFonts w:hint="eastAsia" w:ascii="Times New Roman" w:hAnsi="Times New Roman" w:eastAsia="宋体" w:cs="Times New Roman"/>
                      <w:b w:val="0"/>
                      <w:bCs/>
                      <w:color w:val="auto"/>
                      <w:sz w:val="21"/>
                      <w:szCs w:val="21"/>
                      <w:vertAlign w:val="baseline"/>
                      <w:lang w:val="en-US" w:eastAsia="zh-CN"/>
                    </w:rPr>
                    <w:t>1</w:t>
                  </w:r>
                </w:p>
              </w:tc>
              <w:tc>
                <w:tcPr>
                  <w:tcW w:w="333" w:type="pct"/>
                  <w:vMerge w:val="restart"/>
                  <w:tcBorders>
                    <w:tl2br w:val="nil"/>
                    <w:tr2bl w:val="nil"/>
                  </w:tcBorders>
                  <w:noWrap w:val="0"/>
                  <w:vAlign w:val="center"/>
                </w:tcPr>
                <w:p w14:paraId="3F813CCD">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生活</w:t>
                  </w:r>
                </w:p>
                <w:p w14:paraId="2620F0CC">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污水</w:t>
                  </w:r>
                </w:p>
              </w:tc>
              <w:tc>
                <w:tcPr>
                  <w:tcW w:w="417" w:type="pct"/>
                  <w:vMerge w:val="restart"/>
                  <w:tcBorders>
                    <w:tl2br w:val="nil"/>
                    <w:tr2bl w:val="nil"/>
                  </w:tcBorders>
                  <w:noWrap w:val="0"/>
                  <w:vAlign w:val="center"/>
                </w:tcPr>
                <w:p w14:paraId="6D1DDB2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i w:val="0"/>
                      <w:iCs w:val="0"/>
                      <w:color w:val="auto"/>
                      <w:kern w:val="0"/>
                      <w:sz w:val="21"/>
                      <w:szCs w:val="21"/>
                      <w:u w:val="none"/>
                      <w:lang w:val="en-US" w:eastAsia="zh-CN" w:bidi="ar"/>
                    </w:rPr>
                    <w:t>480</w:t>
                  </w:r>
                </w:p>
              </w:tc>
              <w:tc>
                <w:tcPr>
                  <w:tcW w:w="526" w:type="pct"/>
                  <w:tcBorders>
                    <w:tl2br w:val="nil"/>
                    <w:tr2bl w:val="nil"/>
                  </w:tcBorders>
                  <w:noWrap w:val="0"/>
                  <w:vAlign w:val="center"/>
                </w:tcPr>
                <w:p w14:paraId="7DF5023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i w:val="0"/>
                      <w:iCs w:val="0"/>
                      <w:color w:val="000000"/>
                      <w:kern w:val="0"/>
                      <w:sz w:val="21"/>
                      <w:szCs w:val="21"/>
                      <w:u w:val="none"/>
                      <w:lang w:val="en-US" w:eastAsia="zh-CN" w:bidi="ar"/>
                    </w:rPr>
                    <w:t>COD</w:t>
                  </w:r>
                </w:p>
              </w:tc>
              <w:tc>
                <w:tcPr>
                  <w:tcW w:w="845" w:type="dxa"/>
                  <w:tcBorders>
                    <w:tl2br w:val="nil"/>
                    <w:tr2bl w:val="nil"/>
                  </w:tcBorders>
                  <w:noWrap w:val="0"/>
                  <w:vAlign w:val="center"/>
                </w:tcPr>
                <w:p w14:paraId="06C5AAA3">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350</w:t>
                  </w:r>
                </w:p>
              </w:tc>
              <w:tc>
                <w:tcPr>
                  <w:tcW w:w="798" w:type="dxa"/>
                  <w:tcBorders>
                    <w:tl2br w:val="nil"/>
                    <w:tr2bl w:val="nil"/>
                  </w:tcBorders>
                  <w:noWrap w:val="0"/>
                  <w:vAlign w:val="center"/>
                </w:tcPr>
                <w:p w14:paraId="62003772">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559" w:type="pct"/>
                  <w:vMerge w:val="restart"/>
                  <w:tcBorders>
                    <w:tl2br w:val="nil"/>
                    <w:tr2bl w:val="nil"/>
                  </w:tcBorders>
                  <w:noWrap w:val="0"/>
                  <w:vAlign w:val="center"/>
                </w:tcPr>
                <w:p w14:paraId="259F077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eastAsia" w:ascii="宋体" w:hAnsi="宋体" w:eastAsia="宋体" w:cs="宋体"/>
                      <w:b w:val="0"/>
                      <w:bCs/>
                      <w:i w:val="0"/>
                      <w:iCs w:val="0"/>
                      <w:color w:val="000000"/>
                      <w:kern w:val="0"/>
                      <w:sz w:val="21"/>
                      <w:szCs w:val="21"/>
                      <w:u w:val="none"/>
                      <w:lang w:val="en-US" w:eastAsia="zh-CN" w:bidi="ar"/>
                    </w:rPr>
                    <w:t>化粪池</w:t>
                  </w:r>
                </w:p>
              </w:tc>
              <w:tc>
                <w:tcPr>
                  <w:tcW w:w="431" w:type="pct"/>
                  <w:vMerge w:val="restart"/>
                  <w:tcBorders>
                    <w:tl2br w:val="nil"/>
                    <w:tr2bl w:val="nil"/>
                  </w:tcBorders>
                  <w:noWrap w:val="0"/>
                  <w:vAlign w:val="center"/>
                </w:tcPr>
                <w:p w14:paraId="5359E81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eastAsia" w:cs="Times New Roman"/>
                      <w:b w:val="0"/>
                      <w:bCs/>
                      <w:i w:val="0"/>
                      <w:iCs w:val="0"/>
                      <w:color w:val="000000"/>
                      <w:kern w:val="0"/>
                      <w:sz w:val="21"/>
                      <w:szCs w:val="21"/>
                      <w:u w:val="none"/>
                      <w:lang w:val="en-US" w:eastAsia="zh-CN" w:bidi="ar"/>
                    </w:rPr>
                    <w:t>480</w:t>
                  </w:r>
                </w:p>
              </w:tc>
              <w:tc>
                <w:tcPr>
                  <w:tcW w:w="720" w:type="dxa"/>
                  <w:tcBorders>
                    <w:tl2br w:val="nil"/>
                    <w:tr2bl w:val="nil"/>
                  </w:tcBorders>
                  <w:noWrap w:val="0"/>
                  <w:vAlign w:val="center"/>
                </w:tcPr>
                <w:p w14:paraId="3512BDA1">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350</w:t>
                  </w:r>
                </w:p>
              </w:tc>
              <w:tc>
                <w:tcPr>
                  <w:tcW w:w="765" w:type="dxa"/>
                  <w:tcBorders>
                    <w:tl2br w:val="nil"/>
                    <w:tr2bl w:val="nil"/>
                  </w:tcBorders>
                  <w:noWrap w:val="0"/>
                  <w:vAlign w:val="center"/>
                </w:tcPr>
                <w:p w14:paraId="50FB7FFE">
                  <w:pPr>
                    <w:keepNext w:val="0"/>
                    <w:keepLines w:val="0"/>
                    <w:widowControl/>
                    <w:suppressLineNumbers w:val="0"/>
                    <w:jc w:val="center"/>
                    <w:textAlignment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333" w:type="pct"/>
                  <w:vMerge w:val="restart"/>
                  <w:tcBorders>
                    <w:tl2br w:val="nil"/>
                    <w:tr2bl w:val="nil"/>
                  </w:tcBorders>
                  <w:noWrap w:val="0"/>
                  <w:vAlign w:val="center"/>
                </w:tcPr>
                <w:p w14:paraId="7D81C524">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江南集中区第一污水处理厂</w:t>
                  </w:r>
                </w:p>
              </w:tc>
              <w:tc>
                <w:tcPr>
                  <w:tcW w:w="195" w:type="pct"/>
                  <w:vMerge w:val="restart"/>
                  <w:tcBorders>
                    <w:tl2br w:val="nil"/>
                    <w:tr2bl w:val="nil"/>
                  </w:tcBorders>
                  <w:noWrap w:val="0"/>
                  <w:vAlign w:val="center"/>
                </w:tcPr>
                <w:p w14:paraId="498A0BFB">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r>
            <w:tr w14:paraId="22D33F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28" w:type="pct"/>
                  <w:vMerge w:val="continue"/>
                  <w:tcBorders>
                    <w:tl2br w:val="nil"/>
                    <w:tr2bl w:val="nil"/>
                  </w:tcBorders>
                  <w:noWrap w:val="0"/>
                  <w:vAlign w:val="center"/>
                </w:tcPr>
                <w:p w14:paraId="17908338">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333" w:type="pct"/>
                  <w:vMerge w:val="continue"/>
                  <w:tcBorders>
                    <w:tl2br w:val="nil"/>
                    <w:tr2bl w:val="nil"/>
                  </w:tcBorders>
                  <w:noWrap w:val="0"/>
                  <w:vAlign w:val="center"/>
                </w:tcPr>
                <w:p w14:paraId="2D5B1C11">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17" w:type="pct"/>
                  <w:vMerge w:val="continue"/>
                  <w:tcBorders>
                    <w:tl2br w:val="nil"/>
                    <w:tr2bl w:val="nil"/>
                  </w:tcBorders>
                  <w:noWrap w:val="0"/>
                  <w:vAlign w:val="center"/>
                </w:tcPr>
                <w:p w14:paraId="423A8D1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i w:val="0"/>
                      <w:iCs w:val="0"/>
                      <w:color w:val="auto"/>
                      <w:kern w:val="0"/>
                      <w:sz w:val="21"/>
                      <w:szCs w:val="21"/>
                      <w:u w:val="none"/>
                      <w:lang w:val="en-US" w:eastAsia="zh-CN" w:bidi="ar"/>
                    </w:rPr>
                  </w:pPr>
                </w:p>
              </w:tc>
              <w:tc>
                <w:tcPr>
                  <w:tcW w:w="526" w:type="pct"/>
                  <w:tcBorders>
                    <w:tl2br w:val="nil"/>
                    <w:tr2bl w:val="nil"/>
                  </w:tcBorders>
                  <w:noWrap w:val="0"/>
                  <w:vAlign w:val="center"/>
                </w:tcPr>
                <w:p w14:paraId="02063C0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BOD</w:t>
                  </w:r>
                  <w:r>
                    <w:rPr>
                      <w:rFonts w:hint="eastAsia" w:ascii="Times New Roman" w:hAnsi="Times New Roman" w:eastAsia="宋体" w:cs="Times New Roman"/>
                      <w:b w:val="0"/>
                      <w:bCs/>
                      <w:i w:val="0"/>
                      <w:iCs w:val="0"/>
                      <w:color w:val="000000"/>
                      <w:kern w:val="0"/>
                      <w:sz w:val="21"/>
                      <w:szCs w:val="21"/>
                      <w:u w:val="none"/>
                      <w:vertAlign w:val="subscript"/>
                      <w:lang w:val="en-US" w:eastAsia="zh-CN" w:bidi="ar"/>
                    </w:rPr>
                    <w:t>5</w:t>
                  </w:r>
                </w:p>
              </w:tc>
              <w:tc>
                <w:tcPr>
                  <w:tcW w:w="845" w:type="dxa"/>
                  <w:tcBorders>
                    <w:tl2br w:val="nil"/>
                    <w:tr2bl w:val="nil"/>
                  </w:tcBorders>
                  <w:noWrap w:val="0"/>
                  <w:vAlign w:val="center"/>
                </w:tcPr>
                <w:p w14:paraId="0BD3F3A0">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140</w:t>
                  </w:r>
                </w:p>
              </w:tc>
              <w:tc>
                <w:tcPr>
                  <w:tcW w:w="798" w:type="dxa"/>
                  <w:tcBorders>
                    <w:tl2br w:val="nil"/>
                    <w:tr2bl w:val="nil"/>
                  </w:tcBorders>
                  <w:noWrap w:val="0"/>
                  <w:vAlign w:val="center"/>
                </w:tcPr>
                <w:p w14:paraId="0B109455">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0.067 </w:t>
                  </w:r>
                </w:p>
              </w:tc>
              <w:tc>
                <w:tcPr>
                  <w:tcW w:w="559" w:type="pct"/>
                  <w:vMerge w:val="continue"/>
                  <w:tcBorders>
                    <w:tl2br w:val="nil"/>
                    <w:tr2bl w:val="nil"/>
                  </w:tcBorders>
                  <w:noWrap w:val="0"/>
                  <w:vAlign w:val="center"/>
                </w:tcPr>
                <w:p w14:paraId="0C0CCBB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b w:val="0"/>
                      <w:bCs/>
                      <w:i w:val="0"/>
                      <w:iCs w:val="0"/>
                      <w:color w:val="000000"/>
                      <w:kern w:val="0"/>
                      <w:sz w:val="21"/>
                      <w:szCs w:val="21"/>
                      <w:u w:val="none"/>
                      <w:lang w:val="en-US" w:eastAsia="zh-CN" w:bidi="ar"/>
                    </w:rPr>
                  </w:pPr>
                </w:p>
              </w:tc>
              <w:tc>
                <w:tcPr>
                  <w:tcW w:w="431" w:type="pct"/>
                  <w:vMerge w:val="continue"/>
                  <w:tcBorders>
                    <w:tl2br w:val="nil"/>
                    <w:tr2bl w:val="nil"/>
                  </w:tcBorders>
                  <w:noWrap w:val="0"/>
                  <w:vAlign w:val="center"/>
                </w:tcPr>
                <w:p w14:paraId="5B14B89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i w:val="0"/>
                      <w:iCs w:val="0"/>
                      <w:color w:val="000000"/>
                      <w:kern w:val="0"/>
                      <w:sz w:val="21"/>
                      <w:szCs w:val="21"/>
                      <w:u w:val="none"/>
                      <w:lang w:val="en-US" w:eastAsia="zh-CN" w:bidi="ar"/>
                    </w:rPr>
                  </w:pPr>
                </w:p>
              </w:tc>
              <w:tc>
                <w:tcPr>
                  <w:tcW w:w="720" w:type="dxa"/>
                  <w:tcBorders>
                    <w:tl2br w:val="nil"/>
                    <w:tr2bl w:val="nil"/>
                  </w:tcBorders>
                  <w:noWrap w:val="0"/>
                  <w:vAlign w:val="center"/>
                </w:tcPr>
                <w:p w14:paraId="64E9B637">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140</w:t>
                  </w:r>
                </w:p>
              </w:tc>
              <w:tc>
                <w:tcPr>
                  <w:tcW w:w="765" w:type="dxa"/>
                  <w:tcBorders>
                    <w:tl2br w:val="nil"/>
                    <w:tr2bl w:val="nil"/>
                  </w:tcBorders>
                  <w:noWrap w:val="0"/>
                  <w:vAlign w:val="center"/>
                </w:tcPr>
                <w:p w14:paraId="51DF1E55">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0.067 </w:t>
                  </w:r>
                </w:p>
              </w:tc>
              <w:tc>
                <w:tcPr>
                  <w:tcW w:w="333" w:type="pct"/>
                  <w:vMerge w:val="continue"/>
                  <w:tcBorders>
                    <w:tl2br w:val="nil"/>
                    <w:tr2bl w:val="nil"/>
                  </w:tcBorders>
                  <w:noWrap w:val="0"/>
                  <w:vAlign w:val="center"/>
                </w:tcPr>
                <w:p w14:paraId="11A47C02">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195" w:type="pct"/>
                  <w:vMerge w:val="continue"/>
                  <w:tcBorders>
                    <w:tl2br w:val="nil"/>
                    <w:tr2bl w:val="nil"/>
                  </w:tcBorders>
                  <w:noWrap w:val="0"/>
                  <w:vAlign w:val="center"/>
                </w:tcPr>
                <w:p w14:paraId="7A23D7AB">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r>
            <w:tr w14:paraId="08A389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28" w:type="pct"/>
                  <w:vMerge w:val="continue"/>
                  <w:tcBorders>
                    <w:tl2br w:val="nil"/>
                    <w:tr2bl w:val="nil"/>
                  </w:tcBorders>
                  <w:noWrap w:val="0"/>
                  <w:vAlign w:val="center"/>
                </w:tcPr>
                <w:p w14:paraId="288C11DE">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333" w:type="pct"/>
                  <w:vMerge w:val="continue"/>
                  <w:tcBorders>
                    <w:tl2br w:val="nil"/>
                    <w:tr2bl w:val="nil"/>
                  </w:tcBorders>
                  <w:noWrap w:val="0"/>
                  <w:vAlign w:val="center"/>
                </w:tcPr>
                <w:p w14:paraId="117FC818">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17" w:type="pct"/>
                  <w:vMerge w:val="continue"/>
                  <w:tcBorders>
                    <w:tl2br w:val="nil"/>
                    <w:tr2bl w:val="nil"/>
                  </w:tcBorders>
                  <w:noWrap w:val="0"/>
                  <w:vAlign w:val="center"/>
                </w:tcPr>
                <w:p w14:paraId="2848F9E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526" w:type="pct"/>
                  <w:tcBorders>
                    <w:tl2br w:val="nil"/>
                    <w:tr2bl w:val="nil"/>
                  </w:tcBorders>
                  <w:noWrap w:val="0"/>
                  <w:vAlign w:val="center"/>
                </w:tcPr>
                <w:p w14:paraId="2935279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i w:val="0"/>
                      <w:iCs w:val="0"/>
                      <w:color w:val="000000"/>
                      <w:kern w:val="0"/>
                      <w:sz w:val="21"/>
                      <w:szCs w:val="21"/>
                      <w:u w:val="none"/>
                      <w:lang w:val="en-US" w:eastAsia="zh-CN" w:bidi="ar"/>
                    </w:rPr>
                    <w:t>SS</w:t>
                  </w:r>
                </w:p>
              </w:tc>
              <w:tc>
                <w:tcPr>
                  <w:tcW w:w="845" w:type="dxa"/>
                  <w:tcBorders>
                    <w:tl2br w:val="nil"/>
                    <w:tr2bl w:val="nil"/>
                  </w:tcBorders>
                  <w:noWrap w:val="0"/>
                  <w:vAlign w:val="center"/>
                </w:tcPr>
                <w:p w14:paraId="220D5AD4">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798" w:type="dxa"/>
                  <w:tcBorders>
                    <w:tl2br w:val="nil"/>
                    <w:tr2bl w:val="nil"/>
                  </w:tcBorders>
                  <w:noWrap w:val="0"/>
                  <w:vAlign w:val="center"/>
                </w:tcPr>
                <w:p w14:paraId="68E9CD9F">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0.096</w:t>
                  </w:r>
                </w:p>
              </w:tc>
              <w:tc>
                <w:tcPr>
                  <w:tcW w:w="559" w:type="pct"/>
                  <w:vMerge w:val="continue"/>
                  <w:tcBorders>
                    <w:tl2br w:val="nil"/>
                    <w:tr2bl w:val="nil"/>
                  </w:tcBorders>
                  <w:noWrap w:val="0"/>
                  <w:vAlign w:val="center"/>
                </w:tcPr>
                <w:p w14:paraId="1B0535A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p>
              </w:tc>
              <w:tc>
                <w:tcPr>
                  <w:tcW w:w="431" w:type="pct"/>
                  <w:vMerge w:val="continue"/>
                  <w:tcBorders>
                    <w:tl2br w:val="nil"/>
                    <w:tr2bl w:val="nil"/>
                  </w:tcBorders>
                  <w:noWrap w:val="0"/>
                  <w:vAlign w:val="center"/>
                </w:tcPr>
                <w:p w14:paraId="017E8C5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720" w:type="dxa"/>
                  <w:tcBorders>
                    <w:tl2br w:val="nil"/>
                    <w:tr2bl w:val="nil"/>
                  </w:tcBorders>
                  <w:noWrap w:val="0"/>
                  <w:vAlign w:val="center"/>
                </w:tcPr>
                <w:p w14:paraId="5FE514C3">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765" w:type="dxa"/>
                  <w:tcBorders>
                    <w:tl2br w:val="nil"/>
                    <w:tr2bl w:val="nil"/>
                  </w:tcBorders>
                  <w:noWrap w:val="0"/>
                  <w:vAlign w:val="center"/>
                </w:tcPr>
                <w:p w14:paraId="611AAEC0">
                  <w:pPr>
                    <w:keepNext w:val="0"/>
                    <w:keepLines w:val="0"/>
                    <w:widowControl/>
                    <w:suppressLineNumbers w:val="0"/>
                    <w:jc w:val="center"/>
                    <w:textAlignment w:val="center"/>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0.096</w:t>
                  </w:r>
                </w:p>
              </w:tc>
              <w:tc>
                <w:tcPr>
                  <w:tcW w:w="333" w:type="pct"/>
                  <w:vMerge w:val="continue"/>
                  <w:tcBorders>
                    <w:tl2br w:val="nil"/>
                    <w:tr2bl w:val="nil"/>
                  </w:tcBorders>
                  <w:noWrap w:val="0"/>
                  <w:vAlign w:val="center"/>
                </w:tcPr>
                <w:p w14:paraId="5EB5E1A4">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195" w:type="pct"/>
                  <w:vMerge w:val="continue"/>
                  <w:tcBorders>
                    <w:tl2br w:val="nil"/>
                    <w:tr2bl w:val="nil"/>
                  </w:tcBorders>
                  <w:noWrap w:val="0"/>
                  <w:vAlign w:val="center"/>
                </w:tcPr>
                <w:p w14:paraId="30624A46">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r>
            <w:tr w14:paraId="190829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28" w:type="pct"/>
                  <w:vMerge w:val="continue"/>
                  <w:tcBorders>
                    <w:tl2br w:val="nil"/>
                    <w:tr2bl w:val="nil"/>
                  </w:tcBorders>
                  <w:noWrap w:val="0"/>
                  <w:vAlign w:val="center"/>
                </w:tcPr>
                <w:p w14:paraId="0B32AD0D">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333" w:type="pct"/>
                  <w:vMerge w:val="continue"/>
                  <w:tcBorders>
                    <w:tl2br w:val="nil"/>
                    <w:tr2bl w:val="nil"/>
                  </w:tcBorders>
                  <w:noWrap w:val="0"/>
                  <w:vAlign w:val="center"/>
                </w:tcPr>
                <w:p w14:paraId="6EB32809">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17" w:type="pct"/>
                  <w:vMerge w:val="continue"/>
                  <w:tcBorders>
                    <w:tl2br w:val="nil"/>
                    <w:tr2bl w:val="nil"/>
                  </w:tcBorders>
                  <w:noWrap w:val="0"/>
                  <w:vAlign w:val="center"/>
                </w:tcPr>
                <w:p w14:paraId="76E09BC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526" w:type="pct"/>
                  <w:tcBorders>
                    <w:tl2br w:val="nil"/>
                    <w:tr2bl w:val="nil"/>
                  </w:tcBorders>
                  <w:noWrap w:val="0"/>
                  <w:vAlign w:val="center"/>
                </w:tcPr>
                <w:p w14:paraId="32A39B8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i w:val="0"/>
                      <w:iCs w:val="0"/>
                      <w:color w:val="000000"/>
                      <w:kern w:val="0"/>
                      <w:sz w:val="21"/>
                      <w:szCs w:val="21"/>
                      <w:u w:val="none"/>
                      <w:lang w:val="en-US" w:eastAsia="zh-CN" w:bidi="ar"/>
                    </w:rPr>
                    <w:t>NH</w:t>
                  </w:r>
                  <w:r>
                    <w:rPr>
                      <w:rFonts w:hint="default" w:ascii="Times New Roman" w:hAnsi="Times New Roman" w:eastAsia="宋体" w:cs="Times New Roman"/>
                      <w:b w:val="0"/>
                      <w:bCs/>
                      <w:i w:val="0"/>
                      <w:iCs w:val="0"/>
                      <w:color w:val="000000"/>
                      <w:kern w:val="0"/>
                      <w:sz w:val="21"/>
                      <w:szCs w:val="21"/>
                      <w:u w:val="none"/>
                      <w:vertAlign w:val="subscript"/>
                      <w:lang w:val="en-US" w:eastAsia="zh-CN" w:bidi="ar"/>
                    </w:rPr>
                    <w:t>3</w:t>
                  </w:r>
                  <w:r>
                    <w:rPr>
                      <w:rFonts w:hint="default" w:ascii="Times New Roman" w:hAnsi="Times New Roman" w:eastAsia="宋体" w:cs="Times New Roman"/>
                      <w:b w:val="0"/>
                      <w:bCs/>
                      <w:i w:val="0"/>
                      <w:iCs w:val="0"/>
                      <w:color w:val="000000"/>
                      <w:kern w:val="0"/>
                      <w:sz w:val="21"/>
                      <w:szCs w:val="21"/>
                      <w:u w:val="none"/>
                      <w:lang w:val="en-US" w:eastAsia="zh-CN" w:bidi="ar"/>
                    </w:rPr>
                    <w:t>-N</w:t>
                  </w:r>
                </w:p>
              </w:tc>
              <w:tc>
                <w:tcPr>
                  <w:tcW w:w="845" w:type="dxa"/>
                  <w:tcBorders>
                    <w:tl2br w:val="nil"/>
                    <w:tr2bl w:val="nil"/>
                  </w:tcBorders>
                  <w:noWrap w:val="0"/>
                  <w:vAlign w:val="center"/>
                </w:tcPr>
                <w:p w14:paraId="67429FB9">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cs="Times New Roman"/>
                      <w:i w:val="0"/>
                      <w:iCs w:val="0"/>
                      <w:color w:val="000000"/>
                      <w:kern w:val="0"/>
                      <w:sz w:val="21"/>
                      <w:szCs w:val="21"/>
                      <w:u w:val="none"/>
                      <w:lang w:val="en-US" w:eastAsia="zh-CN" w:bidi="ar"/>
                    </w:rPr>
                    <w:t>0</w:t>
                  </w:r>
                </w:p>
              </w:tc>
              <w:tc>
                <w:tcPr>
                  <w:tcW w:w="798" w:type="dxa"/>
                  <w:tcBorders>
                    <w:tl2br w:val="nil"/>
                    <w:tr2bl w:val="nil"/>
                  </w:tcBorders>
                  <w:noWrap w:val="0"/>
                  <w:vAlign w:val="center"/>
                </w:tcPr>
                <w:p w14:paraId="1C20C821">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559" w:type="pct"/>
                  <w:vMerge w:val="continue"/>
                  <w:tcBorders>
                    <w:tl2br w:val="nil"/>
                    <w:tr2bl w:val="nil"/>
                  </w:tcBorders>
                  <w:noWrap w:val="0"/>
                  <w:vAlign w:val="center"/>
                </w:tcPr>
                <w:p w14:paraId="156D86F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431" w:type="pct"/>
                  <w:vMerge w:val="continue"/>
                  <w:tcBorders>
                    <w:tl2br w:val="nil"/>
                    <w:tr2bl w:val="nil"/>
                  </w:tcBorders>
                  <w:noWrap w:val="0"/>
                  <w:vAlign w:val="center"/>
                </w:tcPr>
                <w:p w14:paraId="249F4A5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720" w:type="dxa"/>
                  <w:tcBorders>
                    <w:tl2br w:val="nil"/>
                    <w:tr2bl w:val="nil"/>
                  </w:tcBorders>
                  <w:noWrap w:val="0"/>
                  <w:vAlign w:val="center"/>
                </w:tcPr>
                <w:p w14:paraId="6B61B953">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w:t>
                  </w:r>
                  <w:r>
                    <w:rPr>
                      <w:rFonts w:hint="eastAsia" w:cs="Times New Roman"/>
                      <w:i w:val="0"/>
                      <w:iCs w:val="0"/>
                      <w:color w:val="000000"/>
                      <w:kern w:val="0"/>
                      <w:sz w:val="21"/>
                      <w:szCs w:val="21"/>
                      <w:u w:val="none"/>
                      <w:lang w:val="en-US" w:eastAsia="zh-CN" w:bidi="ar"/>
                    </w:rPr>
                    <w:t>0</w:t>
                  </w:r>
                </w:p>
              </w:tc>
              <w:tc>
                <w:tcPr>
                  <w:tcW w:w="765" w:type="dxa"/>
                  <w:tcBorders>
                    <w:tl2br w:val="nil"/>
                    <w:tr2bl w:val="nil"/>
                  </w:tcBorders>
                  <w:noWrap w:val="0"/>
                  <w:vAlign w:val="center"/>
                </w:tcPr>
                <w:p w14:paraId="6B3E2225">
                  <w:pPr>
                    <w:keepNext w:val="0"/>
                    <w:keepLines w:val="0"/>
                    <w:widowControl/>
                    <w:suppressLineNumbers w:val="0"/>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333" w:type="pct"/>
                  <w:vMerge w:val="continue"/>
                  <w:tcBorders>
                    <w:tl2br w:val="nil"/>
                    <w:tr2bl w:val="nil"/>
                  </w:tcBorders>
                  <w:noWrap w:val="0"/>
                  <w:vAlign w:val="center"/>
                </w:tcPr>
                <w:p w14:paraId="448E8995">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color w:val="auto"/>
                      <w:sz w:val="21"/>
                      <w:szCs w:val="21"/>
                      <w:lang w:val="en-US" w:eastAsia="zh-CN"/>
                    </w:rPr>
                  </w:pPr>
                </w:p>
              </w:tc>
              <w:tc>
                <w:tcPr>
                  <w:tcW w:w="195" w:type="pct"/>
                  <w:vMerge w:val="continue"/>
                  <w:tcBorders>
                    <w:tl2br w:val="nil"/>
                    <w:tr2bl w:val="nil"/>
                  </w:tcBorders>
                  <w:noWrap w:val="0"/>
                  <w:vAlign w:val="center"/>
                </w:tcPr>
                <w:p w14:paraId="1E1EAAF9">
                  <w:pPr>
                    <w:pStyle w:val="41"/>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p>
              </w:tc>
            </w:tr>
          </w:tbl>
          <w:p w14:paraId="012D9058">
            <w:pPr>
              <w:pStyle w:val="44"/>
              <w:keepNext/>
              <w:keepLines w:val="0"/>
              <w:pageBreakBefore w:val="0"/>
              <w:widowControl w:val="0"/>
              <w:kinsoku/>
              <w:wordWrap/>
              <w:overflowPunct/>
              <w:topLinePunct w:val="0"/>
              <w:autoSpaceDE/>
              <w:autoSpaceDN/>
              <w:bidi w:val="0"/>
              <w:adjustRightInd/>
              <w:snapToGrid w:val="0"/>
              <w:spacing w:before="157" w:beforeLines="50" w:line="240" w:lineRule="auto"/>
              <w:ind w:firstLine="0" w:firstLineChars="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9</w:t>
            </w:r>
            <w:r>
              <w:rPr>
                <w:rFonts w:hint="default" w:ascii="Times New Roman" w:hAnsi="Times New Roman" w:cs="Times New Roman"/>
                <w:color w:val="000000"/>
              </w:rPr>
              <w:fldChar w:fldCharType="end"/>
            </w:r>
            <w:r>
              <w:rPr>
                <w:rFonts w:hint="default" w:ascii="Times New Roman" w:hAnsi="Times New Roman" w:cs="Times New Roman"/>
                <w:color w:val="auto"/>
                <w:lang w:eastAsia="zh-CN"/>
              </w:rPr>
              <w:t xml:space="preserve">  项目废水排放口信息</w:t>
            </w:r>
          </w:p>
          <w:tbl>
            <w:tblPr>
              <w:tblStyle w:val="23"/>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875"/>
              <w:gridCol w:w="831"/>
              <w:gridCol w:w="1136"/>
              <w:gridCol w:w="834"/>
              <w:gridCol w:w="982"/>
              <w:gridCol w:w="1333"/>
              <w:gridCol w:w="897"/>
              <w:gridCol w:w="707"/>
              <w:gridCol w:w="741"/>
            </w:tblGrid>
            <w:tr w14:paraId="642BAC25">
              <w:tblPrEx>
                <w:tblCellMar>
                  <w:top w:w="0" w:type="dxa"/>
                  <w:left w:w="0" w:type="dxa"/>
                  <w:bottom w:w="0" w:type="dxa"/>
                  <w:right w:w="0" w:type="dxa"/>
                </w:tblCellMar>
              </w:tblPrEx>
              <w:trPr>
                <w:trHeight w:val="397" w:hRule="atLeast"/>
              </w:trPr>
              <w:tc>
                <w:tcPr>
                  <w:tcW w:w="1704" w:type="pct"/>
                  <w:gridSpan w:val="3"/>
                  <w:noWrap w:val="0"/>
                  <w:tcMar>
                    <w:top w:w="10" w:type="dxa"/>
                    <w:left w:w="10" w:type="dxa"/>
                    <w:right w:w="10" w:type="dxa"/>
                  </w:tcMar>
                  <w:vAlign w:val="center"/>
                </w:tcPr>
                <w:p w14:paraId="3379B4FB">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排放口信息</w:t>
                  </w:r>
                </w:p>
              </w:tc>
              <w:tc>
                <w:tcPr>
                  <w:tcW w:w="500" w:type="pct"/>
                  <w:vMerge w:val="restart"/>
                  <w:noWrap w:val="0"/>
                  <w:tcMar>
                    <w:top w:w="10" w:type="dxa"/>
                    <w:left w:w="10" w:type="dxa"/>
                    <w:right w:w="10" w:type="dxa"/>
                  </w:tcMar>
                  <w:vAlign w:val="center"/>
                </w:tcPr>
                <w:p w14:paraId="38061A6D">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废水量</w:t>
                  </w:r>
                </w:p>
                <w:p w14:paraId="291DA33E">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w:t>
                  </w:r>
                  <w:r>
                    <w:rPr>
                      <w:rFonts w:hint="default" w:ascii="Times New Roman" w:hAnsi="Times New Roman" w:eastAsia="宋体" w:cs="Times New Roman"/>
                      <w:b w:val="0"/>
                      <w:bCs/>
                      <w:color w:val="auto"/>
                      <w:sz w:val="21"/>
                      <w:szCs w:val="21"/>
                      <w:vertAlign w:val="superscript"/>
                      <w:lang w:val="en-US" w:eastAsia="zh-CN"/>
                    </w:rPr>
                    <w:t>3</w:t>
                  </w:r>
                  <w:r>
                    <w:rPr>
                      <w:rFonts w:hint="default" w:ascii="Times New Roman" w:hAnsi="Times New Roman" w:eastAsia="宋体" w:cs="Times New Roman"/>
                      <w:b w:val="0"/>
                      <w:bCs/>
                      <w:color w:val="auto"/>
                      <w:sz w:val="21"/>
                      <w:szCs w:val="21"/>
                      <w:lang w:val="en-US" w:eastAsia="zh-CN"/>
                    </w:rPr>
                    <w:t>/a)</w:t>
                  </w:r>
                </w:p>
              </w:tc>
              <w:tc>
                <w:tcPr>
                  <w:tcW w:w="589" w:type="pct"/>
                  <w:vMerge w:val="restart"/>
                  <w:noWrap w:val="0"/>
                  <w:tcMar>
                    <w:top w:w="10" w:type="dxa"/>
                    <w:left w:w="10" w:type="dxa"/>
                    <w:right w:w="10" w:type="dxa"/>
                  </w:tcMar>
                  <w:vAlign w:val="center"/>
                </w:tcPr>
                <w:p w14:paraId="151DAA9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污染</w:t>
                  </w:r>
                </w:p>
                <w:p w14:paraId="529647FD">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因子</w:t>
                  </w:r>
                </w:p>
              </w:tc>
              <w:tc>
                <w:tcPr>
                  <w:tcW w:w="1337" w:type="pct"/>
                  <w:gridSpan w:val="2"/>
                  <w:noWrap w:val="0"/>
                  <w:tcMar>
                    <w:top w:w="10" w:type="dxa"/>
                    <w:left w:w="10" w:type="dxa"/>
                    <w:right w:w="10" w:type="dxa"/>
                  </w:tcMar>
                  <w:vAlign w:val="center"/>
                </w:tcPr>
                <w:p w14:paraId="08003036">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排放标准</w:t>
                  </w:r>
                </w:p>
              </w:tc>
              <w:tc>
                <w:tcPr>
                  <w:tcW w:w="424" w:type="pct"/>
                  <w:vMerge w:val="restart"/>
                  <w:noWrap w:val="0"/>
                  <w:tcMar>
                    <w:top w:w="10" w:type="dxa"/>
                    <w:left w:w="10" w:type="dxa"/>
                    <w:right w:w="10" w:type="dxa"/>
                  </w:tcMar>
                  <w:vAlign w:val="center"/>
                </w:tcPr>
                <w:p w14:paraId="74A6873D">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监测</w:t>
                  </w:r>
                </w:p>
                <w:p w14:paraId="3C0FC57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要求</w:t>
                  </w:r>
                </w:p>
              </w:tc>
              <w:tc>
                <w:tcPr>
                  <w:tcW w:w="444" w:type="pct"/>
                  <w:vMerge w:val="restart"/>
                  <w:noWrap w:val="0"/>
                  <w:tcMar>
                    <w:top w:w="10" w:type="dxa"/>
                    <w:left w:w="10" w:type="dxa"/>
                    <w:right w:w="10" w:type="dxa"/>
                  </w:tcMar>
                  <w:vAlign w:val="center"/>
                </w:tcPr>
                <w:p w14:paraId="40EC5389">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备注</w:t>
                  </w:r>
                </w:p>
              </w:tc>
            </w:tr>
            <w:tr w14:paraId="27BECD9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25" w:type="pct"/>
                  <w:noWrap w:val="0"/>
                  <w:tcMar>
                    <w:top w:w="10" w:type="dxa"/>
                    <w:left w:w="10" w:type="dxa"/>
                    <w:right w:w="10" w:type="dxa"/>
                  </w:tcMar>
                  <w:vAlign w:val="center"/>
                </w:tcPr>
                <w:p w14:paraId="5BDFE524">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编号</w:t>
                  </w:r>
                </w:p>
              </w:tc>
              <w:tc>
                <w:tcPr>
                  <w:tcW w:w="498" w:type="pct"/>
                  <w:noWrap w:val="0"/>
                  <w:tcMar>
                    <w:top w:w="10" w:type="dxa"/>
                    <w:left w:w="10" w:type="dxa"/>
                    <w:right w:w="10" w:type="dxa"/>
                  </w:tcMar>
                  <w:vAlign w:val="center"/>
                </w:tcPr>
                <w:p w14:paraId="178DCAD5">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类别</w:t>
                  </w:r>
                </w:p>
              </w:tc>
              <w:tc>
                <w:tcPr>
                  <w:tcW w:w="680" w:type="pct"/>
                  <w:noWrap w:val="0"/>
                  <w:tcMar>
                    <w:top w:w="10" w:type="dxa"/>
                    <w:left w:w="10" w:type="dxa"/>
                    <w:right w:w="10" w:type="dxa"/>
                  </w:tcMar>
                  <w:vAlign w:val="center"/>
                </w:tcPr>
                <w:p w14:paraId="34581C7A">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排放去向</w:t>
                  </w:r>
                </w:p>
              </w:tc>
              <w:tc>
                <w:tcPr>
                  <w:tcW w:w="500" w:type="pct"/>
                  <w:vMerge w:val="continue"/>
                  <w:noWrap w:val="0"/>
                  <w:tcMar>
                    <w:top w:w="10" w:type="dxa"/>
                    <w:left w:w="10" w:type="dxa"/>
                    <w:right w:w="10" w:type="dxa"/>
                  </w:tcMar>
                  <w:vAlign w:val="center"/>
                </w:tcPr>
                <w:p w14:paraId="310A6255">
                  <w:pPr>
                    <w:pStyle w:val="41"/>
                    <w:rPr>
                      <w:rFonts w:hint="default" w:ascii="Times New Roman" w:hAnsi="Times New Roman" w:eastAsia="宋体" w:cs="Times New Roman"/>
                      <w:b w:val="0"/>
                      <w:bCs/>
                      <w:color w:val="auto"/>
                      <w:sz w:val="21"/>
                      <w:szCs w:val="21"/>
                      <w:lang w:val="en-US" w:eastAsia="zh-CN"/>
                    </w:rPr>
                  </w:pPr>
                </w:p>
              </w:tc>
              <w:tc>
                <w:tcPr>
                  <w:tcW w:w="589" w:type="pct"/>
                  <w:vMerge w:val="continue"/>
                  <w:noWrap w:val="0"/>
                  <w:tcMar>
                    <w:top w:w="10" w:type="dxa"/>
                    <w:left w:w="10" w:type="dxa"/>
                    <w:right w:w="10" w:type="dxa"/>
                  </w:tcMar>
                  <w:vAlign w:val="center"/>
                </w:tcPr>
                <w:p w14:paraId="768A0077">
                  <w:pPr>
                    <w:pStyle w:val="41"/>
                    <w:rPr>
                      <w:rFonts w:hint="default" w:ascii="Times New Roman" w:hAnsi="Times New Roman" w:eastAsia="宋体" w:cs="Times New Roman"/>
                      <w:b w:val="0"/>
                      <w:bCs/>
                      <w:color w:val="auto"/>
                      <w:sz w:val="21"/>
                      <w:szCs w:val="21"/>
                      <w:lang w:val="en-US" w:eastAsia="zh-CN"/>
                    </w:rPr>
                  </w:pPr>
                </w:p>
              </w:tc>
              <w:tc>
                <w:tcPr>
                  <w:tcW w:w="799" w:type="pct"/>
                  <w:noWrap w:val="0"/>
                  <w:tcMar>
                    <w:top w:w="10" w:type="dxa"/>
                    <w:left w:w="10" w:type="dxa"/>
                    <w:right w:w="10" w:type="dxa"/>
                  </w:tcMar>
                  <w:vAlign w:val="center"/>
                </w:tcPr>
                <w:p w14:paraId="5A25B7CB">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标准</w:t>
                  </w:r>
                </w:p>
                <w:p w14:paraId="08FAE697">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名称</w:t>
                  </w:r>
                </w:p>
              </w:tc>
              <w:tc>
                <w:tcPr>
                  <w:tcW w:w="538" w:type="pct"/>
                  <w:noWrap w:val="0"/>
                  <w:tcMar>
                    <w:top w:w="10" w:type="dxa"/>
                    <w:left w:w="10" w:type="dxa"/>
                    <w:right w:w="10" w:type="dxa"/>
                  </w:tcMar>
                  <w:vAlign w:val="center"/>
                </w:tcPr>
                <w:p w14:paraId="38302F72">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限值</w:t>
                  </w:r>
                </w:p>
                <w:p w14:paraId="46F8750D">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(mg/L)</w:t>
                  </w:r>
                </w:p>
              </w:tc>
              <w:tc>
                <w:tcPr>
                  <w:tcW w:w="424" w:type="pct"/>
                  <w:vMerge w:val="continue"/>
                  <w:noWrap w:val="0"/>
                  <w:tcMar>
                    <w:top w:w="10" w:type="dxa"/>
                    <w:left w:w="10" w:type="dxa"/>
                    <w:right w:w="10" w:type="dxa"/>
                  </w:tcMar>
                  <w:vAlign w:val="center"/>
                </w:tcPr>
                <w:p w14:paraId="62D325CB">
                  <w:pPr>
                    <w:pStyle w:val="41"/>
                    <w:rPr>
                      <w:rFonts w:hint="default" w:ascii="Times New Roman" w:hAnsi="Times New Roman" w:eastAsia="宋体" w:cs="Times New Roman"/>
                      <w:b w:val="0"/>
                      <w:bCs/>
                      <w:color w:val="auto"/>
                      <w:sz w:val="21"/>
                      <w:szCs w:val="21"/>
                      <w:lang w:val="en-US" w:eastAsia="zh-CN"/>
                    </w:rPr>
                  </w:pPr>
                </w:p>
              </w:tc>
              <w:tc>
                <w:tcPr>
                  <w:tcW w:w="444" w:type="pct"/>
                  <w:vMerge w:val="continue"/>
                  <w:noWrap w:val="0"/>
                  <w:tcMar>
                    <w:top w:w="10" w:type="dxa"/>
                    <w:left w:w="10" w:type="dxa"/>
                    <w:right w:w="10" w:type="dxa"/>
                  </w:tcMar>
                  <w:vAlign w:val="center"/>
                </w:tcPr>
                <w:p w14:paraId="16C1891E">
                  <w:pPr>
                    <w:pStyle w:val="41"/>
                    <w:rPr>
                      <w:rFonts w:hint="default" w:ascii="Times New Roman" w:hAnsi="Times New Roman" w:eastAsia="宋体" w:cs="Times New Roman"/>
                      <w:b w:val="0"/>
                      <w:bCs/>
                      <w:color w:val="auto"/>
                      <w:sz w:val="21"/>
                      <w:szCs w:val="21"/>
                      <w:lang w:val="en-US" w:eastAsia="zh-CN"/>
                    </w:rPr>
                  </w:pPr>
                </w:p>
              </w:tc>
            </w:tr>
            <w:tr w14:paraId="66677C2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25" w:type="pct"/>
                  <w:vMerge w:val="restart"/>
                  <w:noWrap w:val="0"/>
                  <w:tcMar>
                    <w:top w:w="10" w:type="dxa"/>
                    <w:left w:w="10" w:type="dxa"/>
                    <w:right w:w="10" w:type="dxa"/>
                  </w:tcMar>
                  <w:vAlign w:val="center"/>
                </w:tcPr>
                <w:p w14:paraId="30EF9262">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DW00</w:t>
                  </w:r>
                  <w:r>
                    <w:rPr>
                      <w:rFonts w:hint="eastAsia" w:ascii="Times New Roman" w:hAnsi="Times New Roman" w:eastAsia="宋体" w:cs="Times New Roman"/>
                      <w:b w:val="0"/>
                      <w:bCs/>
                      <w:color w:val="auto"/>
                      <w:sz w:val="21"/>
                      <w:szCs w:val="21"/>
                      <w:lang w:val="en-US" w:eastAsia="zh-CN"/>
                    </w:rPr>
                    <w:t>1</w:t>
                  </w:r>
                </w:p>
              </w:tc>
              <w:tc>
                <w:tcPr>
                  <w:tcW w:w="498" w:type="pct"/>
                  <w:vMerge w:val="restart"/>
                  <w:noWrap w:val="0"/>
                  <w:tcMar>
                    <w:top w:w="10" w:type="dxa"/>
                    <w:left w:w="10" w:type="dxa"/>
                    <w:right w:w="10" w:type="dxa"/>
                  </w:tcMar>
                  <w:vAlign w:val="center"/>
                </w:tcPr>
                <w:p w14:paraId="1305303A">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生活污水</w:t>
                  </w:r>
                </w:p>
              </w:tc>
              <w:tc>
                <w:tcPr>
                  <w:tcW w:w="680" w:type="pct"/>
                  <w:vMerge w:val="restart"/>
                  <w:noWrap w:val="0"/>
                  <w:tcMar>
                    <w:top w:w="10" w:type="dxa"/>
                    <w:left w:w="10" w:type="dxa"/>
                    <w:right w:w="10" w:type="dxa"/>
                  </w:tcMar>
                  <w:vAlign w:val="center"/>
                </w:tcPr>
                <w:p w14:paraId="093E2E23">
                  <w:pPr>
                    <w:pStyle w:val="41"/>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皖江江南新兴产业集中区第一污水处理厂</w:t>
                  </w:r>
                </w:p>
              </w:tc>
              <w:tc>
                <w:tcPr>
                  <w:tcW w:w="500" w:type="pct"/>
                  <w:vMerge w:val="restart"/>
                  <w:noWrap w:val="0"/>
                  <w:tcMar>
                    <w:top w:w="10" w:type="dxa"/>
                    <w:left w:w="10" w:type="dxa"/>
                    <w:right w:w="10" w:type="dxa"/>
                  </w:tcMar>
                  <w:vAlign w:val="center"/>
                </w:tcPr>
                <w:p w14:paraId="2DF28DA2">
                  <w:pPr>
                    <w:pStyle w:val="41"/>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480</w:t>
                  </w:r>
                </w:p>
              </w:tc>
              <w:tc>
                <w:tcPr>
                  <w:tcW w:w="589" w:type="pct"/>
                  <w:noWrap w:val="0"/>
                  <w:tcMar>
                    <w:top w:w="10" w:type="dxa"/>
                    <w:left w:w="10" w:type="dxa"/>
                    <w:right w:w="10" w:type="dxa"/>
                  </w:tcMar>
                  <w:vAlign w:val="center"/>
                </w:tcPr>
                <w:p w14:paraId="7279382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i w:val="0"/>
                      <w:iCs w:val="0"/>
                      <w:color w:val="auto"/>
                      <w:kern w:val="0"/>
                      <w:sz w:val="21"/>
                      <w:szCs w:val="21"/>
                      <w:u w:val="none"/>
                      <w:lang w:val="en-US" w:eastAsia="zh-CN" w:bidi="ar"/>
                    </w:rPr>
                    <w:t>COD</w:t>
                  </w:r>
                </w:p>
              </w:tc>
              <w:tc>
                <w:tcPr>
                  <w:tcW w:w="799" w:type="pct"/>
                  <w:vMerge w:val="restart"/>
                  <w:noWrap w:val="0"/>
                  <w:tcMar>
                    <w:top w:w="10" w:type="dxa"/>
                    <w:left w:w="10" w:type="dxa"/>
                    <w:right w:w="10" w:type="dxa"/>
                  </w:tcMar>
                  <w:vAlign w:val="center"/>
                </w:tcPr>
                <w:p w14:paraId="657AB734">
                  <w:pPr>
                    <w:pStyle w:val="41"/>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皖江江南新兴产业集中区第一污水处理厂</w:t>
                  </w:r>
                  <w:r>
                    <w:rPr>
                      <w:rFonts w:hint="default" w:ascii="Times New Roman" w:hAnsi="Times New Roman" w:eastAsia="宋体" w:cs="Times New Roman"/>
                      <w:b w:val="0"/>
                      <w:bCs/>
                      <w:color w:val="auto"/>
                      <w:sz w:val="21"/>
                      <w:szCs w:val="21"/>
                      <w:lang w:val="en-US" w:eastAsia="zh-CN"/>
                    </w:rPr>
                    <w:t>接管限值</w:t>
                  </w:r>
                </w:p>
              </w:tc>
              <w:tc>
                <w:tcPr>
                  <w:tcW w:w="538" w:type="pct"/>
                  <w:noWrap w:val="0"/>
                  <w:tcMar>
                    <w:top w:w="10" w:type="dxa"/>
                    <w:left w:w="10" w:type="dxa"/>
                    <w:right w:w="10" w:type="dxa"/>
                  </w:tcMar>
                  <w:vAlign w:val="center"/>
                </w:tcPr>
                <w:p w14:paraId="2FE6217E">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r>
                    <w:rPr>
                      <w:rFonts w:hint="eastAsia" w:cs="Times New Roman"/>
                      <w:b w:val="0"/>
                      <w:bCs/>
                      <w:color w:val="auto"/>
                      <w:sz w:val="21"/>
                      <w:szCs w:val="21"/>
                      <w:lang w:val="en-US" w:eastAsia="zh-CN"/>
                    </w:rPr>
                    <w:t>5</w:t>
                  </w:r>
                  <w:r>
                    <w:rPr>
                      <w:rFonts w:hint="default" w:ascii="Times New Roman" w:hAnsi="Times New Roman" w:eastAsia="宋体" w:cs="Times New Roman"/>
                      <w:b w:val="0"/>
                      <w:bCs/>
                      <w:color w:val="auto"/>
                      <w:sz w:val="21"/>
                      <w:szCs w:val="21"/>
                      <w:lang w:val="en-US" w:eastAsia="zh-CN"/>
                    </w:rPr>
                    <w:t>00</w:t>
                  </w:r>
                </w:p>
              </w:tc>
              <w:tc>
                <w:tcPr>
                  <w:tcW w:w="424" w:type="pct"/>
                  <w:noWrap w:val="0"/>
                  <w:tcMar>
                    <w:top w:w="10" w:type="dxa"/>
                    <w:left w:w="10" w:type="dxa"/>
                    <w:right w:w="10" w:type="dxa"/>
                  </w:tcMar>
                  <w:vAlign w:val="center"/>
                </w:tcPr>
                <w:p w14:paraId="2EBE926E">
                  <w:pPr>
                    <w:spacing w:line="240" w:lineRule="auto"/>
                    <w:jc w:val="center"/>
                    <w:rPr>
                      <w:rFonts w:hint="default" w:ascii="Times New Roman" w:hAnsi="Times New Roman" w:eastAsia="宋体" w:cs="Times New Roman"/>
                      <w:b w:val="0"/>
                      <w:bCs/>
                      <w:color w:val="auto"/>
                      <w:sz w:val="21"/>
                      <w:szCs w:val="21"/>
                      <w:lang w:val="en-US" w:eastAsia="zh-CN"/>
                    </w:rPr>
                  </w:pPr>
                </w:p>
              </w:tc>
              <w:tc>
                <w:tcPr>
                  <w:tcW w:w="444" w:type="pct"/>
                  <w:noWrap w:val="0"/>
                  <w:tcMar>
                    <w:top w:w="10" w:type="dxa"/>
                    <w:left w:w="10" w:type="dxa"/>
                    <w:right w:w="10" w:type="dxa"/>
                  </w:tcMar>
                  <w:vAlign w:val="center"/>
                </w:tcPr>
                <w:p w14:paraId="52CFD587">
                  <w:pPr>
                    <w:pStyle w:val="41"/>
                    <w:rPr>
                      <w:rFonts w:hint="default" w:ascii="Times New Roman" w:hAnsi="Times New Roman" w:eastAsia="宋体" w:cs="Times New Roman"/>
                      <w:b w:val="0"/>
                      <w:bCs/>
                      <w:color w:val="auto"/>
                      <w:sz w:val="21"/>
                      <w:szCs w:val="21"/>
                      <w:lang w:val="en-US" w:eastAsia="zh-CN"/>
                    </w:rPr>
                  </w:pPr>
                </w:p>
              </w:tc>
            </w:tr>
            <w:tr w14:paraId="0557B17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25" w:type="pct"/>
                  <w:vMerge w:val="continue"/>
                  <w:noWrap w:val="0"/>
                  <w:tcMar>
                    <w:top w:w="10" w:type="dxa"/>
                    <w:left w:w="10" w:type="dxa"/>
                    <w:right w:w="10" w:type="dxa"/>
                  </w:tcMar>
                  <w:vAlign w:val="center"/>
                </w:tcPr>
                <w:p w14:paraId="3CCE9F63">
                  <w:pPr>
                    <w:pStyle w:val="41"/>
                    <w:rPr>
                      <w:rFonts w:hint="default" w:ascii="Times New Roman" w:hAnsi="Times New Roman" w:eastAsia="宋体" w:cs="Times New Roman"/>
                      <w:b w:val="0"/>
                      <w:bCs/>
                      <w:color w:val="auto"/>
                      <w:sz w:val="21"/>
                      <w:szCs w:val="21"/>
                      <w:lang w:val="en-US" w:eastAsia="zh-CN"/>
                    </w:rPr>
                  </w:pPr>
                </w:p>
              </w:tc>
              <w:tc>
                <w:tcPr>
                  <w:tcW w:w="498" w:type="pct"/>
                  <w:vMerge w:val="continue"/>
                  <w:noWrap w:val="0"/>
                  <w:tcMar>
                    <w:top w:w="10" w:type="dxa"/>
                    <w:left w:w="10" w:type="dxa"/>
                    <w:right w:w="10" w:type="dxa"/>
                  </w:tcMar>
                  <w:vAlign w:val="center"/>
                </w:tcPr>
                <w:p w14:paraId="7F03B00B">
                  <w:pPr>
                    <w:pStyle w:val="41"/>
                    <w:rPr>
                      <w:rFonts w:hint="default" w:ascii="Times New Roman" w:hAnsi="Times New Roman" w:eastAsia="宋体" w:cs="Times New Roman"/>
                      <w:b w:val="0"/>
                      <w:bCs/>
                      <w:color w:val="auto"/>
                      <w:sz w:val="21"/>
                      <w:szCs w:val="21"/>
                      <w:lang w:val="en-US" w:eastAsia="zh-CN"/>
                    </w:rPr>
                  </w:pPr>
                </w:p>
              </w:tc>
              <w:tc>
                <w:tcPr>
                  <w:tcW w:w="680" w:type="pct"/>
                  <w:vMerge w:val="continue"/>
                  <w:noWrap w:val="0"/>
                  <w:tcMar>
                    <w:top w:w="10" w:type="dxa"/>
                    <w:left w:w="10" w:type="dxa"/>
                    <w:right w:w="10" w:type="dxa"/>
                  </w:tcMar>
                  <w:vAlign w:val="center"/>
                </w:tcPr>
                <w:p w14:paraId="33F29F80">
                  <w:pPr>
                    <w:pStyle w:val="41"/>
                    <w:rPr>
                      <w:rFonts w:hint="default" w:ascii="Times New Roman" w:hAnsi="Times New Roman" w:eastAsia="宋体" w:cs="Times New Roman"/>
                      <w:b w:val="0"/>
                      <w:bCs/>
                      <w:color w:val="auto"/>
                      <w:sz w:val="21"/>
                      <w:szCs w:val="21"/>
                      <w:lang w:val="en-US" w:eastAsia="zh-CN"/>
                    </w:rPr>
                  </w:pPr>
                </w:p>
              </w:tc>
              <w:tc>
                <w:tcPr>
                  <w:tcW w:w="500" w:type="pct"/>
                  <w:vMerge w:val="continue"/>
                  <w:noWrap w:val="0"/>
                  <w:tcMar>
                    <w:top w:w="10" w:type="dxa"/>
                    <w:left w:w="10" w:type="dxa"/>
                    <w:right w:w="10" w:type="dxa"/>
                  </w:tcMar>
                  <w:vAlign w:val="center"/>
                </w:tcPr>
                <w:p w14:paraId="6C87D19C">
                  <w:pPr>
                    <w:pStyle w:val="41"/>
                    <w:rPr>
                      <w:rFonts w:hint="default" w:ascii="Times New Roman" w:hAnsi="Times New Roman" w:eastAsia="宋体" w:cs="Times New Roman"/>
                      <w:b w:val="0"/>
                      <w:bCs/>
                      <w:color w:val="auto"/>
                      <w:sz w:val="21"/>
                      <w:szCs w:val="21"/>
                      <w:lang w:val="en-US" w:eastAsia="zh-CN"/>
                    </w:rPr>
                  </w:pPr>
                </w:p>
              </w:tc>
              <w:tc>
                <w:tcPr>
                  <w:tcW w:w="589" w:type="pct"/>
                  <w:noWrap w:val="0"/>
                  <w:tcMar>
                    <w:top w:w="10" w:type="dxa"/>
                    <w:left w:w="10" w:type="dxa"/>
                    <w:right w:w="10" w:type="dxa"/>
                  </w:tcMar>
                  <w:vAlign w:val="center"/>
                </w:tcPr>
                <w:p w14:paraId="18B798A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BOD</w:t>
                  </w:r>
                  <w:r>
                    <w:rPr>
                      <w:rFonts w:hint="eastAsia" w:ascii="Times New Roman" w:hAnsi="Times New Roman" w:eastAsia="宋体" w:cs="Times New Roman"/>
                      <w:b w:val="0"/>
                      <w:bCs/>
                      <w:color w:val="auto"/>
                      <w:sz w:val="21"/>
                      <w:szCs w:val="21"/>
                      <w:vertAlign w:val="subscript"/>
                      <w:lang w:val="en-US" w:eastAsia="zh-CN"/>
                    </w:rPr>
                    <w:t>5</w:t>
                  </w:r>
                </w:p>
              </w:tc>
              <w:tc>
                <w:tcPr>
                  <w:tcW w:w="799" w:type="pct"/>
                  <w:vMerge w:val="continue"/>
                  <w:noWrap w:val="0"/>
                  <w:tcMar>
                    <w:top w:w="10" w:type="dxa"/>
                    <w:left w:w="10" w:type="dxa"/>
                    <w:right w:w="10" w:type="dxa"/>
                  </w:tcMar>
                  <w:vAlign w:val="center"/>
                </w:tcPr>
                <w:p w14:paraId="3B0C1B40">
                  <w:pPr>
                    <w:pStyle w:val="41"/>
                    <w:rPr>
                      <w:rFonts w:hint="default" w:ascii="Times New Roman" w:hAnsi="Times New Roman" w:eastAsia="宋体" w:cs="Times New Roman"/>
                      <w:b w:val="0"/>
                      <w:bCs/>
                      <w:color w:val="auto"/>
                      <w:sz w:val="21"/>
                      <w:szCs w:val="21"/>
                      <w:lang w:val="en-US" w:eastAsia="zh-CN"/>
                    </w:rPr>
                  </w:pPr>
                </w:p>
              </w:tc>
              <w:tc>
                <w:tcPr>
                  <w:tcW w:w="538" w:type="pct"/>
                  <w:noWrap w:val="0"/>
                  <w:tcMar>
                    <w:top w:w="10" w:type="dxa"/>
                    <w:left w:w="10" w:type="dxa"/>
                    <w:right w:w="10" w:type="dxa"/>
                  </w:tcMar>
                  <w:vAlign w:val="center"/>
                </w:tcPr>
                <w:p w14:paraId="1A10BEDE">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w:t>
                  </w:r>
                  <w:r>
                    <w:rPr>
                      <w:rFonts w:hint="eastAsia" w:cs="Times New Roman"/>
                      <w:b w:val="0"/>
                      <w:bCs/>
                      <w:color w:val="auto"/>
                      <w:sz w:val="21"/>
                      <w:szCs w:val="21"/>
                      <w:lang w:val="en-US" w:eastAsia="zh-CN"/>
                    </w:rPr>
                    <w:t>5</w:t>
                  </w:r>
                  <w:r>
                    <w:rPr>
                      <w:rFonts w:hint="eastAsia" w:ascii="Times New Roman" w:hAnsi="Times New Roman" w:eastAsia="宋体" w:cs="Times New Roman"/>
                      <w:b w:val="0"/>
                      <w:bCs/>
                      <w:color w:val="auto"/>
                      <w:sz w:val="21"/>
                      <w:szCs w:val="21"/>
                      <w:lang w:val="en-US" w:eastAsia="zh-CN"/>
                    </w:rPr>
                    <w:t>0</w:t>
                  </w:r>
                </w:p>
              </w:tc>
              <w:tc>
                <w:tcPr>
                  <w:tcW w:w="424" w:type="pct"/>
                  <w:noWrap w:val="0"/>
                  <w:tcMar>
                    <w:top w:w="10" w:type="dxa"/>
                    <w:left w:w="10" w:type="dxa"/>
                    <w:right w:w="10" w:type="dxa"/>
                  </w:tcMar>
                  <w:vAlign w:val="center"/>
                </w:tcPr>
                <w:p w14:paraId="14E618C4">
                  <w:pPr>
                    <w:spacing w:line="240" w:lineRule="auto"/>
                    <w:jc w:val="center"/>
                    <w:rPr>
                      <w:rFonts w:hint="default" w:ascii="Times New Roman" w:hAnsi="Times New Roman" w:eastAsia="宋体" w:cs="Times New Roman"/>
                      <w:b w:val="0"/>
                      <w:bCs/>
                      <w:color w:val="auto"/>
                      <w:sz w:val="21"/>
                      <w:szCs w:val="21"/>
                      <w:lang w:val="en-US" w:eastAsia="zh-CN"/>
                    </w:rPr>
                  </w:pPr>
                </w:p>
              </w:tc>
              <w:tc>
                <w:tcPr>
                  <w:tcW w:w="444" w:type="pct"/>
                  <w:noWrap w:val="0"/>
                  <w:tcMar>
                    <w:top w:w="10" w:type="dxa"/>
                    <w:left w:w="10" w:type="dxa"/>
                    <w:right w:w="10" w:type="dxa"/>
                  </w:tcMar>
                  <w:vAlign w:val="center"/>
                </w:tcPr>
                <w:p w14:paraId="0331FF19">
                  <w:pPr>
                    <w:pStyle w:val="41"/>
                    <w:rPr>
                      <w:rFonts w:hint="default" w:ascii="Times New Roman" w:hAnsi="Times New Roman" w:eastAsia="宋体" w:cs="Times New Roman"/>
                      <w:b w:val="0"/>
                      <w:bCs/>
                      <w:color w:val="auto"/>
                      <w:sz w:val="21"/>
                      <w:szCs w:val="21"/>
                      <w:lang w:val="en-US" w:eastAsia="zh-CN"/>
                    </w:rPr>
                  </w:pPr>
                </w:p>
              </w:tc>
            </w:tr>
            <w:tr w14:paraId="7B75872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25" w:type="pct"/>
                  <w:vMerge w:val="continue"/>
                  <w:noWrap w:val="0"/>
                  <w:tcMar>
                    <w:top w:w="10" w:type="dxa"/>
                    <w:left w:w="10" w:type="dxa"/>
                    <w:right w:w="10" w:type="dxa"/>
                  </w:tcMar>
                  <w:vAlign w:val="center"/>
                </w:tcPr>
                <w:p w14:paraId="5C9F21DB">
                  <w:pPr>
                    <w:pStyle w:val="41"/>
                    <w:rPr>
                      <w:rFonts w:hint="default" w:ascii="Times New Roman" w:hAnsi="Times New Roman" w:eastAsia="宋体" w:cs="Times New Roman"/>
                      <w:b w:val="0"/>
                      <w:bCs/>
                      <w:color w:val="auto"/>
                      <w:sz w:val="21"/>
                      <w:szCs w:val="21"/>
                      <w:lang w:val="en-US" w:eastAsia="zh-CN"/>
                    </w:rPr>
                  </w:pPr>
                </w:p>
              </w:tc>
              <w:tc>
                <w:tcPr>
                  <w:tcW w:w="498" w:type="pct"/>
                  <w:vMerge w:val="continue"/>
                  <w:noWrap w:val="0"/>
                  <w:tcMar>
                    <w:top w:w="10" w:type="dxa"/>
                    <w:left w:w="10" w:type="dxa"/>
                    <w:right w:w="10" w:type="dxa"/>
                  </w:tcMar>
                  <w:vAlign w:val="center"/>
                </w:tcPr>
                <w:p w14:paraId="7A6D9AF8">
                  <w:pPr>
                    <w:pStyle w:val="41"/>
                    <w:rPr>
                      <w:rFonts w:hint="default" w:ascii="Times New Roman" w:hAnsi="Times New Roman" w:eastAsia="宋体" w:cs="Times New Roman"/>
                      <w:b w:val="0"/>
                      <w:bCs/>
                      <w:color w:val="auto"/>
                      <w:sz w:val="21"/>
                      <w:szCs w:val="21"/>
                      <w:lang w:val="en-US" w:eastAsia="zh-CN"/>
                    </w:rPr>
                  </w:pPr>
                </w:p>
              </w:tc>
              <w:tc>
                <w:tcPr>
                  <w:tcW w:w="680" w:type="pct"/>
                  <w:vMerge w:val="continue"/>
                  <w:noWrap w:val="0"/>
                  <w:tcMar>
                    <w:top w:w="10" w:type="dxa"/>
                    <w:left w:w="10" w:type="dxa"/>
                    <w:right w:w="10" w:type="dxa"/>
                  </w:tcMar>
                  <w:vAlign w:val="center"/>
                </w:tcPr>
                <w:p w14:paraId="7873547E">
                  <w:pPr>
                    <w:pStyle w:val="41"/>
                    <w:rPr>
                      <w:rFonts w:hint="default" w:ascii="Times New Roman" w:hAnsi="Times New Roman" w:eastAsia="宋体" w:cs="Times New Roman"/>
                      <w:b w:val="0"/>
                      <w:bCs/>
                      <w:color w:val="auto"/>
                      <w:sz w:val="21"/>
                      <w:szCs w:val="21"/>
                      <w:lang w:val="en-US" w:eastAsia="zh-CN"/>
                    </w:rPr>
                  </w:pPr>
                </w:p>
              </w:tc>
              <w:tc>
                <w:tcPr>
                  <w:tcW w:w="500" w:type="pct"/>
                  <w:vMerge w:val="continue"/>
                  <w:noWrap w:val="0"/>
                  <w:tcMar>
                    <w:top w:w="10" w:type="dxa"/>
                    <w:left w:w="10" w:type="dxa"/>
                    <w:right w:w="10" w:type="dxa"/>
                  </w:tcMar>
                  <w:vAlign w:val="center"/>
                </w:tcPr>
                <w:p w14:paraId="7C34A377">
                  <w:pPr>
                    <w:pStyle w:val="41"/>
                    <w:rPr>
                      <w:rFonts w:hint="default" w:ascii="Times New Roman" w:hAnsi="Times New Roman" w:eastAsia="宋体" w:cs="Times New Roman"/>
                      <w:b w:val="0"/>
                      <w:bCs/>
                      <w:color w:val="auto"/>
                      <w:sz w:val="21"/>
                      <w:szCs w:val="21"/>
                      <w:lang w:val="en-US" w:eastAsia="zh-CN"/>
                    </w:rPr>
                  </w:pPr>
                </w:p>
              </w:tc>
              <w:tc>
                <w:tcPr>
                  <w:tcW w:w="589" w:type="pct"/>
                  <w:noWrap w:val="0"/>
                  <w:tcMar>
                    <w:top w:w="10" w:type="dxa"/>
                    <w:left w:w="10" w:type="dxa"/>
                    <w:right w:w="10" w:type="dxa"/>
                  </w:tcMar>
                  <w:vAlign w:val="center"/>
                </w:tcPr>
                <w:p w14:paraId="402501F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b w:val="0"/>
                      <w:bCs/>
                      <w:i w:val="0"/>
                      <w:iCs w:val="0"/>
                      <w:color w:val="auto"/>
                      <w:kern w:val="0"/>
                      <w:sz w:val="21"/>
                      <w:szCs w:val="21"/>
                      <w:u w:val="none"/>
                      <w:lang w:val="en-US" w:eastAsia="zh-CN" w:bidi="ar"/>
                    </w:rPr>
                    <w:t>NH</w:t>
                  </w:r>
                  <w:r>
                    <w:rPr>
                      <w:rFonts w:hint="default" w:ascii="Times New Roman" w:hAnsi="Times New Roman" w:eastAsia="宋体" w:cs="Times New Roman"/>
                      <w:b w:val="0"/>
                      <w:bCs/>
                      <w:i w:val="0"/>
                      <w:iCs w:val="0"/>
                      <w:color w:val="auto"/>
                      <w:kern w:val="0"/>
                      <w:sz w:val="21"/>
                      <w:szCs w:val="21"/>
                      <w:u w:val="none"/>
                      <w:vertAlign w:val="subscript"/>
                      <w:lang w:val="en-US" w:eastAsia="zh-CN" w:bidi="ar"/>
                    </w:rPr>
                    <w:t>3</w:t>
                  </w:r>
                  <w:r>
                    <w:rPr>
                      <w:rFonts w:hint="default" w:ascii="Times New Roman" w:hAnsi="Times New Roman" w:eastAsia="宋体" w:cs="Times New Roman"/>
                      <w:b w:val="0"/>
                      <w:bCs/>
                      <w:i w:val="0"/>
                      <w:iCs w:val="0"/>
                      <w:color w:val="auto"/>
                      <w:kern w:val="0"/>
                      <w:sz w:val="21"/>
                      <w:szCs w:val="21"/>
                      <w:u w:val="none"/>
                      <w:lang w:val="en-US" w:eastAsia="zh-CN" w:bidi="ar"/>
                    </w:rPr>
                    <w:t>-N</w:t>
                  </w:r>
                </w:p>
              </w:tc>
              <w:tc>
                <w:tcPr>
                  <w:tcW w:w="799" w:type="pct"/>
                  <w:vMerge w:val="continue"/>
                  <w:noWrap w:val="0"/>
                  <w:tcMar>
                    <w:top w:w="10" w:type="dxa"/>
                    <w:left w:w="10" w:type="dxa"/>
                    <w:right w:w="10" w:type="dxa"/>
                  </w:tcMar>
                  <w:vAlign w:val="center"/>
                </w:tcPr>
                <w:p w14:paraId="07F69BAF">
                  <w:pPr>
                    <w:pStyle w:val="41"/>
                    <w:rPr>
                      <w:rFonts w:hint="default" w:ascii="Times New Roman" w:hAnsi="Times New Roman" w:eastAsia="宋体" w:cs="Times New Roman"/>
                      <w:b w:val="0"/>
                      <w:bCs/>
                      <w:color w:val="auto"/>
                      <w:sz w:val="21"/>
                      <w:szCs w:val="21"/>
                      <w:lang w:val="en-US" w:eastAsia="zh-CN"/>
                    </w:rPr>
                  </w:pPr>
                </w:p>
              </w:tc>
              <w:tc>
                <w:tcPr>
                  <w:tcW w:w="538" w:type="pct"/>
                  <w:noWrap w:val="0"/>
                  <w:tcMar>
                    <w:top w:w="10" w:type="dxa"/>
                    <w:left w:w="10" w:type="dxa"/>
                    <w:right w:w="10" w:type="dxa"/>
                  </w:tcMar>
                  <w:vAlign w:val="center"/>
                </w:tcPr>
                <w:p w14:paraId="779A91ED">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≤35</w:t>
                  </w:r>
                </w:p>
              </w:tc>
              <w:tc>
                <w:tcPr>
                  <w:tcW w:w="424" w:type="pct"/>
                  <w:noWrap w:val="0"/>
                  <w:tcMar>
                    <w:top w:w="10" w:type="dxa"/>
                    <w:left w:w="10" w:type="dxa"/>
                    <w:right w:w="10" w:type="dxa"/>
                  </w:tcMar>
                  <w:vAlign w:val="center"/>
                </w:tcPr>
                <w:p w14:paraId="55B8A03D">
                  <w:pPr>
                    <w:spacing w:line="240" w:lineRule="auto"/>
                    <w:jc w:val="center"/>
                    <w:rPr>
                      <w:rFonts w:hint="default" w:ascii="Times New Roman" w:hAnsi="Times New Roman" w:eastAsia="宋体" w:cs="Times New Roman"/>
                      <w:b w:val="0"/>
                      <w:bCs/>
                      <w:color w:val="auto"/>
                      <w:sz w:val="21"/>
                      <w:szCs w:val="21"/>
                      <w:lang w:val="en-US" w:eastAsia="zh-CN"/>
                    </w:rPr>
                  </w:pPr>
                </w:p>
              </w:tc>
              <w:tc>
                <w:tcPr>
                  <w:tcW w:w="444" w:type="pct"/>
                  <w:noWrap w:val="0"/>
                  <w:tcMar>
                    <w:top w:w="10" w:type="dxa"/>
                    <w:left w:w="10" w:type="dxa"/>
                    <w:right w:w="10" w:type="dxa"/>
                  </w:tcMar>
                  <w:vAlign w:val="center"/>
                </w:tcPr>
                <w:p w14:paraId="271D42B7">
                  <w:pPr>
                    <w:pStyle w:val="41"/>
                    <w:rPr>
                      <w:rFonts w:hint="default" w:ascii="Times New Roman" w:hAnsi="Times New Roman" w:eastAsia="宋体" w:cs="Times New Roman"/>
                      <w:b w:val="0"/>
                      <w:bCs/>
                      <w:color w:val="auto"/>
                      <w:sz w:val="21"/>
                      <w:szCs w:val="21"/>
                      <w:lang w:val="en-US" w:eastAsia="zh-CN"/>
                    </w:rPr>
                  </w:pPr>
                </w:p>
              </w:tc>
            </w:tr>
            <w:tr w14:paraId="2B9920D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25" w:type="pct"/>
                  <w:vMerge w:val="continue"/>
                  <w:noWrap w:val="0"/>
                  <w:tcMar>
                    <w:top w:w="10" w:type="dxa"/>
                    <w:left w:w="10" w:type="dxa"/>
                    <w:right w:w="10" w:type="dxa"/>
                  </w:tcMar>
                  <w:vAlign w:val="center"/>
                </w:tcPr>
                <w:p w14:paraId="5B9DC1DB">
                  <w:pPr>
                    <w:pStyle w:val="41"/>
                    <w:rPr>
                      <w:rFonts w:hint="default" w:ascii="Times New Roman" w:hAnsi="Times New Roman" w:eastAsia="宋体" w:cs="Times New Roman"/>
                      <w:b w:val="0"/>
                      <w:bCs/>
                      <w:color w:val="auto"/>
                      <w:sz w:val="21"/>
                      <w:szCs w:val="21"/>
                      <w:lang w:val="en-US" w:eastAsia="zh-CN"/>
                    </w:rPr>
                  </w:pPr>
                </w:p>
              </w:tc>
              <w:tc>
                <w:tcPr>
                  <w:tcW w:w="498" w:type="pct"/>
                  <w:vMerge w:val="continue"/>
                  <w:noWrap w:val="0"/>
                  <w:tcMar>
                    <w:top w:w="10" w:type="dxa"/>
                    <w:left w:w="10" w:type="dxa"/>
                    <w:right w:w="10" w:type="dxa"/>
                  </w:tcMar>
                  <w:vAlign w:val="center"/>
                </w:tcPr>
                <w:p w14:paraId="372A3556">
                  <w:pPr>
                    <w:pStyle w:val="41"/>
                    <w:rPr>
                      <w:rFonts w:hint="default" w:ascii="Times New Roman" w:hAnsi="Times New Roman" w:eastAsia="宋体" w:cs="Times New Roman"/>
                      <w:b w:val="0"/>
                      <w:bCs/>
                      <w:color w:val="auto"/>
                      <w:sz w:val="21"/>
                      <w:szCs w:val="21"/>
                      <w:lang w:val="en-US" w:eastAsia="zh-CN"/>
                    </w:rPr>
                  </w:pPr>
                </w:p>
              </w:tc>
              <w:tc>
                <w:tcPr>
                  <w:tcW w:w="680" w:type="pct"/>
                  <w:vMerge w:val="continue"/>
                  <w:noWrap w:val="0"/>
                  <w:tcMar>
                    <w:top w:w="10" w:type="dxa"/>
                    <w:left w:w="10" w:type="dxa"/>
                    <w:right w:w="10" w:type="dxa"/>
                  </w:tcMar>
                  <w:vAlign w:val="center"/>
                </w:tcPr>
                <w:p w14:paraId="10353A70">
                  <w:pPr>
                    <w:pStyle w:val="41"/>
                    <w:rPr>
                      <w:rFonts w:hint="default" w:ascii="Times New Roman" w:hAnsi="Times New Roman" w:eastAsia="宋体" w:cs="Times New Roman"/>
                      <w:b w:val="0"/>
                      <w:bCs/>
                      <w:color w:val="auto"/>
                      <w:sz w:val="21"/>
                      <w:szCs w:val="21"/>
                      <w:lang w:val="en-US" w:eastAsia="zh-CN"/>
                    </w:rPr>
                  </w:pPr>
                </w:p>
              </w:tc>
              <w:tc>
                <w:tcPr>
                  <w:tcW w:w="500" w:type="pct"/>
                  <w:vMerge w:val="continue"/>
                  <w:noWrap w:val="0"/>
                  <w:tcMar>
                    <w:top w:w="10" w:type="dxa"/>
                    <w:left w:w="10" w:type="dxa"/>
                    <w:right w:w="10" w:type="dxa"/>
                  </w:tcMar>
                  <w:vAlign w:val="center"/>
                </w:tcPr>
                <w:p w14:paraId="70059E04">
                  <w:pPr>
                    <w:pStyle w:val="41"/>
                    <w:rPr>
                      <w:rFonts w:hint="default" w:ascii="Times New Roman" w:hAnsi="Times New Roman" w:eastAsia="宋体" w:cs="Times New Roman"/>
                      <w:b w:val="0"/>
                      <w:bCs/>
                      <w:color w:val="auto"/>
                      <w:sz w:val="21"/>
                      <w:szCs w:val="21"/>
                      <w:lang w:val="en-US" w:eastAsia="zh-CN"/>
                    </w:rPr>
                  </w:pPr>
                </w:p>
              </w:tc>
              <w:tc>
                <w:tcPr>
                  <w:tcW w:w="589" w:type="pct"/>
                  <w:noWrap w:val="0"/>
                  <w:tcMar>
                    <w:top w:w="10" w:type="dxa"/>
                    <w:left w:w="10" w:type="dxa"/>
                    <w:right w:w="10" w:type="dxa"/>
                  </w:tcMar>
                  <w:vAlign w:val="center"/>
                </w:tcPr>
                <w:p w14:paraId="510C25A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b w:val="0"/>
                      <w:bCs/>
                      <w:color w:val="auto"/>
                      <w:sz w:val="21"/>
                      <w:szCs w:val="21"/>
                      <w:lang w:val="en-US" w:eastAsia="zh-CN"/>
                    </w:rPr>
                    <w:t>SS</w:t>
                  </w:r>
                </w:p>
              </w:tc>
              <w:tc>
                <w:tcPr>
                  <w:tcW w:w="799" w:type="pct"/>
                  <w:vMerge w:val="continue"/>
                  <w:noWrap w:val="0"/>
                  <w:tcMar>
                    <w:top w:w="10" w:type="dxa"/>
                    <w:left w:w="10" w:type="dxa"/>
                    <w:right w:w="10" w:type="dxa"/>
                  </w:tcMar>
                  <w:vAlign w:val="center"/>
                </w:tcPr>
                <w:p w14:paraId="57B786FE">
                  <w:pPr>
                    <w:pStyle w:val="41"/>
                    <w:rPr>
                      <w:rFonts w:hint="default" w:ascii="Times New Roman" w:hAnsi="Times New Roman" w:eastAsia="宋体" w:cs="Times New Roman"/>
                      <w:b w:val="0"/>
                      <w:bCs/>
                      <w:color w:val="auto"/>
                      <w:sz w:val="21"/>
                      <w:szCs w:val="21"/>
                      <w:lang w:val="en-US" w:eastAsia="zh-CN"/>
                    </w:rPr>
                  </w:pPr>
                </w:p>
              </w:tc>
              <w:tc>
                <w:tcPr>
                  <w:tcW w:w="538" w:type="pct"/>
                  <w:noWrap w:val="0"/>
                  <w:tcMar>
                    <w:top w:w="10" w:type="dxa"/>
                    <w:left w:w="10" w:type="dxa"/>
                    <w:right w:w="10" w:type="dxa"/>
                  </w:tcMar>
                  <w:vAlign w:val="center"/>
                </w:tcPr>
                <w:p w14:paraId="47EA931E">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w:t>
                  </w:r>
                  <w:r>
                    <w:rPr>
                      <w:rFonts w:hint="eastAsia" w:cs="Times New Roman"/>
                      <w:b w:val="0"/>
                      <w:bCs/>
                      <w:color w:val="auto"/>
                      <w:sz w:val="21"/>
                      <w:szCs w:val="21"/>
                      <w:lang w:val="en-US" w:eastAsia="zh-CN"/>
                    </w:rPr>
                    <w:t>4</w:t>
                  </w:r>
                  <w:r>
                    <w:rPr>
                      <w:rFonts w:hint="default" w:ascii="Times New Roman" w:hAnsi="Times New Roman" w:eastAsia="宋体" w:cs="Times New Roman"/>
                      <w:b w:val="0"/>
                      <w:bCs/>
                      <w:color w:val="auto"/>
                      <w:sz w:val="21"/>
                      <w:szCs w:val="21"/>
                      <w:lang w:val="en-US" w:eastAsia="zh-CN"/>
                    </w:rPr>
                    <w:t>0</w:t>
                  </w:r>
                </w:p>
              </w:tc>
              <w:tc>
                <w:tcPr>
                  <w:tcW w:w="424" w:type="pct"/>
                  <w:noWrap w:val="0"/>
                  <w:tcMar>
                    <w:top w:w="10" w:type="dxa"/>
                    <w:left w:w="10" w:type="dxa"/>
                    <w:right w:w="10" w:type="dxa"/>
                  </w:tcMar>
                  <w:vAlign w:val="center"/>
                </w:tcPr>
                <w:p w14:paraId="0CCE26BF">
                  <w:pPr>
                    <w:spacing w:line="240" w:lineRule="auto"/>
                    <w:jc w:val="center"/>
                    <w:rPr>
                      <w:rFonts w:hint="default" w:ascii="Times New Roman" w:hAnsi="Times New Roman" w:eastAsia="宋体" w:cs="Times New Roman"/>
                      <w:b w:val="0"/>
                      <w:bCs/>
                      <w:color w:val="auto"/>
                      <w:sz w:val="21"/>
                      <w:szCs w:val="21"/>
                      <w:lang w:val="en-US" w:eastAsia="zh-CN"/>
                    </w:rPr>
                  </w:pPr>
                </w:p>
              </w:tc>
              <w:tc>
                <w:tcPr>
                  <w:tcW w:w="444" w:type="pct"/>
                  <w:noWrap w:val="0"/>
                  <w:tcMar>
                    <w:top w:w="10" w:type="dxa"/>
                    <w:left w:w="10" w:type="dxa"/>
                    <w:right w:w="10" w:type="dxa"/>
                  </w:tcMar>
                  <w:vAlign w:val="center"/>
                </w:tcPr>
                <w:p w14:paraId="04E643BB">
                  <w:pPr>
                    <w:pStyle w:val="41"/>
                    <w:rPr>
                      <w:rFonts w:hint="default" w:ascii="Times New Roman" w:hAnsi="Times New Roman" w:eastAsia="宋体" w:cs="Times New Roman"/>
                      <w:b w:val="0"/>
                      <w:bCs/>
                      <w:color w:val="auto"/>
                      <w:sz w:val="21"/>
                      <w:szCs w:val="21"/>
                      <w:lang w:val="en-US" w:eastAsia="zh-CN"/>
                    </w:rPr>
                  </w:pPr>
                </w:p>
              </w:tc>
            </w:tr>
          </w:tbl>
          <w:p w14:paraId="311C3FBE">
            <w:pPr>
              <w:pStyle w:val="43"/>
              <w:bidi w:val="0"/>
              <w:jc w:val="both"/>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2.2  项目用水情况</w:t>
            </w:r>
          </w:p>
          <w:p w14:paraId="17D7732D">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项目用水主要为</w:t>
            </w:r>
            <w:r>
              <w:rPr>
                <w:rFonts w:hint="eastAsia" w:ascii="Times New Roman" w:hAnsi="Times New Roman" w:eastAsia="宋体" w:cs="Times New Roman"/>
                <w:color w:val="000000" w:themeColor="text1"/>
                <w:lang w:val="en-US" w:eastAsia="zh-CN" w:bidi="ar-SA"/>
                <w14:textFill>
                  <w14:solidFill>
                    <w14:schemeClr w14:val="tx1"/>
                  </w14:solidFill>
                </w14:textFill>
              </w:rPr>
              <w:t>冷却循环用水</w:t>
            </w:r>
            <w:r>
              <w:rPr>
                <w:rFonts w:hint="eastAsia" w:cs="Times New Roman"/>
                <w:color w:val="000000" w:themeColor="text1"/>
                <w:lang w:val="en-US" w:eastAsia="zh-CN" w:bidi="ar-SA"/>
                <w14:textFill>
                  <w14:solidFill>
                    <w14:schemeClr w14:val="tx1"/>
                  </w14:solidFill>
                </w14:textFill>
              </w:rPr>
              <w:t>和</w:t>
            </w:r>
            <w:r>
              <w:rPr>
                <w:rFonts w:hint="default" w:ascii="Times New Roman" w:hAnsi="Times New Roman" w:eastAsia="宋体" w:cs="Times New Roman"/>
                <w:color w:val="000000" w:themeColor="text1"/>
                <w:lang w:val="en-US" w:eastAsia="zh-CN" w:bidi="ar-SA"/>
                <w14:textFill>
                  <w14:solidFill>
                    <w14:schemeClr w14:val="tx1"/>
                  </w14:solidFill>
                </w14:textFill>
              </w:rPr>
              <w:t>职工生活用水。</w:t>
            </w:r>
          </w:p>
          <w:p w14:paraId="03C72E91">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w:t>
            </w:r>
            <w:r>
              <w:rPr>
                <w:rFonts w:hint="eastAsia" w:cs="Times New Roman"/>
                <w:color w:val="000000" w:themeColor="text1"/>
                <w:lang w:val="en-US" w:eastAsia="zh-CN" w:bidi="ar-SA"/>
                <w14:textFill>
                  <w14:solidFill>
                    <w14:schemeClr w14:val="tx1"/>
                  </w14:solidFill>
                </w14:textFill>
              </w:rPr>
              <w:t>1</w:t>
            </w:r>
            <w:r>
              <w:rPr>
                <w:rFonts w:hint="eastAsia" w:ascii="Times New Roman" w:hAnsi="Times New Roman" w:eastAsia="宋体" w:cs="Times New Roman"/>
                <w:color w:val="000000" w:themeColor="text1"/>
                <w:lang w:val="en-US" w:eastAsia="zh-CN" w:bidi="ar-SA"/>
                <w14:textFill>
                  <w14:solidFill>
                    <w14:schemeClr w14:val="tx1"/>
                  </w14:solidFill>
                </w14:textFill>
              </w:rPr>
              <w:t>）冷却循环用水</w:t>
            </w:r>
          </w:p>
          <w:p w14:paraId="1F6996BA">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项目</w:t>
            </w:r>
            <w:r>
              <w:rPr>
                <w:rFonts w:hint="eastAsia" w:ascii="Times New Roman" w:hAnsi="Times New Roman" w:eastAsia="宋体" w:cs="Times New Roman"/>
                <w:color w:val="000000" w:themeColor="text1"/>
                <w:lang w:val="en-US" w:eastAsia="zh-CN" w:bidi="ar-SA"/>
                <w14:textFill>
                  <w14:solidFill>
                    <w14:schemeClr w14:val="tx1"/>
                  </w14:solidFill>
                </w14:textFill>
              </w:rPr>
              <w:t>挤压线设备</w:t>
            </w:r>
            <w:r>
              <w:rPr>
                <w:rFonts w:hint="default" w:ascii="Times New Roman" w:hAnsi="Times New Roman" w:eastAsia="宋体" w:cs="Times New Roman"/>
                <w:color w:val="000000" w:themeColor="text1"/>
                <w:lang w:val="en-US" w:eastAsia="zh-CN" w:bidi="ar-SA"/>
                <w14:textFill>
                  <w14:solidFill>
                    <w14:schemeClr w14:val="tx1"/>
                  </w14:solidFill>
                </w14:textFill>
              </w:rPr>
              <w:t>采用</w:t>
            </w:r>
            <w:r>
              <w:rPr>
                <w:rFonts w:hint="eastAsia" w:ascii="Times New Roman" w:hAnsi="Times New Roman" w:eastAsia="宋体" w:cs="Times New Roman"/>
                <w:color w:val="000000" w:themeColor="text1"/>
                <w:lang w:val="en-US" w:eastAsia="zh-CN" w:bidi="ar-SA"/>
                <w14:textFill>
                  <w14:solidFill>
                    <w14:schemeClr w14:val="tx1"/>
                  </w14:solidFill>
                </w14:textFill>
              </w:rPr>
              <w:t>冷却循环水</w:t>
            </w:r>
            <w:r>
              <w:rPr>
                <w:rFonts w:hint="default" w:ascii="Times New Roman" w:hAnsi="Times New Roman" w:eastAsia="宋体" w:cs="Times New Roman"/>
                <w:color w:val="000000" w:themeColor="text1"/>
                <w:lang w:val="en-US" w:eastAsia="zh-CN" w:bidi="ar-SA"/>
                <w14:textFill>
                  <w14:solidFill>
                    <w14:schemeClr w14:val="tx1"/>
                  </w14:solidFill>
                </w14:textFill>
              </w:rPr>
              <w:t>间接冷却水进行</w:t>
            </w:r>
            <w:r>
              <w:rPr>
                <w:rFonts w:hint="eastAsia" w:ascii="Times New Roman" w:hAnsi="Times New Roman" w:eastAsia="宋体" w:cs="Times New Roman"/>
                <w:color w:val="000000" w:themeColor="text1"/>
                <w:lang w:val="en-US" w:eastAsia="zh-CN" w:bidi="ar-SA"/>
                <w14:textFill>
                  <w14:solidFill>
                    <w14:schemeClr w14:val="tx1"/>
                  </w14:solidFill>
                </w14:textFill>
              </w:rPr>
              <w:t>控温，配</w:t>
            </w:r>
            <w:r>
              <w:rPr>
                <w:rFonts w:hint="default" w:ascii="Times New Roman" w:hAnsi="Times New Roman" w:eastAsia="宋体" w:cs="Times New Roman"/>
                <w:color w:val="000000" w:themeColor="text1"/>
                <w:lang w:val="en-US" w:eastAsia="zh-CN" w:bidi="ar-SA"/>
                <w14:textFill>
                  <w14:solidFill>
                    <w14:schemeClr w14:val="tx1"/>
                  </w14:solidFill>
                </w14:textFill>
              </w:rPr>
              <w:t>套冷却水循环系统，</w:t>
            </w:r>
            <w:r>
              <w:rPr>
                <w:rFonts w:hint="eastAsia" w:ascii="Times New Roman" w:hAnsi="Times New Roman" w:eastAsia="宋体" w:cs="Times New Roman"/>
                <w:color w:val="000000" w:themeColor="text1"/>
                <w:lang w:val="en-US" w:eastAsia="zh-CN" w:bidi="ar-SA"/>
                <w14:textFill>
                  <w14:solidFill>
                    <w14:schemeClr w14:val="tx1"/>
                  </w14:solidFill>
                </w14:textFill>
              </w:rPr>
              <w:t>定期补充蒸发损耗，补充量约0.</w:t>
            </w:r>
            <w:r>
              <w:rPr>
                <w:rFonts w:hint="eastAsia" w:cs="Times New Roman"/>
                <w:color w:val="000000" w:themeColor="text1"/>
                <w:lang w:val="en-US" w:eastAsia="zh-CN" w:bidi="ar-SA"/>
                <w14:textFill>
                  <w14:solidFill>
                    <w14:schemeClr w14:val="tx1"/>
                  </w14:solidFill>
                </w14:textFill>
              </w:rPr>
              <w:t>1</w:t>
            </w:r>
            <w:r>
              <w:rPr>
                <w:rFonts w:hint="default" w:ascii="Times New Roman" w:hAnsi="Times New Roman" w:eastAsia="宋体" w:cs="Times New Roman"/>
                <w:color w:val="000000" w:themeColor="text1"/>
                <w:lang w:val="en-US" w:eastAsia="zh-CN" w:bidi="ar-SA"/>
                <w14:textFill>
                  <w14:solidFill>
                    <w14:schemeClr w14:val="tx1"/>
                  </w14:solidFill>
                </w14:textFill>
              </w:rPr>
              <w:t>m</w:t>
            </w:r>
            <w:r>
              <w:rPr>
                <w:rFonts w:hint="default" w:ascii="Times New Roman" w:hAnsi="Times New Roman" w:eastAsia="宋体" w:cs="Times New Roman"/>
                <w:color w:val="000000" w:themeColor="text1"/>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lang w:val="en-US" w:eastAsia="zh-CN" w:bidi="ar-SA"/>
                <w14:textFill>
                  <w14:solidFill>
                    <w14:schemeClr w14:val="tx1"/>
                  </w14:solidFill>
                </w14:textFill>
              </w:rPr>
              <w:t>/d（</w:t>
            </w:r>
            <w:r>
              <w:rPr>
                <w:rFonts w:hint="eastAsia" w:cs="Times New Roman"/>
                <w:color w:val="000000" w:themeColor="text1"/>
                <w:lang w:val="en-US" w:eastAsia="zh-CN" w:bidi="ar-SA"/>
                <w14:textFill>
                  <w14:solidFill>
                    <w14:schemeClr w14:val="tx1"/>
                  </w14:solidFill>
                </w14:textFill>
              </w:rPr>
              <w:t>30</w:t>
            </w:r>
            <w:r>
              <w:rPr>
                <w:rFonts w:hint="default" w:ascii="Times New Roman" w:hAnsi="Times New Roman" w:eastAsia="宋体" w:cs="Times New Roman"/>
                <w:color w:val="000000" w:themeColor="text1"/>
                <w:lang w:val="en-US" w:eastAsia="zh-CN" w:bidi="ar-SA"/>
                <w14:textFill>
                  <w14:solidFill>
                    <w14:schemeClr w14:val="tx1"/>
                  </w14:solidFill>
                </w14:textFill>
              </w:rPr>
              <w:t>m</w:t>
            </w:r>
            <w:r>
              <w:rPr>
                <w:rFonts w:hint="default" w:ascii="Times New Roman" w:hAnsi="Times New Roman" w:eastAsia="宋体" w:cs="Times New Roman"/>
                <w:color w:val="000000" w:themeColor="text1"/>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lang w:val="en-US" w:eastAsia="zh-CN" w:bidi="ar-SA"/>
                <w14:textFill>
                  <w14:solidFill>
                    <w14:schemeClr w14:val="tx1"/>
                  </w14:solidFill>
                </w14:textFill>
              </w:rPr>
              <w:t>/a），该部分冷却循环水</w:t>
            </w:r>
            <w:r>
              <w:rPr>
                <w:rFonts w:hint="default" w:ascii="Times New Roman" w:hAnsi="Times New Roman" w:eastAsia="宋体" w:cs="Times New Roman"/>
                <w:color w:val="000000" w:themeColor="text1"/>
                <w:lang w:val="en-US" w:eastAsia="zh-CN" w:bidi="ar-SA"/>
                <w14:textFill>
                  <w14:solidFill>
                    <w14:schemeClr w14:val="tx1"/>
                  </w14:solidFill>
                </w14:textFill>
              </w:rPr>
              <w:t>采用冷却塔散热降温后进入冷却水</w:t>
            </w:r>
            <w:r>
              <w:rPr>
                <w:rFonts w:hint="eastAsia" w:ascii="Times New Roman" w:hAnsi="Times New Roman" w:eastAsia="宋体" w:cs="Times New Roman"/>
                <w:color w:val="000000" w:themeColor="text1"/>
                <w:lang w:val="en-US" w:eastAsia="zh-CN" w:bidi="ar-SA"/>
                <w14:textFill>
                  <w14:solidFill>
                    <w14:schemeClr w14:val="tx1"/>
                  </w14:solidFill>
                </w14:textFill>
              </w:rPr>
              <w:t>循环水</w:t>
            </w:r>
            <w:r>
              <w:rPr>
                <w:rFonts w:hint="default" w:ascii="Times New Roman" w:hAnsi="Times New Roman" w:eastAsia="宋体" w:cs="Times New Roman"/>
                <w:color w:val="000000" w:themeColor="text1"/>
                <w:lang w:val="en-US" w:eastAsia="zh-CN" w:bidi="ar-SA"/>
                <w14:textFill>
                  <w14:solidFill>
                    <w14:schemeClr w14:val="tx1"/>
                  </w14:solidFill>
                </w14:textFill>
              </w:rPr>
              <w:t>池，再泵入冷却循环系统回用，</w:t>
            </w:r>
            <w:r>
              <w:rPr>
                <w:rFonts w:hint="eastAsia" w:ascii="Times New Roman" w:hAnsi="Times New Roman" w:eastAsia="宋体" w:cs="Times New Roman"/>
                <w:color w:val="000000" w:themeColor="text1"/>
                <w:lang w:val="en-US" w:eastAsia="zh-CN" w:bidi="ar-SA"/>
                <w14:textFill>
                  <w14:solidFill>
                    <w14:schemeClr w14:val="tx1"/>
                  </w14:solidFill>
                </w14:textFill>
              </w:rPr>
              <w:t>定期补充，</w:t>
            </w:r>
            <w:r>
              <w:rPr>
                <w:rFonts w:hint="default" w:ascii="Times New Roman" w:hAnsi="Times New Roman" w:eastAsia="宋体" w:cs="Times New Roman"/>
                <w:color w:val="000000" w:themeColor="text1"/>
                <w:lang w:val="en-US" w:eastAsia="zh-CN" w:bidi="ar-SA"/>
                <w14:textFill>
                  <w14:solidFill>
                    <w14:schemeClr w14:val="tx1"/>
                  </w14:solidFill>
                </w14:textFill>
              </w:rPr>
              <w:t>不外排。</w:t>
            </w:r>
          </w:p>
          <w:p w14:paraId="065A9047">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w:t>
            </w:r>
            <w:r>
              <w:rPr>
                <w:rFonts w:hint="eastAsia" w:cs="Times New Roman"/>
                <w:color w:val="000000" w:themeColor="text1"/>
                <w:lang w:val="en-US" w:eastAsia="zh-CN" w:bidi="ar-SA"/>
                <w14:textFill>
                  <w14:solidFill>
                    <w14:schemeClr w14:val="tx1"/>
                  </w14:solidFill>
                </w14:textFill>
              </w:rPr>
              <w:t>2</w:t>
            </w:r>
            <w:r>
              <w:rPr>
                <w:rFonts w:hint="default" w:ascii="Times New Roman" w:hAnsi="Times New Roman" w:eastAsia="宋体" w:cs="Times New Roman"/>
                <w:color w:val="000000" w:themeColor="text1"/>
                <w:lang w:val="en-US" w:eastAsia="zh-CN" w:bidi="ar-SA"/>
                <w14:textFill>
                  <w14:solidFill>
                    <w14:schemeClr w14:val="tx1"/>
                  </w14:solidFill>
                </w14:textFill>
              </w:rPr>
              <w:t>）职工生活用水</w:t>
            </w:r>
          </w:p>
          <w:p w14:paraId="1E9C6F4A">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项目</w:t>
            </w:r>
            <w:r>
              <w:rPr>
                <w:rFonts w:hint="eastAsia" w:ascii="Times New Roman" w:hAnsi="Times New Roman" w:eastAsia="宋体" w:cs="Times New Roman"/>
                <w:color w:val="000000" w:themeColor="text1"/>
                <w:lang w:val="en-US" w:eastAsia="zh-CN" w:bidi="ar-SA"/>
                <w14:textFill>
                  <w14:solidFill>
                    <w14:schemeClr w14:val="tx1"/>
                  </w14:solidFill>
                </w14:textFill>
              </w:rPr>
              <w:t>运营期</w:t>
            </w:r>
            <w:r>
              <w:rPr>
                <w:rFonts w:hint="default" w:ascii="Times New Roman" w:hAnsi="Times New Roman" w:eastAsia="宋体" w:cs="Times New Roman"/>
                <w:color w:val="000000" w:themeColor="text1"/>
                <w:lang w:val="en-US" w:eastAsia="zh-CN" w:bidi="ar-SA"/>
                <w14:textFill>
                  <w14:solidFill>
                    <w14:schemeClr w14:val="tx1"/>
                  </w14:solidFill>
                </w14:textFill>
              </w:rPr>
              <w:t>职工人数共</w:t>
            </w:r>
            <w:r>
              <w:rPr>
                <w:rFonts w:hint="eastAsia" w:cs="Times New Roman"/>
                <w:color w:val="000000" w:themeColor="text1"/>
                <w:lang w:val="en-US" w:eastAsia="zh-CN" w:bidi="ar-SA"/>
                <w14:textFill>
                  <w14:solidFill>
                    <w14:schemeClr w14:val="tx1"/>
                  </w14:solidFill>
                </w14:textFill>
              </w:rPr>
              <w:t>20</w:t>
            </w:r>
            <w:r>
              <w:rPr>
                <w:rFonts w:hint="default" w:ascii="Times New Roman" w:hAnsi="Times New Roman" w:eastAsia="宋体" w:cs="Times New Roman"/>
                <w:color w:val="000000" w:themeColor="text1"/>
                <w:lang w:val="en-US" w:eastAsia="zh-CN" w:bidi="ar-SA"/>
                <w14:textFill>
                  <w14:solidFill>
                    <w14:schemeClr w14:val="tx1"/>
                  </w14:solidFill>
                </w14:textFill>
              </w:rPr>
              <w:t>人，人均用水量按</w:t>
            </w:r>
            <w:r>
              <w:rPr>
                <w:rFonts w:hint="eastAsia" w:cs="Times New Roman"/>
                <w:color w:val="000000" w:themeColor="text1"/>
                <w:lang w:val="en-US" w:eastAsia="zh-CN" w:bidi="ar-SA"/>
                <w14:textFill>
                  <w14:solidFill>
                    <w14:schemeClr w14:val="tx1"/>
                  </w14:solidFill>
                </w14:textFill>
              </w:rPr>
              <w:t>10</w:t>
            </w:r>
            <w:r>
              <w:rPr>
                <w:rFonts w:hint="default" w:ascii="Times New Roman" w:hAnsi="Times New Roman" w:eastAsia="宋体" w:cs="Times New Roman"/>
                <w:color w:val="000000" w:themeColor="text1"/>
                <w:lang w:val="en-US" w:eastAsia="zh-CN" w:bidi="ar-SA"/>
                <w14:textFill>
                  <w14:solidFill>
                    <w14:schemeClr w14:val="tx1"/>
                  </w14:solidFill>
                </w14:textFill>
              </w:rPr>
              <w:t>0L/d计，则生活用水量为</w:t>
            </w:r>
            <w:r>
              <w:rPr>
                <w:rFonts w:hint="eastAsia" w:cs="Times New Roman"/>
                <w:color w:val="000000" w:themeColor="text1"/>
                <w:lang w:val="en-US" w:eastAsia="zh-CN" w:bidi="ar-SA"/>
                <w14:textFill>
                  <w14:solidFill>
                    <w14:schemeClr w14:val="tx1"/>
                  </w14:solidFill>
                </w14:textFill>
              </w:rPr>
              <w:t>2</w:t>
            </w:r>
            <w:r>
              <w:rPr>
                <w:rFonts w:hint="default" w:ascii="Times New Roman" w:hAnsi="Times New Roman" w:eastAsia="宋体" w:cs="Times New Roman"/>
                <w:color w:val="000000" w:themeColor="text1"/>
                <w:lang w:val="en-US" w:eastAsia="zh-CN" w:bidi="ar-SA"/>
                <w14:textFill>
                  <w14:solidFill>
                    <w14:schemeClr w14:val="tx1"/>
                  </w14:solidFill>
                </w14:textFill>
              </w:rPr>
              <w:t>m</w:t>
            </w:r>
            <w:r>
              <w:rPr>
                <w:rFonts w:hint="default" w:ascii="Times New Roman" w:hAnsi="Times New Roman" w:eastAsia="宋体" w:cs="Times New Roman"/>
                <w:color w:val="000000" w:themeColor="text1"/>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lang w:val="en-US" w:eastAsia="zh-CN" w:bidi="ar-SA"/>
                <w14:textFill>
                  <w14:solidFill>
                    <w14:schemeClr w14:val="tx1"/>
                  </w14:solidFill>
                </w14:textFill>
              </w:rPr>
              <w:t>/d（</w:t>
            </w:r>
            <w:r>
              <w:rPr>
                <w:rFonts w:hint="eastAsia" w:cs="Times New Roman"/>
                <w:color w:val="000000" w:themeColor="text1"/>
                <w:lang w:val="en-US" w:eastAsia="zh-CN" w:bidi="ar-SA"/>
                <w14:textFill>
                  <w14:solidFill>
                    <w14:schemeClr w14:val="tx1"/>
                  </w14:solidFill>
                </w14:textFill>
              </w:rPr>
              <w:t>600</w:t>
            </w:r>
            <w:r>
              <w:rPr>
                <w:rFonts w:hint="default" w:ascii="Times New Roman" w:hAnsi="Times New Roman" w:eastAsia="宋体" w:cs="Times New Roman"/>
                <w:color w:val="000000" w:themeColor="text1"/>
                <w:lang w:val="en-US" w:eastAsia="zh-CN" w:bidi="ar-SA"/>
                <w14:textFill>
                  <w14:solidFill>
                    <w14:schemeClr w14:val="tx1"/>
                  </w14:solidFill>
                </w14:textFill>
              </w:rPr>
              <w:t>m</w:t>
            </w:r>
            <w:r>
              <w:rPr>
                <w:rFonts w:hint="default" w:ascii="Times New Roman" w:hAnsi="Times New Roman" w:eastAsia="宋体" w:cs="Times New Roman"/>
                <w:color w:val="000000" w:themeColor="text1"/>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lang w:val="en-US" w:eastAsia="zh-CN" w:bidi="ar-SA"/>
                <w14:textFill>
                  <w14:solidFill>
                    <w14:schemeClr w14:val="tx1"/>
                  </w14:solidFill>
                </w14:textFill>
              </w:rPr>
              <w:t>/a）。</w:t>
            </w:r>
          </w:p>
          <w:p w14:paraId="6E3FE834">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2.3  项目废水产生和排放情况</w:t>
            </w:r>
          </w:p>
          <w:p w14:paraId="06EFA65F">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项目冷却循环水循环利用，不外排</w:t>
            </w:r>
            <w:r>
              <w:rPr>
                <w:rFonts w:hint="eastAsia" w:cs="Times New Roman"/>
                <w:color w:val="000000" w:themeColor="text1"/>
                <w:lang w:val="en-US" w:eastAsia="zh-CN" w:bidi="ar-SA"/>
                <w14:textFill>
                  <w14:solidFill>
                    <w14:schemeClr w14:val="tx1"/>
                  </w14:solidFill>
                </w14:textFill>
              </w:rPr>
              <w:t>，</w:t>
            </w:r>
            <w:r>
              <w:rPr>
                <w:rFonts w:hint="eastAsia" w:ascii="Times New Roman" w:hAnsi="Times New Roman" w:eastAsia="宋体" w:cs="Times New Roman"/>
                <w:color w:val="000000" w:themeColor="text1"/>
                <w:lang w:val="en-US" w:eastAsia="zh-CN" w:bidi="ar-SA"/>
                <w14:textFill>
                  <w14:solidFill>
                    <w14:schemeClr w14:val="tx1"/>
                  </w14:solidFill>
                </w14:textFill>
              </w:rPr>
              <w:t>仅生活污水经化粪池预处理后经市政管网排入</w:t>
            </w:r>
            <w:r>
              <w:rPr>
                <w:rFonts w:hint="eastAsia" w:cs="Times New Roman"/>
                <w:color w:val="000000" w:themeColor="text1"/>
                <w:lang w:val="en-US" w:eastAsia="zh-CN" w:bidi="ar-SA"/>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lang w:val="en-US" w:eastAsia="zh-CN" w:bidi="ar-SA"/>
                <w14:textFill>
                  <w14:solidFill>
                    <w14:schemeClr w14:val="tx1"/>
                  </w14:solidFill>
                </w14:textFill>
              </w:rPr>
              <w:t>。</w:t>
            </w:r>
          </w:p>
          <w:p w14:paraId="461D14C1">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（1）</w:t>
            </w:r>
            <w:r>
              <w:rPr>
                <w:rFonts w:hint="default" w:ascii="Times New Roman" w:hAnsi="Times New Roman" w:eastAsia="宋体" w:cs="Times New Roman"/>
                <w:color w:val="000000" w:themeColor="text1"/>
                <w:lang w:val="en-US" w:eastAsia="zh-CN" w:bidi="ar-SA"/>
                <w14:textFill>
                  <w14:solidFill>
                    <w14:schemeClr w14:val="tx1"/>
                  </w14:solidFill>
                </w14:textFill>
              </w:rPr>
              <w:t>生活污水</w:t>
            </w:r>
            <w:r>
              <w:rPr>
                <w:rFonts w:hint="eastAsia" w:ascii="Times New Roman" w:hAnsi="Times New Roman" w:eastAsia="宋体" w:cs="Times New Roman"/>
                <w:color w:val="000000" w:themeColor="text1"/>
                <w:lang w:val="en-US" w:eastAsia="zh-CN" w:bidi="ar-SA"/>
                <w14:textFill>
                  <w14:solidFill>
                    <w14:schemeClr w14:val="tx1"/>
                  </w14:solidFill>
                </w14:textFill>
              </w:rPr>
              <w:t>W1</w:t>
            </w:r>
          </w:p>
          <w:p w14:paraId="4E2F0755">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项目</w:t>
            </w:r>
            <w:r>
              <w:rPr>
                <w:rFonts w:hint="default" w:ascii="Times New Roman" w:hAnsi="Times New Roman" w:eastAsia="宋体" w:cs="Times New Roman"/>
                <w:color w:val="000000" w:themeColor="text1"/>
                <w:lang w:val="en-US" w:eastAsia="zh-CN" w:bidi="ar-SA"/>
                <w14:textFill>
                  <w14:solidFill>
                    <w14:schemeClr w14:val="tx1"/>
                  </w14:solidFill>
                </w14:textFill>
              </w:rPr>
              <w:t>生活污水排水系数按80%计，则生活污水产生量为</w:t>
            </w:r>
            <w:r>
              <w:rPr>
                <w:rFonts w:hint="eastAsia" w:cs="Times New Roman"/>
                <w:color w:val="000000" w:themeColor="text1"/>
                <w:lang w:val="en-US" w:eastAsia="zh-CN" w:bidi="ar-SA"/>
                <w14:textFill>
                  <w14:solidFill>
                    <w14:schemeClr w14:val="tx1"/>
                  </w14:solidFill>
                </w14:textFill>
              </w:rPr>
              <w:t>1.6</w:t>
            </w:r>
            <w:r>
              <w:rPr>
                <w:rFonts w:hint="default" w:ascii="Times New Roman" w:hAnsi="Times New Roman" w:eastAsia="宋体" w:cs="Times New Roman"/>
                <w:color w:val="000000" w:themeColor="text1"/>
                <w:lang w:val="en-US" w:eastAsia="zh-CN" w:bidi="ar-SA"/>
                <w14:textFill>
                  <w14:solidFill>
                    <w14:schemeClr w14:val="tx1"/>
                  </w14:solidFill>
                </w14:textFill>
              </w:rPr>
              <w:t>m</w:t>
            </w:r>
            <w:r>
              <w:rPr>
                <w:rFonts w:hint="default" w:ascii="Times New Roman" w:hAnsi="Times New Roman" w:eastAsia="宋体" w:cs="Times New Roman"/>
                <w:color w:val="000000" w:themeColor="text1"/>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lang w:val="en-US" w:eastAsia="zh-CN" w:bidi="ar-SA"/>
                <w14:textFill>
                  <w14:solidFill>
                    <w14:schemeClr w14:val="tx1"/>
                  </w14:solidFill>
                </w14:textFill>
              </w:rPr>
              <w:t>/d（</w:t>
            </w:r>
            <w:r>
              <w:rPr>
                <w:rFonts w:hint="eastAsia" w:cs="Times New Roman"/>
                <w:color w:val="000000" w:themeColor="text1"/>
                <w:lang w:val="en-US" w:eastAsia="zh-CN" w:bidi="ar-SA"/>
                <w14:textFill>
                  <w14:solidFill>
                    <w14:schemeClr w14:val="tx1"/>
                  </w14:solidFill>
                </w14:textFill>
              </w:rPr>
              <w:t>480</w:t>
            </w:r>
            <w:r>
              <w:rPr>
                <w:rFonts w:hint="default" w:ascii="Times New Roman" w:hAnsi="Times New Roman" w:eastAsia="宋体" w:cs="Times New Roman"/>
                <w:color w:val="000000" w:themeColor="text1"/>
                <w:lang w:val="en-US" w:eastAsia="zh-CN" w:bidi="ar-SA"/>
                <w14:textFill>
                  <w14:solidFill>
                    <w14:schemeClr w14:val="tx1"/>
                  </w14:solidFill>
                </w14:textFill>
              </w:rPr>
              <w:t>m</w:t>
            </w:r>
            <w:r>
              <w:rPr>
                <w:rFonts w:hint="default" w:ascii="Times New Roman" w:hAnsi="Times New Roman" w:eastAsia="宋体" w:cs="Times New Roman"/>
                <w:color w:val="000000" w:themeColor="text1"/>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lang w:val="en-US" w:eastAsia="zh-CN" w:bidi="ar-SA"/>
                <w14:textFill>
                  <w14:solidFill>
                    <w14:schemeClr w14:val="tx1"/>
                  </w14:solidFill>
                </w14:textFill>
              </w:rPr>
              <w:t>/a）。其主要污染物浓度COD：350mg/L、</w:t>
            </w:r>
            <w:r>
              <w:rPr>
                <w:rFonts w:hint="eastAsia" w:ascii="Times New Roman" w:hAnsi="Times New Roman" w:eastAsia="宋体" w:cs="Times New Roman"/>
                <w:color w:val="000000" w:themeColor="text1"/>
                <w:lang w:val="en-US" w:eastAsia="zh-CN" w:bidi="ar-SA"/>
                <w14:textFill>
                  <w14:solidFill>
                    <w14:schemeClr w14:val="tx1"/>
                  </w14:solidFill>
                </w14:textFill>
              </w:rPr>
              <w:t>BOD</w:t>
            </w:r>
            <w:r>
              <w:rPr>
                <w:rFonts w:hint="eastAsia" w:ascii="Times New Roman" w:hAnsi="Times New Roman" w:eastAsia="宋体" w:cs="Times New Roman"/>
                <w:color w:val="000000" w:themeColor="text1"/>
                <w:vertAlign w:val="subscript"/>
                <w:lang w:val="en-US" w:eastAsia="zh-CN" w:bidi="ar-SA"/>
                <w14:textFill>
                  <w14:solidFill>
                    <w14:schemeClr w14:val="tx1"/>
                  </w14:solidFill>
                </w14:textFill>
              </w:rPr>
              <w:t>5</w:t>
            </w:r>
            <w:r>
              <w:rPr>
                <w:rFonts w:hint="eastAsia" w:ascii="Times New Roman" w:hAnsi="Times New Roman" w:eastAsia="宋体" w:cs="Times New Roman"/>
                <w:color w:val="000000" w:themeColor="text1"/>
                <w:lang w:val="en-US" w:eastAsia="zh-CN" w:bidi="ar-SA"/>
                <w14:textFill>
                  <w14:solidFill>
                    <w14:schemeClr w14:val="tx1"/>
                  </w14:solidFill>
                </w14:textFill>
              </w:rPr>
              <w:t>：140</w:t>
            </w:r>
            <w:r>
              <w:rPr>
                <w:rFonts w:hint="default" w:ascii="Times New Roman" w:hAnsi="Times New Roman" w:eastAsia="宋体" w:cs="Times New Roman"/>
                <w:color w:val="000000" w:themeColor="text1"/>
                <w:lang w:val="en-US" w:eastAsia="zh-CN" w:bidi="ar-SA"/>
                <w14:textFill>
                  <w14:solidFill>
                    <w14:schemeClr w14:val="tx1"/>
                  </w14:solidFill>
                </w14:textFill>
              </w:rPr>
              <w:t>mg/L</w:t>
            </w:r>
            <w:r>
              <w:rPr>
                <w:rFonts w:hint="eastAsia" w:ascii="Times New Roman" w:hAnsi="Times New Roman" w:eastAsia="宋体" w:cs="Times New Roman"/>
                <w:color w:val="000000" w:themeColor="text1"/>
                <w:lang w:val="en-US" w:eastAsia="zh-CN" w:bidi="ar-SA"/>
                <w14:textFill>
                  <w14:solidFill>
                    <w14:schemeClr w14:val="tx1"/>
                  </w14:solidFill>
                </w14:textFill>
              </w:rPr>
              <w:t>、</w:t>
            </w:r>
            <w:r>
              <w:rPr>
                <w:rFonts w:hint="default" w:ascii="Times New Roman" w:hAnsi="Times New Roman" w:eastAsia="宋体" w:cs="Times New Roman"/>
                <w:color w:val="000000" w:themeColor="text1"/>
                <w:lang w:val="en-US" w:eastAsia="zh-CN" w:bidi="ar-SA"/>
                <w14:textFill>
                  <w14:solidFill>
                    <w14:schemeClr w14:val="tx1"/>
                  </w14:solidFill>
                </w14:textFill>
              </w:rPr>
              <w:t>NH</w:t>
            </w:r>
            <w:r>
              <w:rPr>
                <w:rFonts w:hint="default" w:ascii="Times New Roman" w:hAnsi="Times New Roman" w:eastAsia="宋体" w:cs="Times New Roman"/>
                <w:color w:val="000000" w:themeColor="text1"/>
                <w:vertAlign w:val="subscript"/>
                <w:lang w:val="en-US" w:eastAsia="zh-CN" w:bidi="ar-SA"/>
                <w14:textFill>
                  <w14:solidFill>
                    <w14:schemeClr w14:val="tx1"/>
                  </w14:solidFill>
                </w14:textFill>
              </w:rPr>
              <w:t>3</w:t>
            </w:r>
            <w:r>
              <w:rPr>
                <w:rFonts w:hint="default" w:ascii="Times New Roman" w:hAnsi="Times New Roman" w:eastAsia="宋体" w:cs="Times New Roman"/>
                <w:color w:val="000000" w:themeColor="text1"/>
                <w:lang w:val="en-US" w:eastAsia="zh-CN" w:bidi="ar-SA"/>
                <w14:textFill>
                  <w14:solidFill>
                    <w14:schemeClr w14:val="tx1"/>
                  </w14:solidFill>
                </w14:textFill>
              </w:rPr>
              <w:t>-N：2</w:t>
            </w:r>
            <w:r>
              <w:rPr>
                <w:rFonts w:hint="eastAsia" w:cs="Times New Roman"/>
                <w:color w:val="000000" w:themeColor="text1"/>
                <w:lang w:val="en-US" w:eastAsia="zh-CN" w:bidi="ar-SA"/>
                <w14:textFill>
                  <w14:solidFill>
                    <w14:schemeClr w14:val="tx1"/>
                  </w14:solidFill>
                </w14:textFill>
              </w:rPr>
              <w:t>0</w:t>
            </w:r>
            <w:r>
              <w:rPr>
                <w:rFonts w:hint="default" w:ascii="Times New Roman" w:hAnsi="Times New Roman" w:eastAsia="宋体" w:cs="Times New Roman"/>
                <w:color w:val="000000" w:themeColor="text1"/>
                <w:lang w:val="en-US" w:eastAsia="zh-CN" w:bidi="ar-SA"/>
                <w14:textFill>
                  <w14:solidFill>
                    <w14:schemeClr w14:val="tx1"/>
                  </w14:solidFill>
                </w14:textFill>
              </w:rPr>
              <w:t>mg/L、SS：200mg/L。项目生活污水经化粪池处理后，排入</w:t>
            </w:r>
            <w:r>
              <w:rPr>
                <w:rFonts w:hint="eastAsia" w:ascii="Times New Roman" w:hAnsi="Times New Roman" w:eastAsia="宋体" w:cs="Times New Roman"/>
                <w:color w:val="000000" w:themeColor="text1"/>
                <w:lang w:val="en-US" w:eastAsia="zh-CN" w:bidi="ar-SA"/>
                <w14:textFill>
                  <w14:solidFill>
                    <w14:schemeClr w14:val="tx1"/>
                  </w14:solidFill>
                </w14:textFill>
              </w:rPr>
              <w:t>园</w:t>
            </w:r>
            <w:r>
              <w:rPr>
                <w:rFonts w:hint="default" w:ascii="Times New Roman" w:hAnsi="Times New Roman" w:eastAsia="宋体" w:cs="Times New Roman"/>
                <w:color w:val="000000" w:themeColor="text1"/>
                <w:lang w:val="en-US" w:eastAsia="zh-CN" w:bidi="ar-SA"/>
                <w14:textFill>
                  <w14:solidFill>
                    <w14:schemeClr w14:val="tx1"/>
                  </w14:solidFill>
                </w14:textFill>
              </w:rPr>
              <w:t>区污水管网进入</w:t>
            </w:r>
            <w:r>
              <w:rPr>
                <w:rFonts w:hint="eastAsia" w:cs="Times New Roman"/>
                <w:color w:val="000000" w:themeColor="text1"/>
                <w:lang w:val="en-US" w:eastAsia="zh-CN" w:bidi="ar-SA"/>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lang w:val="en-US" w:eastAsia="zh-CN" w:bidi="ar-SA"/>
                <w14:textFill>
                  <w14:solidFill>
                    <w14:schemeClr w14:val="tx1"/>
                  </w14:solidFill>
                </w14:textFill>
              </w:rPr>
              <w:t>处理。</w:t>
            </w:r>
          </w:p>
          <w:p w14:paraId="1F15B828">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2.</w:t>
            </w:r>
            <w:r>
              <w:rPr>
                <w:rFonts w:hint="eastAsia" w:ascii="Times New Roman" w:hAnsi="Times New Roman" w:eastAsia="宋体" w:cs="Times New Roman"/>
                <w:color w:val="000000" w:themeColor="text1"/>
                <w:lang w:val="en-US" w:eastAsia="zh-CN" w:bidi="ar-SA"/>
                <w14:textFill>
                  <w14:solidFill>
                    <w14:schemeClr w14:val="tx1"/>
                  </w14:solidFill>
                </w14:textFill>
              </w:rPr>
              <w:t>4</w:t>
            </w:r>
            <w:r>
              <w:rPr>
                <w:rFonts w:hint="default" w:ascii="Times New Roman" w:hAnsi="Times New Roman" w:eastAsia="宋体" w:cs="Times New Roman"/>
                <w:color w:val="000000" w:themeColor="text1"/>
                <w:lang w:val="en-US" w:eastAsia="zh-CN" w:bidi="ar-SA"/>
                <w14:textFill>
                  <w14:solidFill>
                    <w14:schemeClr w14:val="tx1"/>
                  </w14:solidFill>
                </w14:textFill>
              </w:rPr>
              <w:t xml:space="preserve">  废水污染防治措施</w:t>
            </w:r>
          </w:p>
          <w:p w14:paraId="5AC5F89D">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000000" w:themeColor="text1"/>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bidi="ar-SA"/>
                <w14:textFill>
                  <w14:solidFill>
                    <w14:schemeClr w14:val="tx1"/>
                  </w14:solidFill>
                </w14:textFill>
              </w:rPr>
              <w:t>项目排水实行雨污分流的排水体制。</w:t>
            </w:r>
          </w:p>
          <w:p w14:paraId="4227010D">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lang w:val="en-US" w:eastAsia="zh-CN" w:bidi="ar-SA"/>
                <w14:textFill>
                  <w14:solidFill>
                    <w14:schemeClr w14:val="tx1"/>
                  </w14:solidFill>
                </w14:textFill>
              </w:rPr>
              <w:t>项目无产生废水排放，仅生活污水经化粪池预处理后经市政管网排入</w:t>
            </w:r>
            <w:r>
              <w:rPr>
                <w:rFonts w:hint="eastAsia" w:cs="Times New Roman"/>
                <w:color w:val="000000" w:themeColor="text1"/>
                <w:lang w:val="en-US" w:eastAsia="zh-CN" w:bidi="ar-SA"/>
                <w14:textFill>
                  <w14:solidFill>
                    <w14:schemeClr w14:val="tx1"/>
                  </w14:solidFill>
                </w14:textFill>
              </w:rPr>
              <w:t>皖江江南新兴产业集中区第一污水处理厂</w:t>
            </w:r>
            <w:r>
              <w:rPr>
                <w:rFonts w:hint="eastAsia" w:ascii="Times New Roman" w:hAnsi="Times New Roman" w:eastAsia="宋体" w:cs="Times New Roman"/>
                <w:color w:val="000000" w:themeColor="text1"/>
                <w:lang w:val="en-US" w:eastAsia="zh-CN" w:bidi="ar-SA"/>
                <w14:textFill>
                  <w14:solidFill>
                    <w14:schemeClr w14:val="tx1"/>
                  </w14:solidFill>
                </w14:textFill>
              </w:rPr>
              <w:t>进一步处理，废水可达到《污水综合排放标准》（GB8978-1996）中三级标准要求</w:t>
            </w:r>
            <w:r>
              <w:rPr>
                <w:rFonts w:hint="default" w:ascii="Times New Roman" w:hAnsi="Times New Roman" w:eastAsia="宋体" w:cs="Times New Roman"/>
                <w:color w:val="000000" w:themeColor="text1"/>
                <w:lang w:val="en-US" w:eastAsia="zh-CN" w:bidi="ar-SA"/>
                <w14:textFill>
                  <w14:solidFill>
                    <w14:schemeClr w14:val="tx1"/>
                  </w14:solidFill>
                </w14:textFill>
              </w:rPr>
              <w:t>和皖江江南新兴产业集中区第一污水处理厂的接管要求</w:t>
            </w:r>
            <w:r>
              <w:rPr>
                <w:rFonts w:hint="eastAsia" w:ascii="Times New Roman" w:hAnsi="Times New Roman" w:eastAsia="宋体" w:cs="Times New Roman"/>
                <w:color w:val="000000" w:themeColor="text1"/>
                <w:lang w:val="en-US" w:eastAsia="zh-CN" w:bidi="ar-SA"/>
                <w14:textFill>
                  <w14:solidFill>
                    <w14:schemeClr w14:val="tx1"/>
                  </w14:solidFill>
                </w14:textFill>
              </w:rPr>
              <w:t>。</w:t>
            </w:r>
          </w:p>
          <w:p w14:paraId="01CDC93B">
            <w:pPr>
              <w:pStyle w:val="43"/>
              <w:keepNext w:val="0"/>
              <w:keepLines w:val="0"/>
              <w:pageBreakBefore w:val="0"/>
              <w:kinsoku/>
              <w:wordWrap/>
              <w:overflowPunct/>
              <w:topLinePunct w:val="0"/>
              <w:autoSpaceDE/>
              <w:autoSpaceDN/>
              <w:bidi w:val="0"/>
              <w:adjustRightInd w:val="0"/>
              <w:snapToGrid w:val="0"/>
              <w:spacing w:line="360" w:lineRule="auto"/>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2.5  废水纳管可行性分析</w:t>
            </w:r>
          </w:p>
          <w:p w14:paraId="422D58A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（1）皖江江南新兴产业集中区第一污水处理厂基本情况</w:t>
            </w:r>
          </w:p>
          <w:p w14:paraId="75E57DB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江南产业集中区第一污水处理厂位于江南产业集中区起步区，九华河东岸、龙腾大道南侧。根据集中区总体规划，第一污水处理厂规划远期总建设规模20</w:t>
            </w:r>
            <w:r>
              <w:rPr>
                <w:rFonts w:hint="eastAsia"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万</w:t>
            </w: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0"/>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/d，需分期建设，总用地规模270.11亩，其中一期工程建设规模5万m</w:t>
            </w:r>
            <w:r>
              <w:rPr>
                <w:rFonts w:hint="default" w:ascii="Times New Roman" w:hAnsi="Times New Roman" w:eastAsia="宋体" w:cs="Times New Roman"/>
                <w:color w:val="000000" w:themeColor="text1"/>
                <w:kern w:val="0"/>
                <w:sz w:val="24"/>
                <w:szCs w:val="20"/>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/d，分为两组，每组建设规模2.5万m</w:t>
            </w:r>
            <w:r>
              <w:rPr>
                <w:rFonts w:hint="default" w:ascii="Times New Roman" w:hAnsi="Times New Roman" w:eastAsia="宋体" w:cs="Times New Roman"/>
                <w:color w:val="000000" w:themeColor="text1"/>
                <w:kern w:val="0"/>
                <w:sz w:val="24"/>
                <w:szCs w:val="20"/>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/d。一期工程已基本完成所有土建工程，目前一期一组2.5万m3/d设施已投入运行。第一污水处理厂采用</w:t>
            </w:r>
            <w:r>
              <w:rPr>
                <w:rFonts w:hint="eastAsia"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预处理+水解酸化池+改良型A2/O生化池+二沉池+BAF池+混合絮凝沉淀池+精密过滤池+紫外线消毒</w:t>
            </w:r>
            <w:r>
              <w:rPr>
                <w:rFonts w:hint="eastAsia"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工艺。污泥处理采用电渗透污泥干化技术工艺，臭气处理采用生物滤池工艺。尾水排放执行《城镇污水处理厂污染物排放标准》（GB18918-2002）中一级A标准，经九华河汇入长江。服务范围为江南集中区规划范围</w:t>
            </w:r>
            <w:r>
              <w:rPr>
                <w:rFonts w:hint="eastAsia" w:ascii="Times New Roman" w:hAnsi="Times New Roman" w:eastAsia="宋体" w:cs="Times New Roman"/>
                <w:color w:val="000000" w:themeColor="text1"/>
                <w:kern w:val="0"/>
                <w:sz w:val="24"/>
                <w:szCs w:val="20"/>
                <w:vertAlign w:val="baseline"/>
                <w:lang w:val="en-US" w:eastAsia="zh-CN" w:bidi="ar-SA"/>
                <w14:textFill>
                  <w14:solidFill>
                    <w14:schemeClr w14:val="tx1"/>
                  </w14:solidFill>
                </w14:textFill>
              </w:rPr>
              <w:t>。</w:t>
            </w:r>
          </w:p>
          <w:p w14:paraId="793520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bCs/>
                <w:color w:val="auto"/>
                <w:kern w:val="0"/>
                <w:szCs w:val="21"/>
              </w:rPr>
            </w:pPr>
            <w:r>
              <w:rPr>
                <w:color w:val="auto"/>
              </w:rPr>
              <w:drawing>
                <wp:inline distT="0" distB="0" distL="114300" distR="114300">
                  <wp:extent cx="5166360" cy="3080385"/>
                  <wp:effectExtent l="0" t="0" r="15240" b="5715"/>
                  <wp:docPr id="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pic:cNvPicPr>
                            <a:picLocks noChangeAspect="1"/>
                          </pic:cNvPicPr>
                        </pic:nvPicPr>
                        <pic:blipFill>
                          <a:blip r:embed="rId20"/>
                          <a:stretch>
                            <a:fillRect/>
                          </a:stretch>
                        </pic:blipFill>
                        <pic:spPr>
                          <a:xfrm>
                            <a:off x="0" y="0"/>
                            <a:ext cx="5166360" cy="3080385"/>
                          </a:xfrm>
                          <a:prstGeom prst="rect">
                            <a:avLst/>
                          </a:prstGeom>
                          <a:noFill/>
                          <a:ln>
                            <a:noFill/>
                          </a:ln>
                        </pic:spPr>
                      </pic:pic>
                    </a:graphicData>
                  </a:graphic>
                </wp:inline>
              </w:drawing>
            </w:r>
          </w:p>
          <w:p w14:paraId="400E422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Cs/>
                <w:color w:val="auto"/>
                <w:kern w:val="0"/>
                <w:sz w:val="24"/>
                <w:szCs w:val="24"/>
              </w:rPr>
            </w:pPr>
            <w:r>
              <w:rPr>
                <w:rFonts w:hint="eastAsia" w:ascii="Times New Roman" w:hAnsi="Times New Roman" w:cs="Times New Roman"/>
                <w:b/>
                <w:bCs w:val="0"/>
                <w:color w:val="auto"/>
                <w:kern w:val="0"/>
                <w:sz w:val="24"/>
                <w:szCs w:val="24"/>
                <w:lang w:val="en-US" w:eastAsia="zh-CN"/>
              </w:rPr>
              <w:t>图4-</w:t>
            </w:r>
            <w:r>
              <w:rPr>
                <w:rFonts w:hint="eastAsia" w:cs="Times New Roman"/>
                <w:b/>
                <w:bCs w:val="0"/>
                <w:color w:val="auto"/>
                <w:kern w:val="0"/>
                <w:sz w:val="24"/>
                <w:szCs w:val="24"/>
                <w:lang w:val="en-US" w:eastAsia="zh-CN"/>
              </w:rPr>
              <w:t>1</w:t>
            </w:r>
            <w:r>
              <w:rPr>
                <w:rFonts w:hint="eastAsia" w:ascii="Times New Roman" w:hAnsi="Times New Roman" w:cs="Times New Roman"/>
                <w:b/>
                <w:bCs w:val="0"/>
                <w:color w:val="auto"/>
                <w:kern w:val="0"/>
                <w:sz w:val="24"/>
                <w:szCs w:val="24"/>
                <w:lang w:val="en-US" w:eastAsia="zh-CN"/>
              </w:rPr>
              <w:t xml:space="preserve">  </w:t>
            </w:r>
            <w:r>
              <w:rPr>
                <w:rFonts w:hint="eastAsia" w:ascii="宋体" w:hAnsi="宋体" w:eastAsia="宋体"/>
                <w:b/>
                <w:bCs w:val="0"/>
                <w:color w:val="auto"/>
                <w:sz w:val="24"/>
                <w:szCs w:val="24"/>
              </w:rPr>
              <w:t>江南产业集中区第一污水处理厂处理工艺流程图</w:t>
            </w:r>
          </w:p>
          <w:p w14:paraId="4CABB45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color w:val="000000" w:themeColor="text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0"/>
                <w:lang w:val="en-US" w:eastAsia="zh-CN" w:bidi="ar-SA"/>
                <w14:textFill>
                  <w14:solidFill>
                    <w14:schemeClr w14:val="tx1"/>
                  </w14:solidFill>
                </w14:textFill>
              </w:rPr>
              <w:t>（2）纳管可行性</w:t>
            </w:r>
          </w:p>
          <w:p w14:paraId="5AB981F9">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①接管水质可行性：江南产业集中区第一污水处理厂承担规划范围内居民生活污水及工业园区工业废水，本项目外排废水主要污染物为COD、BOD</w:t>
            </w:r>
            <w:r>
              <w:rPr>
                <w:rFonts w:hint="eastAsia"/>
                <w:color w:val="000000" w:themeColor="text1"/>
                <w:vertAlign w:val="subscript"/>
                <w:lang w:val="en-US" w:eastAsia="zh-CN" w:bidi="ar-SA"/>
                <w14:textFill>
                  <w14:solidFill>
                    <w14:schemeClr w14:val="tx1"/>
                  </w14:solidFill>
                </w14:textFill>
              </w:rPr>
              <w:t>5</w:t>
            </w:r>
            <w:r>
              <w:rPr>
                <w:rFonts w:hint="eastAsia"/>
                <w:color w:val="000000" w:themeColor="text1"/>
                <w:lang w:val="en-US" w:eastAsia="zh-CN" w:bidi="ar-SA"/>
                <w14:textFill>
                  <w14:solidFill>
                    <w14:schemeClr w14:val="tx1"/>
                  </w14:solidFill>
                </w14:textFill>
              </w:rPr>
              <w:t>、氨氮、SS，没有特殊的污染因子，因此本项目废水排入江南产业集中区第一污水处理厂后不会对其水质造成冲击，从水质角度接管是可行的。</w:t>
            </w:r>
          </w:p>
          <w:p w14:paraId="0F938580">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②接管水量可行：本项目生活污水排放量约为1.6m</w:t>
            </w:r>
            <w:r>
              <w:rPr>
                <w:rFonts w:hint="eastAsia"/>
                <w:color w:val="000000" w:themeColor="text1"/>
                <w:vertAlign w:val="superscript"/>
                <w:lang w:val="en-US" w:eastAsia="zh-CN" w:bidi="ar-SA"/>
                <w14:textFill>
                  <w14:solidFill>
                    <w14:schemeClr w14:val="tx1"/>
                  </w14:solidFill>
                </w14:textFill>
              </w:rPr>
              <w:t>3</w:t>
            </w:r>
            <w:r>
              <w:rPr>
                <w:rFonts w:hint="eastAsia"/>
                <w:color w:val="000000" w:themeColor="text1"/>
                <w:lang w:val="en-US" w:eastAsia="zh-CN" w:bidi="ar-SA"/>
                <w14:textFill>
                  <w14:solidFill>
                    <w14:schemeClr w14:val="tx1"/>
                  </w14:solidFill>
                </w14:textFill>
              </w:rPr>
              <w:t>/d，皖江江南新兴产业集中区第一污水处理厂一期工程设计污水处理量为25000m</w:t>
            </w:r>
            <w:r>
              <w:rPr>
                <w:rFonts w:hint="eastAsia"/>
                <w:color w:val="000000" w:themeColor="text1"/>
                <w:vertAlign w:val="superscript"/>
                <w:lang w:val="en-US" w:eastAsia="zh-CN" w:bidi="ar-SA"/>
                <w14:textFill>
                  <w14:solidFill>
                    <w14:schemeClr w14:val="tx1"/>
                  </w14:solidFill>
                </w14:textFill>
              </w:rPr>
              <w:t>3</w:t>
            </w:r>
            <w:r>
              <w:rPr>
                <w:rFonts w:hint="eastAsia"/>
                <w:color w:val="000000" w:themeColor="text1"/>
                <w:lang w:val="en-US" w:eastAsia="zh-CN" w:bidi="ar-SA"/>
                <w14:textFill>
                  <w14:solidFill>
                    <w14:schemeClr w14:val="tx1"/>
                  </w14:solidFill>
                </w14:textFill>
              </w:rPr>
              <w:t>/d，目前已投入运行，本项目建成后新增生活污水排放量占其处理能力的0.0064%，不会对其处理能力造成冲击，因此接管水量可行。</w:t>
            </w:r>
          </w:p>
          <w:p w14:paraId="46290133">
            <w:pPr>
              <w:pStyle w:val="43"/>
              <w:keepNext w:val="0"/>
              <w:keepLines w:val="0"/>
              <w:pageBreakBefore w:val="0"/>
              <w:kinsoku/>
              <w:wordWrap/>
              <w:overflowPunct/>
              <w:topLinePunct w:val="0"/>
              <w:autoSpaceDE/>
              <w:autoSpaceDN/>
              <w:bidi w:val="0"/>
              <w:adjustRightInd w:val="0"/>
              <w:snapToGrid w:val="0"/>
              <w:textAlignment w:val="auto"/>
              <w:rPr>
                <w:rFonts w:hint="default"/>
                <w:color w:val="000000" w:themeColor="text1"/>
                <w:vertAlign w:val="baseline"/>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③接管范围可行性：根据《安徽省江南产业集中区产业发展规划2019-2030》污水工程规划图，项目地属皖江江南新兴产业集中区第一污水处理厂纳管范围，项目区域内目前已经配套污水管网。</w:t>
            </w:r>
          </w:p>
          <w:p w14:paraId="0AB7D35C">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vertAlign w:val="baseline"/>
                <w:lang w:val="en-US" w:eastAsia="zh-CN" w:bidi="ar-SA"/>
                <w14:textFill>
                  <w14:solidFill>
                    <w14:schemeClr w14:val="tx1"/>
                  </w14:solidFill>
                </w14:textFill>
              </w:rPr>
            </w:pPr>
            <w:r>
              <w:rPr>
                <w:rFonts w:hint="eastAsia"/>
                <w:color w:val="000000" w:themeColor="text1"/>
                <w:vertAlign w:val="baseline"/>
                <w:lang w:val="en-US" w:eastAsia="zh-CN" w:bidi="ar-SA"/>
                <w14:textFill>
                  <w14:solidFill>
                    <w14:schemeClr w14:val="tx1"/>
                  </w14:solidFill>
                </w14:textFill>
              </w:rPr>
              <w:t>2.6  废水对水环境影响分析</w:t>
            </w:r>
          </w:p>
          <w:p w14:paraId="7BF699AE">
            <w:pPr>
              <w:pStyle w:val="43"/>
              <w:keepNext w:val="0"/>
              <w:keepLines w:val="0"/>
              <w:pageBreakBefore w:val="0"/>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vertAlign w:val="baseline"/>
                <w:lang w:val="en-US" w:eastAsia="zh-CN" w:bidi="ar-SA"/>
                <w14:textFill>
                  <w14:solidFill>
                    <w14:schemeClr w14:val="tx1"/>
                  </w14:solidFill>
                </w14:textFill>
              </w:rPr>
              <w:t>项目仅生活污水通过污水管网排入皖江江南新兴产业集中区第一污水处理厂处理，达到《城镇污水处理厂污染物排放标准》</w:t>
            </w:r>
            <w:r>
              <w:rPr>
                <w:rFonts w:hint="eastAsia"/>
                <w:color w:val="000000" w:themeColor="text1"/>
                <w:highlight w:val="none"/>
                <w:vertAlign w:val="baseline"/>
                <w:lang w:val="en-US" w:eastAsia="zh-CN" w:bidi="ar-SA"/>
                <w14:textFill>
                  <w14:solidFill>
                    <w14:schemeClr w14:val="tx1"/>
                  </w14:solidFill>
                </w14:textFill>
              </w:rPr>
              <w:t>（</w:t>
            </w:r>
            <w:r>
              <w:rPr>
                <w:rFonts w:hint="eastAsia"/>
                <w:color w:val="000000" w:themeColor="text1"/>
                <w:vertAlign w:val="baseline"/>
                <w:lang w:val="en-US" w:eastAsia="zh-CN" w:bidi="ar-SA"/>
                <w14:textFill>
                  <w14:solidFill>
                    <w14:schemeClr w14:val="tx1"/>
                  </w14:solidFill>
                </w14:textFill>
              </w:rPr>
              <w:t>GB18918-2002</w:t>
            </w:r>
            <w:r>
              <w:rPr>
                <w:rFonts w:hint="eastAsia"/>
                <w:color w:val="000000" w:themeColor="text1"/>
                <w:highlight w:val="none"/>
                <w:vertAlign w:val="baseline"/>
                <w:lang w:val="en-US" w:eastAsia="zh-CN" w:bidi="ar-SA"/>
                <w14:textFill>
                  <w14:solidFill>
                    <w14:schemeClr w14:val="tx1"/>
                  </w14:solidFill>
                </w14:textFill>
              </w:rPr>
              <w:t>）</w:t>
            </w:r>
            <w:r>
              <w:rPr>
                <w:rFonts w:hint="eastAsia"/>
                <w:color w:val="000000" w:themeColor="text1"/>
                <w:vertAlign w:val="baseline"/>
                <w:lang w:val="en-US" w:eastAsia="zh-CN" w:bidi="ar-SA"/>
                <w14:textFill>
                  <w14:solidFill>
                    <w14:schemeClr w14:val="tx1"/>
                  </w14:solidFill>
                </w14:textFill>
              </w:rPr>
              <w:t>一级A标准后排放，因此对水环境影响较小。</w:t>
            </w:r>
          </w:p>
          <w:p w14:paraId="353FDCA8">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3、噪声</w:t>
            </w:r>
          </w:p>
          <w:p w14:paraId="016ACED5">
            <w:pPr>
              <w:pStyle w:val="43"/>
              <w:keepNext w:val="0"/>
              <w:keepLines w:val="0"/>
              <w:pageBreakBefore w:val="0"/>
              <w:kinsoku/>
              <w:wordWrap/>
              <w:overflowPunct/>
              <w:topLinePunct w:val="0"/>
              <w:autoSpaceDE/>
              <w:autoSpaceDN/>
              <w:bidi w:val="0"/>
              <w:adjustRightInd w:val="0"/>
              <w:snapToGrid w:val="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项目噪声源主要是各设备运行时产生的噪声，其噪声源强在70~90dB</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A</w:t>
            </w:r>
            <w:r>
              <w:rPr>
                <w:rFonts w:hint="eastAsia"/>
                <w:color w:val="000000" w:themeColor="text1"/>
                <w:highlight w:val="none"/>
                <w:lang w:val="en-US" w:eastAsia="zh-CN" w:bidi="ar-SA"/>
                <w14:textFill>
                  <w14:solidFill>
                    <w14:schemeClr w14:val="tx1"/>
                  </w14:solidFill>
                </w14:textFill>
              </w:rPr>
              <w:t>）</w:t>
            </w:r>
            <w:r>
              <w:rPr>
                <w:rFonts w:hint="eastAsia"/>
                <w:color w:val="000000" w:themeColor="text1"/>
                <w:lang w:val="en-US" w:eastAsia="zh-CN" w:bidi="ar-SA"/>
                <w14:textFill>
                  <w14:solidFill>
                    <w14:schemeClr w14:val="tx1"/>
                  </w14:solidFill>
                </w14:textFill>
              </w:rPr>
              <w:t>，</w:t>
            </w:r>
          </w:p>
          <w:p w14:paraId="0F125A48">
            <w:pPr>
              <w:pStyle w:val="43"/>
              <w:keepNext w:val="0"/>
              <w:keepLines w:val="0"/>
              <w:pageBreakBefore w:val="0"/>
              <w:kinsoku/>
              <w:wordWrap/>
              <w:overflowPunct/>
              <w:topLinePunct w:val="0"/>
              <w:autoSpaceDE/>
              <w:autoSpaceDN/>
              <w:bidi w:val="0"/>
              <w:adjustRightInd w:val="0"/>
              <w:snapToGrid w:val="0"/>
              <w:ind w:left="0" w:leftChars="0"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具体情况详见下表：</w:t>
            </w:r>
          </w:p>
          <w:p w14:paraId="326683B2">
            <w:pPr>
              <w:pStyle w:val="4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10</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项目主要噪声源强、防治措施及效果</w:t>
            </w:r>
          </w:p>
          <w:tbl>
            <w:tblPr>
              <w:tblStyle w:val="24"/>
              <w:tblW w:w="499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294"/>
              <w:gridCol w:w="402"/>
              <w:gridCol w:w="941"/>
              <w:gridCol w:w="557"/>
              <w:gridCol w:w="804"/>
              <w:gridCol w:w="519"/>
              <w:gridCol w:w="435"/>
              <w:gridCol w:w="447"/>
              <w:gridCol w:w="509"/>
              <w:gridCol w:w="595"/>
              <w:gridCol w:w="617"/>
              <w:gridCol w:w="527"/>
              <w:gridCol w:w="607"/>
              <w:gridCol w:w="632"/>
              <w:gridCol w:w="445"/>
            </w:tblGrid>
            <w:tr w14:paraId="01A3FB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510" w:hRule="atLeast"/>
                <w:jc w:val="center"/>
              </w:trPr>
              <w:tc>
                <w:tcPr>
                  <w:tcW w:w="177" w:type="pct"/>
                  <w:vMerge w:val="restart"/>
                  <w:tcBorders>
                    <w:tl2br w:val="nil"/>
                    <w:tr2bl w:val="nil"/>
                  </w:tcBorders>
                  <w:noWrap w:val="0"/>
                  <w:vAlign w:val="center"/>
                </w:tcPr>
                <w:p w14:paraId="2034CFC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序号</w:t>
                  </w:r>
                </w:p>
              </w:tc>
              <w:tc>
                <w:tcPr>
                  <w:tcW w:w="241" w:type="pct"/>
                  <w:vMerge w:val="restart"/>
                  <w:tcBorders>
                    <w:tl2br w:val="nil"/>
                    <w:tr2bl w:val="nil"/>
                  </w:tcBorders>
                  <w:noWrap w:val="0"/>
                  <w:vAlign w:val="center"/>
                </w:tcPr>
                <w:p w14:paraId="7C67250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建筑物名称</w:t>
                  </w:r>
                </w:p>
              </w:tc>
              <w:tc>
                <w:tcPr>
                  <w:tcW w:w="564" w:type="pct"/>
                  <w:vMerge w:val="restart"/>
                  <w:tcBorders>
                    <w:tl2br w:val="nil"/>
                    <w:tr2bl w:val="nil"/>
                  </w:tcBorders>
                  <w:noWrap w:val="0"/>
                  <w:vAlign w:val="center"/>
                </w:tcPr>
                <w:p w14:paraId="749346D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声源名称</w:t>
                  </w:r>
                </w:p>
              </w:tc>
              <w:tc>
                <w:tcPr>
                  <w:tcW w:w="334" w:type="pct"/>
                  <w:vMerge w:val="restart"/>
                  <w:tcBorders>
                    <w:tl2br w:val="nil"/>
                    <w:tr2bl w:val="nil"/>
                  </w:tcBorders>
                  <w:noWrap w:val="0"/>
                  <w:vAlign w:val="center"/>
                </w:tcPr>
                <w:p w14:paraId="097CF43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数量（台/套）</w:t>
                  </w:r>
                </w:p>
              </w:tc>
              <w:tc>
                <w:tcPr>
                  <w:tcW w:w="482" w:type="pct"/>
                  <w:tcBorders>
                    <w:tl2br w:val="nil"/>
                    <w:tr2bl w:val="nil"/>
                  </w:tcBorders>
                  <w:noWrap w:val="0"/>
                  <w:vAlign w:val="center"/>
                </w:tcPr>
                <w:p w14:paraId="389E54A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声源源强</w:t>
                  </w:r>
                </w:p>
              </w:tc>
              <w:tc>
                <w:tcPr>
                  <w:tcW w:w="311" w:type="pct"/>
                  <w:vMerge w:val="restart"/>
                  <w:tcBorders>
                    <w:tl2br w:val="nil"/>
                    <w:tr2bl w:val="nil"/>
                  </w:tcBorders>
                  <w:noWrap w:val="0"/>
                  <w:vAlign w:val="center"/>
                </w:tcPr>
                <w:p w14:paraId="50E2D64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声源控制措施</w:t>
                  </w:r>
                </w:p>
              </w:tc>
              <w:tc>
                <w:tcPr>
                  <w:tcW w:w="834" w:type="pct"/>
                  <w:gridSpan w:val="3"/>
                  <w:tcBorders>
                    <w:tl2br w:val="nil"/>
                    <w:tr2bl w:val="nil"/>
                  </w:tcBorders>
                  <w:noWrap w:val="0"/>
                  <w:vAlign w:val="center"/>
                </w:tcPr>
                <w:p w14:paraId="41FB43C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空间相对位置</w:t>
                  </w:r>
                </w:p>
              </w:tc>
              <w:tc>
                <w:tcPr>
                  <w:tcW w:w="357" w:type="pct"/>
                  <w:vMerge w:val="restart"/>
                  <w:tcBorders>
                    <w:tl2br w:val="nil"/>
                    <w:tr2bl w:val="nil"/>
                  </w:tcBorders>
                  <w:noWrap w:val="0"/>
                  <w:vAlign w:val="center"/>
                </w:tcPr>
                <w:p w14:paraId="472198D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距室内边界距离</w:t>
                  </w:r>
                </w:p>
              </w:tc>
              <w:tc>
                <w:tcPr>
                  <w:tcW w:w="370" w:type="pct"/>
                  <w:vMerge w:val="restart"/>
                  <w:tcBorders>
                    <w:tl2br w:val="nil"/>
                    <w:tr2bl w:val="nil"/>
                  </w:tcBorders>
                  <w:noWrap w:val="0"/>
                  <w:vAlign w:val="center"/>
                </w:tcPr>
                <w:p w14:paraId="7F9FE466">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室内边界声级/dB（A）</w:t>
                  </w:r>
                </w:p>
              </w:tc>
              <w:tc>
                <w:tcPr>
                  <w:tcW w:w="316" w:type="pct"/>
                  <w:vMerge w:val="restart"/>
                  <w:tcBorders>
                    <w:tl2br w:val="nil"/>
                    <w:tr2bl w:val="nil"/>
                  </w:tcBorders>
                  <w:noWrap w:val="0"/>
                  <w:vAlign w:val="center"/>
                </w:tcPr>
                <w:p w14:paraId="0CFEB0E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运行时段</w:t>
                  </w:r>
                </w:p>
              </w:tc>
              <w:tc>
                <w:tcPr>
                  <w:tcW w:w="364" w:type="pct"/>
                  <w:vMerge w:val="restart"/>
                  <w:tcBorders>
                    <w:tl2br w:val="nil"/>
                    <w:tr2bl w:val="nil"/>
                  </w:tcBorders>
                  <w:noWrap w:val="0"/>
                  <w:vAlign w:val="center"/>
                </w:tcPr>
                <w:p w14:paraId="2DC68F9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建筑物插入损失/dB（A）</w:t>
                  </w:r>
                </w:p>
              </w:tc>
              <w:tc>
                <w:tcPr>
                  <w:tcW w:w="646" w:type="pct"/>
                  <w:gridSpan w:val="2"/>
                  <w:tcBorders>
                    <w:tl2br w:val="nil"/>
                    <w:tr2bl w:val="nil"/>
                  </w:tcBorders>
                  <w:noWrap w:val="0"/>
                  <w:vAlign w:val="center"/>
                </w:tcPr>
                <w:p w14:paraId="1795A59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建筑物外噪声</w:t>
                  </w:r>
                </w:p>
              </w:tc>
            </w:tr>
            <w:tr w14:paraId="54AC39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vMerge w:val="continue"/>
                  <w:tcBorders>
                    <w:tl2br w:val="nil"/>
                    <w:tr2bl w:val="nil"/>
                  </w:tcBorders>
                  <w:noWrap w:val="0"/>
                  <w:vAlign w:val="center"/>
                </w:tcPr>
                <w:p w14:paraId="2FCB57F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241" w:type="pct"/>
                  <w:vMerge w:val="continue"/>
                  <w:tcBorders>
                    <w:tl2br w:val="nil"/>
                    <w:tr2bl w:val="nil"/>
                  </w:tcBorders>
                  <w:noWrap w:val="0"/>
                  <w:vAlign w:val="center"/>
                </w:tcPr>
                <w:p w14:paraId="58B3794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564" w:type="pct"/>
                  <w:vMerge w:val="continue"/>
                  <w:tcBorders>
                    <w:tl2br w:val="nil"/>
                    <w:tr2bl w:val="nil"/>
                  </w:tcBorders>
                  <w:noWrap w:val="0"/>
                  <w:vAlign w:val="center"/>
                </w:tcPr>
                <w:p w14:paraId="267F4B4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334" w:type="pct"/>
                  <w:vMerge w:val="continue"/>
                  <w:tcBorders>
                    <w:tl2br w:val="nil"/>
                    <w:tr2bl w:val="nil"/>
                  </w:tcBorders>
                  <w:noWrap w:val="0"/>
                  <w:vAlign w:val="center"/>
                </w:tcPr>
                <w:p w14:paraId="081527C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482" w:type="pct"/>
                  <w:tcBorders>
                    <w:tl2br w:val="nil"/>
                    <w:tr2bl w:val="nil"/>
                  </w:tcBorders>
                  <w:noWrap w:val="0"/>
                  <w:vAlign w:val="center"/>
                </w:tcPr>
                <w:p w14:paraId="0EE78DA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eastAsia="zh-CN"/>
                    </w:rPr>
                    <w:t>（</w:t>
                  </w:r>
                  <w:r>
                    <w:rPr>
                      <w:rFonts w:hint="default" w:ascii="Times New Roman" w:hAnsi="Times New Roman" w:eastAsia="宋体" w:cs="Times New Roman"/>
                      <w:b w:val="0"/>
                      <w:bCs w:val="0"/>
                      <w:color w:val="auto"/>
                      <w:sz w:val="18"/>
                      <w:szCs w:val="18"/>
                      <w:vertAlign w:val="baseline"/>
                      <w:lang w:val="en-US" w:eastAsia="zh-CN"/>
                    </w:rPr>
                    <w:t>声功率级</w:t>
                  </w:r>
                  <w:r>
                    <w:rPr>
                      <w:rFonts w:hint="default" w:ascii="Times New Roman" w:hAnsi="Times New Roman" w:eastAsia="宋体" w:cs="Times New Roman"/>
                      <w:b w:val="0"/>
                      <w:bCs w:val="0"/>
                      <w:color w:val="auto"/>
                      <w:sz w:val="18"/>
                      <w:szCs w:val="18"/>
                      <w:vertAlign w:val="baseline"/>
                      <w:lang w:eastAsia="zh-CN"/>
                    </w:rPr>
                    <w:t>）</w:t>
                  </w:r>
                  <w:r>
                    <w:rPr>
                      <w:rFonts w:hint="default" w:ascii="Times New Roman" w:hAnsi="Times New Roman" w:eastAsia="宋体" w:cs="Times New Roman"/>
                      <w:b w:val="0"/>
                      <w:bCs w:val="0"/>
                      <w:color w:val="auto"/>
                      <w:sz w:val="18"/>
                      <w:szCs w:val="18"/>
                      <w:vertAlign w:val="baseline"/>
                      <w:lang w:val="en-US" w:eastAsia="zh-CN"/>
                    </w:rPr>
                    <w:t>/（dB（A））</w:t>
                  </w:r>
                </w:p>
              </w:tc>
              <w:tc>
                <w:tcPr>
                  <w:tcW w:w="311" w:type="pct"/>
                  <w:vMerge w:val="continue"/>
                  <w:tcBorders>
                    <w:tl2br w:val="nil"/>
                    <w:tr2bl w:val="nil"/>
                  </w:tcBorders>
                  <w:noWrap w:val="0"/>
                  <w:vAlign w:val="center"/>
                </w:tcPr>
                <w:p w14:paraId="0E807E0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261" w:type="pct"/>
                  <w:tcBorders>
                    <w:tl2br w:val="nil"/>
                    <w:tr2bl w:val="nil"/>
                  </w:tcBorders>
                  <w:noWrap w:val="0"/>
                  <w:vAlign w:val="center"/>
                </w:tcPr>
                <w:p w14:paraId="25ABB5F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X</w:t>
                  </w:r>
                </w:p>
              </w:tc>
              <w:tc>
                <w:tcPr>
                  <w:tcW w:w="268" w:type="pct"/>
                  <w:tcBorders>
                    <w:tl2br w:val="nil"/>
                    <w:tr2bl w:val="nil"/>
                  </w:tcBorders>
                  <w:noWrap w:val="0"/>
                  <w:vAlign w:val="center"/>
                </w:tcPr>
                <w:p w14:paraId="36C3AC0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Y</w:t>
                  </w:r>
                </w:p>
              </w:tc>
              <w:tc>
                <w:tcPr>
                  <w:tcW w:w="305" w:type="pct"/>
                  <w:tcBorders>
                    <w:tl2br w:val="nil"/>
                    <w:tr2bl w:val="nil"/>
                  </w:tcBorders>
                  <w:noWrap w:val="0"/>
                  <w:vAlign w:val="center"/>
                </w:tcPr>
                <w:p w14:paraId="7936AD1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Z</w:t>
                  </w:r>
                </w:p>
              </w:tc>
              <w:tc>
                <w:tcPr>
                  <w:tcW w:w="357" w:type="pct"/>
                  <w:vMerge w:val="continue"/>
                  <w:tcBorders>
                    <w:tl2br w:val="nil"/>
                    <w:tr2bl w:val="nil"/>
                  </w:tcBorders>
                  <w:noWrap w:val="0"/>
                  <w:vAlign w:val="center"/>
                </w:tcPr>
                <w:p w14:paraId="473712A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370" w:type="pct"/>
                  <w:vMerge w:val="continue"/>
                  <w:tcBorders>
                    <w:tl2br w:val="nil"/>
                    <w:tr2bl w:val="nil"/>
                  </w:tcBorders>
                  <w:noWrap w:val="0"/>
                  <w:vAlign w:val="center"/>
                </w:tcPr>
                <w:p w14:paraId="2F7597A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316" w:type="pct"/>
                  <w:vMerge w:val="continue"/>
                  <w:tcBorders>
                    <w:tl2br w:val="nil"/>
                    <w:tr2bl w:val="nil"/>
                  </w:tcBorders>
                  <w:noWrap w:val="0"/>
                  <w:vAlign w:val="center"/>
                </w:tcPr>
                <w:p w14:paraId="4036FC7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364" w:type="pct"/>
                  <w:vMerge w:val="continue"/>
                  <w:tcBorders>
                    <w:tl2br w:val="nil"/>
                    <w:tr2bl w:val="nil"/>
                  </w:tcBorders>
                  <w:noWrap w:val="0"/>
                  <w:vAlign w:val="center"/>
                </w:tcPr>
                <w:p w14:paraId="58C988E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rPr>
                  </w:pPr>
                </w:p>
              </w:tc>
              <w:tc>
                <w:tcPr>
                  <w:tcW w:w="379" w:type="pct"/>
                  <w:tcBorders>
                    <w:tl2br w:val="nil"/>
                    <w:tr2bl w:val="nil"/>
                  </w:tcBorders>
                  <w:noWrap w:val="0"/>
                  <w:vAlign w:val="center"/>
                </w:tcPr>
                <w:p w14:paraId="24E03BA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声压级/dB（A）</w:t>
                  </w:r>
                </w:p>
              </w:tc>
              <w:tc>
                <w:tcPr>
                  <w:tcW w:w="267" w:type="pct"/>
                  <w:tcBorders>
                    <w:tl2br w:val="nil"/>
                    <w:tr2bl w:val="nil"/>
                  </w:tcBorders>
                  <w:noWrap w:val="0"/>
                  <w:vAlign w:val="center"/>
                </w:tcPr>
                <w:p w14:paraId="2338C2A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建筑物外距离</w:t>
                  </w:r>
                </w:p>
              </w:tc>
            </w:tr>
            <w:tr w14:paraId="3110BA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4FE47928">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default" w:ascii="Times New Roman" w:hAnsi="Times New Roman" w:eastAsia="宋体" w:cs="Times New Roman"/>
                      <w:b w:val="0"/>
                      <w:bCs w:val="0"/>
                      <w:color w:val="auto"/>
                      <w:kern w:val="2"/>
                      <w:sz w:val="18"/>
                      <w:szCs w:val="18"/>
                      <w:lang w:val="en-US" w:eastAsia="zh-CN" w:bidi="ar-SA"/>
                    </w:rPr>
                    <w:t>1</w:t>
                  </w:r>
                </w:p>
              </w:tc>
              <w:tc>
                <w:tcPr>
                  <w:tcW w:w="241" w:type="pct"/>
                  <w:vMerge w:val="restart"/>
                  <w:tcBorders>
                    <w:tl2br w:val="nil"/>
                    <w:tr2bl w:val="nil"/>
                  </w:tcBorders>
                  <w:noWrap w:val="0"/>
                  <w:vAlign w:val="center"/>
                </w:tcPr>
                <w:p w14:paraId="7067B6C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r>
                    <w:rPr>
                      <w:rFonts w:hint="eastAsia" w:ascii="Times New Roman" w:hAnsi="Times New Roman" w:eastAsia="宋体" w:cs="Times New Roman"/>
                      <w:b w:val="0"/>
                      <w:bCs w:val="0"/>
                      <w:color w:val="auto"/>
                      <w:sz w:val="18"/>
                      <w:szCs w:val="18"/>
                      <w:vertAlign w:val="baseline"/>
                      <w:lang w:val="en-US" w:eastAsia="zh-CN"/>
                    </w:rPr>
                    <w:t>#厂房</w:t>
                  </w:r>
                  <w:r>
                    <w:rPr>
                      <w:rFonts w:hint="eastAsia" w:cs="Times New Roman"/>
                      <w:b w:val="0"/>
                      <w:bCs w:val="0"/>
                      <w:color w:val="auto"/>
                      <w:sz w:val="18"/>
                      <w:szCs w:val="18"/>
                      <w:vertAlign w:val="baseline"/>
                      <w:lang w:val="en-US" w:eastAsia="zh-CN"/>
                    </w:rPr>
                    <w:t>北部</w:t>
                  </w:r>
                </w:p>
              </w:tc>
              <w:tc>
                <w:tcPr>
                  <w:tcW w:w="564" w:type="pct"/>
                  <w:tcBorders>
                    <w:tl2br w:val="nil"/>
                    <w:tr2bl w:val="nil"/>
                  </w:tcBorders>
                  <w:noWrap w:val="0"/>
                  <w:vAlign w:val="center"/>
                </w:tcPr>
                <w:p w14:paraId="534A6B0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sz w:val="18"/>
                      <w:szCs w:val="18"/>
                      <w:lang w:val="en-US" w:eastAsia="zh-CN"/>
                    </w:rPr>
                    <w:t>7</w:t>
                  </w:r>
                  <w:r>
                    <w:rPr>
                      <w:rFonts w:hint="eastAsia" w:ascii="Times New Roman" w:hAnsi="Times New Roman" w:eastAsia="宋体" w:cs="Times New Roman"/>
                      <w:b w:val="0"/>
                      <w:bCs w:val="0"/>
                      <w:sz w:val="18"/>
                      <w:szCs w:val="18"/>
                      <w:lang w:val="en-US" w:eastAsia="zh-CN"/>
                    </w:rPr>
                    <w:t>00T挤压机</w:t>
                  </w:r>
                  <w:r>
                    <w:rPr>
                      <w:rFonts w:hint="eastAsia" w:cs="Times New Roman"/>
                      <w:b w:val="0"/>
                      <w:bCs w:val="0"/>
                      <w:sz w:val="18"/>
                      <w:szCs w:val="18"/>
                      <w:lang w:val="en-US" w:eastAsia="zh-CN"/>
                    </w:rPr>
                    <w:t>1</w:t>
                  </w:r>
                </w:p>
              </w:tc>
              <w:tc>
                <w:tcPr>
                  <w:tcW w:w="334" w:type="pct"/>
                  <w:tcBorders>
                    <w:tl2br w:val="nil"/>
                    <w:tr2bl w:val="nil"/>
                  </w:tcBorders>
                  <w:noWrap w:val="0"/>
                  <w:vAlign w:val="center"/>
                </w:tcPr>
                <w:p w14:paraId="49B9D82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66024DE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80</w:t>
                  </w:r>
                </w:p>
              </w:tc>
              <w:tc>
                <w:tcPr>
                  <w:tcW w:w="311" w:type="pct"/>
                  <w:vMerge w:val="restart"/>
                  <w:tcBorders>
                    <w:tl2br w:val="nil"/>
                    <w:tr2bl w:val="nil"/>
                  </w:tcBorders>
                  <w:noWrap w:val="0"/>
                  <w:vAlign w:val="center"/>
                </w:tcPr>
                <w:p w14:paraId="77238FD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选用低噪声设备，基础减振，厂房隔声</w:t>
                  </w:r>
                </w:p>
              </w:tc>
              <w:tc>
                <w:tcPr>
                  <w:tcW w:w="261" w:type="pct"/>
                  <w:tcBorders>
                    <w:tl2br w:val="nil"/>
                    <w:tr2bl w:val="nil"/>
                  </w:tcBorders>
                  <w:noWrap w:val="0"/>
                  <w:vAlign w:val="center"/>
                </w:tcPr>
                <w:p w14:paraId="7823342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8</w:t>
                  </w:r>
                </w:p>
              </w:tc>
              <w:tc>
                <w:tcPr>
                  <w:tcW w:w="268" w:type="pct"/>
                  <w:tcBorders>
                    <w:tl2br w:val="nil"/>
                    <w:tr2bl w:val="nil"/>
                  </w:tcBorders>
                  <w:noWrap w:val="0"/>
                  <w:vAlign w:val="center"/>
                </w:tcPr>
                <w:p w14:paraId="4A84B5D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56</w:t>
                  </w:r>
                </w:p>
              </w:tc>
              <w:tc>
                <w:tcPr>
                  <w:tcW w:w="305" w:type="pct"/>
                  <w:tcBorders>
                    <w:tl2br w:val="nil"/>
                    <w:tr2bl w:val="nil"/>
                  </w:tcBorders>
                  <w:noWrap w:val="0"/>
                  <w:vAlign w:val="center"/>
                </w:tcPr>
                <w:p w14:paraId="130C6D4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32805A4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370" w:type="pct"/>
                  <w:tcBorders>
                    <w:tl2br w:val="nil"/>
                    <w:tr2bl w:val="nil"/>
                  </w:tcBorders>
                  <w:noWrap w:val="0"/>
                  <w:vAlign w:val="center"/>
                </w:tcPr>
                <w:p w14:paraId="7760A7D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68</w:t>
                  </w:r>
                </w:p>
              </w:tc>
              <w:tc>
                <w:tcPr>
                  <w:tcW w:w="316" w:type="pct"/>
                  <w:vMerge w:val="restart"/>
                  <w:tcBorders>
                    <w:tl2br w:val="nil"/>
                    <w:tr2bl w:val="nil"/>
                  </w:tcBorders>
                  <w:noWrap w:val="0"/>
                  <w:vAlign w:val="center"/>
                </w:tcPr>
                <w:p w14:paraId="03A7957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昼间连续</w:t>
                  </w:r>
                </w:p>
              </w:tc>
              <w:tc>
                <w:tcPr>
                  <w:tcW w:w="364" w:type="pct"/>
                  <w:tcBorders>
                    <w:tl2br w:val="nil"/>
                    <w:tr2bl w:val="nil"/>
                  </w:tcBorders>
                  <w:noWrap w:val="0"/>
                  <w:vAlign w:val="center"/>
                </w:tcPr>
                <w:p w14:paraId="68DFDAF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0645EFD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48</w:t>
                  </w:r>
                </w:p>
              </w:tc>
              <w:tc>
                <w:tcPr>
                  <w:tcW w:w="267" w:type="pct"/>
                  <w:tcBorders>
                    <w:tl2br w:val="nil"/>
                    <w:tr2bl w:val="nil"/>
                  </w:tcBorders>
                  <w:noWrap w:val="0"/>
                  <w:vAlign w:val="center"/>
                </w:tcPr>
                <w:p w14:paraId="3079F05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3D519C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7188BBD6">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2</w:t>
                  </w:r>
                </w:p>
              </w:tc>
              <w:tc>
                <w:tcPr>
                  <w:tcW w:w="241" w:type="pct"/>
                  <w:vMerge w:val="continue"/>
                  <w:tcBorders>
                    <w:tl2br w:val="nil"/>
                    <w:tr2bl w:val="nil"/>
                  </w:tcBorders>
                  <w:noWrap w:val="0"/>
                  <w:vAlign w:val="center"/>
                </w:tcPr>
                <w:p w14:paraId="2618BED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65CE472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s="Times New Roman"/>
                      <w:b w:val="0"/>
                      <w:bCs w:val="0"/>
                      <w:sz w:val="18"/>
                      <w:szCs w:val="18"/>
                      <w:lang w:val="en-US" w:eastAsia="zh-CN"/>
                    </w:rPr>
                  </w:pPr>
                  <w:r>
                    <w:rPr>
                      <w:rFonts w:hint="eastAsia" w:cs="Times New Roman"/>
                      <w:b w:val="0"/>
                      <w:bCs w:val="0"/>
                      <w:sz w:val="18"/>
                      <w:szCs w:val="18"/>
                      <w:lang w:val="en-US" w:eastAsia="zh-CN"/>
                    </w:rPr>
                    <w:t>7</w:t>
                  </w:r>
                  <w:r>
                    <w:rPr>
                      <w:rFonts w:hint="eastAsia" w:ascii="Times New Roman" w:hAnsi="Times New Roman" w:eastAsia="宋体" w:cs="Times New Roman"/>
                      <w:b w:val="0"/>
                      <w:bCs w:val="0"/>
                      <w:sz w:val="18"/>
                      <w:szCs w:val="18"/>
                      <w:lang w:val="en-US" w:eastAsia="zh-CN"/>
                    </w:rPr>
                    <w:t>00T挤压机</w:t>
                  </w:r>
                  <w:r>
                    <w:rPr>
                      <w:rFonts w:hint="eastAsia" w:cs="Times New Roman"/>
                      <w:b w:val="0"/>
                      <w:bCs w:val="0"/>
                      <w:sz w:val="18"/>
                      <w:szCs w:val="18"/>
                      <w:lang w:val="en-US" w:eastAsia="zh-CN"/>
                    </w:rPr>
                    <w:t>2</w:t>
                  </w:r>
                </w:p>
              </w:tc>
              <w:tc>
                <w:tcPr>
                  <w:tcW w:w="334" w:type="pct"/>
                  <w:tcBorders>
                    <w:tl2br w:val="nil"/>
                    <w:tr2bl w:val="nil"/>
                  </w:tcBorders>
                  <w:noWrap w:val="0"/>
                  <w:vAlign w:val="center"/>
                </w:tcPr>
                <w:p w14:paraId="179B9A4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392767E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80</w:t>
                  </w:r>
                </w:p>
              </w:tc>
              <w:tc>
                <w:tcPr>
                  <w:tcW w:w="311" w:type="pct"/>
                  <w:vMerge w:val="continue"/>
                  <w:tcBorders>
                    <w:tl2br w:val="nil"/>
                    <w:tr2bl w:val="nil"/>
                  </w:tcBorders>
                  <w:noWrap w:val="0"/>
                  <w:vAlign w:val="center"/>
                </w:tcPr>
                <w:p w14:paraId="6D043B2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3C7C4A5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8</w:t>
                  </w:r>
                </w:p>
              </w:tc>
              <w:tc>
                <w:tcPr>
                  <w:tcW w:w="268" w:type="pct"/>
                  <w:tcBorders>
                    <w:tl2br w:val="nil"/>
                    <w:tr2bl w:val="nil"/>
                  </w:tcBorders>
                  <w:noWrap w:val="0"/>
                  <w:vAlign w:val="center"/>
                </w:tcPr>
                <w:p w14:paraId="5D9AFA9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41</w:t>
                  </w:r>
                </w:p>
              </w:tc>
              <w:tc>
                <w:tcPr>
                  <w:tcW w:w="305" w:type="pct"/>
                  <w:tcBorders>
                    <w:tl2br w:val="nil"/>
                    <w:tr2bl w:val="nil"/>
                  </w:tcBorders>
                  <w:noWrap w:val="0"/>
                  <w:vAlign w:val="center"/>
                </w:tcPr>
                <w:p w14:paraId="7393155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4A0F8E8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370" w:type="pct"/>
                  <w:tcBorders>
                    <w:tl2br w:val="nil"/>
                    <w:tr2bl w:val="nil"/>
                  </w:tcBorders>
                  <w:noWrap w:val="0"/>
                  <w:vAlign w:val="center"/>
                </w:tcPr>
                <w:p w14:paraId="0682C4F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68</w:t>
                  </w:r>
                </w:p>
              </w:tc>
              <w:tc>
                <w:tcPr>
                  <w:tcW w:w="316" w:type="pct"/>
                  <w:vMerge w:val="continue"/>
                  <w:tcBorders>
                    <w:tl2br w:val="nil"/>
                    <w:tr2bl w:val="nil"/>
                  </w:tcBorders>
                  <w:noWrap w:val="0"/>
                  <w:vAlign w:val="center"/>
                </w:tcPr>
                <w:p w14:paraId="5B8EE61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4DDFF98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0738140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48</w:t>
                  </w:r>
                </w:p>
              </w:tc>
              <w:tc>
                <w:tcPr>
                  <w:tcW w:w="267" w:type="pct"/>
                  <w:tcBorders>
                    <w:tl2br w:val="nil"/>
                    <w:tr2bl w:val="nil"/>
                  </w:tcBorders>
                  <w:noWrap w:val="0"/>
                  <w:vAlign w:val="center"/>
                </w:tcPr>
                <w:p w14:paraId="3A2DF3C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26AA18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480A9CA4">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3</w:t>
                  </w:r>
                </w:p>
              </w:tc>
              <w:tc>
                <w:tcPr>
                  <w:tcW w:w="241" w:type="pct"/>
                  <w:vMerge w:val="continue"/>
                  <w:tcBorders>
                    <w:tl2br w:val="nil"/>
                    <w:tr2bl w:val="nil"/>
                  </w:tcBorders>
                  <w:noWrap w:val="0"/>
                  <w:vAlign w:val="center"/>
                </w:tcPr>
                <w:p w14:paraId="0AE1168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7724246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cs="Times New Roman"/>
                      <w:b w:val="0"/>
                      <w:bCs w:val="0"/>
                      <w:sz w:val="18"/>
                      <w:szCs w:val="18"/>
                      <w:lang w:val="en-US" w:eastAsia="zh-CN"/>
                    </w:rPr>
                    <w:t>1000</w:t>
                  </w:r>
                  <w:r>
                    <w:rPr>
                      <w:rFonts w:hint="eastAsia" w:ascii="Times New Roman" w:hAnsi="Times New Roman" w:eastAsia="宋体" w:cs="Times New Roman"/>
                      <w:b w:val="0"/>
                      <w:bCs w:val="0"/>
                      <w:sz w:val="18"/>
                      <w:szCs w:val="18"/>
                      <w:lang w:val="en-US" w:eastAsia="zh-CN"/>
                    </w:rPr>
                    <w:t>T挤压机</w:t>
                  </w:r>
                </w:p>
              </w:tc>
              <w:tc>
                <w:tcPr>
                  <w:tcW w:w="334" w:type="pct"/>
                  <w:tcBorders>
                    <w:tl2br w:val="nil"/>
                    <w:tr2bl w:val="nil"/>
                  </w:tcBorders>
                  <w:noWrap w:val="0"/>
                  <w:vAlign w:val="center"/>
                </w:tcPr>
                <w:p w14:paraId="1027623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2BDA8DE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80</w:t>
                  </w:r>
                </w:p>
              </w:tc>
              <w:tc>
                <w:tcPr>
                  <w:tcW w:w="311" w:type="pct"/>
                  <w:vMerge w:val="continue"/>
                  <w:tcBorders>
                    <w:tl2br w:val="nil"/>
                    <w:tr2bl w:val="nil"/>
                  </w:tcBorders>
                  <w:noWrap w:val="0"/>
                  <w:vAlign w:val="center"/>
                </w:tcPr>
                <w:p w14:paraId="04CB09D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24D10E2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90</w:t>
                  </w:r>
                </w:p>
              </w:tc>
              <w:tc>
                <w:tcPr>
                  <w:tcW w:w="268" w:type="pct"/>
                  <w:tcBorders>
                    <w:tl2br w:val="nil"/>
                    <w:tr2bl w:val="nil"/>
                  </w:tcBorders>
                  <w:noWrap w:val="0"/>
                  <w:vAlign w:val="center"/>
                </w:tcPr>
                <w:p w14:paraId="73F01CE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56</w:t>
                  </w:r>
                </w:p>
              </w:tc>
              <w:tc>
                <w:tcPr>
                  <w:tcW w:w="305" w:type="pct"/>
                  <w:tcBorders>
                    <w:tl2br w:val="nil"/>
                    <w:tr2bl w:val="nil"/>
                  </w:tcBorders>
                  <w:noWrap w:val="0"/>
                  <w:vAlign w:val="center"/>
                </w:tcPr>
                <w:p w14:paraId="6D1800C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59BD259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370" w:type="pct"/>
                  <w:tcBorders>
                    <w:tl2br w:val="nil"/>
                    <w:tr2bl w:val="nil"/>
                  </w:tcBorders>
                  <w:noWrap w:val="0"/>
                  <w:vAlign w:val="center"/>
                </w:tcPr>
                <w:p w14:paraId="545A957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65</w:t>
                  </w:r>
                </w:p>
              </w:tc>
              <w:tc>
                <w:tcPr>
                  <w:tcW w:w="316" w:type="pct"/>
                  <w:vMerge w:val="continue"/>
                  <w:tcBorders>
                    <w:tl2br w:val="nil"/>
                    <w:tr2bl w:val="nil"/>
                  </w:tcBorders>
                  <w:noWrap w:val="0"/>
                  <w:vAlign w:val="center"/>
                </w:tcPr>
                <w:p w14:paraId="782AB58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74A15A5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6F8F73E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45</w:t>
                  </w:r>
                </w:p>
              </w:tc>
              <w:tc>
                <w:tcPr>
                  <w:tcW w:w="267" w:type="pct"/>
                  <w:tcBorders>
                    <w:tl2br w:val="nil"/>
                    <w:tr2bl w:val="nil"/>
                  </w:tcBorders>
                  <w:noWrap w:val="0"/>
                  <w:vAlign w:val="center"/>
                </w:tcPr>
                <w:p w14:paraId="0E57158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26769C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36717361">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4</w:t>
                  </w:r>
                </w:p>
              </w:tc>
              <w:tc>
                <w:tcPr>
                  <w:tcW w:w="241" w:type="pct"/>
                  <w:vMerge w:val="continue"/>
                  <w:tcBorders>
                    <w:tl2br w:val="nil"/>
                    <w:tr2bl w:val="nil"/>
                  </w:tcBorders>
                  <w:noWrap w:val="0"/>
                  <w:vAlign w:val="center"/>
                </w:tcPr>
                <w:p w14:paraId="3DBE9D7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0371F0D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cs="Times New Roman"/>
                      <w:b w:val="0"/>
                      <w:bCs w:val="0"/>
                      <w:sz w:val="18"/>
                      <w:szCs w:val="18"/>
                      <w:lang w:val="en-US" w:eastAsia="zh-CN"/>
                    </w:rPr>
                  </w:pPr>
                  <w:r>
                    <w:rPr>
                      <w:rFonts w:hint="eastAsia" w:cs="Times New Roman"/>
                      <w:b w:val="0"/>
                      <w:bCs w:val="0"/>
                      <w:sz w:val="18"/>
                      <w:szCs w:val="18"/>
                      <w:lang w:val="en-US" w:eastAsia="zh-CN"/>
                    </w:rPr>
                    <w:t>1000</w:t>
                  </w:r>
                  <w:r>
                    <w:rPr>
                      <w:rFonts w:hint="eastAsia" w:ascii="Times New Roman" w:hAnsi="Times New Roman" w:eastAsia="宋体" w:cs="Times New Roman"/>
                      <w:b w:val="0"/>
                      <w:bCs w:val="0"/>
                      <w:sz w:val="18"/>
                      <w:szCs w:val="18"/>
                      <w:lang w:val="en-US" w:eastAsia="zh-CN"/>
                    </w:rPr>
                    <w:t>T挤压机</w:t>
                  </w:r>
                </w:p>
              </w:tc>
              <w:tc>
                <w:tcPr>
                  <w:tcW w:w="334" w:type="pct"/>
                  <w:tcBorders>
                    <w:tl2br w:val="nil"/>
                    <w:tr2bl w:val="nil"/>
                  </w:tcBorders>
                  <w:noWrap w:val="0"/>
                  <w:vAlign w:val="center"/>
                </w:tcPr>
                <w:p w14:paraId="3CA6554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25A8A7A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80</w:t>
                  </w:r>
                </w:p>
              </w:tc>
              <w:tc>
                <w:tcPr>
                  <w:tcW w:w="311" w:type="pct"/>
                  <w:vMerge w:val="continue"/>
                  <w:tcBorders>
                    <w:tl2br w:val="nil"/>
                    <w:tr2bl w:val="nil"/>
                  </w:tcBorders>
                  <w:noWrap w:val="0"/>
                  <w:vAlign w:val="center"/>
                </w:tcPr>
                <w:p w14:paraId="4B3A5F7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338C5CE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90</w:t>
                  </w:r>
                </w:p>
              </w:tc>
              <w:tc>
                <w:tcPr>
                  <w:tcW w:w="268" w:type="pct"/>
                  <w:tcBorders>
                    <w:tl2br w:val="nil"/>
                    <w:tr2bl w:val="nil"/>
                  </w:tcBorders>
                  <w:noWrap w:val="0"/>
                  <w:vAlign w:val="center"/>
                </w:tcPr>
                <w:p w14:paraId="362998D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41</w:t>
                  </w:r>
                </w:p>
              </w:tc>
              <w:tc>
                <w:tcPr>
                  <w:tcW w:w="305" w:type="pct"/>
                  <w:tcBorders>
                    <w:tl2br w:val="nil"/>
                    <w:tr2bl w:val="nil"/>
                  </w:tcBorders>
                  <w:noWrap w:val="0"/>
                  <w:vAlign w:val="center"/>
                </w:tcPr>
                <w:p w14:paraId="72B60F7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41B54A3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370" w:type="pct"/>
                  <w:tcBorders>
                    <w:tl2br w:val="nil"/>
                    <w:tr2bl w:val="nil"/>
                  </w:tcBorders>
                  <w:noWrap w:val="0"/>
                  <w:vAlign w:val="center"/>
                </w:tcPr>
                <w:p w14:paraId="3332B4D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65</w:t>
                  </w:r>
                </w:p>
              </w:tc>
              <w:tc>
                <w:tcPr>
                  <w:tcW w:w="316" w:type="pct"/>
                  <w:vMerge w:val="continue"/>
                  <w:tcBorders>
                    <w:tl2br w:val="nil"/>
                    <w:tr2bl w:val="nil"/>
                  </w:tcBorders>
                  <w:noWrap w:val="0"/>
                  <w:vAlign w:val="center"/>
                </w:tcPr>
                <w:p w14:paraId="159E7AD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4C2885B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3EB03EC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45</w:t>
                  </w:r>
                </w:p>
              </w:tc>
              <w:tc>
                <w:tcPr>
                  <w:tcW w:w="267" w:type="pct"/>
                  <w:tcBorders>
                    <w:tl2br w:val="nil"/>
                    <w:tr2bl w:val="nil"/>
                  </w:tcBorders>
                  <w:noWrap w:val="0"/>
                  <w:vAlign w:val="center"/>
                </w:tcPr>
                <w:p w14:paraId="0E81CC5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30D6BF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20C31BE9">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5</w:t>
                  </w:r>
                </w:p>
              </w:tc>
              <w:tc>
                <w:tcPr>
                  <w:tcW w:w="241" w:type="pct"/>
                  <w:vMerge w:val="continue"/>
                  <w:tcBorders>
                    <w:tl2br w:val="nil"/>
                    <w:tr2bl w:val="nil"/>
                  </w:tcBorders>
                  <w:noWrap w:val="0"/>
                  <w:vAlign w:val="center"/>
                </w:tcPr>
                <w:p w14:paraId="1645AB9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5DD4394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sz w:val="18"/>
                      <w:szCs w:val="18"/>
                      <w:lang w:val="en-US" w:eastAsia="zh-CN"/>
                    </w:rPr>
                    <w:t>风冷淬火设备1</w:t>
                  </w:r>
                </w:p>
              </w:tc>
              <w:tc>
                <w:tcPr>
                  <w:tcW w:w="334" w:type="pct"/>
                  <w:tcBorders>
                    <w:tl2br w:val="nil"/>
                    <w:tr2bl w:val="nil"/>
                  </w:tcBorders>
                  <w:noWrap w:val="0"/>
                  <w:vAlign w:val="center"/>
                </w:tcPr>
                <w:p w14:paraId="115AF09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7C5A49A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6</w:t>
                  </w:r>
                </w:p>
              </w:tc>
              <w:tc>
                <w:tcPr>
                  <w:tcW w:w="311" w:type="pct"/>
                  <w:vMerge w:val="continue"/>
                  <w:tcBorders>
                    <w:tl2br w:val="nil"/>
                    <w:tr2bl w:val="nil"/>
                  </w:tcBorders>
                  <w:noWrap w:val="0"/>
                  <w:vAlign w:val="center"/>
                </w:tcPr>
                <w:p w14:paraId="74E0C4E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7FE455A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10</w:t>
                  </w:r>
                </w:p>
              </w:tc>
              <w:tc>
                <w:tcPr>
                  <w:tcW w:w="268" w:type="pct"/>
                  <w:tcBorders>
                    <w:tl2br w:val="nil"/>
                    <w:tr2bl w:val="nil"/>
                  </w:tcBorders>
                  <w:noWrap w:val="0"/>
                  <w:vAlign w:val="center"/>
                </w:tcPr>
                <w:p w14:paraId="663321F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56</w:t>
                  </w:r>
                </w:p>
              </w:tc>
              <w:tc>
                <w:tcPr>
                  <w:tcW w:w="305" w:type="pct"/>
                  <w:tcBorders>
                    <w:tl2br w:val="nil"/>
                    <w:tr2bl w:val="nil"/>
                  </w:tcBorders>
                  <w:noWrap w:val="0"/>
                  <w:vAlign w:val="center"/>
                </w:tcPr>
                <w:p w14:paraId="43F766E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2C4DE2F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370" w:type="pct"/>
                  <w:tcBorders>
                    <w:tl2br w:val="nil"/>
                    <w:tr2bl w:val="nil"/>
                  </w:tcBorders>
                  <w:noWrap w:val="0"/>
                  <w:vAlign w:val="center"/>
                </w:tcPr>
                <w:p w14:paraId="4C16200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w:t>
                  </w:r>
                  <w:r>
                    <w:rPr>
                      <w:rFonts w:hint="eastAsia" w:cs="Times New Roman"/>
                      <w:b w:val="0"/>
                      <w:bCs w:val="0"/>
                      <w:color w:val="auto"/>
                      <w:sz w:val="18"/>
                      <w:szCs w:val="18"/>
                      <w:vertAlign w:val="baseline"/>
                      <w:lang w:val="en-US" w:eastAsia="zh-CN"/>
                    </w:rPr>
                    <w:t>5</w:t>
                  </w:r>
                </w:p>
              </w:tc>
              <w:tc>
                <w:tcPr>
                  <w:tcW w:w="316" w:type="pct"/>
                  <w:vMerge w:val="continue"/>
                  <w:tcBorders>
                    <w:tl2br w:val="nil"/>
                    <w:tr2bl w:val="nil"/>
                  </w:tcBorders>
                  <w:noWrap w:val="0"/>
                  <w:vAlign w:val="center"/>
                </w:tcPr>
                <w:p w14:paraId="5947101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509261B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0361711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45</w:t>
                  </w:r>
                </w:p>
              </w:tc>
              <w:tc>
                <w:tcPr>
                  <w:tcW w:w="267" w:type="pct"/>
                  <w:tcBorders>
                    <w:tl2br w:val="nil"/>
                    <w:tr2bl w:val="nil"/>
                  </w:tcBorders>
                  <w:noWrap w:val="0"/>
                  <w:vAlign w:val="center"/>
                </w:tcPr>
                <w:p w14:paraId="4A1D6C7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436B78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4298589B">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6</w:t>
                  </w:r>
                </w:p>
              </w:tc>
              <w:tc>
                <w:tcPr>
                  <w:tcW w:w="241" w:type="pct"/>
                  <w:vMerge w:val="continue"/>
                  <w:tcBorders>
                    <w:tl2br w:val="nil"/>
                    <w:tr2bl w:val="nil"/>
                  </w:tcBorders>
                  <w:noWrap w:val="0"/>
                  <w:vAlign w:val="center"/>
                </w:tcPr>
                <w:p w14:paraId="5AAE0C0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2D71D56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风冷淬火设备2</w:t>
                  </w:r>
                </w:p>
              </w:tc>
              <w:tc>
                <w:tcPr>
                  <w:tcW w:w="334" w:type="pct"/>
                  <w:tcBorders>
                    <w:tl2br w:val="nil"/>
                    <w:tr2bl w:val="nil"/>
                  </w:tcBorders>
                  <w:noWrap w:val="0"/>
                  <w:vAlign w:val="center"/>
                </w:tcPr>
                <w:p w14:paraId="0711BF9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44A9077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6</w:t>
                  </w:r>
                </w:p>
              </w:tc>
              <w:tc>
                <w:tcPr>
                  <w:tcW w:w="311" w:type="pct"/>
                  <w:vMerge w:val="continue"/>
                  <w:tcBorders>
                    <w:tl2br w:val="nil"/>
                    <w:tr2bl w:val="nil"/>
                  </w:tcBorders>
                  <w:noWrap w:val="0"/>
                  <w:vAlign w:val="center"/>
                </w:tcPr>
                <w:p w14:paraId="1F8C3FD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178FFD6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10</w:t>
                  </w:r>
                </w:p>
              </w:tc>
              <w:tc>
                <w:tcPr>
                  <w:tcW w:w="268" w:type="pct"/>
                  <w:tcBorders>
                    <w:tl2br w:val="nil"/>
                    <w:tr2bl w:val="nil"/>
                  </w:tcBorders>
                  <w:noWrap w:val="0"/>
                  <w:vAlign w:val="center"/>
                </w:tcPr>
                <w:p w14:paraId="6FB5F7B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41</w:t>
                  </w:r>
                </w:p>
              </w:tc>
              <w:tc>
                <w:tcPr>
                  <w:tcW w:w="305" w:type="pct"/>
                  <w:tcBorders>
                    <w:tl2br w:val="nil"/>
                    <w:tr2bl w:val="nil"/>
                  </w:tcBorders>
                  <w:noWrap w:val="0"/>
                  <w:vAlign w:val="center"/>
                </w:tcPr>
                <w:p w14:paraId="0B3950F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6A955C3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10</w:t>
                  </w:r>
                </w:p>
              </w:tc>
              <w:tc>
                <w:tcPr>
                  <w:tcW w:w="370" w:type="pct"/>
                  <w:tcBorders>
                    <w:tl2br w:val="nil"/>
                    <w:tr2bl w:val="nil"/>
                  </w:tcBorders>
                  <w:noWrap w:val="0"/>
                  <w:vAlign w:val="center"/>
                </w:tcPr>
                <w:p w14:paraId="5E976C1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w:t>
                  </w:r>
                  <w:r>
                    <w:rPr>
                      <w:rFonts w:hint="eastAsia" w:cs="Times New Roman"/>
                      <w:b w:val="0"/>
                      <w:bCs w:val="0"/>
                      <w:color w:val="auto"/>
                      <w:sz w:val="18"/>
                      <w:szCs w:val="18"/>
                      <w:vertAlign w:val="baseline"/>
                      <w:lang w:val="en-US" w:eastAsia="zh-CN"/>
                    </w:rPr>
                    <w:t>2</w:t>
                  </w:r>
                </w:p>
              </w:tc>
              <w:tc>
                <w:tcPr>
                  <w:tcW w:w="316" w:type="pct"/>
                  <w:vMerge w:val="continue"/>
                  <w:tcBorders>
                    <w:tl2br w:val="nil"/>
                    <w:tr2bl w:val="nil"/>
                  </w:tcBorders>
                  <w:noWrap w:val="0"/>
                  <w:vAlign w:val="center"/>
                </w:tcPr>
                <w:p w14:paraId="003F55F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3106D7D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296C21D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4</w:t>
                  </w:r>
                  <w:r>
                    <w:rPr>
                      <w:rFonts w:hint="eastAsia" w:cs="Times New Roman"/>
                      <w:b w:val="0"/>
                      <w:bCs w:val="0"/>
                      <w:color w:val="auto"/>
                      <w:sz w:val="18"/>
                      <w:szCs w:val="18"/>
                      <w:vertAlign w:val="baseline"/>
                      <w:lang w:val="en-US" w:eastAsia="zh-CN"/>
                    </w:rPr>
                    <w:t>2</w:t>
                  </w:r>
                </w:p>
              </w:tc>
              <w:tc>
                <w:tcPr>
                  <w:tcW w:w="267" w:type="pct"/>
                  <w:tcBorders>
                    <w:tl2br w:val="nil"/>
                    <w:tr2bl w:val="nil"/>
                  </w:tcBorders>
                  <w:noWrap w:val="0"/>
                  <w:vAlign w:val="center"/>
                </w:tcPr>
                <w:p w14:paraId="1713F73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615753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428A40F1">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7</w:t>
                  </w:r>
                </w:p>
              </w:tc>
              <w:tc>
                <w:tcPr>
                  <w:tcW w:w="241" w:type="pct"/>
                  <w:vMerge w:val="continue"/>
                  <w:tcBorders>
                    <w:tl2br w:val="nil"/>
                    <w:tr2bl w:val="nil"/>
                  </w:tcBorders>
                  <w:noWrap w:val="0"/>
                  <w:vAlign w:val="center"/>
                </w:tcPr>
                <w:p w14:paraId="781B059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34D6523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风冷淬火设备</w:t>
                  </w:r>
                  <w:r>
                    <w:rPr>
                      <w:rFonts w:hint="eastAsia" w:eastAsia="宋体" w:cs="Times New Roman"/>
                      <w:b w:val="0"/>
                      <w:bCs w:val="0"/>
                      <w:sz w:val="18"/>
                      <w:szCs w:val="18"/>
                      <w:lang w:val="en-US" w:eastAsia="zh-CN"/>
                    </w:rPr>
                    <w:t>3</w:t>
                  </w:r>
                </w:p>
              </w:tc>
              <w:tc>
                <w:tcPr>
                  <w:tcW w:w="334" w:type="pct"/>
                  <w:tcBorders>
                    <w:tl2br w:val="nil"/>
                    <w:tr2bl w:val="nil"/>
                  </w:tcBorders>
                  <w:noWrap w:val="0"/>
                  <w:vAlign w:val="center"/>
                </w:tcPr>
                <w:p w14:paraId="1566C5F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597FF06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6</w:t>
                  </w:r>
                </w:p>
              </w:tc>
              <w:tc>
                <w:tcPr>
                  <w:tcW w:w="311" w:type="pct"/>
                  <w:vMerge w:val="continue"/>
                  <w:tcBorders>
                    <w:tl2br w:val="nil"/>
                    <w:tr2bl w:val="nil"/>
                  </w:tcBorders>
                  <w:noWrap w:val="0"/>
                  <w:vAlign w:val="center"/>
                </w:tcPr>
                <w:p w14:paraId="47D8C54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3E2DD0A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85</w:t>
                  </w:r>
                </w:p>
              </w:tc>
              <w:tc>
                <w:tcPr>
                  <w:tcW w:w="268" w:type="pct"/>
                  <w:tcBorders>
                    <w:tl2br w:val="nil"/>
                    <w:tr2bl w:val="nil"/>
                  </w:tcBorders>
                  <w:noWrap w:val="0"/>
                  <w:vAlign w:val="center"/>
                </w:tcPr>
                <w:p w14:paraId="0AFF595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56</w:t>
                  </w:r>
                </w:p>
              </w:tc>
              <w:tc>
                <w:tcPr>
                  <w:tcW w:w="305" w:type="pct"/>
                  <w:tcBorders>
                    <w:tl2br w:val="nil"/>
                    <w:tr2bl w:val="nil"/>
                  </w:tcBorders>
                  <w:noWrap w:val="0"/>
                  <w:vAlign w:val="center"/>
                </w:tcPr>
                <w:p w14:paraId="43D4E47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595" w:type="dxa"/>
                  <w:tcBorders>
                    <w:tl2br w:val="nil"/>
                    <w:tr2bl w:val="nil"/>
                  </w:tcBorders>
                  <w:noWrap w:val="0"/>
                  <w:vAlign w:val="center"/>
                </w:tcPr>
                <w:p w14:paraId="457AC9A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617" w:type="dxa"/>
                  <w:tcBorders>
                    <w:tl2br w:val="nil"/>
                    <w:tr2bl w:val="nil"/>
                  </w:tcBorders>
                  <w:noWrap w:val="0"/>
                  <w:vAlign w:val="center"/>
                </w:tcPr>
                <w:p w14:paraId="7D7A166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w:t>
                  </w:r>
                  <w:r>
                    <w:rPr>
                      <w:rFonts w:hint="eastAsia" w:cs="Times New Roman"/>
                      <w:b w:val="0"/>
                      <w:bCs w:val="0"/>
                      <w:color w:val="auto"/>
                      <w:sz w:val="18"/>
                      <w:szCs w:val="18"/>
                      <w:vertAlign w:val="baseline"/>
                      <w:lang w:val="en-US" w:eastAsia="zh-CN"/>
                    </w:rPr>
                    <w:t>5</w:t>
                  </w:r>
                </w:p>
              </w:tc>
              <w:tc>
                <w:tcPr>
                  <w:tcW w:w="316" w:type="pct"/>
                  <w:vMerge w:val="continue"/>
                  <w:tcBorders>
                    <w:tl2br w:val="nil"/>
                    <w:tr2bl w:val="nil"/>
                  </w:tcBorders>
                  <w:noWrap w:val="0"/>
                  <w:vAlign w:val="center"/>
                </w:tcPr>
                <w:p w14:paraId="7102D46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62F679B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1957FA6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45</w:t>
                  </w:r>
                </w:p>
              </w:tc>
              <w:tc>
                <w:tcPr>
                  <w:tcW w:w="267" w:type="pct"/>
                  <w:tcBorders>
                    <w:tl2br w:val="nil"/>
                    <w:tr2bl w:val="nil"/>
                  </w:tcBorders>
                  <w:noWrap w:val="0"/>
                  <w:vAlign w:val="center"/>
                </w:tcPr>
                <w:p w14:paraId="6147A7F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248C34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3DF68417">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8</w:t>
                  </w:r>
                </w:p>
              </w:tc>
              <w:tc>
                <w:tcPr>
                  <w:tcW w:w="241" w:type="pct"/>
                  <w:vMerge w:val="continue"/>
                  <w:tcBorders>
                    <w:tl2br w:val="nil"/>
                    <w:tr2bl w:val="nil"/>
                  </w:tcBorders>
                  <w:noWrap w:val="0"/>
                  <w:vAlign w:val="center"/>
                </w:tcPr>
                <w:p w14:paraId="1AAFDF2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68FC96E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风冷淬火设备</w:t>
                  </w:r>
                  <w:r>
                    <w:rPr>
                      <w:rFonts w:hint="eastAsia" w:eastAsia="宋体" w:cs="Times New Roman"/>
                      <w:b w:val="0"/>
                      <w:bCs w:val="0"/>
                      <w:sz w:val="18"/>
                      <w:szCs w:val="18"/>
                      <w:lang w:val="en-US" w:eastAsia="zh-CN"/>
                    </w:rPr>
                    <w:t>4</w:t>
                  </w:r>
                </w:p>
              </w:tc>
              <w:tc>
                <w:tcPr>
                  <w:tcW w:w="334" w:type="pct"/>
                  <w:tcBorders>
                    <w:tl2br w:val="nil"/>
                    <w:tr2bl w:val="nil"/>
                  </w:tcBorders>
                  <w:noWrap w:val="0"/>
                  <w:vAlign w:val="center"/>
                </w:tcPr>
                <w:p w14:paraId="723A58C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0064974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6</w:t>
                  </w:r>
                </w:p>
              </w:tc>
              <w:tc>
                <w:tcPr>
                  <w:tcW w:w="311" w:type="pct"/>
                  <w:vMerge w:val="continue"/>
                  <w:tcBorders>
                    <w:tl2br w:val="nil"/>
                    <w:tr2bl w:val="nil"/>
                  </w:tcBorders>
                  <w:noWrap w:val="0"/>
                  <w:vAlign w:val="center"/>
                </w:tcPr>
                <w:p w14:paraId="021E740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40914A7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85</w:t>
                  </w:r>
                </w:p>
              </w:tc>
              <w:tc>
                <w:tcPr>
                  <w:tcW w:w="268" w:type="pct"/>
                  <w:tcBorders>
                    <w:tl2br w:val="nil"/>
                    <w:tr2bl w:val="nil"/>
                  </w:tcBorders>
                  <w:noWrap w:val="0"/>
                  <w:vAlign w:val="center"/>
                </w:tcPr>
                <w:p w14:paraId="78CA30E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41</w:t>
                  </w:r>
                </w:p>
              </w:tc>
              <w:tc>
                <w:tcPr>
                  <w:tcW w:w="305" w:type="pct"/>
                  <w:tcBorders>
                    <w:tl2br w:val="nil"/>
                    <w:tr2bl w:val="nil"/>
                  </w:tcBorders>
                  <w:noWrap w:val="0"/>
                  <w:vAlign w:val="center"/>
                </w:tcPr>
                <w:p w14:paraId="5AC23C9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595" w:type="dxa"/>
                  <w:tcBorders>
                    <w:tl2br w:val="nil"/>
                    <w:tr2bl w:val="nil"/>
                  </w:tcBorders>
                  <w:noWrap w:val="0"/>
                  <w:vAlign w:val="center"/>
                </w:tcPr>
                <w:p w14:paraId="0DA156B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10</w:t>
                  </w:r>
                </w:p>
              </w:tc>
              <w:tc>
                <w:tcPr>
                  <w:tcW w:w="617" w:type="dxa"/>
                  <w:tcBorders>
                    <w:tl2br w:val="nil"/>
                    <w:tr2bl w:val="nil"/>
                  </w:tcBorders>
                  <w:noWrap w:val="0"/>
                  <w:vAlign w:val="center"/>
                </w:tcPr>
                <w:p w14:paraId="3D26D31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w:t>
                  </w:r>
                  <w:r>
                    <w:rPr>
                      <w:rFonts w:hint="eastAsia" w:cs="Times New Roman"/>
                      <w:b w:val="0"/>
                      <w:bCs w:val="0"/>
                      <w:color w:val="auto"/>
                      <w:sz w:val="18"/>
                      <w:szCs w:val="18"/>
                      <w:vertAlign w:val="baseline"/>
                      <w:lang w:val="en-US" w:eastAsia="zh-CN"/>
                    </w:rPr>
                    <w:t>2</w:t>
                  </w:r>
                </w:p>
              </w:tc>
              <w:tc>
                <w:tcPr>
                  <w:tcW w:w="316" w:type="pct"/>
                  <w:vMerge w:val="continue"/>
                  <w:tcBorders>
                    <w:tl2br w:val="nil"/>
                    <w:tr2bl w:val="nil"/>
                  </w:tcBorders>
                  <w:noWrap w:val="0"/>
                  <w:vAlign w:val="center"/>
                </w:tcPr>
                <w:p w14:paraId="5C60548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2FDE404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4CEF4B7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42</w:t>
                  </w:r>
                </w:p>
              </w:tc>
              <w:tc>
                <w:tcPr>
                  <w:tcW w:w="267" w:type="pct"/>
                  <w:tcBorders>
                    <w:tl2br w:val="nil"/>
                    <w:tr2bl w:val="nil"/>
                  </w:tcBorders>
                  <w:noWrap w:val="0"/>
                  <w:vAlign w:val="center"/>
                </w:tcPr>
                <w:p w14:paraId="617A355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40767E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56A34733">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9</w:t>
                  </w:r>
                </w:p>
              </w:tc>
              <w:tc>
                <w:tcPr>
                  <w:tcW w:w="241" w:type="pct"/>
                  <w:vMerge w:val="continue"/>
                  <w:tcBorders>
                    <w:tl2br w:val="nil"/>
                    <w:tr2bl w:val="nil"/>
                  </w:tcBorders>
                  <w:noWrap w:val="0"/>
                  <w:vAlign w:val="center"/>
                </w:tcPr>
                <w:p w14:paraId="1CC0486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3911060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拉直机1</w:t>
                  </w:r>
                </w:p>
              </w:tc>
              <w:tc>
                <w:tcPr>
                  <w:tcW w:w="334" w:type="pct"/>
                  <w:tcBorders>
                    <w:tl2br w:val="nil"/>
                    <w:tr2bl w:val="nil"/>
                  </w:tcBorders>
                  <w:noWrap w:val="0"/>
                  <w:vAlign w:val="center"/>
                </w:tcPr>
                <w:p w14:paraId="29C7B97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51AEE4E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70</w:t>
                  </w:r>
                </w:p>
              </w:tc>
              <w:tc>
                <w:tcPr>
                  <w:tcW w:w="311" w:type="pct"/>
                  <w:vMerge w:val="continue"/>
                  <w:tcBorders>
                    <w:tl2br w:val="nil"/>
                    <w:tr2bl w:val="nil"/>
                  </w:tcBorders>
                  <w:noWrap w:val="0"/>
                  <w:vAlign w:val="center"/>
                </w:tcPr>
                <w:p w14:paraId="320C575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5152B67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20</w:t>
                  </w:r>
                </w:p>
              </w:tc>
              <w:tc>
                <w:tcPr>
                  <w:tcW w:w="268" w:type="pct"/>
                  <w:tcBorders>
                    <w:tl2br w:val="nil"/>
                    <w:tr2bl w:val="nil"/>
                  </w:tcBorders>
                  <w:noWrap w:val="0"/>
                  <w:vAlign w:val="center"/>
                </w:tcPr>
                <w:p w14:paraId="410B837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52</w:t>
                  </w:r>
                </w:p>
              </w:tc>
              <w:tc>
                <w:tcPr>
                  <w:tcW w:w="305" w:type="pct"/>
                  <w:tcBorders>
                    <w:tl2br w:val="nil"/>
                    <w:tr2bl w:val="nil"/>
                  </w:tcBorders>
                  <w:noWrap w:val="0"/>
                  <w:vAlign w:val="center"/>
                </w:tcPr>
                <w:p w14:paraId="08F8741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0A046BE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w:t>
                  </w:r>
                </w:p>
              </w:tc>
              <w:tc>
                <w:tcPr>
                  <w:tcW w:w="370" w:type="pct"/>
                  <w:tcBorders>
                    <w:tl2br w:val="nil"/>
                    <w:tr2bl w:val="nil"/>
                  </w:tcBorders>
                  <w:noWrap w:val="0"/>
                  <w:vAlign w:val="center"/>
                </w:tcPr>
                <w:p w14:paraId="72A3983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60</w:t>
                  </w:r>
                </w:p>
              </w:tc>
              <w:tc>
                <w:tcPr>
                  <w:tcW w:w="316" w:type="pct"/>
                  <w:vMerge w:val="continue"/>
                  <w:tcBorders>
                    <w:tl2br w:val="nil"/>
                    <w:tr2bl w:val="nil"/>
                  </w:tcBorders>
                  <w:noWrap w:val="0"/>
                  <w:vAlign w:val="center"/>
                </w:tcPr>
                <w:p w14:paraId="2D842D8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434B72D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0E4E855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40</w:t>
                  </w:r>
                </w:p>
              </w:tc>
              <w:tc>
                <w:tcPr>
                  <w:tcW w:w="267" w:type="pct"/>
                  <w:tcBorders>
                    <w:tl2br w:val="nil"/>
                    <w:tr2bl w:val="nil"/>
                  </w:tcBorders>
                  <w:noWrap w:val="0"/>
                  <w:vAlign w:val="center"/>
                </w:tcPr>
                <w:p w14:paraId="74D2CEE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6DDC4D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1547DA07">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10</w:t>
                  </w:r>
                </w:p>
              </w:tc>
              <w:tc>
                <w:tcPr>
                  <w:tcW w:w="241" w:type="pct"/>
                  <w:vMerge w:val="continue"/>
                  <w:tcBorders>
                    <w:tl2br w:val="nil"/>
                    <w:tr2bl w:val="nil"/>
                  </w:tcBorders>
                  <w:noWrap w:val="0"/>
                  <w:vAlign w:val="center"/>
                </w:tcPr>
                <w:p w14:paraId="76A78B5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5DB7500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拉直机</w:t>
                  </w:r>
                  <w:r>
                    <w:rPr>
                      <w:rFonts w:hint="eastAsia" w:eastAsia="宋体" w:cs="Times New Roman"/>
                      <w:b w:val="0"/>
                      <w:bCs w:val="0"/>
                      <w:sz w:val="18"/>
                      <w:szCs w:val="18"/>
                      <w:lang w:val="en-US" w:eastAsia="zh-CN"/>
                    </w:rPr>
                    <w:t>2</w:t>
                  </w:r>
                </w:p>
              </w:tc>
              <w:tc>
                <w:tcPr>
                  <w:tcW w:w="334" w:type="pct"/>
                  <w:tcBorders>
                    <w:tl2br w:val="nil"/>
                    <w:tr2bl w:val="nil"/>
                  </w:tcBorders>
                  <w:noWrap w:val="0"/>
                  <w:vAlign w:val="center"/>
                </w:tcPr>
                <w:p w14:paraId="0C80954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56EB9B2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70</w:t>
                  </w:r>
                </w:p>
              </w:tc>
              <w:tc>
                <w:tcPr>
                  <w:tcW w:w="311" w:type="pct"/>
                  <w:vMerge w:val="continue"/>
                  <w:tcBorders>
                    <w:tl2br w:val="nil"/>
                    <w:tr2bl w:val="nil"/>
                  </w:tcBorders>
                  <w:noWrap w:val="0"/>
                  <w:vAlign w:val="center"/>
                </w:tcPr>
                <w:p w14:paraId="03AF902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2ADEAD3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20</w:t>
                  </w:r>
                </w:p>
              </w:tc>
              <w:tc>
                <w:tcPr>
                  <w:tcW w:w="268" w:type="pct"/>
                  <w:tcBorders>
                    <w:tl2br w:val="nil"/>
                    <w:tr2bl w:val="nil"/>
                  </w:tcBorders>
                  <w:noWrap w:val="0"/>
                  <w:vAlign w:val="center"/>
                </w:tcPr>
                <w:p w14:paraId="3215EB1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45</w:t>
                  </w:r>
                </w:p>
              </w:tc>
              <w:tc>
                <w:tcPr>
                  <w:tcW w:w="305" w:type="pct"/>
                  <w:tcBorders>
                    <w:tl2br w:val="nil"/>
                    <w:tr2bl w:val="nil"/>
                  </w:tcBorders>
                  <w:noWrap w:val="0"/>
                  <w:vAlign w:val="center"/>
                </w:tcPr>
                <w:p w14:paraId="53EC4AE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3F7DEA7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20</w:t>
                  </w:r>
                </w:p>
              </w:tc>
              <w:tc>
                <w:tcPr>
                  <w:tcW w:w="370" w:type="pct"/>
                  <w:tcBorders>
                    <w:tl2br w:val="nil"/>
                    <w:tr2bl w:val="nil"/>
                  </w:tcBorders>
                  <w:noWrap w:val="0"/>
                  <w:vAlign w:val="center"/>
                </w:tcPr>
                <w:p w14:paraId="25A895C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55</w:t>
                  </w:r>
                </w:p>
              </w:tc>
              <w:tc>
                <w:tcPr>
                  <w:tcW w:w="316" w:type="pct"/>
                  <w:vMerge w:val="continue"/>
                  <w:tcBorders>
                    <w:tl2br w:val="nil"/>
                    <w:tr2bl w:val="nil"/>
                  </w:tcBorders>
                  <w:noWrap w:val="0"/>
                  <w:vAlign w:val="center"/>
                </w:tcPr>
                <w:p w14:paraId="16C142D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5EB0978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61EC2B2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35</w:t>
                  </w:r>
                </w:p>
              </w:tc>
              <w:tc>
                <w:tcPr>
                  <w:tcW w:w="267" w:type="pct"/>
                  <w:tcBorders>
                    <w:tl2br w:val="nil"/>
                    <w:tr2bl w:val="nil"/>
                  </w:tcBorders>
                  <w:noWrap w:val="0"/>
                  <w:vAlign w:val="center"/>
                </w:tcPr>
                <w:p w14:paraId="5A14C42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6B65824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62A6A119">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11</w:t>
                  </w:r>
                </w:p>
              </w:tc>
              <w:tc>
                <w:tcPr>
                  <w:tcW w:w="241" w:type="pct"/>
                  <w:vMerge w:val="continue"/>
                  <w:tcBorders>
                    <w:tl2br w:val="nil"/>
                    <w:tr2bl w:val="nil"/>
                  </w:tcBorders>
                  <w:noWrap w:val="0"/>
                  <w:vAlign w:val="center"/>
                </w:tcPr>
                <w:p w14:paraId="485AB96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5F3D82A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拉直机</w:t>
                  </w:r>
                  <w:r>
                    <w:rPr>
                      <w:rFonts w:hint="eastAsia" w:eastAsia="宋体" w:cs="Times New Roman"/>
                      <w:b w:val="0"/>
                      <w:bCs w:val="0"/>
                      <w:sz w:val="18"/>
                      <w:szCs w:val="18"/>
                      <w:lang w:val="en-US" w:eastAsia="zh-CN"/>
                    </w:rPr>
                    <w:t>3</w:t>
                  </w:r>
                </w:p>
              </w:tc>
              <w:tc>
                <w:tcPr>
                  <w:tcW w:w="334" w:type="pct"/>
                  <w:tcBorders>
                    <w:tl2br w:val="nil"/>
                    <w:tr2bl w:val="nil"/>
                  </w:tcBorders>
                  <w:noWrap w:val="0"/>
                  <w:vAlign w:val="center"/>
                </w:tcPr>
                <w:p w14:paraId="72DCE3C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571CDA1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70</w:t>
                  </w:r>
                </w:p>
              </w:tc>
              <w:tc>
                <w:tcPr>
                  <w:tcW w:w="311" w:type="pct"/>
                  <w:vMerge w:val="continue"/>
                  <w:tcBorders>
                    <w:tl2br w:val="nil"/>
                    <w:tr2bl w:val="nil"/>
                  </w:tcBorders>
                  <w:noWrap w:val="0"/>
                  <w:vAlign w:val="center"/>
                </w:tcPr>
                <w:p w14:paraId="067605A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781F184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50</w:t>
                  </w:r>
                </w:p>
              </w:tc>
              <w:tc>
                <w:tcPr>
                  <w:tcW w:w="268" w:type="pct"/>
                  <w:tcBorders>
                    <w:tl2br w:val="nil"/>
                    <w:tr2bl w:val="nil"/>
                  </w:tcBorders>
                  <w:noWrap w:val="0"/>
                  <w:vAlign w:val="center"/>
                </w:tcPr>
                <w:p w14:paraId="6257A23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52</w:t>
                  </w:r>
                </w:p>
              </w:tc>
              <w:tc>
                <w:tcPr>
                  <w:tcW w:w="305" w:type="pct"/>
                  <w:tcBorders>
                    <w:tl2br w:val="nil"/>
                    <w:tr2bl w:val="nil"/>
                  </w:tcBorders>
                  <w:noWrap w:val="0"/>
                  <w:vAlign w:val="center"/>
                </w:tcPr>
                <w:p w14:paraId="75A9693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595" w:type="dxa"/>
                  <w:tcBorders>
                    <w:tl2br w:val="nil"/>
                    <w:tr2bl w:val="nil"/>
                  </w:tcBorders>
                  <w:noWrap w:val="0"/>
                  <w:vAlign w:val="center"/>
                </w:tcPr>
                <w:p w14:paraId="598A533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w:t>
                  </w:r>
                </w:p>
              </w:tc>
              <w:tc>
                <w:tcPr>
                  <w:tcW w:w="370" w:type="pct"/>
                  <w:tcBorders>
                    <w:tl2br w:val="nil"/>
                    <w:tr2bl w:val="nil"/>
                  </w:tcBorders>
                  <w:noWrap w:val="0"/>
                  <w:vAlign w:val="center"/>
                </w:tcPr>
                <w:p w14:paraId="7527BC9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62</w:t>
                  </w:r>
                </w:p>
              </w:tc>
              <w:tc>
                <w:tcPr>
                  <w:tcW w:w="316" w:type="pct"/>
                  <w:vMerge w:val="continue"/>
                  <w:tcBorders>
                    <w:tl2br w:val="nil"/>
                    <w:tr2bl w:val="nil"/>
                  </w:tcBorders>
                  <w:noWrap w:val="0"/>
                  <w:vAlign w:val="center"/>
                </w:tcPr>
                <w:p w14:paraId="6352E0C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1453DC1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4337279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42</w:t>
                  </w:r>
                </w:p>
              </w:tc>
              <w:tc>
                <w:tcPr>
                  <w:tcW w:w="267" w:type="pct"/>
                  <w:tcBorders>
                    <w:tl2br w:val="nil"/>
                    <w:tr2bl w:val="nil"/>
                  </w:tcBorders>
                  <w:noWrap w:val="0"/>
                  <w:vAlign w:val="center"/>
                </w:tcPr>
                <w:p w14:paraId="3484D98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4027A6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7D37AC2E">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12</w:t>
                  </w:r>
                </w:p>
              </w:tc>
              <w:tc>
                <w:tcPr>
                  <w:tcW w:w="241" w:type="pct"/>
                  <w:vMerge w:val="continue"/>
                  <w:tcBorders>
                    <w:tl2br w:val="nil"/>
                    <w:tr2bl w:val="nil"/>
                  </w:tcBorders>
                  <w:noWrap w:val="0"/>
                  <w:vAlign w:val="center"/>
                </w:tcPr>
                <w:p w14:paraId="57B71C3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0B8144C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拉直机</w:t>
                  </w:r>
                  <w:r>
                    <w:rPr>
                      <w:rFonts w:hint="eastAsia" w:cs="Times New Roman"/>
                      <w:b w:val="0"/>
                      <w:bCs w:val="0"/>
                      <w:sz w:val="18"/>
                      <w:szCs w:val="18"/>
                      <w:lang w:val="en-US" w:eastAsia="zh-CN"/>
                    </w:rPr>
                    <w:t>4</w:t>
                  </w:r>
                </w:p>
              </w:tc>
              <w:tc>
                <w:tcPr>
                  <w:tcW w:w="334" w:type="pct"/>
                  <w:tcBorders>
                    <w:tl2br w:val="nil"/>
                    <w:tr2bl w:val="nil"/>
                  </w:tcBorders>
                  <w:noWrap w:val="0"/>
                  <w:vAlign w:val="center"/>
                </w:tcPr>
                <w:p w14:paraId="7375D82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5504121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70</w:t>
                  </w:r>
                </w:p>
              </w:tc>
              <w:tc>
                <w:tcPr>
                  <w:tcW w:w="311" w:type="pct"/>
                  <w:vMerge w:val="continue"/>
                  <w:tcBorders>
                    <w:tl2br w:val="nil"/>
                    <w:tr2bl w:val="nil"/>
                  </w:tcBorders>
                  <w:noWrap w:val="0"/>
                  <w:vAlign w:val="center"/>
                </w:tcPr>
                <w:p w14:paraId="0A45FB3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7EFFA5B1">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50</w:t>
                  </w:r>
                </w:p>
              </w:tc>
              <w:tc>
                <w:tcPr>
                  <w:tcW w:w="268" w:type="pct"/>
                  <w:tcBorders>
                    <w:tl2br w:val="nil"/>
                    <w:tr2bl w:val="nil"/>
                  </w:tcBorders>
                  <w:noWrap w:val="0"/>
                  <w:vAlign w:val="center"/>
                </w:tcPr>
                <w:p w14:paraId="6669AB4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45</w:t>
                  </w:r>
                </w:p>
              </w:tc>
              <w:tc>
                <w:tcPr>
                  <w:tcW w:w="305" w:type="pct"/>
                  <w:tcBorders>
                    <w:tl2br w:val="nil"/>
                    <w:tr2bl w:val="nil"/>
                  </w:tcBorders>
                  <w:noWrap w:val="0"/>
                  <w:vAlign w:val="center"/>
                </w:tcPr>
                <w:p w14:paraId="6DFF807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595" w:type="dxa"/>
                  <w:tcBorders>
                    <w:tl2br w:val="nil"/>
                    <w:tr2bl w:val="nil"/>
                  </w:tcBorders>
                  <w:noWrap w:val="0"/>
                  <w:vAlign w:val="center"/>
                </w:tcPr>
                <w:p w14:paraId="3B82F87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20</w:t>
                  </w:r>
                </w:p>
              </w:tc>
              <w:tc>
                <w:tcPr>
                  <w:tcW w:w="370" w:type="pct"/>
                  <w:tcBorders>
                    <w:tl2br w:val="nil"/>
                    <w:tr2bl w:val="nil"/>
                  </w:tcBorders>
                  <w:noWrap w:val="0"/>
                  <w:vAlign w:val="center"/>
                </w:tcPr>
                <w:p w14:paraId="6DF0017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56</w:t>
                  </w:r>
                </w:p>
              </w:tc>
              <w:tc>
                <w:tcPr>
                  <w:tcW w:w="316" w:type="pct"/>
                  <w:vMerge w:val="continue"/>
                  <w:tcBorders>
                    <w:tl2br w:val="nil"/>
                    <w:tr2bl w:val="nil"/>
                  </w:tcBorders>
                  <w:noWrap w:val="0"/>
                  <w:vAlign w:val="center"/>
                </w:tcPr>
                <w:p w14:paraId="131404B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30443CB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3A218E7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36</w:t>
                  </w:r>
                </w:p>
              </w:tc>
              <w:tc>
                <w:tcPr>
                  <w:tcW w:w="267" w:type="pct"/>
                  <w:tcBorders>
                    <w:tl2br w:val="nil"/>
                    <w:tr2bl w:val="nil"/>
                  </w:tcBorders>
                  <w:noWrap w:val="0"/>
                  <w:vAlign w:val="center"/>
                </w:tcPr>
                <w:p w14:paraId="5FAA619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71697F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3D7782A8">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13</w:t>
                  </w:r>
                </w:p>
              </w:tc>
              <w:tc>
                <w:tcPr>
                  <w:tcW w:w="241" w:type="pct"/>
                  <w:vMerge w:val="continue"/>
                  <w:tcBorders>
                    <w:tl2br w:val="nil"/>
                    <w:tr2bl w:val="nil"/>
                  </w:tcBorders>
                  <w:noWrap w:val="0"/>
                  <w:vAlign w:val="center"/>
                </w:tcPr>
                <w:p w14:paraId="7B0B152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4F43050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成品锯1</w:t>
                  </w:r>
                </w:p>
              </w:tc>
              <w:tc>
                <w:tcPr>
                  <w:tcW w:w="334" w:type="pct"/>
                  <w:tcBorders>
                    <w:tl2br w:val="nil"/>
                    <w:tr2bl w:val="nil"/>
                  </w:tcBorders>
                  <w:noWrap w:val="0"/>
                  <w:vAlign w:val="center"/>
                </w:tcPr>
                <w:p w14:paraId="438CB73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31E7A27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85</w:t>
                  </w:r>
                </w:p>
              </w:tc>
              <w:tc>
                <w:tcPr>
                  <w:tcW w:w="311" w:type="pct"/>
                  <w:vMerge w:val="continue"/>
                  <w:tcBorders>
                    <w:tl2br w:val="nil"/>
                    <w:tr2bl w:val="nil"/>
                  </w:tcBorders>
                  <w:noWrap w:val="0"/>
                  <w:vAlign w:val="center"/>
                </w:tcPr>
                <w:p w14:paraId="11829C1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51C4029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20</w:t>
                  </w:r>
                </w:p>
              </w:tc>
              <w:tc>
                <w:tcPr>
                  <w:tcW w:w="268" w:type="pct"/>
                  <w:tcBorders>
                    <w:tl2br w:val="nil"/>
                    <w:tr2bl w:val="nil"/>
                  </w:tcBorders>
                  <w:noWrap w:val="0"/>
                  <w:vAlign w:val="center"/>
                </w:tcPr>
                <w:p w14:paraId="30935D5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56</w:t>
                  </w:r>
                </w:p>
              </w:tc>
              <w:tc>
                <w:tcPr>
                  <w:tcW w:w="305" w:type="pct"/>
                  <w:tcBorders>
                    <w:tl2br w:val="nil"/>
                    <w:tr2bl w:val="nil"/>
                  </w:tcBorders>
                  <w:noWrap w:val="0"/>
                  <w:vAlign w:val="center"/>
                </w:tcPr>
                <w:p w14:paraId="565BD1E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73A12CF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370" w:type="pct"/>
                  <w:tcBorders>
                    <w:tl2br w:val="nil"/>
                    <w:tr2bl w:val="nil"/>
                  </w:tcBorders>
                  <w:noWrap w:val="0"/>
                  <w:vAlign w:val="center"/>
                </w:tcPr>
                <w:p w14:paraId="5B950DD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2</w:t>
                  </w:r>
                </w:p>
              </w:tc>
              <w:tc>
                <w:tcPr>
                  <w:tcW w:w="316" w:type="pct"/>
                  <w:vMerge w:val="continue"/>
                  <w:tcBorders>
                    <w:tl2br w:val="nil"/>
                    <w:tr2bl w:val="nil"/>
                  </w:tcBorders>
                  <w:noWrap w:val="0"/>
                  <w:vAlign w:val="center"/>
                </w:tcPr>
                <w:p w14:paraId="6430425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198D206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580E8F9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52</w:t>
                  </w:r>
                </w:p>
              </w:tc>
              <w:tc>
                <w:tcPr>
                  <w:tcW w:w="267" w:type="pct"/>
                  <w:tcBorders>
                    <w:tl2br w:val="nil"/>
                    <w:tr2bl w:val="nil"/>
                  </w:tcBorders>
                  <w:noWrap w:val="0"/>
                  <w:vAlign w:val="center"/>
                </w:tcPr>
                <w:p w14:paraId="34CD586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671AB4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3C723DF2">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14</w:t>
                  </w:r>
                </w:p>
              </w:tc>
              <w:tc>
                <w:tcPr>
                  <w:tcW w:w="241" w:type="pct"/>
                  <w:vMerge w:val="continue"/>
                  <w:tcBorders>
                    <w:tl2br w:val="nil"/>
                    <w:tr2bl w:val="nil"/>
                  </w:tcBorders>
                  <w:noWrap w:val="0"/>
                  <w:vAlign w:val="center"/>
                </w:tcPr>
                <w:p w14:paraId="1935F12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0AAFEEF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成品锯2</w:t>
                  </w:r>
                </w:p>
              </w:tc>
              <w:tc>
                <w:tcPr>
                  <w:tcW w:w="334" w:type="pct"/>
                  <w:tcBorders>
                    <w:tl2br w:val="nil"/>
                    <w:tr2bl w:val="nil"/>
                  </w:tcBorders>
                  <w:noWrap w:val="0"/>
                  <w:vAlign w:val="center"/>
                </w:tcPr>
                <w:p w14:paraId="038CD0A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70CF63C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85</w:t>
                  </w:r>
                </w:p>
              </w:tc>
              <w:tc>
                <w:tcPr>
                  <w:tcW w:w="311" w:type="pct"/>
                  <w:vMerge w:val="continue"/>
                  <w:tcBorders>
                    <w:tl2br w:val="nil"/>
                    <w:tr2bl w:val="nil"/>
                  </w:tcBorders>
                  <w:noWrap w:val="0"/>
                  <w:vAlign w:val="center"/>
                </w:tcPr>
                <w:p w14:paraId="10EEDF0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213E5FB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20</w:t>
                  </w:r>
                </w:p>
              </w:tc>
              <w:tc>
                <w:tcPr>
                  <w:tcW w:w="268" w:type="pct"/>
                  <w:tcBorders>
                    <w:tl2br w:val="nil"/>
                    <w:tr2bl w:val="nil"/>
                  </w:tcBorders>
                  <w:noWrap w:val="0"/>
                  <w:vAlign w:val="center"/>
                </w:tcPr>
                <w:p w14:paraId="49A82E6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41</w:t>
                  </w:r>
                </w:p>
              </w:tc>
              <w:tc>
                <w:tcPr>
                  <w:tcW w:w="305" w:type="pct"/>
                  <w:tcBorders>
                    <w:tl2br w:val="nil"/>
                    <w:tr2bl w:val="nil"/>
                  </w:tcBorders>
                  <w:noWrap w:val="0"/>
                  <w:vAlign w:val="center"/>
                </w:tcPr>
                <w:p w14:paraId="0A715E6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6C89249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20</w:t>
                  </w:r>
                </w:p>
              </w:tc>
              <w:tc>
                <w:tcPr>
                  <w:tcW w:w="370" w:type="pct"/>
                  <w:tcBorders>
                    <w:tl2br w:val="nil"/>
                    <w:tr2bl w:val="nil"/>
                  </w:tcBorders>
                  <w:noWrap w:val="0"/>
                  <w:vAlign w:val="center"/>
                </w:tcPr>
                <w:p w14:paraId="3388792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70</w:t>
                  </w:r>
                </w:p>
              </w:tc>
              <w:tc>
                <w:tcPr>
                  <w:tcW w:w="316" w:type="pct"/>
                  <w:vMerge w:val="continue"/>
                  <w:tcBorders>
                    <w:tl2br w:val="nil"/>
                    <w:tr2bl w:val="nil"/>
                  </w:tcBorders>
                  <w:noWrap w:val="0"/>
                  <w:vAlign w:val="center"/>
                </w:tcPr>
                <w:p w14:paraId="7A68F76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0765051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7AA8B9A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50</w:t>
                  </w:r>
                </w:p>
              </w:tc>
              <w:tc>
                <w:tcPr>
                  <w:tcW w:w="267" w:type="pct"/>
                  <w:tcBorders>
                    <w:tl2br w:val="nil"/>
                    <w:tr2bl w:val="nil"/>
                  </w:tcBorders>
                  <w:noWrap w:val="0"/>
                  <w:vAlign w:val="center"/>
                </w:tcPr>
                <w:p w14:paraId="24AE86E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790D35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0E5B387C">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15</w:t>
                  </w:r>
                </w:p>
              </w:tc>
              <w:tc>
                <w:tcPr>
                  <w:tcW w:w="241" w:type="pct"/>
                  <w:vMerge w:val="continue"/>
                  <w:tcBorders>
                    <w:tl2br w:val="nil"/>
                    <w:tr2bl w:val="nil"/>
                  </w:tcBorders>
                  <w:noWrap w:val="0"/>
                  <w:vAlign w:val="center"/>
                </w:tcPr>
                <w:p w14:paraId="492B5BC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02B84F5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成品锯</w:t>
                  </w:r>
                  <w:r>
                    <w:rPr>
                      <w:rFonts w:hint="eastAsia" w:eastAsia="宋体" w:cs="Times New Roman"/>
                      <w:b w:val="0"/>
                      <w:bCs w:val="0"/>
                      <w:sz w:val="18"/>
                      <w:szCs w:val="18"/>
                      <w:lang w:val="en-US" w:eastAsia="zh-CN"/>
                    </w:rPr>
                    <w:t>3</w:t>
                  </w:r>
                </w:p>
              </w:tc>
              <w:tc>
                <w:tcPr>
                  <w:tcW w:w="334" w:type="pct"/>
                  <w:tcBorders>
                    <w:tl2br w:val="nil"/>
                    <w:tr2bl w:val="nil"/>
                  </w:tcBorders>
                  <w:noWrap w:val="0"/>
                  <w:vAlign w:val="center"/>
                </w:tcPr>
                <w:p w14:paraId="477BC3F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30AB67B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85</w:t>
                  </w:r>
                </w:p>
              </w:tc>
              <w:tc>
                <w:tcPr>
                  <w:tcW w:w="311" w:type="pct"/>
                  <w:vMerge w:val="continue"/>
                  <w:tcBorders>
                    <w:tl2br w:val="nil"/>
                    <w:tr2bl w:val="nil"/>
                  </w:tcBorders>
                  <w:noWrap w:val="0"/>
                  <w:vAlign w:val="center"/>
                </w:tcPr>
                <w:p w14:paraId="5E73D46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3469325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80</w:t>
                  </w:r>
                </w:p>
              </w:tc>
              <w:tc>
                <w:tcPr>
                  <w:tcW w:w="268" w:type="pct"/>
                  <w:tcBorders>
                    <w:tl2br w:val="nil"/>
                    <w:tr2bl w:val="nil"/>
                  </w:tcBorders>
                  <w:noWrap w:val="0"/>
                  <w:vAlign w:val="center"/>
                </w:tcPr>
                <w:p w14:paraId="7546047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56</w:t>
                  </w:r>
                </w:p>
              </w:tc>
              <w:tc>
                <w:tcPr>
                  <w:tcW w:w="305" w:type="pct"/>
                  <w:tcBorders>
                    <w:tl2br w:val="nil"/>
                    <w:tr2bl w:val="nil"/>
                  </w:tcBorders>
                  <w:noWrap w:val="0"/>
                  <w:vAlign w:val="center"/>
                </w:tcPr>
                <w:p w14:paraId="13FFF57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595" w:type="dxa"/>
                  <w:tcBorders>
                    <w:tl2br w:val="nil"/>
                    <w:tr2bl w:val="nil"/>
                  </w:tcBorders>
                  <w:noWrap w:val="0"/>
                  <w:vAlign w:val="center"/>
                </w:tcPr>
                <w:p w14:paraId="536D0DA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2</w:t>
                  </w:r>
                </w:p>
              </w:tc>
              <w:tc>
                <w:tcPr>
                  <w:tcW w:w="617" w:type="dxa"/>
                  <w:tcBorders>
                    <w:tl2br w:val="nil"/>
                    <w:tr2bl w:val="nil"/>
                  </w:tcBorders>
                  <w:noWrap w:val="0"/>
                  <w:vAlign w:val="center"/>
                </w:tcPr>
                <w:p w14:paraId="71E0DEC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2</w:t>
                  </w:r>
                </w:p>
              </w:tc>
              <w:tc>
                <w:tcPr>
                  <w:tcW w:w="316" w:type="pct"/>
                  <w:vMerge w:val="continue"/>
                  <w:tcBorders>
                    <w:tl2br w:val="nil"/>
                    <w:tr2bl w:val="nil"/>
                  </w:tcBorders>
                  <w:noWrap w:val="0"/>
                  <w:vAlign w:val="center"/>
                </w:tcPr>
                <w:p w14:paraId="19979929">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33E72A2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0C43007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52</w:t>
                  </w:r>
                </w:p>
              </w:tc>
              <w:tc>
                <w:tcPr>
                  <w:tcW w:w="267" w:type="pct"/>
                  <w:tcBorders>
                    <w:tl2br w:val="nil"/>
                    <w:tr2bl w:val="nil"/>
                  </w:tcBorders>
                  <w:noWrap w:val="0"/>
                  <w:vAlign w:val="center"/>
                </w:tcPr>
                <w:p w14:paraId="13B1226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40C08E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0CAEBA8A">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ascii="Times New Roman" w:hAnsi="Times New Roman" w:eastAsia="宋体" w:cs="Times New Roman"/>
                      <w:b w:val="0"/>
                      <w:bCs w:val="0"/>
                      <w:color w:val="auto"/>
                      <w:kern w:val="2"/>
                      <w:sz w:val="18"/>
                      <w:szCs w:val="18"/>
                      <w:lang w:val="en-US" w:eastAsia="zh-CN" w:bidi="ar-SA"/>
                    </w:rPr>
                    <w:t>1</w:t>
                  </w:r>
                  <w:r>
                    <w:rPr>
                      <w:rFonts w:hint="eastAsia" w:cs="Times New Roman"/>
                      <w:b w:val="0"/>
                      <w:bCs w:val="0"/>
                      <w:color w:val="auto"/>
                      <w:kern w:val="2"/>
                      <w:sz w:val="18"/>
                      <w:szCs w:val="18"/>
                      <w:lang w:val="en-US" w:eastAsia="zh-CN" w:bidi="ar-SA"/>
                    </w:rPr>
                    <w:t>6</w:t>
                  </w:r>
                </w:p>
              </w:tc>
              <w:tc>
                <w:tcPr>
                  <w:tcW w:w="241" w:type="pct"/>
                  <w:vMerge w:val="continue"/>
                  <w:tcBorders>
                    <w:tl2br w:val="nil"/>
                    <w:tr2bl w:val="nil"/>
                  </w:tcBorders>
                  <w:noWrap w:val="0"/>
                  <w:vAlign w:val="center"/>
                </w:tcPr>
                <w:p w14:paraId="634FD41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3C25BFE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18"/>
                      <w:szCs w:val="18"/>
                      <w:lang w:val="en-US" w:eastAsia="zh-CN"/>
                    </w:rPr>
                  </w:pPr>
                  <w:r>
                    <w:rPr>
                      <w:rFonts w:hint="eastAsia" w:ascii="Times New Roman" w:hAnsi="Times New Roman" w:eastAsia="宋体" w:cs="Times New Roman"/>
                      <w:b w:val="0"/>
                      <w:bCs w:val="0"/>
                      <w:sz w:val="18"/>
                      <w:szCs w:val="18"/>
                      <w:lang w:val="en-US" w:eastAsia="zh-CN"/>
                    </w:rPr>
                    <w:t>成品锯</w:t>
                  </w:r>
                  <w:r>
                    <w:rPr>
                      <w:rFonts w:hint="eastAsia" w:eastAsia="宋体" w:cs="Times New Roman"/>
                      <w:b w:val="0"/>
                      <w:bCs w:val="0"/>
                      <w:sz w:val="18"/>
                      <w:szCs w:val="18"/>
                      <w:lang w:val="en-US" w:eastAsia="zh-CN"/>
                    </w:rPr>
                    <w:t>4</w:t>
                  </w:r>
                </w:p>
              </w:tc>
              <w:tc>
                <w:tcPr>
                  <w:tcW w:w="334" w:type="pct"/>
                  <w:tcBorders>
                    <w:tl2br w:val="nil"/>
                    <w:tr2bl w:val="nil"/>
                  </w:tcBorders>
                  <w:noWrap w:val="0"/>
                  <w:vAlign w:val="center"/>
                </w:tcPr>
                <w:p w14:paraId="0634DA4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1398215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85</w:t>
                  </w:r>
                </w:p>
              </w:tc>
              <w:tc>
                <w:tcPr>
                  <w:tcW w:w="311" w:type="pct"/>
                  <w:vMerge w:val="continue"/>
                  <w:tcBorders>
                    <w:tl2br w:val="nil"/>
                    <w:tr2bl w:val="nil"/>
                  </w:tcBorders>
                  <w:noWrap w:val="0"/>
                  <w:vAlign w:val="center"/>
                </w:tcPr>
                <w:p w14:paraId="63640A5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7EFD536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80</w:t>
                  </w:r>
                </w:p>
              </w:tc>
              <w:tc>
                <w:tcPr>
                  <w:tcW w:w="268" w:type="pct"/>
                  <w:tcBorders>
                    <w:tl2br w:val="nil"/>
                    <w:tr2bl w:val="nil"/>
                  </w:tcBorders>
                  <w:noWrap w:val="0"/>
                  <w:vAlign w:val="center"/>
                </w:tcPr>
                <w:p w14:paraId="56B0FB0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41</w:t>
                  </w:r>
                </w:p>
              </w:tc>
              <w:tc>
                <w:tcPr>
                  <w:tcW w:w="305" w:type="pct"/>
                  <w:tcBorders>
                    <w:tl2br w:val="nil"/>
                    <w:tr2bl w:val="nil"/>
                  </w:tcBorders>
                  <w:noWrap w:val="0"/>
                  <w:vAlign w:val="center"/>
                </w:tcPr>
                <w:p w14:paraId="15F097B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595" w:type="dxa"/>
                  <w:tcBorders>
                    <w:tl2br w:val="nil"/>
                    <w:tr2bl w:val="nil"/>
                  </w:tcBorders>
                  <w:noWrap w:val="0"/>
                  <w:vAlign w:val="center"/>
                </w:tcPr>
                <w:p w14:paraId="6455023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20</w:t>
                  </w:r>
                </w:p>
              </w:tc>
              <w:tc>
                <w:tcPr>
                  <w:tcW w:w="617" w:type="dxa"/>
                  <w:tcBorders>
                    <w:tl2br w:val="nil"/>
                    <w:tr2bl w:val="nil"/>
                  </w:tcBorders>
                  <w:noWrap w:val="0"/>
                  <w:vAlign w:val="center"/>
                </w:tcPr>
                <w:p w14:paraId="3497E80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70</w:t>
                  </w:r>
                </w:p>
              </w:tc>
              <w:tc>
                <w:tcPr>
                  <w:tcW w:w="316" w:type="pct"/>
                  <w:vMerge w:val="continue"/>
                  <w:tcBorders>
                    <w:tl2br w:val="nil"/>
                    <w:tr2bl w:val="nil"/>
                  </w:tcBorders>
                  <w:noWrap w:val="0"/>
                  <w:vAlign w:val="center"/>
                </w:tcPr>
                <w:p w14:paraId="39240F5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7612AE9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5772ADC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5</w:t>
                  </w:r>
                  <w:r>
                    <w:rPr>
                      <w:rFonts w:hint="eastAsia" w:cs="Times New Roman"/>
                      <w:b w:val="0"/>
                      <w:bCs w:val="0"/>
                      <w:color w:val="auto"/>
                      <w:sz w:val="18"/>
                      <w:szCs w:val="18"/>
                      <w:vertAlign w:val="baseline"/>
                      <w:lang w:val="en-US" w:eastAsia="zh-CN"/>
                    </w:rPr>
                    <w:t>0</w:t>
                  </w:r>
                </w:p>
              </w:tc>
              <w:tc>
                <w:tcPr>
                  <w:tcW w:w="267" w:type="pct"/>
                  <w:tcBorders>
                    <w:tl2br w:val="nil"/>
                    <w:tr2bl w:val="nil"/>
                  </w:tcBorders>
                  <w:noWrap w:val="0"/>
                  <w:vAlign w:val="center"/>
                </w:tcPr>
                <w:p w14:paraId="6276A24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2AF472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7FB32BC3">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ascii="Times New Roman" w:hAnsi="Times New Roman" w:eastAsia="宋体" w:cs="Times New Roman"/>
                      <w:b w:val="0"/>
                      <w:bCs w:val="0"/>
                      <w:color w:val="auto"/>
                      <w:kern w:val="2"/>
                      <w:sz w:val="18"/>
                      <w:szCs w:val="18"/>
                      <w:lang w:val="en-US" w:eastAsia="zh-CN" w:bidi="ar-SA"/>
                    </w:rPr>
                    <w:t>1</w:t>
                  </w:r>
                  <w:r>
                    <w:rPr>
                      <w:rFonts w:hint="eastAsia" w:cs="Times New Roman"/>
                      <w:b w:val="0"/>
                      <w:bCs w:val="0"/>
                      <w:color w:val="auto"/>
                      <w:kern w:val="2"/>
                      <w:sz w:val="18"/>
                      <w:szCs w:val="18"/>
                      <w:lang w:val="en-US" w:eastAsia="zh-CN" w:bidi="ar-SA"/>
                    </w:rPr>
                    <w:t>7</w:t>
                  </w:r>
                </w:p>
              </w:tc>
              <w:tc>
                <w:tcPr>
                  <w:tcW w:w="241" w:type="pct"/>
                  <w:vMerge w:val="continue"/>
                  <w:tcBorders>
                    <w:tl2br w:val="nil"/>
                    <w:tr2bl w:val="nil"/>
                  </w:tcBorders>
                  <w:noWrap w:val="0"/>
                  <w:vAlign w:val="center"/>
                </w:tcPr>
                <w:p w14:paraId="779D98DF">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632CE46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i w:val="0"/>
                      <w:iCs w:val="0"/>
                      <w:color w:val="000000"/>
                      <w:kern w:val="0"/>
                      <w:sz w:val="18"/>
                      <w:szCs w:val="18"/>
                      <w:u w:val="none"/>
                      <w:lang w:val="en-US" w:eastAsia="zh-CN" w:bidi="ar"/>
                    </w:rPr>
                  </w:pPr>
                  <w:r>
                    <w:rPr>
                      <w:rFonts w:hint="eastAsia" w:ascii="Times New Roman" w:hAnsi="Times New Roman" w:eastAsia="宋体" w:cs="Times New Roman"/>
                      <w:b w:val="0"/>
                      <w:bCs w:val="0"/>
                      <w:i w:val="0"/>
                      <w:iCs w:val="0"/>
                      <w:color w:val="000000"/>
                      <w:kern w:val="0"/>
                      <w:sz w:val="18"/>
                      <w:szCs w:val="18"/>
                      <w:u w:val="none"/>
                      <w:lang w:val="en-US" w:eastAsia="zh-CN" w:bidi="ar"/>
                    </w:rPr>
                    <w:t>空压机1</w:t>
                  </w:r>
                </w:p>
              </w:tc>
              <w:tc>
                <w:tcPr>
                  <w:tcW w:w="334" w:type="pct"/>
                  <w:tcBorders>
                    <w:tl2br w:val="nil"/>
                    <w:tr2bl w:val="nil"/>
                  </w:tcBorders>
                  <w:noWrap w:val="0"/>
                  <w:vAlign w:val="center"/>
                </w:tcPr>
                <w:p w14:paraId="564A42B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359010F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90</w:t>
                  </w:r>
                </w:p>
              </w:tc>
              <w:tc>
                <w:tcPr>
                  <w:tcW w:w="311" w:type="pct"/>
                  <w:vMerge w:val="continue"/>
                  <w:tcBorders>
                    <w:tl2br w:val="nil"/>
                    <w:tr2bl w:val="nil"/>
                  </w:tcBorders>
                  <w:noWrap w:val="0"/>
                  <w:vAlign w:val="center"/>
                </w:tcPr>
                <w:p w14:paraId="0EF4F3C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44A35D9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w:t>
                  </w:r>
                </w:p>
              </w:tc>
              <w:tc>
                <w:tcPr>
                  <w:tcW w:w="268" w:type="pct"/>
                  <w:tcBorders>
                    <w:tl2br w:val="nil"/>
                    <w:tr2bl w:val="nil"/>
                  </w:tcBorders>
                  <w:noWrap w:val="0"/>
                  <w:vAlign w:val="center"/>
                </w:tcPr>
                <w:p w14:paraId="3D634C7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50</w:t>
                  </w:r>
                </w:p>
              </w:tc>
              <w:tc>
                <w:tcPr>
                  <w:tcW w:w="305" w:type="pct"/>
                  <w:tcBorders>
                    <w:tl2br w:val="nil"/>
                    <w:tr2bl w:val="nil"/>
                  </w:tcBorders>
                  <w:noWrap w:val="0"/>
                  <w:vAlign w:val="center"/>
                </w:tcPr>
                <w:p w14:paraId="43C703C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63F2554A">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w:t>
                  </w:r>
                </w:p>
              </w:tc>
              <w:tc>
                <w:tcPr>
                  <w:tcW w:w="370" w:type="pct"/>
                  <w:tcBorders>
                    <w:tl2br w:val="nil"/>
                    <w:tr2bl w:val="nil"/>
                  </w:tcBorders>
                  <w:noWrap w:val="0"/>
                  <w:vAlign w:val="center"/>
                </w:tcPr>
                <w:p w14:paraId="59D97523">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5</w:t>
                  </w:r>
                </w:p>
              </w:tc>
              <w:tc>
                <w:tcPr>
                  <w:tcW w:w="316" w:type="pct"/>
                  <w:vMerge w:val="continue"/>
                  <w:tcBorders>
                    <w:tl2br w:val="nil"/>
                    <w:tr2bl w:val="nil"/>
                  </w:tcBorders>
                  <w:noWrap w:val="0"/>
                  <w:vAlign w:val="center"/>
                </w:tcPr>
                <w:p w14:paraId="718595D5">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5B691676">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15A45AC8">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5</w:t>
                  </w:r>
                  <w:r>
                    <w:rPr>
                      <w:rFonts w:hint="eastAsia" w:cs="Times New Roman"/>
                      <w:b w:val="0"/>
                      <w:bCs w:val="0"/>
                      <w:color w:val="auto"/>
                      <w:sz w:val="18"/>
                      <w:szCs w:val="18"/>
                      <w:vertAlign w:val="baseline"/>
                      <w:lang w:val="en-US" w:eastAsia="zh-CN"/>
                    </w:rPr>
                    <w:t>5</w:t>
                  </w:r>
                </w:p>
              </w:tc>
              <w:tc>
                <w:tcPr>
                  <w:tcW w:w="267" w:type="pct"/>
                  <w:tcBorders>
                    <w:tl2br w:val="nil"/>
                    <w:tr2bl w:val="nil"/>
                  </w:tcBorders>
                  <w:noWrap w:val="0"/>
                  <w:vAlign w:val="center"/>
                </w:tcPr>
                <w:p w14:paraId="6DA25B9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r w14:paraId="3E9BD1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77" w:type="pct"/>
                  <w:tcBorders>
                    <w:tl2br w:val="nil"/>
                    <w:tr2bl w:val="nil"/>
                  </w:tcBorders>
                  <w:noWrap w:val="0"/>
                  <w:vAlign w:val="center"/>
                </w:tcPr>
                <w:p w14:paraId="167F4081">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18"/>
                      <w:szCs w:val="18"/>
                      <w:lang w:val="en-US" w:eastAsia="zh-CN" w:bidi="ar-SA"/>
                    </w:rPr>
                  </w:pPr>
                  <w:r>
                    <w:rPr>
                      <w:rFonts w:hint="eastAsia" w:cs="Times New Roman"/>
                      <w:b w:val="0"/>
                      <w:bCs w:val="0"/>
                      <w:color w:val="auto"/>
                      <w:kern w:val="2"/>
                      <w:sz w:val="18"/>
                      <w:szCs w:val="18"/>
                      <w:lang w:val="en-US" w:eastAsia="zh-CN" w:bidi="ar-SA"/>
                    </w:rPr>
                    <w:t>18</w:t>
                  </w:r>
                </w:p>
              </w:tc>
              <w:tc>
                <w:tcPr>
                  <w:tcW w:w="241" w:type="pct"/>
                  <w:vMerge w:val="continue"/>
                  <w:tcBorders>
                    <w:tl2br w:val="nil"/>
                    <w:tr2bl w:val="nil"/>
                  </w:tcBorders>
                  <w:noWrap w:val="0"/>
                  <w:vAlign w:val="center"/>
                </w:tcPr>
                <w:p w14:paraId="4E2C2A2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564" w:type="pct"/>
                  <w:tcBorders>
                    <w:tl2br w:val="nil"/>
                    <w:tr2bl w:val="nil"/>
                  </w:tcBorders>
                  <w:noWrap w:val="0"/>
                  <w:vAlign w:val="center"/>
                </w:tcPr>
                <w:p w14:paraId="13B648A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val="0"/>
                      <w:i w:val="0"/>
                      <w:iCs w:val="0"/>
                      <w:color w:val="000000"/>
                      <w:kern w:val="0"/>
                      <w:sz w:val="18"/>
                      <w:szCs w:val="18"/>
                      <w:u w:val="none"/>
                      <w:lang w:val="en-US" w:eastAsia="zh-CN" w:bidi="ar"/>
                    </w:rPr>
                  </w:pPr>
                  <w:r>
                    <w:rPr>
                      <w:rFonts w:hint="eastAsia" w:ascii="Times New Roman" w:hAnsi="Times New Roman" w:eastAsia="宋体" w:cs="Times New Roman"/>
                      <w:b w:val="0"/>
                      <w:bCs w:val="0"/>
                      <w:i w:val="0"/>
                      <w:iCs w:val="0"/>
                      <w:color w:val="000000"/>
                      <w:kern w:val="0"/>
                      <w:sz w:val="18"/>
                      <w:szCs w:val="18"/>
                      <w:u w:val="none"/>
                      <w:lang w:val="en-US" w:eastAsia="zh-CN" w:bidi="ar"/>
                    </w:rPr>
                    <w:t>空压机</w:t>
                  </w:r>
                  <w:r>
                    <w:rPr>
                      <w:rFonts w:hint="eastAsia" w:eastAsia="宋体" w:cs="Times New Roman"/>
                      <w:b w:val="0"/>
                      <w:bCs w:val="0"/>
                      <w:i w:val="0"/>
                      <w:iCs w:val="0"/>
                      <w:color w:val="000000"/>
                      <w:kern w:val="0"/>
                      <w:sz w:val="18"/>
                      <w:szCs w:val="18"/>
                      <w:u w:val="none"/>
                      <w:lang w:val="en-US" w:eastAsia="zh-CN" w:bidi="ar"/>
                    </w:rPr>
                    <w:t>2</w:t>
                  </w:r>
                </w:p>
              </w:tc>
              <w:tc>
                <w:tcPr>
                  <w:tcW w:w="334" w:type="pct"/>
                  <w:tcBorders>
                    <w:tl2br w:val="nil"/>
                    <w:tr2bl w:val="nil"/>
                  </w:tcBorders>
                  <w:noWrap w:val="0"/>
                  <w:vAlign w:val="center"/>
                </w:tcPr>
                <w:p w14:paraId="06F5E4C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val="0"/>
                      <w:i w:val="0"/>
                      <w:iCs w:val="0"/>
                      <w:color w:val="auto"/>
                      <w:kern w:val="0"/>
                      <w:sz w:val="18"/>
                      <w:szCs w:val="18"/>
                      <w:u w:val="none"/>
                      <w:lang w:val="en-US" w:eastAsia="zh-CN" w:bidi="ar"/>
                    </w:rPr>
                  </w:pPr>
                  <w:r>
                    <w:rPr>
                      <w:rFonts w:hint="eastAsia" w:ascii="Times New Roman" w:hAnsi="Times New Roman" w:eastAsia="宋体" w:cs="Times New Roman"/>
                      <w:b w:val="0"/>
                      <w:bCs w:val="0"/>
                      <w:i w:val="0"/>
                      <w:iCs w:val="0"/>
                      <w:color w:val="auto"/>
                      <w:kern w:val="0"/>
                      <w:sz w:val="18"/>
                      <w:szCs w:val="18"/>
                      <w:u w:val="none"/>
                      <w:lang w:val="en-US" w:eastAsia="zh-CN" w:bidi="ar"/>
                    </w:rPr>
                    <w:t>1</w:t>
                  </w:r>
                </w:p>
              </w:tc>
              <w:tc>
                <w:tcPr>
                  <w:tcW w:w="482" w:type="pct"/>
                  <w:tcBorders>
                    <w:tl2br w:val="nil"/>
                    <w:tr2bl w:val="nil"/>
                  </w:tcBorders>
                  <w:noWrap w:val="0"/>
                  <w:vAlign w:val="center"/>
                </w:tcPr>
                <w:p w14:paraId="75E6D65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90</w:t>
                  </w:r>
                </w:p>
              </w:tc>
              <w:tc>
                <w:tcPr>
                  <w:tcW w:w="311" w:type="pct"/>
                  <w:vMerge w:val="continue"/>
                  <w:tcBorders>
                    <w:tl2br w:val="nil"/>
                    <w:tr2bl w:val="nil"/>
                  </w:tcBorders>
                  <w:noWrap w:val="0"/>
                  <w:vAlign w:val="center"/>
                </w:tcPr>
                <w:p w14:paraId="3AEBF734">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261" w:type="pct"/>
                  <w:tcBorders>
                    <w:tl2br w:val="nil"/>
                    <w:tr2bl w:val="nil"/>
                  </w:tcBorders>
                  <w:noWrap w:val="0"/>
                  <w:vAlign w:val="center"/>
                </w:tcPr>
                <w:p w14:paraId="7477AC6C">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95</w:t>
                  </w:r>
                </w:p>
              </w:tc>
              <w:tc>
                <w:tcPr>
                  <w:tcW w:w="268" w:type="pct"/>
                  <w:tcBorders>
                    <w:tl2br w:val="nil"/>
                    <w:tr2bl w:val="nil"/>
                  </w:tcBorders>
                  <w:noWrap w:val="0"/>
                  <w:vAlign w:val="center"/>
                </w:tcPr>
                <w:p w14:paraId="2B313C9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50</w:t>
                  </w:r>
                </w:p>
              </w:tc>
              <w:tc>
                <w:tcPr>
                  <w:tcW w:w="305" w:type="pct"/>
                  <w:tcBorders>
                    <w:tl2br w:val="nil"/>
                    <w:tr2bl w:val="nil"/>
                  </w:tcBorders>
                  <w:noWrap w:val="0"/>
                  <w:vAlign w:val="center"/>
                </w:tcPr>
                <w:p w14:paraId="51969292">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1</w:t>
                  </w:r>
                </w:p>
              </w:tc>
              <w:tc>
                <w:tcPr>
                  <w:tcW w:w="357" w:type="pct"/>
                  <w:tcBorders>
                    <w:tl2br w:val="nil"/>
                    <w:tr2bl w:val="nil"/>
                  </w:tcBorders>
                  <w:noWrap w:val="0"/>
                  <w:vAlign w:val="center"/>
                </w:tcPr>
                <w:p w14:paraId="2EB3FD2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cs="Times New Roman"/>
                      <w:b w:val="0"/>
                      <w:bCs w:val="0"/>
                      <w:color w:val="auto"/>
                      <w:sz w:val="18"/>
                      <w:szCs w:val="18"/>
                      <w:vertAlign w:val="baseline"/>
                      <w:lang w:val="en-US" w:eastAsia="zh-CN"/>
                    </w:rPr>
                    <w:t>5</w:t>
                  </w:r>
                </w:p>
              </w:tc>
              <w:tc>
                <w:tcPr>
                  <w:tcW w:w="370" w:type="pct"/>
                  <w:tcBorders>
                    <w:tl2br w:val="nil"/>
                    <w:tr2bl w:val="nil"/>
                  </w:tcBorders>
                  <w:noWrap w:val="0"/>
                  <w:vAlign w:val="center"/>
                </w:tcPr>
                <w:p w14:paraId="1A41F430">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7</w:t>
                  </w:r>
                  <w:r>
                    <w:rPr>
                      <w:rFonts w:hint="eastAsia" w:cs="Times New Roman"/>
                      <w:b w:val="0"/>
                      <w:bCs w:val="0"/>
                      <w:color w:val="auto"/>
                      <w:sz w:val="18"/>
                      <w:szCs w:val="18"/>
                      <w:vertAlign w:val="baseline"/>
                      <w:lang w:val="en-US" w:eastAsia="zh-CN"/>
                    </w:rPr>
                    <w:t>5</w:t>
                  </w:r>
                </w:p>
              </w:tc>
              <w:tc>
                <w:tcPr>
                  <w:tcW w:w="316" w:type="pct"/>
                  <w:vMerge w:val="continue"/>
                  <w:tcBorders>
                    <w:tl2br w:val="nil"/>
                    <w:tr2bl w:val="nil"/>
                  </w:tcBorders>
                  <w:noWrap w:val="0"/>
                  <w:vAlign w:val="center"/>
                </w:tcPr>
                <w:p w14:paraId="4CD177EE">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p>
              </w:tc>
              <w:tc>
                <w:tcPr>
                  <w:tcW w:w="364" w:type="pct"/>
                  <w:tcBorders>
                    <w:tl2br w:val="nil"/>
                    <w:tr2bl w:val="nil"/>
                  </w:tcBorders>
                  <w:noWrap w:val="0"/>
                  <w:vAlign w:val="center"/>
                </w:tcPr>
                <w:p w14:paraId="34FFEEE7">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20</w:t>
                  </w:r>
                </w:p>
              </w:tc>
              <w:tc>
                <w:tcPr>
                  <w:tcW w:w="379" w:type="pct"/>
                  <w:tcBorders>
                    <w:tl2br w:val="nil"/>
                    <w:tr2bl w:val="nil"/>
                  </w:tcBorders>
                  <w:noWrap w:val="0"/>
                  <w:vAlign w:val="center"/>
                </w:tcPr>
                <w:p w14:paraId="2BAEC7FB">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eastAsia" w:ascii="Times New Roman" w:hAnsi="Times New Roman" w:eastAsia="宋体" w:cs="Times New Roman"/>
                      <w:b w:val="0"/>
                      <w:bCs w:val="0"/>
                      <w:color w:val="auto"/>
                      <w:sz w:val="18"/>
                      <w:szCs w:val="18"/>
                      <w:vertAlign w:val="baseline"/>
                      <w:lang w:val="en-US" w:eastAsia="zh-CN"/>
                    </w:rPr>
                  </w:pPr>
                  <w:r>
                    <w:rPr>
                      <w:rFonts w:hint="eastAsia" w:ascii="Times New Roman" w:hAnsi="Times New Roman" w:eastAsia="宋体" w:cs="Times New Roman"/>
                      <w:b w:val="0"/>
                      <w:bCs w:val="0"/>
                      <w:color w:val="auto"/>
                      <w:sz w:val="18"/>
                      <w:szCs w:val="18"/>
                      <w:vertAlign w:val="baseline"/>
                      <w:lang w:val="en-US" w:eastAsia="zh-CN"/>
                    </w:rPr>
                    <w:t>5</w:t>
                  </w:r>
                  <w:r>
                    <w:rPr>
                      <w:rFonts w:hint="eastAsia" w:cs="Times New Roman"/>
                      <w:b w:val="0"/>
                      <w:bCs w:val="0"/>
                      <w:color w:val="auto"/>
                      <w:sz w:val="18"/>
                      <w:szCs w:val="18"/>
                      <w:vertAlign w:val="baseline"/>
                      <w:lang w:val="en-US" w:eastAsia="zh-CN"/>
                    </w:rPr>
                    <w:t>5</w:t>
                  </w:r>
                </w:p>
              </w:tc>
              <w:tc>
                <w:tcPr>
                  <w:tcW w:w="267" w:type="pct"/>
                  <w:tcBorders>
                    <w:tl2br w:val="nil"/>
                    <w:tr2bl w:val="nil"/>
                  </w:tcBorders>
                  <w:noWrap w:val="0"/>
                  <w:vAlign w:val="center"/>
                </w:tcPr>
                <w:p w14:paraId="4DF0C22D">
                  <w:pPr>
                    <w:keepNext w:val="0"/>
                    <w:keepLines w:val="0"/>
                    <w:pageBreakBefore w:val="0"/>
                    <w:kinsoku/>
                    <w:wordWrap/>
                    <w:overflowPunct/>
                    <w:topLinePunct w:val="0"/>
                    <w:autoSpaceDE/>
                    <w:autoSpaceDN/>
                    <w:bidi w:val="0"/>
                    <w:adjustRightInd w:val="0"/>
                    <w:snapToGrid w:val="0"/>
                    <w:spacing w:line="240" w:lineRule="auto"/>
                    <w:ind w:left="0" w:leftChars="0"/>
                    <w:jc w:val="center"/>
                    <w:rPr>
                      <w:rFonts w:hint="default" w:ascii="Times New Roman" w:hAnsi="Times New Roman" w:eastAsia="宋体" w:cs="Times New Roman"/>
                      <w:b w:val="0"/>
                      <w:bCs w:val="0"/>
                      <w:color w:val="auto"/>
                      <w:sz w:val="18"/>
                      <w:szCs w:val="18"/>
                      <w:vertAlign w:val="baseline"/>
                      <w:lang w:val="en-US" w:eastAsia="zh-CN"/>
                    </w:rPr>
                  </w:pPr>
                  <w:r>
                    <w:rPr>
                      <w:rFonts w:hint="default" w:ascii="Times New Roman" w:hAnsi="Times New Roman" w:eastAsia="宋体" w:cs="Times New Roman"/>
                      <w:b w:val="0"/>
                      <w:bCs w:val="0"/>
                      <w:color w:val="auto"/>
                      <w:sz w:val="18"/>
                      <w:szCs w:val="18"/>
                      <w:vertAlign w:val="baseline"/>
                      <w:lang w:val="en-US" w:eastAsia="zh-CN"/>
                    </w:rPr>
                    <w:t>1</w:t>
                  </w:r>
                </w:p>
              </w:tc>
            </w:tr>
          </w:tbl>
          <w:p w14:paraId="2D35ED7F">
            <w:pPr>
              <w:pStyle w:val="22"/>
              <w:ind w:firstLine="422"/>
              <w:jc w:val="both"/>
              <w:rPr>
                <w:rFonts w:hint="eastAsia"/>
                <w:b/>
                <w:bCs/>
                <w:sz w:val="21"/>
                <w:szCs w:val="21"/>
                <w:lang w:val="en-US" w:eastAsia="zh-CN"/>
              </w:rPr>
            </w:pPr>
            <w:r>
              <w:rPr>
                <w:rFonts w:hint="eastAsia"/>
                <w:b/>
                <w:bCs/>
                <w:sz w:val="21"/>
                <w:szCs w:val="21"/>
                <w:lang w:val="en-US" w:eastAsia="zh-CN"/>
              </w:rPr>
              <w:t>注：项目以2#厂房西南角为坐标原点</w:t>
            </w:r>
            <w:r>
              <w:rPr>
                <w:rFonts w:hint="eastAsia"/>
                <w:b/>
                <w:bCs/>
                <w:lang w:val="en-US" w:eastAsia="zh-CN"/>
              </w:rPr>
              <w:t>。</w:t>
            </w:r>
          </w:p>
          <w:p w14:paraId="7AF4265A">
            <w:pPr>
              <w:pStyle w:val="44"/>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rPr>
                <w:rFonts w:hint="eastAsia"/>
                <w:lang w:val="en-US" w:eastAsia="zh-CN" w:bidi="ar-SA"/>
              </w:rPr>
            </w:pPr>
            <w:r>
              <w:rPr>
                <w:rFonts w:hint="eastAsia"/>
                <w:lang w:val="en-US" w:eastAsia="zh-CN" w:bidi="ar-SA"/>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11</w:t>
            </w:r>
            <w:r>
              <w:rPr>
                <w:rFonts w:hint="default" w:ascii="Times New Roman" w:hAnsi="Times New Roman" w:cs="Times New Roman"/>
                <w:color w:val="000000"/>
              </w:rPr>
              <w:fldChar w:fldCharType="end"/>
            </w:r>
            <w:r>
              <w:rPr>
                <w:rFonts w:hint="eastAsia"/>
                <w:lang w:val="en-US" w:eastAsia="zh-CN" w:bidi="ar-SA"/>
              </w:rPr>
              <w:t xml:space="preserve">  项目主要室外声源噪声源强、防治措施及效果</w:t>
            </w:r>
          </w:p>
          <w:tbl>
            <w:tblPr>
              <w:tblStyle w:val="24"/>
              <w:tblW w:w="4995"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40" w:type="dxa"/>
                <w:bottom w:w="0" w:type="dxa"/>
                <w:right w:w="40" w:type="dxa"/>
              </w:tblCellMar>
            </w:tblPr>
            <w:tblGrid>
              <w:gridCol w:w="562"/>
              <w:gridCol w:w="1140"/>
              <w:gridCol w:w="769"/>
              <w:gridCol w:w="755"/>
              <w:gridCol w:w="882"/>
              <w:gridCol w:w="757"/>
              <w:gridCol w:w="1350"/>
              <w:gridCol w:w="1344"/>
              <w:gridCol w:w="772"/>
            </w:tblGrid>
            <w:tr w14:paraId="52254E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337" w:type="pct"/>
                  <w:vMerge w:val="restart"/>
                  <w:tcBorders>
                    <w:tl2br w:val="nil"/>
                    <w:tr2bl w:val="nil"/>
                  </w:tcBorders>
                  <w:vAlign w:val="center"/>
                </w:tcPr>
                <w:p w14:paraId="51BD9E1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序号</w:t>
                  </w:r>
                </w:p>
              </w:tc>
              <w:tc>
                <w:tcPr>
                  <w:tcW w:w="684" w:type="pct"/>
                  <w:vMerge w:val="restart"/>
                  <w:tcBorders>
                    <w:tl2br w:val="nil"/>
                    <w:tr2bl w:val="nil"/>
                  </w:tcBorders>
                  <w:vAlign w:val="center"/>
                </w:tcPr>
                <w:p w14:paraId="6DB1B72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声源名称</w:t>
                  </w:r>
                </w:p>
              </w:tc>
              <w:tc>
                <w:tcPr>
                  <w:tcW w:w="461" w:type="pct"/>
                  <w:vMerge w:val="restart"/>
                  <w:tcBorders>
                    <w:tl2br w:val="nil"/>
                    <w:tr2bl w:val="nil"/>
                  </w:tcBorders>
                  <w:vAlign w:val="center"/>
                </w:tcPr>
                <w:p w14:paraId="064CDEE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数量</w:t>
                  </w:r>
                </w:p>
              </w:tc>
              <w:tc>
                <w:tcPr>
                  <w:tcW w:w="1436" w:type="pct"/>
                  <w:gridSpan w:val="3"/>
                  <w:tcBorders>
                    <w:tl2br w:val="nil"/>
                    <w:tr2bl w:val="nil"/>
                  </w:tcBorders>
                  <w:vAlign w:val="center"/>
                </w:tcPr>
                <w:p w14:paraId="3864AFB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声源中心位置/m</w:t>
                  </w:r>
                </w:p>
              </w:tc>
              <w:tc>
                <w:tcPr>
                  <w:tcW w:w="810" w:type="pct"/>
                  <w:tcBorders>
                    <w:tl2br w:val="nil"/>
                    <w:tr2bl w:val="nil"/>
                  </w:tcBorders>
                  <w:vAlign w:val="center"/>
                </w:tcPr>
                <w:p w14:paraId="2B6DE9C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声源</w:t>
                  </w:r>
                </w:p>
                <w:p w14:paraId="1979EA9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源强</w:t>
                  </w:r>
                </w:p>
              </w:tc>
              <w:tc>
                <w:tcPr>
                  <w:tcW w:w="806" w:type="pct"/>
                  <w:vMerge w:val="restart"/>
                  <w:tcBorders>
                    <w:tl2br w:val="nil"/>
                    <w:tr2bl w:val="nil"/>
                  </w:tcBorders>
                  <w:vAlign w:val="center"/>
                </w:tcPr>
                <w:p w14:paraId="4975F814">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声源</w:t>
                  </w:r>
                </w:p>
                <w:p w14:paraId="0FB947B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控制措施</w:t>
                  </w:r>
                </w:p>
              </w:tc>
              <w:tc>
                <w:tcPr>
                  <w:tcW w:w="463" w:type="pct"/>
                  <w:vMerge w:val="restart"/>
                  <w:tcBorders>
                    <w:tl2br w:val="nil"/>
                    <w:tr2bl w:val="nil"/>
                  </w:tcBorders>
                  <w:vAlign w:val="center"/>
                </w:tcPr>
                <w:p w14:paraId="23DA391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运行</w:t>
                  </w:r>
                </w:p>
                <w:p w14:paraId="4BCCF9E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时段</w:t>
                  </w:r>
                </w:p>
              </w:tc>
            </w:tr>
            <w:tr w14:paraId="11265B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337" w:type="pct"/>
                  <w:vMerge w:val="continue"/>
                  <w:tcBorders>
                    <w:tl2br w:val="nil"/>
                    <w:tr2bl w:val="nil"/>
                  </w:tcBorders>
                  <w:vAlign w:val="center"/>
                </w:tcPr>
                <w:p w14:paraId="6852D58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p>
              </w:tc>
              <w:tc>
                <w:tcPr>
                  <w:tcW w:w="684" w:type="pct"/>
                  <w:vMerge w:val="continue"/>
                  <w:tcBorders>
                    <w:tl2br w:val="nil"/>
                    <w:tr2bl w:val="nil"/>
                  </w:tcBorders>
                  <w:vAlign w:val="center"/>
                </w:tcPr>
                <w:p w14:paraId="3C6E629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p>
              </w:tc>
              <w:tc>
                <w:tcPr>
                  <w:tcW w:w="461" w:type="pct"/>
                  <w:vMerge w:val="continue"/>
                  <w:tcBorders>
                    <w:tl2br w:val="nil"/>
                    <w:tr2bl w:val="nil"/>
                  </w:tcBorders>
                  <w:vAlign w:val="center"/>
                </w:tcPr>
                <w:p w14:paraId="4AB0DFA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p>
              </w:tc>
              <w:tc>
                <w:tcPr>
                  <w:tcW w:w="453" w:type="pct"/>
                  <w:tcBorders>
                    <w:tl2br w:val="nil"/>
                    <w:tr2bl w:val="nil"/>
                  </w:tcBorders>
                  <w:vAlign w:val="center"/>
                </w:tcPr>
                <w:p w14:paraId="3328B25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X</w:t>
                  </w:r>
                </w:p>
              </w:tc>
              <w:tc>
                <w:tcPr>
                  <w:tcW w:w="529" w:type="pct"/>
                  <w:tcBorders>
                    <w:tl2br w:val="nil"/>
                    <w:tr2bl w:val="nil"/>
                  </w:tcBorders>
                  <w:vAlign w:val="center"/>
                </w:tcPr>
                <w:p w14:paraId="5717513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Y</w:t>
                  </w:r>
                </w:p>
              </w:tc>
              <w:tc>
                <w:tcPr>
                  <w:tcW w:w="453" w:type="pct"/>
                  <w:tcBorders>
                    <w:tl2br w:val="nil"/>
                    <w:tr2bl w:val="nil"/>
                  </w:tcBorders>
                  <w:vAlign w:val="center"/>
                </w:tcPr>
                <w:p w14:paraId="4DEDDDF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Z</w:t>
                  </w:r>
                </w:p>
              </w:tc>
              <w:tc>
                <w:tcPr>
                  <w:tcW w:w="810" w:type="pct"/>
                  <w:tcBorders>
                    <w:tl2br w:val="nil"/>
                    <w:tr2bl w:val="nil"/>
                  </w:tcBorders>
                  <w:vAlign w:val="center"/>
                </w:tcPr>
                <w:p w14:paraId="21187CC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default" w:ascii="Times New Roman" w:hAnsi="Times New Roman" w:eastAsia="宋体" w:cs="Times New Roman"/>
                      <w:b w:val="0"/>
                      <w:bCs/>
                      <w:color w:val="000000"/>
                      <w:sz w:val="18"/>
                      <w:szCs w:val="18"/>
                      <w:lang w:val="en-US" w:eastAsia="zh-CN"/>
                    </w:rPr>
                    <w:t>声功率级</w:t>
                  </w:r>
                  <w:r>
                    <w:rPr>
                      <w:rFonts w:hint="default" w:ascii="Times New Roman" w:hAnsi="Times New Roman" w:eastAsia="宋体" w:cs="Times New Roman"/>
                      <w:b w:val="0"/>
                      <w:bCs/>
                      <w:color w:val="000000"/>
                      <w:sz w:val="18"/>
                      <w:szCs w:val="18"/>
                    </w:rPr>
                    <w:t>/dB(A)</w:t>
                  </w:r>
                </w:p>
              </w:tc>
              <w:tc>
                <w:tcPr>
                  <w:tcW w:w="806" w:type="pct"/>
                  <w:vMerge w:val="continue"/>
                  <w:tcBorders>
                    <w:tl2br w:val="nil"/>
                    <w:tr2bl w:val="nil"/>
                  </w:tcBorders>
                  <w:vAlign w:val="center"/>
                </w:tcPr>
                <w:p w14:paraId="690885F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p>
              </w:tc>
              <w:tc>
                <w:tcPr>
                  <w:tcW w:w="463" w:type="pct"/>
                  <w:vMerge w:val="continue"/>
                  <w:tcBorders>
                    <w:tl2br w:val="nil"/>
                    <w:tr2bl w:val="nil"/>
                  </w:tcBorders>
                  <w:vAlign w:val="center"/>
                </w:tcPr>
                <w:p w14:paraId="6EB0548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p>
              </w:tc>
            </w:tr>
            <w:tr w14:paraId="681079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337" w:type="pct"/>
                  <w:tcBorders>
                    <w:tl2br w:val="nil"/>
                    <w:tr2bl w:val="nil"/>
                  </w:tcBorders>
                  <w:vAlign w:val="center"/>
                </w:tcPr>
                <w:p w14:paraId="7A472DC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w:t>
                  </w:r>
                </w:p>
              </w:tc>
              <w:tc>
                <w:tcPr>
                  <w:tcW w:w="684" w:type="pct"/>
                  <w:tcBorders>
                    <w:tl2br w:val="nil"/>
                    <w:tr2bl w:val="nil"/>
                  </w:tcBorders>
                  <w:vAlign w:val="center"/>
                </w:tcPr>
                <w:p w14:paraId="36A0EC0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风机1</w:t>
                  </w:r>
                </w:p>
              </w:tc>
              <w:tc>
                <w:tcPr>
                  <w:tcW w:w="461" w:type="pct"/>
                  <w:tcBorders>
                    <w:tl2br w:val="nil"/>
                    <w:tr2bl w:val="nil"/>
                  </w:tcBorders>
                  <w:vAlign w:val="center"/>
                </w:tcPr>
                <w:p w14:paraId="5ACAE6D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1套</w:t>
                  </w:r>
                </w:p>
              </w:tc>
              <w:tc>
                <w:tcPr>
                  <w:tcW w:w="453" w:type="pct"/>
                  <w:tcBorders>
                    <w:tl2br w:val="nil"/>
                    <w:tr2bl w:val="nil"/>
                  </w:tcBorders>
                  <w:vAlign w:val="center"/>
                </w:tcPr>
                <w:p w14:paraId="7641B97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60</w:t>
                  </w:r>
                </w:p>
              </w:tc>
              <w:tc>
                <w:tcPr>
                  <w:tcW w:w="529" w:type="pct"/>
                  <w:tcBorders>
                    <w:tl2br w:val="nil"/>
                    <w:tr2bl w:val="nil"/>
                  </w:tcBorders>
                  <w:vAlign w:val="center"/>
                </w:tcPr>
                <w:p w14:paraId="20B409A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63</w:t>
                  </w:r>
                </w:p>
              </w:tc>
              <w:tc>
                <w:tcPr>
                  <w:tcW w:w="453" w:type="pct"/>
                  <w:tcBorders>
                    <w:tl2br w:val="nil"/>
                    <w:tr2bl w:val="nil"/>
                  </w:tcBorders>
                  <w:vAlign w:val="center"/>
                </w:tcPr>
                <w:p w14:paraId="7FE2E1B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1</w:t>
                  </w:r>
                  <w:r>
                    <w:rPr>
                      <w:rFonts w:hint="eastAsia" w:ascii="Times New Roman" w:hAnsi="Times New Roman" w:eastAsia="宋体" w:cs="宋体"/>
                      <w:color w:val="000000" w:themeColor="text1"/>
                      <w:lang w:val="en-US" w:eastAsia="zh-CN" w:bidi="ar-SA"/>
                      <w14:textFill>
                        <w14:solidFill>
                          <w14:schemeClr w14:val="tx1"/>
                        </w14:solidFill>
                      </w14:textFill>
                    </w:rPr>
                    <w:t>.0</w:t>
                  </w:r>
                </w:p>
              </w:tc>
              <w:tc>
                <w:tcPr>
                  <w:tcW w:w="810" w:type="pct"/>
                  <w:tcBorders>
                    <w:tl2br w:val="nil"/>
                    <w:tr2bl w:val="nil"/>
                  </w:tcBorders>
                  <w:vAlign w:val="center"/>
                </w:tcPr>
                <w:p w14:paraId="32349055">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90</w:t>
                  </w:r>
                  <w:r>
                    <w:rPr>
                      <w:rFonts w:hint="eastAsia" w:ascii="Times New Roman" w:hAnsi="Times New Roman" w:eastAsia="宋体" w:cs="宋体"/>
                      <w:color w:val="000000" w:themeColor="text1"/>
                      <w:lang w:val="en-US" w:eastAsia="zh-CN" w:bidi="ar-SA"/>
                      <w14:textFill>
                        <w14:solidFill>
                          <w14:schemeClr w14:val="tx1"/>
                        </w14:solidFill>
                      </w14:textFill>
                    </w:rPr>
                    <w:t>~</w:t>
                  </w:r>
                  <w:r>
                    <w:rPr>
                      <w:rFonts w:hint="eastAsia" w:cs="宋体"/>
                      <w:color w:val="000000" w:themeColor="text1"/>
                      <w:lang w:val="en-US" w:eastAsia="zh-CN" w:bidi="ar-SA"/>
                      <w14:textFill>
                        <w14:solidFill>
                          <w14:schemeClr w14:val="tx1"/>
                        </w14:solidFill>
                      </w14:textFill>
                    </w:rPr>
                    <w:t>95</w:t>
                  </w:r>
                </w:p>
              </w:tc>
              <w:tc>
                <w:tcPr>
                  <w:tcW w:w="806" w:type="pct"/>
                  <w:tcBorders>
                    <w:tl2br w:val="nil"/>
                    <w:tr2bl w:val="nil"/>
                  </w:tcBorders>
                  <w:vAlign w:val="center"/>
                </w:tcPr>
                <w:p w14:paraId="7B466C3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ascii="Times New Roman" w:hAnsi="Times New Roman" w:eastAsia="宋体" w:cs="宋体"/>
                      <w:color w:val="000000" w:themeColor="text1"/>
                      <w:lang w:val="en-US" w:eastAsia="zh-CN" w:bidi="ar-SA"/>
                      <w14:textFill>
                        <w14:solidFill>
                          <w14:schemeClr w14:val="tx1"/>
                        </w14:solidFill>
                      </w14:textFill>
                    </w:rPr>
                    <w:t>安装</w:t>
                  </w:r>
                  <w:r>
                    <w:rPr>
                      <w:rFonts w:hint="eastAsia" w:cs="宋体"/>
                      <w:color w:val="000000" w:themeColor="text1"/>
                      <w:lang w:val="en-US" w:eastAsia="zh-CN" w:bidi="ar-SA"/>
                      <w14:textFill>
                        <w14:solidFill>
                          <w14:schemeClr w14:val="tx1"/>
                        </w14:solidFill>
                      </w14:textFill>
                    </w:rPr>
                    <w:t>减振底座、</w:t>
                  </w:r>
                  <w:r>
                    <w:rPr>
                      <w:rFonts w:hint="eastAsia" w:ascii="Times New Roman" w:hAnsi="Times New Roman" w:eastAsia="宋体" w:cs="宋体"/>
                      <w:color w:val="000000" w:themeColor="text1"/>
                      <w:lang w:val="en-US" w:eastAsia="zh-CN" w:bidi="ar-SA"/>
                      <w14:textFill>
                        <w14:solidFill>
                          <w14:schemeClr w14:val="tx1"/>
                        </w14:solidFill>
                      </w14:textFill>
                    </w:rPr>
                    <w:t>减振垫等</w:t>
                  </w:r>
                </w:p>
              </w:tc>
              <w:tc>
                <w:tcPr>
                  <w:tcW w:w="463" w:type="pct"/>
                  <w:tcBorders>
                    <w:tl2br w:val="nil"/>
                    <w:tr2bl w:val="nil"/>
                  </w:tcBorders>
                  <w:vAlign w:val="center"/>
                </w:tcPr>
                <w:p w14:paraId="21FB45F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昼间</w:t>
                  </w:r>
                </w:p>
                <w:p w14:paraId="493FABA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宋体"/>
                      <w:color w:val="000000" w:themeColor="text1"/>
                      <w:lang w:val="en-US" w:eastAsia="zh-CN" w:bidi="ar-SA"/>
                      <w14:textFill>
                        <w14:solidFill>
                          <w14:schemeClr w14:val="tx1"/>
                        </w14:solidFill>
                      </w14:textFill>
                    </w:rPr>
                  </w:pPr>
                  <w:r>
                    <w:rPr>
                      <w:rFonts w:hint="eastAsia" w:cs="宋体"/>
                      <w:color w:val="000000" w:themeColor="text1"/>
                      <w:lang w:val="en-US" w:eastAsia="zh-CN" w:bidi="ar-SA"/>
                      <w14:textFill>
                        <w14:solidFill>
                          <w14:schemeClr w14:val="tx1"/>
                        </w14:solidFill>
                      </w14:textFill>
                    </w:rPr>
                    <w:t>连续</w:t>
                  </w:r>
                </w:p>
              </w:tc>
            </w:tr>
          </w:tbl>
          <w:p w14:paraId="6D287F84">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为尽可能降低噪声对周围环境的影响，要求企业采取如下防治措施：</w:t>
            </w:r>
          </w:p>
          <w:p w14:paraId="392C7BCE">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①从声源上降低噪声是最积极的措施，设备选型考虑尽可能采用低噪声设备，高噪声设备采用基础减振措施等。</w:t>
            </w:r>
          </w:p>
          <w:p w14:paraId="56EE4021">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②合理布局。在厂区布局上，高噪声设备和办公区尽可能相距较远，以防噪声对工作、休息环境产生影响。</w:t>
            </w:r>
          </w:p>
          <w:p w14:paraId="6F24A429">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③定期检查、维修设备，使设备处于良好运行状态，防止机械噪声的升高。</w:t>
            </w:r>
          </w:p>
          <w:p w14:paraId="59D52B96">
            <w:pPr>
              <w:pStyle w:val="43"/>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④生产车间密闭，安装隔声门窗，利用建筑物、构筑物形成噪声屏障，阻碍噪声传播。</w:t>
            </w:r>
          </w:p>
          <w:p w14:paraId="6433B4DE">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噪声预测：</w:t>
            </w:r>
          </w:p>
          <w:p w14:paraId="3EF0A129">
            <w:pPr>
              <w:pStyle w:val="43"/>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根据《环境影响评价技术导则－声环境》（HJ2.4-2021），采用工业噪声预测计算模型，具体步骤如下：</w:t>
            </w:r>
          </w:p>
          <w:p w14:paraId="6B155551">
            <w:pPr>
              <w:pStyle w:val="6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lang w:val="en-US" w:eastAsia="zh-CN" w:bidi="ar-SA"/>
                <w14:textFill>
                  <w14:solidFill>
                    <w14:schemeClr w14:val="tx1"/>
                  </w14:solidFill>
                </w14:textFill>
              </w:rPr>
            </w:pPr>
            <w:r>
              <w:rPr>
                <w:rFonts w:hint="default" w:ascii="Times New Roman" w:hAnsi="Times New Roman" w:eastAsia="宋体" w:cs="Times New Roman"/>
                <w:color w:val="000000" w:themeColor="text1"/>
                <w:sz w:val="24"/>
                <w:lang w:val="en-US" w:eastAsia="zh-CN" w:bidi="ar-SA"/>
                <w14:textFill>
                  <w14:solidFill>
                    <w14:schemeClr w14:val="tx1"/>
                  </w14:solidFill>
                </w14:textFill>
              </w:rPr>
              <w:t>①室外噪声源</w:t>
            </w:r>
          </w:p>
          <w:p w14:paraId="6ECD5D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lang w:val="en-US" w:eastAsia="zh-CN" w:bidi="ar-SA"/>
                <w14:textFill>
                  <w14:solidFill>
                    <w14:schemeClr w14:val="tx1"/>
                  </w14:solidFill>
                </w14:textFill>
              </w:rPr>
            </w:pPr>
            <w:r>
              <w:rPr>
                <w:rFonts w:hint="default" w:ascii="Times New Roman" w:hAnsi="Times New Roman" w:eastAsia="宋体" w:cs="Times New Roman"/>
                <w:color w:val="000000" w:themeColor="text1"/>
                <w:sz w:val="24"/>
                <w:lang w:val="en-US" w:eastAsia="zh-CN" w:bidi="ar-SA"/>
                <w14:textFill>
                  <w14:solidFill>
                    <w14:schemeClr w14:val="tx1"/>
                  </w14:solidFill>
                </w14:textFill>
              </w:rPr>
              <w:t>计算某个声源在预测点的倍频带声压级：</w:t>
            </w:r>
          </w:p>
          <w:p w14:paraId="65F203F6">
            <w:pPr>
              <w:ind w:firstLine="0" w:firstLineChars="0"/>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drawing>
                <wp:inline distT="0" distB="0" distL="114300" distR="114300">
                  <wp:extent cx="2209800" cy="476250"/>
                  <wp:effectExtent l="0" t="0" r="0" b="0"/>
                  <wp:docPr id="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0"/>
                          <pic:cNvPicPr>
                            <a:picLocks noChangeAspect="1"/>
                          </pic:cNvPicPr>
                        </pic:nvPicPr>
                        <pic:blipFill>
                          <a:blip r:embed="rId21"/>
                          <a:stretch>
                            <a:fillRect/>
                          </a:stretch>
                        </pic:blipFill>
                        <pic:spPr>
                          <a:xfrm>
                            <a:off x="0" y="0"/>
                            <a:ext cx="2209800" cy="476250"/>
                          </a:xfrm>
                          <a:prstGeom prst="rect">
                            <a:avLst/>
                          </a:prstGeom>
                          <a:noFill/>
                          <a:ln>
                            <a:noFill/>
                          </a:ln>
                        </pic:spPr>
                      </pic:pic>
                    </a:graphicData>
                  </a:graphic>
                </wp:inline>
              </w:drawing>
            </w:r>
          </w:p>
          <w:p w14:paraId="4C6DD4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式中：Loct（r）——点声源在预测点产生的倍频带声压级；</w:t>
            </w:r>
          </w:p>
          <w:p w14:paraId="2DC88B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Loct（r</w:t>
            </w:r>
            <w:r>
              <w:rPr>
                <w:rFonts w:hint="default" w:ascii="Times New Roman" w:hAnsi="Times New Roman" w:cs="Times New Roman"/>
                <w:color w:val="000000"/>
                <w:sz w:val="24"/>
                <w:szCs w:val="24"/>
                <w:highlight w:val="none"/>
                <w:vertAlign w:val="subscript"/>
              </w:rPr>
              <w:t>0</w:t>
            </w:r>
            <w:r>
              <w:rPr>
                <w:rFonts w:hint="default" w:ascii="Times New Roman" w:hAnsi="Times New Roman" w:cs="Times New Roman"/>
                <w:color w:val="000000"/>
                <w:sz w:val="24"/>
                <w:szCs w:val="24"/>
                <w:highlight w:val="none"/>
              </w:rPr>
              <w:t>）——参考位置r</w:t>
            </w:r>
            <w:r>
              <w:rPr>
                <w:rFonts w:hint="default" w:ascii="Times New Roman" w:hAnsi="Times New Roman" w:cs="Times New Roman"/>
                <w:color w:val="000000"/>
                <w:sz w:val="24"/>
                <w:szCs w:val="24"/>
                <w:highlight w:val="none"/>
                <w:vertAlign w:val="subscript"/>
              </w:rPr>
              <w:t>0</w:t>
            </w:r>
            <w:r>
              <w:rPr>
                <w:rFonts w:hint="default" w:ascii="Times New Roman" w:hAnsi="Times New Roman" w:cs="Times New Roman"/>
                <w:color w:val="000000"/>
                <w:sz w:val="24"/>
                <w:szCs w:val="24"/>
                <w:highlight w:val="none"/>
              </w:rPr>
              <w:t>处的倍频带声压级；</w:t>
            </w:r>
          </w:p>
          <w:p w14:paraId="7C4F21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r——预测点距声源的距离，m；</w:t>
            </w:r>
          </w:p>
          <w:p w14:paraId="79B070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r</w:t>
            </w:r>
            <w:r>
              <w:rPr>
                <w:rFonts w:hint="default" w:ascii="Times New Roman" w:hAnsi="Times New Roman" w:cs="Times New Roman"/>
                <w:color w:val="000000"/>
                <w:sz w:val="24"/>
                <w:szCs w:val="24"/>
                <w:highlight w:val="none"/>
                <w:vertAlign w:val="subscript"/>
              </w:rPr>
              <w:t>0</w:t>
            </w:r>
            <w:r>
              <w:rPr>
                <w:rFonts w:hint="default" w:ascii="Times New Roman" w:hAnsi="Times New Roman" w:cs="Times New Roman"/>
                <w:color w:val="000000"/>
                <w:sz w:val="24"/>
                <w:szCs w:val="24"/>
                <w:highlight w:val="none"/>
              </w:rPr>
              <w:t>——参考位置距声源的距离，m；</w:t>
            </w:r>
          </w:p>
          <w:p w14:paraId="58F88A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ΔLoct——各种因素引起的衰减量（包括声屏障、遮挡物、空气吸收、地面效应等引起的衰减量）。</w:t>
            </w:r>
          </w:p>
          <w:p w14:paraId="5AF15A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如果已知声源的倍频带声功率级Lwoct，且声源可看作是位于地面上的，则</w:t>
            </w:r>
          </w:p>
          <w:p w14:paraId="21E02FB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olor w:val="000000"/>
                <w:highlight w:val="none"/>
              </w:rPr>
            </w:pPr>
            <w:r>
              <w:rPr>
                <w:rFonts w:hint="default" w:ascii="Times New Roman" w:hAnsi="Times New Roman" w:cs="Times New Roman"/>
                <w:color w:val="000000"/>
                <w:highlight w:val="none"/>
              </w:rPr>
              <w:drawing>
                <wp:inline distT="0" distB="0" distL="114300" distR="114300">
                  <wp:extent cx="1800225" cy="238125"/>
                  <wp:effectExtent l="0" t="0" r="9525" b="0"/>
                  <wp:docPr id="1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1"/>
                          <pic:cNvPicPr>
                            <a:picLocks noChangeAspect="1"/>
                          </pic:cNvPicPr>
                        </pic:nvPicPr>
                        <pic:blipFill>
                          <a:blip r:embed="rId22"/>
                          <a:stretch>
                            <a:fillRect/>
                          </a:stretch>
                        </pic:blipFill>
                        <pic:spPr>
                          <a:xfrm>
                            <a:off x="0" y="0"/>
                            <a:ext cx="1800225" cy="238125"/>
                          </a:xfrm>
                          <a:prstGeom prst="rect">
                            <a:avLst/>
                          </a:prstGeom>
                          <a:noFill/>
                          <a:ln>
                            <a:noFill/>
                          </a:ln>
                        </pic:spPr>
                      </pic:pic>
                    </a:graphicData>
                  </a:graphic>
                </wp:inline>
              </w:drawing>
            </w:r>
          </w:p>
          <w:p w14:paraId="3FAAB4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由各倍频带声压级合成计算出该声源产生的声级LA。</w:t>
            </w:r>
          </w:p>
          <w:p w14:paraId="36C645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②室内声源</w:t>
            </w:r>
          </w:p>
          <w:p w14:paraId="181721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1）首先计算出某个室内靠近围护结构处的倍频带声压级：</w:t>
            </w:r>
          </w:p>
          <w:p w14:paraId="4780C0D8">
            <w:pPr>
              <w:ind w:firstLine="0" w:firstLineChars="0"/>
              <w:jc w:val="center"/>
              <w:rPr>
                <w:rFonts w:hint="default" w:ascii="Times New Roman" w:hAnsi="Times New Roman" w:cs="Times New Roman"/>
                <w:color w:val="000000"/>
                <w:highlight w:val="none"/>
              </w:rPr>
            </w:pPr>
            <w:r>
              <w:rPr>
                <w:rFonts w:hint="default" w:ascii="Times New Roman" w:hAnsi="Times New Roman" w:cs="Times New Roman"/>
                <w:color w:val="000000"/>
                <w:highlight w:val="none"/>
              </w:rPr>
              <w:drawing>
                <wp:inline distT="0" distB="0" distL="114300" distR="114300">
                  <wp:extent cx="2019300" cy="476250"/>
                  <wp:effectExtent l="0" t="0" r="0" b="0"/>
                  <wp:docPr id="1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2"/>
                          <pic:cNvPicPr>
                            <a:picLocks noChangeAspect="1"/>
                          </pic:cNvPicPr>
                        </pic:nvPicPr>
                        <pic:blipFill>
                          <a:blip r:embed="rId23"/>
                          <a:stretch>
                            <a:fillRect/>
                          </a:stretch>
                        </pic:blipFill>
                        <pic:spPr>
                          <a:xfrm>
                            <a:off x="0" y="0"/>
                            <a:ext cx="2019300" cy="476250"/>
                          </a:xfrm>
                          <a:prstGeom prst="rect">
                            <a:avLst/>
                          </a:prstGeom>
                          <a:noFill/>
                          <a:ln>
                            <a:noFill/>
                          </a:ln>
                        </pic:spPr>
                      </pic:pic>
                    </a:graphicData>
                  </a:graphic>
                </wp:inline>
              </w:drawing>
            </w:r>
          </w:p>
          <w:p w14:paraId="5F9C06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highlight w:val="none"/>
              </w:rPr>
            </w:pPr>
            <w:r>
              <w:rPr>
                <w:rFonts w:hint="default" w:ascii="Times New Roman" w:hAnsi="Times New Roman" w:eastAsia="宋体" w:cs="Times New Roman"/>
                <w:color w:val="000000"/>
                <w:sz w:val="24"/>
                <w:szCs w:val="24"/>
                <w:highlight w:val="none"/>
              </w:rPr>
              <w:t>式中：Loct，1为某个室内声源在靠近围护结构处产生的倍频带声压级，Lwoct为某个声源的倍频带声功率级，r1为室内某个声源与靠近围护结构处的距离，R为房间常数，Q为方向因子。</w:t>
            </w:r>
          </w:p>
          <w:p w14:paraId="2735E926">
            <w:pPr>
              <w:ind w:firstLine="0" w:firstLineChars="0"/>
              <w:jc w:val="center"/>
              <w:rPr>
                <w:rFonts w:hint="default" w:ascii="Times New Roman" w:hAnsi="Times New Roman" w:cs="Times New Roman"/>
                <w:color w:val="000000"/>
                <w:highlight w:val="none"/>
              </w:rPr>
            </w:pPr>
            <w:r>
              <w:rPr>
                <w:rFonts w:hint="default" w:ascii="Times New Roman" w:hAnsi="Times New Roman" w:cs="Times New Roman"/>
                <w:color w:val="000000"/>
                <w:highlight w:val="none"/>
              </w:rPr>
              <w:drawing>
                <wp:inline distT="0" distB="0" distL="114300" distR="114300">
                  <wp:extent cx="1687195" cy="1078865"/>
                  <wp:effectExtent l="0" t="0" r="8255" b="6985"/>
                  <wp:docPr id="1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3"/>
                          <pic:cNvPicPr>
                            <a:picLocks noChangeAspect="1"/>
                          </pic:cNvPicPr>
                        </pic:nvPicPr>
                        <pic:blipFill>
                          <a:blip r:embed="rId24"/>
                          <a:stretch>
                            <a:fillRect/>
                          </a:stretch>
                        </pic:blipFill>
                        <pic:spPr>
                          <a:xfrm>
                            <a:off x="0" y="0"/>
                            <a:ext cx="1687195" cy="1078865"/>
                          </a:xfrm>
                          <a:prstGeom prst="rect">
                            <a:avLst/>
                          </a:prstGeom>
                          <a:noFill/>
                          <a:ln>
                            <a:noFill/>
                          </a:ln>
                        </pic:spPr>
                      </pic:pic>
                    </a:graphicData>
                  </a:graphic>
                </wp:inline>
              </w:drawing>
            </w:r>
          </w:p>
          <w:p w14:paraId="69D6DB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2）再计算出所有室内声源在靠近围护结构处产生的总倍频带声压级：</w:t>
            </w:r>
          </w:p>
          <w:p w14:paraId="4DD6BDD1">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jc w:val="center"/>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drawing>
                <wp:inline distT="0" distB="0" distL="114300" distR="114300">
                  <wp:extent cx="1838325" cy="457200"/>
                  <wp:effectExtent l="0" t="0" r="9525" b="0"/>
                  <wp:docPr id="1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pic:cNvPicPr>
                            <a:picLocks noChangeAspect="1"/>
                          </pic:cNvPicPr>
                        </pic:nvPicPr>
                        <pic:blipFill>
                          <a:blip r:embed="rId25"/>
                          <a:stretch>
                            <a:fillRect/>
                          </a:stretch>
                        </pic:blipFill>
                        <pic:spPr>
                          <a:xfrm>
                            <a:off x="0" y="0"/>
                            <a:ext cx="1838325" cy="457200"/>
                          </a:xfrm>
                          <a:prstGeom prst="rect">
                            <a:avLst/>
                          </a:prstGeom>
                          <a:noFill/>
                          <a:ln>
                            <a:noFill/>
                          </a:ln>
                        </pic:spPr>
                      </pic:pic>
                    </a:graphicData>
                  </a:graphic>
                </wp:inline>
              </w:drawing>
            </w:r>
          </w:p>
          <w:p w14:paraId="0F1A7E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3）计算出室外靠近围护结构处的声压级：</w:t>
            </w:r>
          </w:p>
          <w:p w14:paraId="08943B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drawing>
                <wp:inline distT="0" distB="0" distL="114300" distR="114300">
                  <wp:extent cx="1952625" cy="238125"/>
                  <wp:effectExtent l="0" t="0" r="9525" b="8255"/>
                  <wp:docPr id="1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5"/>
                          <pic:cNvPicPr>
                            <a:picLocks noChangeAspect="1"/>
                          </pic:cNvPicPr>
                        </pic:nvPicPr>
                        <pic:blipFill>
                          <a:blip r:embed="rId26"/>
                          <a:stretch>
                            <a:fillRect/>
                          </a:stretch>
                        </pic:blipFill>
                        <pic:spPr>
                          <a:xfrm>
                            <a:off x="0" y="0"/>
                            <a:ext cx="1952625" cy="238125"/>
                          </a:xfrm>
                          <a:prstGeom prst="rect">
                            <a:avLst/>
                          </a:prstGeom>
                          <a:noFill/>
                          <a:ln>
                            <a:noFill/>
                          </a:ln>
                        </pic:spPr>
                      </pic:pic>
                    </a:graphicData>
                  </a:graphic>
                </wp:inline>
              </w:drawing>
            </w:r>
          </w:p>
          <w:p w14:paraId="3B5AC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4）将室外声级Loct，2（T）和透声面积换算成等效的室外声源，计算出等效声源第i个倍频带的声功率级Lwoct：</w:t>
            </w:r>
          </w:p>
          <w:p w14:paraId="31AC6E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drawing>
                <wp:inline distT="0" distB="0" distL="114300" distR="114300">
                  <wp:extent cx="1609725" cy="238125"/>
                  <wp:effectExtent l="0" t="0" r="9525" b="8255"/>
                  <wp:docPr id="2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6"/>
                          <pic:cNvPicPr>
                            <a:picLocks noChangeAspect="1"/>
                          </pic:cNvPicPr>
                        </pic:nvPicPr>
                        <pic:blipFill>
                          <a:blip r:embed="rId27"/>
                          <a:stretch>
                            <a:fillRect/>
                          </a:stretch>
                        </pic:blipFill>
                        <pic:spPr>
                          <a:xfrm>
                            <a:off x="0" y="0"/>
                            <a:ext cx="1609725" cy="238125"/>
                          </a:xfrm>
                          <a:prstGeom prst="rect">
                            <a:avLst/>
                          </a:prstGeom>
                          <a:noFill/>
                          <a:ln>
                            <a:noFill/>
                          </a:ln>
                        </pic:spPr>
                      </pic:pic>
                    </a:graphicData>
                  </a:graphic>
                </wp:inline>
              </w:drawing>
            </w:r>
          </w:p>
          <w:p w14:paraId="4E0FEE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式中：S为透声面积，m</w:t>
            </w:r>
            <w:r>
              <w:rPr>
                <w:rFonts w:hint="default" w:ascii="Times New Roman" w:hAnsi="Times New Roman" w:cs="Times New Roman"/>
                <w:color w:val="000000"/>
                <w:sz w:val="24"/>
                <w:szCs w:val="24"/>
                <w:highlight w:val="none"/>
                <w:vertAlign w:val="superscript"/>
              </w:rPr>
              <w:t>2</w:t>
            </w:r>
            <w:r>
              <w:rPr>
                <w:rFonts w:hint="default" w:ascii="Times New Roman" w:hAnsi="Times New Roman" w:cs="Times New Roman"/>
                <w:color w:val="000000"/>
                <w:sz w:val="24"/>
                <w:szCs w:val="24"/>
                <w:highlight w:val="none"/>
              </w:rPr>
              <w:t>。</w:t>
            </w:r>
          </w:p>
          <w:p w14:paraId="216FAE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5）等效室外声源的位置为围护结构的位置，其倍频带声功率级为Lwoct，由此按室外声源方法计算等效室外声源在预测点产生的声级。</w:t>
            </w:r>
          </w:p>
          <w:p w14:paraId="673AA2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由上述各式可计算出周围声环境因该项目设备新增加的声级值，综合该区内的声环境背景值，再按声能量</w:t>
            </w:r>
            <w:r>
              <w:rPr>
                <w:rFonts w:hint="eastAsia" w:ascii="Times New Roman" w:hAnsi="Times New Roman" w:cs="Times New Roman"/>
                <w:color w:val="000000"/>
                <w:sz w:val="24"/>
                <w:szCs w:val="24"/>
                <w:highlight w:val="none"/>
                <w:lang w:eastAsia="zh-CN"/>
              </w:rPr>
              <w:t>叠加</w:t>
            </w:r>
            <w:r>
              <w:rPr>
                <w:rFonts w:hint="default" w:ascii="Times New Roman" w:hAnsi="Times New Roman" w:cs="Times New Roman"/>
                <w:color w:val="000000"/>
                <w:sz w:val="24"/>
                <w:szCs w:val="24"/>
                <w:highlight w:val="none"/>
              </w:rPr>
              <w:t>模式预测出某点的总声压级值，预测模式如下：</w:t>
            </w:r>
          </w:p>
          <w:p w14:paraId="290C749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drawing>
                <wp:inline distT="0" distB="0" distL="114300" distR="114300">
                  <wp:extent cx="2933700" cy="447675"/>
                  <wp:effectExtent l="0" t="0" r="0" b="8255"/>
                  <wp:docPr id="13"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7"/>
                          <pic:cNvPicPr>
                            <a:picLocks noChangeAspect="1"/>
                          </pic:cNvPicPr>
                        </pic:nvPicPr>
                        <pic:blipFill>
                          <a:blip r:embed="rId28"/>
                          <a:stretch>
                            <a:fillRect/>
                          </a:stretch>
                        </pic:blipFill>
                        <pic:spPr>
                          <a:xfrm>
                            <a:off x="0" y="0"/>
                            <a:ext cx="2933700" cy="447675"/>
                          </a:xfrm>
                          <a:prstGeom prst="rect">
                            <a:avLst/>
                          </a:prstGeom>
                          <a:noFill/>
                          <a:ln>
                            <a:noFill/>
                          </a:ln>
                        </pic:spPr>
                      </pic:pic>
                    </a:graphicData>
                  </a:graphic>
                </wp:inline>
              </w:drawing>
            </w:r>
          </w:p>
          <w:p w14:paraId="25251BCD">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式中：Leq总—某预测点总声压级，dB（A）；</w:t>
            </w:r>
          </w:p>
          <w:p w14:paraId="24F8D0B5">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n—为室外声源个数；</w:t>
            </w:r>
          </w:p>
          <w:p w14:paraId="791A74D4">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m—为等效室外声源个数；</w:t>
            </w:r>
          </w:p>
          <w:p w14:paraId="6207A261">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T—为计算等效声级时间。</w:t>
            </w:r>
          </w:p>
          <w:p w14:paraId="32720D11">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③预测参数</w:t>
            </w:r>
          </w:p>
          <w:p w14:paraId="0A728304">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经对现有资料整理分析，拟选用如下参数和条件进行计算：</w:t>
            </w:r>
          </w:p>
          <w:p w14:paraId="5E7F2F63">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a一般属性</w:t>
            </w:r>
            <w:r>
              <w:rPr>
                <w:rFonts w:hint="default" w:ascii="Times New Roman" w:hAnsi="Times New Roman" w:cs="Times New Roman"/>
                <w:color w:val="000000"/>
                <w:sz w:val="24"/>
                <w:szCs w:val="24"/>
                <w:highlight w:val="none"/>
                <w:lang w:eastAsia="zh-CN"/>
              </w:rPr>
              <w:t>：</w:t>
            </w:r>
            <w:r>
              <w:rPr>
                <w:rFonts w:hint="default" w:ascii="Times New Roman" w:hAnsi="Times New Roman" w:cs="Times New Roman"/>
                <w:color w:val="000000"/>
                <w:sz w:val="24"/>
                <w:szCs w:val="24"/>
                <w:highlight w:val="none"/>
              </w:rPr>
              <w:t>声源离地面高度为0，室内点源位置为地面，声源所在房间内壁的吸声系数0.01。</w:t>
            </w:r>
          </w:p>
          <w:p w14:paraId="72F972DF">
            <w:pPr>
              <w:keepNext w:val="0"/>
              <w:keepLines w:val="0"/>
              <w:pageBreakBefore w:val="0"/>
              <w:widowControl w:val="0"/>
              <w:kinsoku/>
              <w:wordWrap/>
              <w:overflowPunct/>
              <w:topLinePunct w:val="0"/>
              <w:autoSpaceDE/>
              <w:autoSpaceDN/>
              <w:bidi w:val="0"/>
              <w:adjustRightInd/>
              <w:snapToGrid/>
              <w:spacing w:line="360" w:lineRule="auto"/>
              <w:ind w:firstLine="472"/>
              <w:textAlignment w:val="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b发声特性</w:t>
            </w:r>
            <w:r>
              <w:rPr>
                <w:rFonts w:hint="default" w:ascii="Times New Roman" w:hAnsi="Times New Roman" w:cs="Times New Roman"/>
                <w:color w:val="000000"/>
                <w:sz w:val="24"/>
                <w:szCs w:val="24"/>
                <w:highlight w:val="none"/>
                <w:lang w:eastAsia="zh-CN"/>
              </w:rPr>
              <w:t>：</w:t>
            </w:r>
            <w:r>
              <w:rPr>
                <w:rFonts w:hint="default" w:ascii="Times New Roman" w:hAnsi="Times New Roman" w:cs="Times New Roman"/>
                <w:color w:val="000000"/>
                <w:sz w:val="24"/>
                <w:szCs w:val="24"/>
                <w:highlight w:val="none"/>
              </w:rPr>
              <w:t>稳态发声，不分频。</w:t>
            </w:r>
          </w:p>
          <w:p w14:paraId="7BEF75BC">
            <w:pPr>
              <w:pStyle w:val="22"/>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eastAsia="zh-CN"/>
              </w:rPr>
              <w:t>根据上述公式以及项目的平面布置进行预测计算，本项目对厂界噪声的预测结果如下：</w:t>
            </w:r>
          </w:p>
          <w:p w14:paraId="5A083795">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12</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厂界噪声预测结果一览表 单位：dB（A）</w:t>
            </w:r>
          </w:p>
          <w:tbl>
            <w:tblPr>
              <w:tblStyle w:val="23"/>
              <w:tblW w:w="4998" w:type="pct"/>
              <w:jc w:val="center"/>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Layout w:type="fixed"/>
              <w:tblCellMar>
                <w:top w:w="0" w:type="dxa"/>
                <w:left w:w="108" w:type="dxa"/>
                <w:bottom w:w="0" w:type="dxa"/>
                <w:right w:w="108" w:type="dxa"/>
              </w:tblCellMar>
            </w:tblPr>
            <w:tblGrid>
              <w:gridCol w:w="1124"/>
              <w:gridCol w:w="1726"/>
              <w:gridCol w:w="2487"/>
              <w:gridCol w:w="1868"/>
              <w:gridCol w:w="1131"/>
            </w:tblGrid>
            <w:tr w14:paraId="546682CA">
              <w:tblPrEx>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CellMar>
                  <w:top w:w="0" w:type="dxa"/>
                  <w:left w:w="108" w:type="dxa"/>
                  <w:bottom w:w="0" w:type="dxa"/>
                  <w:right w:w="108" w:type="dxa"/>
                </w:tblCellMar>
              </w:tblPrEx>
              <w:trPr>
                <w:trHeight w:val="425" w:hRule="atLeast"/>
                <w:jc w:val="center"/>
              </w:trPr>
              <w:tc>
                <w:tcPr>
                  <w:tcW w:w="674" w:type="pct"/>
                  <w:vMerge w:val="restart"/>
                  <w:tcBorders>
                    <w:tl2br w:val="nil"/>
                    <w:tr2bl w:val="nil"/>
                  </w:tcBorders>
                  <w:noWrap w:val="0"/>
                  <w:vAlign w:val="center"/>
                </w:tcPr>
                <w:p w14:paraId="684A10A1">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序号</w:t>
                  </w:r>
                </w:p>
              </w:tc>
              <w:tc>
                <w:tcPr>
                  <w:tcW w:w="1035" w:type="pct"/>
                  <w:vMerge w:val="restart"/>
                  <w:tcBorders>
                    <w:tl2br w:val="nil"/>
                    <w:tr2bl w:val="nil"/>
                  </w:tcBorders>
                  <w:noWrap w:val="0"/>
                  <w:vAlign w:val="center"/>
                </w:tcPr>
                <w:p w14:paraId="0FDA2E6A">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预测点位</w:t>
                  </w:r>
                </w:p>
              </w:tc>
              <w:tc>
                <w:tcPr>
                  <w:tcW w:w="1491" w:type="pct"/>
                  <w:vMerge w:val="restart"/>
                  <w:tcBorders>
                    <w:tl2br w:val="nil"/>
                    <w:tr2bl w:val="nil"/>
                  </w:tcBorders>
                  <w:noWrap w:val="0"/>
                  <w:vAlign w:val="center"/>
                </w:tcPr>
                <w:p w14:paraId="66E4D6BA">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贡献值dB(A)</w:t>
                  </w:r>
                </w:p>
              </w:tc>
              <w:tc>
                <w:tcPr>
                  <w:tcW w:w="1120" w:type="pct"/>
                  <w:tcBorders>
                    <w:right w:val="single" w:color="auto" w:sz="4" w:space="0"/>
                    <w:tl2br w:val="nil"/>
                    <w:tr2bl w:val="nil"/>
                  </w:tcBorders>
                  <w:noWrap w:val="0"/>
                  <w:vAlign w:val="center"/>
                </w:tcPr>
                <w:p w14:paraId="5771EE6F">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标准限值dB(A)</w:t>
                  </w:r>
                </w:p>
              </w:tc>
              <w:tc>
                <w:tcPr>
                  <w:tcW w:w="678" w:type="pct"/>
                  <w:vMerge w:val="restart"/>
                  <w:tcBorders>
                    <w:tl2br w:val="nil"/>
                    <w:tr2bl w:val="nil"/>
                  </w:tcBorders>
                  <w:noWrap w:val="0"/>
                  <w:vAlign w:val="center"/>
                </w:tcPr>
                <w:p w14:paraId="63F7C644">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评价</w:t>
                  </w:r>
                </w:p>
                <w:p w14:paraId="3428C323">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结果</w:t>
                  </w:r>
                </w:p>
              </w:tc>
            </w:tr>
            <w:tr w14:paraId="198CEDEB">
              <w:tblPrEx>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CellMar>
                  <w:top w:w="0" w:type="dxa"/>
                  <w:left w:w="108" w:type="dxa"/>
                  <w:bottom w:w="0" w:type="dxa"/>
                  <w:right w:w="108" w:type="dxa"/>
                </w:tblCellMar>
              </w:tblPrEx>
              <w:trPr>
                <w:trHeight w:val="425" w:hRule="atLeast"/>
                <w:jc w:val="center"/>
              </w:trPr>
              <w:tc>
                <w:tcPr>
                  <w:tcW w:w="674" w:type="pct"/>
                  <w:vMerge w:val="continue"/>
                  <w:tcBorders>
                    <w:tl2br w:val="nil"/>
                    <w:tr2bl w:val="nil"/>
                  </w:tcBorders>
                  <w:noWrap w:val="0"/>
                  <w:vAlign w:val="center"/>
                </w:tcPr>
                <w:p w14:paraId="63A5F8EB">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p>
              </w:tc>
              <w:tc>
                <w:tcPr>
                  <w:tcW w:w="1035" w:type="pct"/>
                  <w:vMerge w:val="continue"/>
                  <w:tcBorders>
                    <w:tl2br w:val="nil"/>
                    <w:tr2bl w:val="nil"/>
                  </w:tcBorders>
                  <w:noWrap w:val="0"/>
                  <w:vAlign w:val="center"/>
                </w:tcPr>
                <w:p w14:paraId="076210BE">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p>
              </w:tc>
              <w:tc>
                <w:tcPr>
                  <w:tcW w:w="1491" w:type="pct"/>
                  <w:vMerge w:val="continue"/>
                  <w:tcBorders>
                    <w:tl2br w:val="nil"/>
                    <w:tr2bl w:val="nil"/>
                  </w:tcBorders>
                  <w:noWrap w:val="0"/>
                  <w:vAlign w:val="center"/>
                </w:tcPr>
                <w:p w14:paraId="3EA552C3">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p>
              </w:tc>
              <w:tc>
                <w:tcPr>
                  <w:tcW w:w="1120" w:type="pct"/>
                  <w:tcBorders>
                    <w:right w:val="single" w:color="auto" w:sz="4" w:space="0"/>
                    <w:tl2br w:val="nil"/>
                    <w:tr2bl w:val="nil"/>
                  </w:tcBorders>
                  <w:noWrap w:val="0"/>
                  <w:vAlign w:val="center"/>
                </w:tcPr>
                <w:p w14:paraId="01521F6F">
                  <w:pPr>
                    <w:pStyle w:val="41"/>
                    <w:keepNext w:val="0"/>
                    <w:keepLines w:val="0"/>
                    <w:pageBreakBefore w:val="0"/>
                    <w:kinsoku/>
                    <w:wordWrap/>
                    <w:overflowPunct/>
                    <w:topLinePunct w:val="0"/>
                    <w:autoSpaceDE/>
                    <w:autoSpaceDN/>
                    <w:bidi w:val="0"/>
                    <w:adjustRightInd w:val="0"/>
                    <w:snapToGrid w:val="0"/>
                    <w:ind w:firstLine="0" w:firstLineChars="0"/>
                    <w:rPr>
                      <w:rFonts w:hint="eastAsia"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昼间</w:t>
                  </w:r>
                </w:p>
              </w:tc>
              <w:tc>
                <w:tcPr>
                  <w:tcW w:w="678" w:type="pct"/>
                  <w:vMerge w:val="continue"/>
                  <w:tcBorders>
                    <w:tl2br w:val="nil"/>
                    <w:tr2bl w:val="nil"/>
                  </w:tcBorders>
                  <w:noWrap w:val="0"/>
                  <w:vAlign w:val="center"/>
                </w:tcPr>
                <w:p w14:paraId="30F03D03">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p>
              </w:tc>
            </w:tr>
            <w:tr w14:paraId="03E226C6">
              <w:tblPrEx>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CellMar>
                  <w:top w:w="0" w:type="dxa"/>
                  <w:left w:w="108" w:type="dxa"/>
                  <w:bottom w:w="0" w:type="dxa"/>
                  <w:right w:w="108" w:type="dxa"/>
                </w:tblCellMar>
              </w:tblPrEx>
              <w:trPr>
                <w:trHeight w:val="425" w:hRule="atLeast"/>
                <w:jc w:val="center"/>
              </w:trPr>
              <w:tc>
                <w:tcPr>
                  <w:tcW w:w="674" w:type="pct"/>
                  <w:tcBorders>
                    <w:tl2br w:val="nil"/>
                    <w:tr2bl w:val="nil"/>
                  </w:tcBorders>
                  <w:noWrap w:val="0"/>
                  <w:vAlign w:val="center"/>
                </w:tcPr>
                <w:p w14:paraId="676FEFE5">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kern w:val="0"/>
                      <w:sz w:val="21"/>
                      <w:szCs w:val="24"/>
                      <w:lang w:val="en-US" w:eastAsia="zh-CN" w:bidi="ar-SA"/>
                    </w:rPr>
                  </w:pPr>
                  <w:r>
                    <w:rPr>
                      <w:rFonts w:hint="default" w:ascii="Times New Roman" w:hAnsi="Times New Roman" w:eastAsia="宋体" w:cs="Times New Roman"/>
                      <w:b w:val="0"/>
                      <w:bCs/>
                      <w:color w:val="auto"/>
                    </w:rPr>
                    <w:t>1</w:t>
                  </w:r>
                </w:p>
              </w:tc>
              <w:tc>
                <w:tcPr>
                  <w:tcW w:w="1035" w:type="pct"/>
                  <w:tcBorders>
                    <w:tl2br w:val="nil"/>
                    <w:tr2bl w:val="nil"/>
                  </w:tcBorders>
                  <w:noWrap w:val="0"/>
                  <w:vAlign w:val="center"/>
                </w:tcPr>
                <w:p w14:paraId="0D6DB901">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东厂界</w:t>
                  </w:r>
                </w:p>
              </w:tc>
              <w:tc>
                <w:tcPr>
                  <w:tcW w:w="1491" w:type="pct"/>
                  <w:tcBorders>
                    <w:tl2br w:val="nil"/>
                    <w:tr2bl w:val="nil"/>
                  </w:tcBorders>
                  <w:noWrap w:val="0"/>
                  <w:vAlign w:val="center"/>
                </w:tcPr>
                <w:p w14:paraId="23C3B76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eastAsia" w:cs="Times New Roman"/>
                      <w:b w:val="0"/>
                      <w:bCs/>
                      <w:i w:val="0"/>
                      <w:iCs w:val="0"/>
                      <w:color w:val="auto"/>
                      <w:kern w:val="0"/>
                      <w:sz w:val="21"/>
                      <w:szCs w:val="21"/>
                      <w:u w:val="none"/>
                      <w:lang w:val="en-US" w:eastAsia="zh-CN" w:bidi="ar"/>
                    </w:rPr>
                    <w:t>52</w:t>
                  </w:r>
                </w:p>
              </w:tc>
              <w:tc>
                <w:tcPr>
                  <w:tcW w:w="1120" w:type="pct"/>
                  <w:vMerge w:val="restart"/>
                  <w:tcBorders>
                    <w:tl2br w:val="nil"/>
                    <w:tr2bl w:val="nil"/>
                  </w:tcBorders>
                  <w:noWrap w:val="0"/>
                  <w:vAlign w:val="center"/>
                </w:tcPr>
                <w:p w14:paraId="2949395B">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≤6</w:t>
                  </w:r>
                  <w:r>
                    <w:rPr>
                      <w:rFonts w:hint="eastAsia" w:cs="Times New Roman"/>
                      <w:b w:val="0"/>
                      <w:bCs/>
                      <w:color w:val="auto"/>
                      <w:lang w:val="en-US" w:eastAsia="zh-CN"/>
                    </w:rPr>
                    <w:t>5</w:t>
                  </w:r>
                </w:p>
              </w:tc>
              <w:tc>
                <w:tcPr>
                  <w:tcW w:w="678" w:type="pct"/>
                  <w:tcBorders>
                    <w:tl2br w:val="nil"/>
                    <w:tr2bl w:val="nil"/>
                  </w:tcBorders>
                  <w:noWrap w:val="0"/>
                  <w:vAlign w:val="center"/>
                </w:tcPr>
                <w:p w14:paraId="2843DAB9">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达标</w:t>
                  </w:r>
                </w:p>
              </w:tc>
            </w:tr>
            <w:tr w14:paraId="2B32F613">
              <w:tblPrEx>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CellMar>
                  <w:top w:w="0" w:type="dxa"/>
                  <w:left w:w="108" w:type="dxa"/>
                  <w:bottom w:w="0" w:type="dxa"/>
                  <w:right w:w="108" w:type="dxa"/>
                </w:tblCellMar>
              </w:tblPrEx>
              <w:trPr>
                <w:trHeight w:val="425" w:hRule="atLeast"/>
                <w:jc w:val="center"/>
              </w:trPr>
              <w:tc>
                <w:tcPr>
                  <w:tcW w:w="674" w:type="pct"/>
                  <w:tcBorders>
                    <w:tl2br w:val="nil"/>
                    <w:tr2bl w:val="nil"/>
                  </w:tcBorders>
                  <w:noWrap w:val="0"/>
                  <w:vAlign w:val="center"/>
                </w:tcPr>
                <w:p w14:paraId="09C7A8BB">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kern w:val="0"/>
                      <w:sz w:val="21"/>
                      <w:szCs w:val="24"/>
                      <w:lang w:val="en-US" w:eastAsia="zh-CN" w:bidi="ar-SA"/>
                    </w:rPr>
                  </w:pPr>
                  <w:r>
                    <w:rPr>
                      <w:rFonts w:hint="default" w:ascii="Times New Roman" w:hAnsi="Times New Roman" w:eastAsia="宋体" w:cs="Times New Roman"/>
                      <w:b w:val="0"/>
                      <w:bCs/>
                      <w:color w:val="auto"/>
                    </w:rPr>
                    <w:t>2</w:t>
                  </w:r>
                </w:p>
              </w:tc>
              <w:tc>
                <w:tcPr>
                  <w:tcW w:w="1035" w:type="pct"/>
                  <w:tcBorders>
                    <w:tl2br w:val="nil"/>
                    <w:tr2bl w:val="nil"/>
                  </w:tcBorders>
                  <w:noWrap w:val="0"/>
                  <w:vAlign w:val="center"/>
                </w:tcPr>
                <w:p w14:paraId="341E8305">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kern w:val="0"/>
                      <w:sz w:val="21"/>
                      <w:szCs w:val="24"/>
                      <w:lang w:val="en-US" w:eastAsia="zh-CN" w:bidi="ar-SA"/>
                    </w:rPr>
                  </w:pPr>
                  <w:r>
                    <w:rPr>
                      <w:rFonts w:hint="default" w:ascii="Times New Roman" w:hAnsi="Times New Roman" w:eastAsia="宋体" w:cs="Times New Roman"/>
                      <w:b w:val="0"/>
                      <w:bCs/>
                      <w:color w:val="auto"/>
                    </w:rPr>
                    <w:t>南厂界</w:t>
                  </w:r>
                </w:p>
              </w:tc>
              <w:tc>
                <w:tcPr>
                  <w:tcW w:w="1491" w:type="pct"/>
                  <w:tcBorders>
                    <w:tl2br w:val="nil"/>
                    <w:tr2bl w:val="nil"/>
                  </w:tcBorders>
                  <w:noWrap w:val="0"/>
                  <w:vAlign w:val="center"/>
                </w:tcPr>
                <w:p w14:paraId="00FA645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kern w:val="2"/>
                      <w:sz w:val="24"/>
                      <w:szCs w:val="21"/>
                      <w:lang w:val="en-US" w:eastAsia="zh-CN" w:bidi="ar-SA"/>
                    </w:rPr>
                  </w:pPr>
                  <w:r>
                    <w:rPr>
                      <w:rFonts w:hint="eastAsia" w:cs="Times New Roman"/>
                      <w:b w:val="0"/>
                      <w:bCs/>
                      <w:i w:val="0"/>
                      <w:iCs w:val="0"/>
                      <w:color w:val="auto"/>
                      <w:kern w:val="0"/>
                      <w:sz w:val="21"/>
                      <w:szCs w:val="21"/>
                      <w:u w:val="none"/>
                      <w:lang w:val="en-US" w:eastAsia="zh-CN" w:bidi="ar"/>
                    </w:rPr>
                    <w:t>46</w:t>
                  </w:r>
                </w:p>
              </w:tc>
              <w:tc>
                <w:tcPr>
                  <w:tcW w:w="1120" w:type="pct"/>
                  <w:vMerge w:val="continue"/>
                  <w:tcBorders>
                    <w:tl2br w:val="nil"/>
                    <w:tr2bl w:val="nil"/>
                  </w:tcBorders>
                  <w:noWrap w:val="0"/>
                  <w:vAlign w:val="center"/>
                </w:tcPr>
                <w:p w14:paraId="00F6B823">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lang w:eastAsia="zh-CN"/>
                    </w:rPr>
                  </w:pPr>
                </w:p>
              </w:tc>
              <w:tc>
                <w:tcPr>
                  <w:tcW w:w="678" w:type="pct"/>
                  <w:tcBorders>
                    <w:tl2br w:val="nil"/>
                    <w:tr2bl w:val="nil"/>
                  </w:tcBorders>
                  <w:noWrap w:val="0"/>
                  <w:vAlign w:val="center"/>
                </w:tcPr>
                <w:p w14:paraId="26764096">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达标</w:t>
                  </w:r>
                </w:p>
              </w:tc>
            </w:tr>
            <w:tr w14:paraId="09703848">
              <w:tblPrEx>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CellMar>
                  <w:top w:w="0" w:type="dxa"/>
                  <w:left w:w="108" w:type="dxa"/>
                  <w:bottom w:w="0" w:type="dxa"/>
                  <w:right w:w="108" w:type="dxa"/>
                </w:tblCellMar>
              </w:tblPrEx>
              <w:trPr>
                <w:trHeight w:val="425" w:hRule="atLeast"/>
                <w:jc w:val="center"/>
              </w:trPr>
              <w:tc>
                <w:tcPr>
                  <w:tcW w:w="674" w:type="pct"/>
                  <w:tcBorders>
                    <w:tl2br w:val="nil"/>
                    <w:tr2bl w:val="nil"/>
                  </w:tcBorders>
                  <w:noWrap w:val="0"/>
                  <w:vAlign w:val="center"/>
                </w:tcPr>
                <w:p w14:paraId="4886C304">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kern w:val="0"/>
                      <w:sz w:val="21"/>
                      <w:szCs w:val="24"/>
                      <w:lang w:val="en-US" w:eastAsia="zh-CN" w:bidi="ar-SA"/>
                    </w:rPr>
                  </w:pPr>
                  <w:r>
                    <w:rPr>
                      <w:rFonts w:hint="default" w:ascii="Times New Roman" w:hAnsi="Times New Roman" w:eastAsia="宋体" w:cs="Times New Roman"/>
                      <w:b w:val="0"/>
                      <w:bCs/>
                      <w:color w:val="auto"/>
                    </w:rPr>
                    <w:t>3</w:t>
                  </w:r>
                </w:p>
              </w:tc>
              <w:tc>
                <w:tcPr>
                  <w:tcW w:w="1035" w:type="pct"/>
                  <w:tcBorders>
                    <w:tl2br w:val="nil"/>
                    <w:tr2bl w:val="nil"/>
                  </w:tcBorders>
                  <w:noWrap w:val="0"/>
                  <w:vAlign w:val="center"/>
                </w:tcPr>
                <w:p w14:paraId="3B2CB9BB">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kern w:val="0"/>
                      <w:sz w:val="21"/>
                      <w:szCs w:val="24"/>
                      <w:lang w:val="en-US" w:eastAsia="zh-CN" w:bidi="ar-SA"/>
                    </w:rPr>
                  </w:pPr>
                  <w:r>
                    <w:rPr>
                      <w:rFonts w:hint="default" w:ascii="Times New Roman" w:hAnsi="Times New Roman" w:eastAsia="宋体" w:cs="Times New Roman"/>
                      <w:b w:val="0"/>
                      <w:bCs/>
                      <w:color w:val="auto"/>
                    </w:rPr>
                    <w:t>西厂界</w:t>
                  </w:r>
                </w:p>
              </w:tc>
              <w:tc>
                <w:tcPr>
                  <w:tcW w:w="1491" w:type="pct"/>
                  <w:tcBorders>
                    <w:tl2br w:val="nil"/>
                    <w:tr2bl w:val="nil"/>
                  </w:tcBorders>
                  <w:noWrap w:val="0"/>
                  <w:vAlign w:val="center"/>
                </w:tcPr>
                <w:p w14:paraId="6A02DF4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kern w:val="2"/>
                      <w:sz w:val="24"/>
                      <w:szCs w:val="21"/>
                      <w:lang w:val="en-US" w:eastAsia="zh-CN" w:bidi="ar-SA"/>
                    </w:rPr>
                  </w:pPr>
                  <w:r>
                    <w:rPr>
                      <w:rFonts w:hint="eastAsia" w:cs="Times New Roman"/>
                      <w:b w:val="0"/>
                      <w:bCs/>
                      <w:i w:val="0"/>
                      <w:iCs w:val="0"/>
                      <w:color w:val="auto"/>
                      <w:kern w:val="0"/>
                      <w:sz w:val="21"/>
                      <w:szCs w:val="21"/>
                      <w:u w:val="none"/>
                      <w:lang w:val="en-US" w:eastAsia="zh-CN" w:bidi="ar"/>
                    </w:rPr>
                    <w:t>52</w:t>
                  </w:r>
                </w:p>
              </w:tc>
              <w:tc>
                <w:tcPr>
                  <w:tcW w:w="1120" w:type="pct"/>
                  <w:vMerge w:val="continue"/>
                  <w:tcBorders>
                    <w:tl2br w:val="nil"/>
                    <w:tr2bl w:val="nil"/>
                  </w:tcBorders>
                  <w:noWrap w:val="0"/>
                  <w:vAlign w:val="center"/>
                </w:tcPr>
                <w:p w14:paraId="5F5D6E90">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p>
              </w:tc>
              <w:tc>
                <w:tcPr>
                  <w:tcW w:w="678" w:type="pct"/>
                  <w:tcBorders>
                    <w:tl2br w:val="nil"/>
                    <w:tr2bl w:val="nil"/>
                  </w:tcBorders>
                  <w:noWrap w:val="0"/>
                  <w:vAlign w:val="center"/>
                </w:tcPr>
                <w:p w14:paraId="258EA871">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达标</w:t>
                  </w:r>
                </w:p>
              </w:tc>
            </w:tr>
            <w:tr w14:paraId="51C42298">
              <w:tblPrEx>
                <w:tblBorders>
                  <w:top w:val="single" w:color="auto" w:sz="12" w:space="0"/>
                  <w:left w:val="none" w:color="auto" w:sz="0" w:space="0"/>
                  <w:bottom w:val="single" w:color="auto" w:sz="12" w:space="0"/>
                  <w:right w:val="none" w:color="auto" w:sz="0" w:space="0"/>
                  <w:insideH w:val="single" w:color="auto" w:sz="6" w:space="0"/>
                  <w:insideV w:val="single" w:color="auto" w:sz="8" w:space="0"/>
                </w:tblBorders>
                <w:tblCellMar>
                  <w:top w:w="0" w:type="dxa"/>
                  <w:left w:w="108" w:type="dxa"/>
                  <w:bottom w:w="0" w:type="dxa"/>
                  <w:right w:w="108" w:type="dxa"/>
                </w:tblCellMar>
              </w:tblPrEx>
              <w:trPr>
                <w:trHeight w:val="425" w:hRule="atLeast"/>
                <w:jc w:val="center"/>
              </w:trPr>
              <w:tc>
                <w:tcPr>
                  <w:tcW w:w="674" w:type="pct"/>
                  <w:tcBorders>
                    <w:tl2br w:val="nil"/>
                    <w:tr2bl w:val="nil"/>
                  </w:tcBorders>
                  <w:noWrap w:val="0"/>
                  <w:vAlign w:val="center"/>
                </w:tcPr>
                <w:p w14:paraId="2A408DC0">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4</w:t>
                  </w:r>
                </w:p>
              </w:tc>
              <w:tc>
                <w:tcPr>
                  <w:tcW w:w="1035" w:type="pct"/>
                  <w:tcBorders>
                    <w:tl2br w:val="nil"/>
                    <w:tr2bl w:val="nil"/>
                  </w:tcBorders>
                  <w:noWrap w:val="0"/>
                  <w:vAlign w:val="center"/>
                </w:tcPr>
                <w:p w14:paraId="31AD2A41">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kern w:val="0"/>
                      <w:sz w:val="21"/>
                      <w:szCs w:val="24"/>
                      <w:lang w:val="en-US" w:eastAsia="zh-CN" w:bidi="ar-SA"/>
                    </w:rPr>
                  </w:pPr>
                  <w:r>
                    <w:rPr>
                      <w:rFonts w:hint="default" w:ascii="Times New Roman" w:hAnsi="Times New Roman" w:eastAsia="宋体" w:cs="Times New Roman"/>
                      <w:b w:val="0"/>
                      <w:bCs/>
                      <w:color w:val="auto"/>
                    </w:rPr>
                    <w:t>北厂界</w:t>
                  </w:r>
                </w:p>
              </w:tc>
              <w:tc>
                <w:tcPr>
                  <w:tcW w:w="1491" w:type="pct"/>
                  <w:tcBorders>
                    <w:tl2br w:val="nil"/>
                    <w:tr2bl w:val="nil"/>
                  </w:tcBorders>
                  <w:noWrap w:val="0"/>
                  <w:vAlign w:val="center"/>
                </w:tcPr>
                <w:p w14:paraId="4091E69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b w:val="0"/>
                      <w:bCs/>
                      <w:color w:val="auto"/>
                      <w:kern w:val="2"/>
                      <w:sz w:val="24"/>
                      <w:szCs w:val="21"/>
                      <w:lang w:val="en-US" w:eastAsia="zh-CN" w:bidi="ar-SA"/>
                    </w:rPr>
                  </w:pPr>
                  <w:r>
                    <w:rPr>
                      <w:rFonts w:hint="eastAsia" w:cs="Times New Roman"/>
                      <w:b w:val="0"/>
                      <w:bCs/>
                      <w:i w:val="0"/>
                      <w:iCs w:val="0"/>
                      <w:color w:val="auto"/>
                      <w:kern w:val="0"/>
                      <w:sz w:val="21"/>
                      <w:szCs w:val="21"/>
                      <w:u w:val="none"/>
                      <w:lang w:val="en-US" w:eastAsia="zh-CN" w:bidi="ar"/>
                    </w:rPr>
                    <w:t>54</w:t>
                  </w:r>
                </w:p>
              </w:tc>
              <w:tc>
                <w:tcPr>
                  <w:tcW w:w="1120" w:type="pct"/>
                  <w:vMerge w:val="continue"/>
                  <w:tcBorders>
                    <w:tl2br w:val="nil"/>
                    <w:tr2bl w:val="nil"/>
                  </w:tcBorders>
                  <w:noWrap w:val="0"/>
                  <w:vAlign w:val="center"/>
                </w:tcPr>
                <w:p w14:paraId="23F6F661">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p>
              </w:tc>
              <w:tc>
                <w:tcPr>
                  <w:tcW w:w="678" w:type="pct"/>
                  <w:tcBorders>
                    <w:tl2br w:val="nil"/>
                    <w:tr2bl w:val="nil"/>
                  </w:tcBorders>
                  <w:noWrap w:val="0"/>
                  <w:vAlign w:val="center"/>
                </w:tcPr>
                <w:p w14:paraId="6B0326A6">
                  <w:pPr>
                    <w:pStyle w:val="41"/>
                    <w:keepNext w:val="0"/>
                    <w:keepLines w:val="0"/>
                    <w:pageBreakBefore w:val="0"/>
                    <w:kinsoku/>
                    <w:wordWrap/>
                    <w:overflowPunct/>
                    <w:topLinePunct w:val="0"/>
                    <w:autoSpaceDE/>
                    <w:autoSpaceDN/>
                    <w:bidi w:val="0"/>
                    <w:adjustRightInd w:val="0"/>
                    <w:snapToGrid w:val="0"/>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达标</w:t>
                  </w:r>
                </w:p>
              </w:tc>
            </w:tr>
          </w:tbl>
          <w:p w14:paraId="22D6C8A8">
            <w:pPr>
              <w:pStyle w:val="43"/>
              <w:keepNext w:val="0"/>
              <w:keepLines w:val="0"/>
              <w:pageBreakBefore w:val="0"/>
              <w:widowControl/>
              <w:kinsoku/>
              <w:wordWrap/>
              <w:overflowPunct/>
              <w:topLinePunct w:val="0"/>
              <w:autoSpaceDE/>
              <w:autoSpaceDN/>
              <w:bidi w:val="0"/>
              <w:adjustRightInd w:val="0"/>
              <w:snapToGrid w:val="0"/>
              <w:spacing w:before="157" w:beforeLines="50"/>
              <w:jc w:val="both"/>
              <w:textAlignment w:val="auto"/>
              <w:rPr>
                <w:rFonts w:hint="eastAsia" w:cs="Times New Roman"/>
                <w:color w:val="000000" w:themeColor="text1"/>
                <w:sz w:val="24"/>
                <w:szCs w:val="24"/>
                <w:vertAlign w:val="baseline"/>
                <w:lang w:val="en-US" w:eastAsia="zh-CN" w:bidi="ar-SA"/>
                <w14:textFill>
                  <w14:solidFill>
                    <w14:schemeClr w14:val="tx1"/>
                  </w14:solidFill>
                </w14:textFill>
              </w:rPr>
            </w:pPr>
            <w:r>
              <w:rPr>
                <w:rFonts w:hint="eastAsia" w:cs="Times New Roman"/>
                <w:color w:val="000000" w:themeColor="text1"/>
                <w:sz w:val="24"/>
                <w:szCs w:val="24"/>
                <w:vertAlign w:val="baseline"/>
                <w:lang w:val="en-US" w:eastAsia="zh-CN" w:bidi="ar-SA"/>
                <w14:textFill>
                  <w14:solidFill>
                    <w14:schemeClr w14:val="tx1"/>
                  </w14:solidFill>
                </w14:textFill>
              </w:rPr>
              <w:t>根据分析，项目建成投产后，在采取噪声污染防治措施的前提下项目东、南、西、北厂界噪声均达到《工业企业厂界噪声排放标准》（GB12348-2008）中3类区标准要求，因此项目噪声对周围环境的影响不大。</w:t>
            </w:r>
          </w:p>
          <w:p w14:paraId="4590232A">
            <w:pPr>
              <w:pStyle w:val="44"/>
              <w:keepNext w:val="0"/>
              <w:keepLines w:val="0"/>
              <w:pageBreakBefore w:val="0"/>
              <w:widowControl w:val="0"/>
              <w:kinsoku/>
              <w:wordWrap/>
              <w:overflowPunct/>
              <w:topLinePunct w:val="0"/>
              <w:autoSpaceDE/>
              <w:autoSpaceDN/>
              <w:bidi w:val="0"/>
              <w:adjustRightInd/>
              <w:snapToGrid/>
              <w:spacing w:before="157" w:beforeLines="50" w:line="240" w:lineRule="auto"/>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13</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噪声监测计划表</w:t>
            </w:r>
          </w:p>
          <w:tbl>
            <w:tblPr>
              <w:tblStyle w:val="24"/>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71"/>
              <w:gridCol w:w="2597"/>
              <w:gridCol w:w="2607"/>
              <w:gridCol w:w="1564"/>
            </w:tblGrid>
            <w:tr w14:paraId="1D3432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942" w:type="pct"/>
                  <w:tcBorders>
                    <w:tl2br w:val="nil"/>
                    <w:tr2bl w:val="nil"/>
                  </w:tcBorders>
                  <w:vAlign w:val="center"/>
                </w:tcPr>
                <w:p w14:paraId="0B7E4F6E">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类别</w:t>
                  </w:r>
                </w:p>
              </w:tc>
              <w:tc>
                <w:tcPr>
                  <w:tcW w:w="1556" w:type="pct"/>
                  <w:tcBorders>
                    <w:tl2br w:val="nil"/>
                    <w:tr2bl w:val="nil"/>
                  </w:tcBorders>
                  <w:vAlign w:val="center"/>
                </w:tcPr>
                <w:p w14:paraId="257B6445">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监测点位</w:t>
                  </w:r>
                </w:p>
              </w:tc>
              <w:tc>
                <w:tcPr>
                  <w:tcW w:w="1562" w:type="pct"/>
                  <w:tcBorders>
                    <w:tl2br w:val="nil"/>
                    <w:tr2bl w:val="nil"/>
                  </w:tcBorders>
                  <w:vAlign w:val="center"/>
                </w:tcPr>
                <w:p w14:paraId="31CDAFD4">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监测项目</w:t>
                  </w:r>
                </w:p>
              </w:tc>
              <w:tc>
                <w:tcPr>
                  <w:tcW w:w="937" w:type="pct"/>
                  <w:tcBorders>
                    <w:tl2br w:val="nil"/>
                    <w:tr2bl w:val="nil"/>
                  </w:tcBorders>
                  <w:vAlign w:val="center"/>
                </w:tcPr>
                <w:p w14:paraId="7B950722">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监测频率</w:t>
                  </w:r>
                </w:p>
              </w:tc>
            </w:tr>
            <w:tr w14:paraId="5A7EE5A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942" w:type="pct"/>
                  <w:tcBorders>
                    <w:tl2br w:val="nil"/>
                    <w:tr2bl w:val="nil"/>
                  </w:tcBorders>
                  <w:vAlign w:val="center"/>
                </w:tcPr>
                <w:p w14:paraId="78130712">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噪声</w:t>
                  </w:r>
                </w:p>
              </w:tc>
              <w:tc>
                <w:tcPr>
                  <w:tcW w:w="1556" w:type="pct"/>
                  <w:tcBorders>
                    <w:tl2br w:val="nil"/>
                    <w:tr2bl w:val="nil"/>
                  </w:tcBorders>
                  <w:vAlign w:val="center"/>
                </w:tcPr>
                <w:p w14:paraId="3A151A3A">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四周边界</w:t>
                  </w:r>
                </w:p>
              </w:tc>
              <w:tc>
                <w:tcPr>
                  <w:tcW w:w="1562" w:type="pct"/>
                  <w:tcBorders>
                    <w:tl2br w:val="nil"/>
                    <w:tr2bl w:val="nil"/>
                  </w:tcBorders>
                  <w:vAlign w:val="center"/>
                </w:tcPr>
                <w:p w14:paraId="798BA07F">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等效A声级</w:t>
                  </w:r>
                </w:p>
              </w:tc>
              <w:tc>
                <w:tcPr>
                  <w:tcW w:w="937" w:type="pct"/>
                  <w:tcBorders>
                    <w:tl2br w:val="nil"/>
                    <w:tr2bl w:val="nil"/>
                  </w:tcBorders>
                  <w:vAlign w:val="center"/>
                </w:tcPr>
                <w:p w14:paraId="3E3BAF82">
                  <w:pPr>
                    <w:pStyle w:val="41"/>
                    <w:bidi w:val="0"/>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1次/季</w:t>
                  </w:r>
                </w:p>
              </w:tc>
            </w:tr>
          </w:tbl>
          <w:p w14:paraId="206DE71E">
            <w:pPr>
              <w:pStyle w:val="43"/>
              <w:keepNext w:val="0"/>
              <w:keepLines w:val="0"/>
              <w:pageBreakBefore w:val="0"/>
              <w:widowControl/>
              <w:kinsoku/>
              <w:wordWrap/>
              <w:overflowPunct/>
              <w:topLinePunct w:val="0"/>
              <w:autoSpaceDE/>
              <w:autoSpaceDN/>
              <w:bidi w:val="0"/>
              <w:adjustRightInd/>
              <w:snapToGrid/>
              <w:spacing w:before="157" w:beforeLines="50"/>
              <w:textAlignment w:val="auto"/>
              <w:rPr>
                <w:rFonts w:hint="eastAsia"/>
                <w:color w:val="000000" w:themeColor="text1"/>
                <w:vertAlign w:val="baseline"/>
                <w:lang w:val="en-US" w:eastAsia="zh-CN" w:bidi="ar-SA"/>
                <w14:textFill>
                  <w14:solidFill>
                    <w14:schemeClr w14:val="tx1"/>
                  </w14:solidFill>
                </w14:textFill>
              </w:rPr>
            </w:pPr>
            <w:r>
              <w:rPr>
                <w:rFonts w:hint="eastAsia"/>
                <w:color w:val="000000" w:themeColor="text1"/>
                <w:vertAlign w:val="baseline"/>
                <w:lang w:val="en-US" w:eastAsia="zh-CN" w:bidi="ar-SA"/>
                <w14:textFill>
                  <w14:solidFill>
                    <w14:schemeClr w14:val="tx1"/>
                  </w14:solidFill>
                </w14:textFill>
              </w:rPr>
              <w:t>4、固废</w:t>
            </w:r>
          </w:p>
          <w:p w14:paraId="04ACE894">
            <w:pPr>
              <w:pStyle w:val="15"/>
              <w:keepNext w:val="0"/>
              <w:keepLines w:val="0"/>
              <w:pageBreakBefore w:val="0"/>
              <w:widowControl w:val="0"/>
              <w:tabs>
                <w:tab w:val="left" w:pos="6105"/>
              </w:tabs>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cs="Times New Roman"/>
                <w:color w:val="auto"/>
                <w:szCs w:val="24"/>
                <w:lang w:val="en-US" w:eastAsia="zh-CN"/>
              </w:rPr>
            </w:pPr>
            <w:r>
              <w:rPr>
                <w:rFonts w:hint="default" w:ascii="Times New Roman" w:hAnsi="Times New Roman" w:cs="Times New Roman"/>
                <w:color w:val="auto"/>
                <w:szCs w:val="24"/>
                <w:lang w:val="en-US" w:eastAsia="zh-CN"/>
              </w:rPr>
              <w:t>4.1  固废产生情况</w:t>
            </w:r>
          </w:p>
          <w:p w14:paraId="27ADF571">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本项目固体废物产生及排放情况详见下表。</w:t>
            </w:r>
          </w:p>
          <w:p w14:paraId="40FE0B59">
            <w:pPr>
              <w:pStyle w:val="44"/>
              <w:keepNext/>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14</w:t>
            </w:r>
            <w:r>
              <w:rPr>
                <w:rFonts w:hint="default" w:ascii="Times New Roman" w:hAnsi="Times New Roman" w:cs="Times New Roman"/>
                <w:color w:val="000000"/>
              </w:rPr>
              <w:fldChar w:fldCharType="end"/>
            </w:r>
            <w:r>
              <w:rPr>
                <w:rFonts w:hint="default" w:ascii="Times New Roman" w:hAnsi="Times New Roman" w:cs="Times New Roman"/>
                <w:color w:val="auto"/>
              </w:rPr>
              <w:t xml:space="preserve">  固体废物源强及排放情况</w:t>
            </w:r>
          </w:p>
          <w:tbl>
            <w:tblPr>
              <w:tblStyle w:val="23"/>
              <w:tblW w:w="499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28" w:type="dxa"/>
                <w:left w:w="28" w:type="dxa"/>
                <w:bottom w:w="28" w:type="dxa"/>
                <w:right w:w="28" w:type="dxa"/>
              </w:tblCellMar>
            </w:tblPr>
            <w:tblGrid>
              <w:gridCol w:w="395"/>
              <w:gridCol w:w="1567"/>
              <w:gridCol w:w="620"/>
              <w:gridCol w:w="772"/>
              <w:gridCol w:w="592"/>
              <w:gridCol w:w="992"/>
              <w:gridCol w:w="895"/>
              <w:gridCol w:w="1308"/>
              <w:gridCol w:w="735"/>
              <w:gridCol w:w="450"/>
            </w:tblGrid>
            <w:tr w14:paraId="2CE1FF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tblHeader/>
                <w:jc w:val="center"/>
              </w:trPr>
              <w:tc>
                <w:tcPr>
                  <w:tcW w:w="237" w:type="pct"/>
                  <w:noWrap w:val="0"/>
                  <w:vAlign w:val="center"/>
                </w:tcPr>
                <w:p w14:paraId="14237E8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序号</w:t>
                  </w:r>
                </w:p>
              </w:tc>
              <w:tc>
                <w:tcPr>
                  <w:tcW w:w="941" w:type="pct"/>
                  <w:noWrap w:val="0"/>
                  <w:vAlign w:val="center"/>
                </w:tcPr>
                <w:p w14:paraId="6EAE0D7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固废名称</w:t>
                  </w:r>
                </w:p>
              </w:tc>
              <w:tc>
                <w:tcPr>
                  <w:tcW w:w="372" w:type="pct"/>
                  <w:noWrap w:val="0"/>
                  <w:vAlign w:val="center"/>
                </w:tcPr>
                <w:p w14:paraId="4F15120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rPr>
                    <w:t>是否</w:t>
                  </w:r>
                </w:p>
                <w:p w14:paraId="328E396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危废</w:t>
                  </w:r>
                </w:p>
              </w:tc>
              <w:tc>
                <w:tcPr>
                  <w:tcW w:w="463" w:type="pct"/>
                  <w:noWrap w:val="0"/>
                  <w:vAlign w:val="center"/>
                </w:tcPr>
                <w:p w14:paraId="0263906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编号</w:t>
                  </w:r>
                </w:p>
              </w:tc>
              <w:tc>
                <w:tcPr>
                  <w:tcW w:w="355" w:type="pct"/>
                  <w:noWrap w:val="0"/>
                  <w:vAlign w:val="center"/>
                </w:tcPr>
                <w:p w14:paraId="3AA1DDE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性状</w:t>
                  </w:r>
                </w:p>
              </w:tc>
              <w:tc>
                <w:tcPr>
                  <w:tcW w:w="595" w:type="pct"/>
                  <w:noWrap w:val="0"/>
                  <w:vAlign w:val="center"/>
                </w:tcPr>
                <w:p w14:paraId="44B37E5B">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产生工序</w:t>
                  </w:r>
                </w:p>
              </w:tc>
              <w:tc>
                <w:tcPr>
                  <w:tcW w:w="537" w:type="pct"/>
                  <w:noWrap w:val="0"/>
                  <w:vAlign w:val="center"/>
                </w:tcPr>
                <w:p w14:paraId="3D731D7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产生量</w:t>
                  </w:r>
                </w:p>
                <w:p w14:paraId="63B5184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（t/a）</w:t>
                  </w:r>
                </w:p>
              </w:tc>
              <w:tc>
                <w:tcPr>
                  <w:tcW w:w="785" w:type="pct"/>
                  <w:noWrap w:val="0"/>
                  <w:vAlign w:val="center"/>
                </w:tcPr>
                <w:p w14:paraId="482DD6A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处理或</w:t>
                  </w:r>
                </w:p>
                <w:p w14:paraId="0827FC3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处置方式</w:t>
                  </w:r>
                </w:p>
              </w:tc>
              <w:tc>
                <w:tcPr>
                  <w:tcW w:w="441" w:type="pct"/>
                  <w:noWrap w:val="0"/>
                  <w:vAlign w:val="center"/>
                </w:tcPr>
                <w:p w14:paraId="580A33E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排放量</w:t>
                  </w:r>
                </w:p>
                <w:p w14:paraId="2977861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（t/a）</w:t>
                  </w:r>
                </w:p>
              </w:tc>
              <w:tc>
                <w:tcPr>
                  <w:tcW w:w="270" w:type="pct"/>
                  <w:noWrap w:val="0"/>
                  <w:vAlign w:val="center"/>
                </w:tcPr>
                <w:p w14:paraId="27AD542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备注</w:t>
                  </w:r>
                </w:p>
              </w:tc>
            </w:tr>
            <w:tr w14:paraId="6E1FC0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68B314C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1</w:t>
                  </w:r>
                </w:p>
              </w:tc>
              <w:tc>
                <w:tcPr>
                  <w:tcW w:w="941" w:type="pct"/>
                  <w:noWrap w:val="0"/>
                  <w:vAlign w:val="center"/>
                </w:tcPr>
                <w:p w14:paraId="26F38EB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废液压油</w:t>
                  </w:r>
                </w:p>
              </w:tc>
              <w:tc>
                <w:tcPr>
                  <w:tcW w:w="372" w:type="pct"/>
                  <w:noWrap w:val="0"/>
                  <w:vAlign w:val="center"/>
                </w:tcPr>
                <w:p w14:paraId="63A25EA4">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是</w:t>
                  </w:r>
                </w:p>
              </w:tc>
              <w:tc>
                <w:tcPr>
                  <w:tcW w:w="463" w:type="pct"/>
                  <w:noWrap w:val="0"/>
                  <w:vAlign w:val="center"/>
                </w:tcPr>
                <w:p w14:paraId="17CD7E42">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HW0</w:t>
                  </w:r>
                  <w:r>
                    <w:rPr>
                      <w:rFonts w:hint="eastAsia" w:ascii="Times New Roman" w:hAnsi="Times New Roman" w:eastAsia="宋体" w:cs="Times New Roman"/>
                      <w:b w:val="0"/>
                      <w:bCs/>
                      <w:color w:val="auto"/>
                      <w:kern w:val="0"/>
                      <w:sz w:val="21"/>
                      <w:szCs w:val="21"/>
                      <w:lang w:val="en-US" w:eastAsia="zh-CN" w:bidi="ar-SA"/>
                    </w:rPr>
                    <w:t>8</w:t>
                  </w:r>
                </w:p>
              </w:tc>
              <w:tc>
                <w:tcPr>
                  <w:tcW w:w="355" w:type="pct"/>
                  <w:noWrap w:val="0"/>
                  <w:vAlign w:val="center"/>
                </w:tcPr>
                <w:p w14:paraId="766A07DE">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液态</w:t>
                  </w:r>
                </w:p>
              </w:tc>
              <w:tc>
                <w:tcPr>
                  <w:tcW w:w="595" w:type="pct"/>
                  <w:noWrap w:val="0"/>
                  <w:vAlign w:val="center"/>
                </w:tcPr>
                <w:p w14:paraId="6A4AAFF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挤压</w:t>
                  </w:r>
                </w:p>
              </w:tc>
              <w:tc>
                <w:tcPr>
                  <w:tcW w:w="537" w:type="pct"/>
                  <w:noWrap w:val="0"/>
                  <w:vAlign w:val="center"/>
                </w:tcPr>
                <w:p w14:paraId="7BD1D4F1">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0.</w:t>
                  </w:r>
                  <w:r>
                    <w:rPr>
                      <w:rFonts w:hint="eastAsia" w:cs="Times New Roman"/>
                      <w:b w:val="0"/>
                      <w:bCs/>
                      <w:color w:val="auto"/>
                      <w:sz w:val="21"/>
                      <w:szCs w:val="21"/>
                      <w:lang w:val="en-US" w:eastAsia="zh-CN"/>
                    </w:rPr>
                    <w:t>5</w:t>
                  </w:r>
                </w:p>
              </w:tc>
              <w:tc>
                <w:tcPr>
                  <w:tcW w:w="785" w:type="pct"/>
                  <w:noWrap w:val="0"/>
                  <w:vAlign w:val="center"/>
                </w:tcPr>
                <w:p w14:paraId="500E095D">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委托有资质单位处理</w:t>
                  </w:r>
                </w:p>
              </w:tc>
              <w:tc>
                <w:tcPr>
                  <w:tcW w:w="441" w:type="pct"/>
                  <w:noWrap w:val="0"/>
                  <w:vAlign w:val="center"/>
                </w:tcPr>
                <w:p w14:paraId="3C0A4C23">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w:t>
                  </w:r>
                </w:p>
              </w:tc>
              <w:tc>
                <w:tcPr>
                  <w:tcW w:w="270" w:type="pct"/>
                  <w:noWrap w:val="0"/>
                  <w:vAlign w:val="center"/>
                </w:tcPr>
                <w:p w14:paraId="60FBDAC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11B5D8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6396546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2</w:t>
                  </w:r>
                </w:p>
              </w:tc>
              <w:tc>
                <w:tcPr>
                  <w:tcW w:w="941" w:type="pct"/>
                  <w:noWrap w:val="0"/>
                  <w:vAlign w:val="center"/>
                </w:tcPr>
                <w:p w14:paraId="7B4CA60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废模具</w:t>
                  </w:r>
                </w:p>
              </w:tc>
              <w:tc>
                <w:tcPr>
                  <w:tcW w:w="372" w:type="pct"/>
                  <w:noWrap w:val="0"/>
                  <w:vAlign w:val="center"/>
                </w:tcPr>
                <w:p w14:paraId="25EE9FA9">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eastAsia" w:ascii="Times New Roman" w:hAnsi="Times New Roman" w:eastAsia="宋体" w:cs="Times New Roman"/>
                      <w:b w:val="0"/>
                      <w:bCs/>
                      <w:color w:val="000000"/>
                      <w:sz w:val="21"/>
                      <w:szCs w:val="21"/>
                      <w:lang w:val="en-US" w:eastAsia="zh-CN"/>
                    </w:rPr>
                    <w:t>否</w:t>
                  </w:r>
                </w:p>
              </w:tc>
              <w:tc>
                <w:tcPr>
                  <w:tcW w:w="463" w:type="pct"/>
                  <w:noWrap w:val="0"/>
                  <w:vAlign w:val="center"/>
                </w:tcPr>
                <w:p w14:paraId="0003C157">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w:t>
                  </w:r>
                </w:p>
              </w:tc>
              <w:tc>
                <w:tcPr>
                  <w:tcW w:w="355" w:type="pct"/>
                  <w:noWrap w:val="0"/>
                  <w:vAlign w:val="center"/>
                </w:tcPr>
                <w:p w14:paraId="0A838103">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固态</w:t>
                  </w:r>
                </w:p>
              </w:tc>
              <w:tc>
                <w:tcPr>
                  <w:tcW w:w="595" w:type="pct"/>
                  <w:noWrap w:val="0"/>
                  <w:vAlign w:val="center"/>
                </w:tcPr>
                <w:p w14:paraId="2611736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生产过程</w:t>
                  </w:r>
                </w:p>
              </w:tc>
              <w:tc>
                <w:tcPr>
                  <w:tcW w:w="537" w:type="pct"/>
                  <w:noWrap w:val="0"/>
                  <w:vAlign w:val="center"/>
                </w:tcPr>
                <w:p w14:paraId="6574CBFB">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0.</w:t>
                  </w:r>
                  <w:r>
                    <w:rPr>
                      <w:rFonts w:hint="eastAsia" w:cs="Times New Roman"/>
                      <w:b w:val="0"/>
                      <w:bCs/>
                      <w:color w:val="auto"/>
                      <w:sz w:val="21"/>
                      <w:szCs w:val="21"/>
                      <w:lang w:val="en-US" w:eastAsia="zh-CN"/>
                    </w:rPr>
                    <w:t>4</w:t>
                  </w:r>
                </w:p>
              </w:tc>
              <w:tc>
                <w:tcPr>
                  <w:tcW w:w="785" w:type="pct"/>
                  <w:noWrap w:val="0"/>
                  <w:vAlign w:val="center"/>
                </w:tcPr>
                <w:p w14:paraId="73372DC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模具供应商回收处理</w:t>
                  </w:r>
                </w:p>
              </w:tc>
              <w:tc>
                <w:tcPr>
                  <w:tcW w:w="441" w:type="pct"/>
                  <w:noWrap w:val="0"/>
                  <w:vAlign w:val="center"/>
                </w:tcPr>
                <w:p w14:paraId="163E18D0">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w:t>
                  </w:r>
                </w:p>
              </w:tc>
              <w:tc>
                <w:tcPr>
                  <w:tcW w:w="270" w:type="pct"/>
                  <w:noWrap w:val="0"/>
                  <w:vAlign w:val="center"/>
                </w:tcPr>
                <w:p w14:paraId="248269D1">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29FED3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4AA673FB">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3</w:t>
                  </w:r>
                </w:p>
              </w:tc>
              <w:tc>
                <w:tcPr>
                  <w:tcW w:w="941" w:type="pct"/>
                  <w:noWrap w:val="0"/>
                  <w:vAlign w:val="center"/>
                </w:tcPr>
                <w:p w14:paraId="7AB7AAC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金属屑及边角料</w:t>
                  </w:r>
                </w:p>
              </w:tc>
              <w:tc>
                <w:tcPr>
                  <w:tcW w:w="372" w:type="pct"/>
                  <w:noWrap w:val="0"/>
                  <w:vAlign w:val="center"/>
                </w:tcPr>
                <w:p w14:paraId="22FF07DE">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eastAsia" w:ascii="Times New Roman" w:hAnsi="Times New Roman" w:eastAsia="宋体" w:cs="Times New Roman"/>
                      <w:b w:val="0"/>
                      <w:bCs/>
                      <w:color w:val="000000"/>
                      <w:sz w:val="21"/>
                      <w:szCs w:val="21"/>
                      <w:lang w:val="en-US" w:eastAsia="zh-CN"/>
                    </w:rPr>
                    <w:t>否</w:t>
                  </w:r>
                </w:p>
              </w:tc>
              <w:tc>
                <w:tcPr>
                  <w:tcW w:w="463" w:type="pct"/>
                  <w:noWrap w:val="0"/>
                  <w:vAlign w:val="center"/>
                </w:tcPr>
                <w:p w14:paraId="56368932">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w:t>
                  </w:r>
                </w:p>
              </w:tc>
              <w:tc>
                <w:tcPr>
                  <w:tcW w:w="355" w:type="pct"/>
                  <w:noWrap w:val="0"/>
                  <w:vAlign w:val="center"/>
                </w:tcPr>
                <w:p w14:paraId="1379E8AD">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固态</w:t>
                  </w:r>
                </w:p>
              </w:tc>
              <w:tc>
                <w:tcPr>
                  <w:tcW w:w="595" w:type="pct"/>
                  <w:noWrap w:val="0"/>
                  <w:vAlign w:val="center"/>
                </w:tcPr>
                <w:p w14:paraId="32B4974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kern w:val="2"/>
                      <w:sz w:val="21"/>
                      <w:szCs w:val="21"/>
                      <w:lang w:val="en-US" w:eastAsia="zh-CN" w:bidi="ar-SA"/>
                    </w:rPr>
                    <w:t>锯切</w:t>
                  </w:r>
                </w:p>
              </w:tc>
              <w:tc>
                <w:tcPr>
                  <w:tcW w:w="537" w:type="pct"/>
                  <w:noWrap w:val="0"/>
                  <w:vAlign w:val="center"/>
                </w:tcPr>
                <w:p w14:paraId="10DF2C5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1584</w:t>
                  </w:r>
                </w:p>
              </w:tc>
              <w:tc>
                <w:tcPr>
                  <w:tcW w:w="785" w:type="pct"/>
                  <w:noWrap w:val="0"/>
                  <w:vAlign w:val="center"/>
                </w:tcPr>
                <w:p w14:paraId="76D476B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外售综合利用</w:t>
                  </w:r>
                </w:p>
              </w:tc>
              <w:tc>
                <w:tcPr>
                  <w:tcW w:w="441" w:type="pct"/>
                  <w:noWrap w:val="0"/>
                  <w:vAlign w:val="center"/>
                </w:tcPr>
                <w:p w14:paraId="6CD2C969">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w:t>
                  </w:r>
                </w:p>
              </w:tc>
              <w:tc>
                <w:tcPr>
                  <w:tcW w:w="270" w:type="pct"/>
                  <w:noWrap w:val="0"/>
                  <w:vAlign w:val="center"/>
                </w:tcPr>
                <w:p w14:paraId="2F17411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5AEFEE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7013FDA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4</w:t>
                  </w:r>
                </w:p>
              </w:tc>
              <w:tc>
                <w:tcPr>
                  <w:tcW w:w="941" w:type="pct"/>
                  <w:noWrap w:val="0"/>
                  <w:vAlign w:val="center"/>
                </w:tcPr>
                <w:p w14:paraId="2F66480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废润滑油</w:t>
                  </w:r>
                </w:p>
              </w:tc>
              <w:tc>
                <w:tcPr>
                  <w:tcW w:w="372" w:type="pct"/>
                  <w:noWrap w:val="0"/>
                  <w:vAlign w:val="center"/>
                </w:tcPr>
                <w:p w14:paraId="77A83FDE">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是</w:t>
                  </w:r>
                </w:p>
              </w:tc>
              <w:tc>
                <w:tcPr>
                  <w:tcW w:w="463" w:type="pct"/>
                  <w:noWrap w:val="0"/>
                  <w:vAlign w:val="center"/>
                </w:tcPr>
                <w:p w14:paraId="2B101A59">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HW0</w:t>
                  </w:r>
                  <w:r>
                    <w:rPr>
                      <w:rFonts w:hint="eastAsia" w:ascii="Times New Roman" w:hAnsi="Times New Roman" w:eastAsia="宋体" w:cs="Times New Roman"/>
                      <w:b w:val="0"/>
                      <w:bCs/>
                      <w:color w:val="auto"/>
                      <w:kern w:val="0"/>
                      <w:sz w:val="21"/>
                      <w:szCs w:val="21"/>
                      <w:lang w:val="en-US" w:eastAsia="zh-CN" w:bidi="ar-SA"/>
                    </w:rPr>
                    <w:t>8</w:t>
                  </w:r>
                </w:p>
              </w:tc>
              <w:tc>
                <w:tcPr>
                  <w:tcW w:w="355" w:type="pct"/>
                  <w:noWrap w:val="0"/>
                  <w:vAlign w:val="center"/>
                </w:tcPr>
                <w:p w14:paraId="75EADC04">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液态</w:t>
                  </w:r>
                </w:p>
              </w:tc>
              <w:tc>
                <w:tcPr>
                  <w:tcW w:w="595" w:type="pct"/>
                  <w:noWrap w:val="0"/>
                  <w:vAlign w:val="center"/>
                </w:tcPr>
                <w:p w14:paraId="660E126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设备维护</w:t>
                  </w:r>
                </w:p>
              </w:tc>
              <w:tc>
                <w:tcPr>
                  <w:tcW w:w="537" w:type="pct"/>
                  <w:noWrap w:val="0"/>
                  <w:vAlign w:val="center"/>
                </w:tcPr>
                <w:p w14:paraId="414D62A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0.</w:t>
                  </w:r>
                  <w:r>
                    <w:rPr>
                      <w:rFonts w:hint="eastAsia" w:cs="Times New Roman"/>
                      <w:b w:val="0"/>
                      <w:bCs/>
                      <w:color w:val="auto"/>
                      <w:sz w:val="21"/>
                      <w:szCs w:val="21"/>
                      <w:lang w:val="en-US" w:eastAsia="zh-CN"/>
                    </w:rPr>
                    <w:t>2</w:t>
                  </w:r>
                </w:p>
              </w:tc>
              <w:tc>
                <w:tcPr>
                  <w:tcW w:w="785" w:type="pct"/>
                  <w:vMerge w:val="restart"/>
                  <w:noWrap w:val="0"/>
                  <w:vAlign w:val="center"/>
                </w:tcPr>
                <w:p w14:paraId="11C3DD4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委托有资质单位处理</w:t>
                  </w:r>
                </w:p>
              </w:tc>
              <w:tc>
                <w:tcPr>
                  <w:tcW w:w="441" w:type="pct"/>
                  <w:noWrap w:val="0"/>
                  <w:vAlign w:val="center"/>
                </w:tcPr>
                <w:p w14:paraId="22C34E9B">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0</w:t>
                  </w:r>
                </w:p>
              </w:tc>
              <w:tc>
                <w:tcPr>
                  <w:tcW w:w="270" w:type="pct"/>
                  <w:noWrap w:val="0"/>
                  <w:vAlign w:val="center"/>
                </w:tcPr>
                <w:p w14:paraId="009E935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226C8D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7318291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5</w:t>
                  </w:r>
                </w:p>
              </w:tc>
              <w:tc>
                <w:tcPr>
                  <w:tcW w:w="1567" w:type="dxa"/>
                  <w:noWrap w:val="0"/>
                  <w:vAlign w:val="center"/>
                </w:tcPr>
                <w:p w14:paraId="4F866EE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000000"/>
                      <w:kern w:val="0"/>
                      <w:sz w:val="21"/>
                      <w:szCs w:val="21"/>
                      <w:lang w:val="en-US" w:eastAsia="zh-CN" w:bidi="ar-SA"/>
                    </w:rPr>
                  </w:pPr>
                  <w:r>
                    <w:rPr>
                      <w:rFonts w:hint="eastAsia" w:cs="Times New Roman"/>
                      <w:b w:val="0"/>
                      <w:bCs/>
                      <w:color w:val="auto"/>
                      <w:kern w:val="0"/>
                      <w:sz w:val="21"/>
                      <w:szCs w:val="21"/>
                      <w:lang w:val="en-US" w:eastAsia="zh-CN" w:bidi="ar-SA"/>
                    </w:rPr>
                    <w:t>废油桶</w:t>
                  </w:r>
                </w:p>
              </w:tc>
              <w:tc>
                <w:tcPr>
                  <w:tcW w:w="620" w:type="dxa"/>
                  <w:noWrap w:val="0"/>
                  <w:vAlign w:val="center"/>
                </w:tcPr>
                <w:p w14:paraId="0312F1B4">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000000"/>
                      <w:sz w:val="21"/>
                      <w:szCs w:val="21"/>
                      <w:lang w:val="en-US" w:eastAsia="zh-CN"/>
                    </w:rPr>
                  </w:pPr>
                  <w:r>
                    <w:rPr>
                      <w:rFonts w:hint="default" w:ascii="Times New Roman" w:hAnsi="Times New Roman" w:eastAsia="宋体" w:cs="Times New Roman"/>
                      <w:b w:val="0"/>
                      <w:bCs/>
                      <w:color w:val="000000"/>
                      <w:sz w:val="21"/>
                      <w:szCs w:val="21"/>
                      <w:lang w:val="en-US" w:eastAsia="zh-CN"/>
                    </w:rPr>
                    <w:t>是</w:t>
                  </w:r>
                </w:p>
              </w:tc>
              <w:tc>
                <w:tcPr>
                  <w:tcW w:w="772" w:type="dxa"/>
                  <w:noWrap w:val="0"/>
                  <w:vAlign w:val="center"/>
                </w:tcPr>
                <w:p w14:paraId="45261F78">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49</w:t>
                  </w:r>
                </w:p>
              </w:tc>
              <w:tc>
                <w:tcPr>
                  <w:tcW w:w="592" w:type="dxa"/>
                  <w:noWrap w:val="0"/>
                  <w:vAlign w:val="center"/>
                </w:tcPr>
                <w:p w14:paraId="5ECDC97C">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固态</w:t>
                  </w:r>
                </w:p>
              </w:tc>
              <w:tc>
                <w:tcPr>
                  <w:tcW w:w="992" w:type="dxa"/>
                  <w:noWrap w:val="0"/>
                  <w:vAlign w:val="center"/>
                </w:tcPr>
                <w:p w14:paraId="38CB1B4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生产</w:t>
                  </w:r>
                </w:p>
              </w:tc>
              <w:tc>
                <w:tcPr>
                  <w:tcW w:w="895" w:type="dxa"/>
                  <w:noWrap w:val="0"/>
                  <w:vAlign w:val="center"/>
                </w:tcPr>
                <w:p w14:paraId="0E846C0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0.05</w:t>
                  </w:r>
                </w:p>
              </w:tc>
              <w:tc>
                <w:tcPr>
                  <w:tcW w:w="785" w:type="pct"/>
                  <w:vMerge w:val="continue"/>
                  <w:noWrap w:val="0"/>
                  <w:vAlign w:val="center"/>
                </w:tcPr>
                <w:p w14:paraId="17BFA20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sz w:val="21"/>
                      <w:szCs w:val="21"/>
                      <w:lang w:val="en-US" w:eastAsia="zh-CN"/>
                    </w:rPr>
                  </w:pPr>
                </w:p>
              </w:tc>
              <w:tc>
                <w:tcPr>
                  <w:tcW w:w="441" w:type="pct"/>
                  <w:noWrap w:val="0"/>
                  <w:vAlign w:val="center"/>
                </w:tcPr>
                <w:p w14:paraId="2103513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0</w:t>
                  </w:r>
                </w:p>
              </w:tc>
              <w:tc>
                <w:tcPr>
                  <w:tcW w:w="270" w:type="pct"/>
                  <w:noWrap w:val="0"/>
                  <w:vAlign w:val="center"/>
                </w:tcPr>
                <w:p w14:paraId="7AD3108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3A8671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49DE6A3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kern w:val="0"/>
                      <w:sz w:val="21"/>
                      <w:szCs w:val="21"/>
                      <w:lang w:val="en-US" w:eastAsia="zh-CN" w:bidi="ar-SA"/>
                    </w:rPr>
                    <w:t>6</w:t>
                  </w:r>
                </w:p>
              </w:tc>
              <w:tc>
                <w:tcPr>
                  <w:tcW w:w="941" w:type="pct"/>
                  <w:noWrap w:val="0"/>
                  <w:vAlign w:val="center"/>
                </w:tcPr>
                <w:p w14:paraId="719B05E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含油抹布</w:t>
                  </w:r>
                </w:p>
              </w:tc>
              <w:tc>
                <w:tcPr>
                  <w:tcW w:w="372" w:type="pct"/>
                  <w:noWrap w:val="0"/>
                  <w:vAlign w:val="center"/>
                </w:tcPr>
                <w:p w14:paraId="7BF31F03">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000000"/>
                      <w:sz w:val="21"/>
                      <w:szCs w:val="21"/>
                    </w:rPr>
                  </w:pPr>
                  <w:r>
                    <w:rPr>
                      <w:rFonts w:hint="default" w:ascii="Times New Roman" w:hAnsi="Times New Roman" w:eastAsia="宋体" w:cs="Times New Roman"/>
                      <w:b w:val="0"/>
                      <w:bCs/>
                      <w:color w:val="000000"/>
                      <w:sz w:val="21"/>
                      <w:szCs w:val="21"/>
                      <w:lang w:val="en-US" w:eastAsia="zh-CN"/>
                    </w:rPr>
                    <w:t>是</w:t>
                  </w:r>
                </w:p>
              </w:tc>
              <w:tc>
                <w:tcPr>
                  <w:tcW w:w="463" w:type="pct"/>
                  <w:noWrap w:val="0"/>
                  <w:vAlign w:val="center"/>
                </w:tcPr>
                <w:p w14:paraId="5E59C209">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49</w:t>
                  </w:r>
                </w:p>
              </w:tc>
              <w:tc>
                <w:tcPr>
                  <w:tcW w:w="355" w:type="pct"/>
                  <w:noWrap w:val="0"/>
                  <w:vAlign w:val="center"/>
                </w:tcPr>
                <w:p w14:paraId="58D463FE">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固态</w:t>
                  </w:r>
                </w:p>
              </w:tc>
              <w:tc>
                <w:tcPr>
                  <w:tcW w:w="595" w:type="pct"/>
                  <w:noWrap w:val="0"/>
                  <w:vAlign w:val="center"/>
                </w:tcPr>
                <w:p w14:paraId="1493E7C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设备维护</w:t>
                  </w:r>
                </w:p>
              </w:tc>
              <w:tc>
                <w:tcPr>
                  <w:tcW w:w="537" w:type="pct"/>
                  <w:noWrap w:val="0"/>
                  <w:vAlign w:val="center"/>
                </w:tcPr>
                <w:p w14:paraId="1946ABC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cs="Times New Roman"/>
                      <w:b w:val="0"/>
                      <w:bCs/>
                      <w:color w:val="auto"/>
                      <w:lang w:val="en-US" w:eastAsia="zh-CN"/>
                    </w:rPr>
                    <w:t>0.0</w:t>
                  </w:r>
                  <w:r>
                    <w:rPr>
                      <w:rFonts w:hint="eastAsia" w:cs="Times New Roman"/>
                      <w:b w:val="0"/>
                      <w:bCs/>
                      <w:color w:val="auto"/>
                      <w:lang w:val="en-US" w:eastAsia="zh-CN"/>
                    </w:rPr>
                    <w:t>4</w:t>
                  </w:r>
                </w:p>
              </w:tc>
              <w:tc>
                <w:tcPr>
                  <w:tcW w:w="785" w:type="pct"/>
                  <w:vMerge w:val="continue"/>
                  <w:noWrap w:val="0"/>
                  <w:vAlign w:val="center"/>
                </w:tcPr>
                <w:p w14:paraId="4D26EEC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p>
              </w:tc>
              <w:tc>
                <w:tcPr>
                  <w:tcW w:w="441" w:type="pct"/>
                  <w:noWrap w:val="0"/>
                  <w:vAlign w:val="center"/>
                </w:tcPr>
                <w:p w14:paraId="4D4B025D">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w:t>
                  </w:r>
                </w:p>
              </w:tc>
              <w:tc>
                <w:tcPr>
                  <w:tcW w:w="270" w:type="pct"/>
                  <w:noWrap w:val="0"/>
                  <w:vAlign w:val="center"/>
                </w:tcPr>
                <w:p w14:paraId="281232A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636AE2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28" w:type="dxa"/>
                  <w:bottom w:w="28" w:type="dxa"/>
                  <w:right w:w="28" w:type="dxa"/>
                </w:tblCellMar>
              </w:tblPrEx>
              <w:trPr>
                <w:trHeight w:val="425" w:hRule="atLeast"/>
                <w:jc w:val="center"/>
              </w:trPr>
              <w:tc>
                <w:tcPr>
                  <w:tcW w:w="237" w:type="pct"/>
                  <w:noWrap w:val="0"/>
                  <w:vAlign w:val="center"/>
                </w:tcPr>
                <w:p w14:paraId="1026BF9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7</w:t>
                  </w:r>
                </w:p>
              </w:tc>
              <w:tc>
                <w:tcPr>
                  <w:tcW w:w="941" w:type="pct"/>
                  <w:noWrap w:val="0"/>
                  <w:vAlign w:val="center"/>
                </w:tcPr>
                <w:p w14:paraId="15168EF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生活垃圾</w:t>
                  </w:r>
                </w:p>
              </w:tc>
              <w:tc>
                <w:tcPr>
                  <w:tcW w:w="372" w:type="pct"/>
                  <w:noWrap w:val="0"/>
                  <w:vAlign w:val="center"/>
                </w:tcPr>
                <w:p w14:paraId="5F85BAD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否</w:t>
                  </w:r>
                </w:p>
              </w:tc>
              <w:tc>
                <w:tcPr>
                  <w:tcW w:w="463" w:type="pct"/>
                  <w:noWrap w:val="0"/>
                  <w:vAlign w:val="center"/>
                </w:tcPr>
                <w:p w14:paraId="7C8AA77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SW61</w:t>
                  </w:r>
                </w:p>
              </w:tc>
              <w:tc>
                <w:tcPr>
                  <w:tcW w:w="355" w:type="pct"/>
                  <w:noWrap w:val="0"/>
                  <w:vAlign w:val="center"/>
                </w:tcPr>
                <w:p w14:paraId="6BDB488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固态</w:t>
                  </w:r>
                </w:p>
              </w:tc>
              <w:tc>
                <w:tcPr>
                  <w:tcW w:w="595" w:type="pct"/>
                  <w:noWrap w:val="0"/>
                  <w:vAlign w:val="center"/>
                </w:tcPr>
                <w:p w14:paraId="76DF9560">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职工生活</w:t>
                  </w:r>
                </w:p>
              </w:tc>
              <w:tc>
                <w:tcPr>
                  <w:tcW w:w="537" w:type="pct"/>
                  <w:noWrap w:val="0"/>
                  <w:vAlign w:val="center"/>
                </w:tcPr>
                <w:p w14:paraId="48377AF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6</w:t>
                  </w:r>
                </w:p>
              </w:tc>
              <w:tc>
                <w:tcPr>
                  <w:tcW w:w="785" w:type="pct"/>
                  <w:noWrap w:val="0"/>
                  <w:vAlign w:val="center"/>
                </w:tcPr>
                <w:p w14:paraId="3FA93A25">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环卫部门清运</w:t>
                  </w:r>
                </w:p>
              </w:tc>
              <w:tc>
                <w:tcPr>
                  <w:tcW w:w="441" w:type="pct"/>
                  <w:noWrap w:val="0"/>
                  <w:vAlign w:val="center"/>
                </w:tcPr>
                <w:p w14:paraId="4461756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0</w:t>
                  </w:r>
                </w:p>
              </w:tc>
              <w:tc>
                <w:tcPr>
                  <w:tcW w:w="270" w:type="pct"/>
                  <w:noWrap w:val="0"/>
                  <w:vAlign w:val="center"/>
                </w:tcPr>
                <w:p w14:paraId="370ADFA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bl>
          <w:p w14:paraId="725F4F34">
            <w:pPr>
              <w:pStyle w:val="44"/>
              <w:keepNext/>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rPr>
              <w:t xml:space="preserve">表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15</w:t>
            </w:r>
            <w:r>
              <w:rPr>
                <w:rFonts w:hint="default" w:ascii="Times New Roman" w:hAnsi="Times New Roman" w:cs="Times New Roman"/>
                <w:color w:val="000000"/>
              </w:rPr>
              <w:fldChar w:fldCharType="end"/>
            </w:r>
            <w:r>
              <w:rPr>
                <w:rFonts w:hint="default" w:ascii="Times New Roman" w:hAnsi="Times New Roman" w:cs="Times New Roman"/>
                <w:color w:val="auto"/>
              </w:rPr>
              <w:t xml:space="preserve">  </w:t>
            </w:r>
            <w:r>
              <w:rPr>
                <w:rFonts w:hint="default" w:ascii="Times New Roman" w:hAnsi="Times New Roman" w:cs="Times New Roman"/>
                <w:color w:val="000000"/>
              </w:rPr>
              <w:t>危险废物</w:t>
            </w:r>
            <w:r>
              <w:rPr>
                <w:rFonts w:hint="default" w:ascii="Times New Roman" w:hAnsi="Times New Roman" w:cs="Times New Roman"/>
                <w:color w:val="auto"/>
              </w:rPr>
              <w:t>汇总表</w:t>
            </w:r>
          </w:p>
          <w:tbl>
            <w:tblPr>
              <w:tblStyle w:val="23"/>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265"/>
              <w:gridCol w:w="896"/>
              <w:gridCol w:w="616"/>
              <w:gridCol w:w="1044"/>
              <w:gridCol w:w="529"/>
              <w:gridCol w:w="894"/>
              <w:gridCol w:w="521"/>
              <w:gridCol w:w="942"/>
              <w:gridCol w:w="831"/>
              <w:gridCol w:w="496"/>
              <w:gridCol w:w="595"/>
              <w:gridCol w:w="710"/>
            </w:tblGrid>
            <w:tr w14:paraId="36AA86C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158" w:type="pct"/>
                  <w:noWrap w:val="0"/>
                  <w:vAlign w:val="center"/>
                </w:tcPr>
                <w:p w14:paraId="467062B2">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序</w:t>
                  </w:r>
                </w:p>
                <w:p w14:paraId="1D496F44">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号</w:t>
                  </w:r>
                </w:p>
              </w:tc>
              <w:tc>
                <w:tcPr>
                  <w:tcW w:w="537" w:type="pct"/>
                  <w:noWrap w:val="0"/>
                  <w:vAlign w:val="center"/>
                </w:tcPr>
                <w:p w14:paraId="26509BE5">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w:t>
                  </w:r>
                </w:p>
                <w:p w14:paraId="71E5881C">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名称</w:t>
                  </w:r>
                </w:p>
              </w:tc>
              <w:tc>
                <w:tcPr>
                  <w:tcW w:w="369" w:type="pct"/>
                  <w:noWrap w:val="0"/>
                  <w:vAlign w:val="center"/>
                </w:tcPr>
                <w:p w14:paraId="03AC9A69">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w:t>
                  </w:r>
                </w:p>
                <w:p w14:paraId="514DE00D">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类别</w:t>
                  </w:r>
                </w:p>
              </w:tc>
              <w:tc>
                <w:tcPr>
                  <w:tcW w:w="625" w:type="pct"/>
                  <w:noWrap w:val="0"/>
                  <w:vAlign w:val="center"/>
                </w:tcPr>
                <w:p w14:paraId="7B581621">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危废代码</w:t>
                  </w:r>
                </w:p>
              </w:tc>
              <w:tc>
                <w:tcPr>
                  <w:tcW w:w="317" w:type="pct"/>
                  <w:noWrap w:val="0"/>
                  <w:vAlign w:val="center"/>
                </w:tcPr>
                <w:p w14:paraId="576D1865">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产生量</w:t>
                  </w:r>
                </w:p>
                <w:p w14:paraId="2D5BBB44">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(t/a)</w:t>
                  </w:r>
                </w:p>
              </w:tc>
              <w:tc>
                <w:tcPr>
                  <w:tcW w:w="536" w:type="pct"/>
                  <w:noWrap w:val="0"/>
                  <w:vAlign w:val="center"/>
                </w:tcPr>
                <w:p w14:paraId="12DBC94E">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产生工序及装置</w:t>
                  </w:r>
                </w:p>
              </w:tc>
              <w:tc>
                <w:tcPr>
                  <w:tcW w:w="312" w:type="pct"/>
                  <w:noWrap w:val="0"/>
                  <w:vAlign w:val="center"/>
                </w:tcPr>
                <w:p w14:paraId="276247A5">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形态</w:t>
                  </w:r>
                </w:p>
              </w:tc>
              <w:tc>
                <w:tcPr>
                  <w:tcW w:w="564" w:type="pct"/>
                  <w:noWrap w:val="0"/>
                  <w:vAlign w:val="center"/>
                </w:tcPr>
                <w:p w14:paraId="737BE378">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主要</w:t>
                  </w:r>
                </w:p>
                <w:p w14:paraId="49C0C196">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成分</w:t>
                  </w:r>
                </w:p>
              </w:tc>
              <w:tc>
                <w:tcPr>
                  <w:tcW w:w="498" w:type="pct"/>
                  <w:noWrap w:val="0"/>
                  <w:vAlign w:val="center"/>
                </w:tcPr>
                <w:p w14:paraId="6797A802">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有害</w:t>
                  </w:r>
                </w:p>
                <w:p w14:paraId="6467BF14">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成分</w:t>
                  </w:r>
                </w:p>
              </w:tc>
              <w:tc>
                <w:tcPr>
                  <w:tcW w:w="297" w:type="pct"/>
                  <w:noWrap w:val="0"/>
                  <w:vAlign w:val="center"/>
                </w:tcPr>
                <w:p w14:paraId="109393F0">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产废</w:t>
                  </w:r>
                </w:p>
                <w:p w14:paraId="516A206D">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周期</w:t>
                  </w:r>
                </w:p>
              </w:tc>
              <w:tc>
                <w:tcPr>
                  <w:tcW w:w="356" w:type="pct"/>
                  <w:noWrap w:val="0"/>
                  <w:vAlign w:val="center"/>
                </w:tcPr>
                <w:p w14:paraId="35D28DFF">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危险特性</w:t>
                  </w:r>
                </w:p>
              </w:tc>
              <w:tc>
                <w:tcPr>
                  <w:tcW w:w="425" w:type="pct"/>
                  <w:noWrap w:val="0"/>
                  <w:vAlign w:val="center"/>
                </w:tcPr>
                <w:p w14:paraId="6BCD689E">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污染防治措施</w:t>
                  </w:r>
                </w:p>
              </w:tc>
            </w:tr>
            <w:tr w14:paraId="67C4B58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158" w:type="pct"/>
                  <w:noWrap/>
                  <w:vAlign w:val="center"/>
                </w:tcPr>
                <w:p w14:paraId="17DC5D5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w:t>
                  </w:r>
                </w:p>
              </w:tc>
              <w:tc>
                <w:tcPr>
                  <w:tcW w:w="537" w:type="pct"/>
                  <w:noWrap/>
                  <w:vAlign w:val="center"/>
                </w:tcPr>
                <w:p w14:paraId="6F68121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废液压油</w:t>
                  </w:r>
                </w:p>
              </w:tc>
              <w:tc>
                <w:tcPr>
                  <w:tcW w:w="369" w:type="pct"/>
                  <w:noWrap/>
                  <w:vAlign w:val="center"/>
                </w:tcPr>
                <w:p w14:paraId="6C5A9473">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08</w:t>
                  </w:r>
                </w:p>
              </w:tc>
              <w:tc>
                <w:tcPr>
                  <w:tcW w:w="625" w:type="pct"/>
                  <w:noWrap/>
                  <w:vAlign w:val="center"/>
                </w:tcPr>
                <w:p w14:paraId="258D5C9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900-218-08</w:t>
                  </w:r>
                </w:p>
              </w:tc>
              <w:tc>
                <w:tcPr>
                  <w:tcW w:w="317" w:type="pct"/>
                  <w:noWrap w:val="0"/>
                  <w:vAlign w:val="center"/>
                </w:tcPr>
                <w:p w14:paraId="3103098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0.</w:t>
                  </w:r>
                  <w:r>
                    <w:rPr>
                      <w:rFonts w:hint="eastAsia" w:cs="Times New Roman"/>
                      <w:b w:val="0"/>
                      <w:bCs/>
                      <w:color w:val="auto"/>
                      <w:kern w:val="0"/>
                      <w:sz w:val="21"/>
                      <w:szCs w:val="21"/>
                      <w:lang w:val="en-US" w:eastAsia="zh-CN" w:bidi="ar-SA"/>
                    </w:rPr>
                    <w:t>5</w:t>
                  </w:r>
                </w:p>
              </w:tc>
              <w:tc>
                <w:tcPr>
                  <w:tcW w:w="536" w:type="pct"/>
                  <w:noWrap/>
                  <w:vAlign w:val="center"/>
                </w:tcPr>
                <w:p w14:paraId="674ABA0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挤压</w:t>
                  </w:r>
                </w:p>
              </w:tc>
              <w:tc>
                <w:tcPr>
                  <w:tcW w:w="312" w:type="pct"/>
                  <w:noWrap/>
                  <w:vAlign w:val="center"/>
                </w:tcPr>
                <w:p w14:paraId="4ECABB42">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液态</w:t>
                  </w:r>
                </w:p>
              </w:tc>
              <w:tc>
                <w:tcPr>
                  <w:tcW w:w="564" w:type="pct"/>
                  <w:noWrap/>
                  <w:vAlign w:val="center"/>
                </w:tcPr>
                <w:p w14:paraId="27C98BE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rPr>
                  </w:pPr>
                  <w:r>
                    <w:rPr>
                      <w:rFonts w:hint="eastAsia" w:ascii="Times New Roman" w:hAnsi="Times New Roman" w:eastAsia="宋体" w:cs="Times New Roman"/>
                      <w:b w:val="0"/>
                      <w:bCs/>
                      <w:color w:val="auto"/>
                      <w:sz w:val="21"/>
                      <w:szCs w:val="21"/>
                      <w:lang w:val="en-US" w:eastAsia="zh-CN"/>
                    </w:rPr>
                    <w:t>液压油</w:t>
                  </w:r>
                </w:p>
              </w:tc>
              <w:tc>
                <w:tcPr>
                  <w:tcW w:w="498" w:type="pct"/>
                  <w:noWrap/>
                  <w:vAlign w:val="center"/>
                </w:tcPr>
                <w:p w14:paraId="26D14C9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eastAsia" w:ascii="Times New Roman" w:hAnsi="Times New Roman" w:eastAsia="宋体" w:cs="Times New Roman"/>
                      <w:b w:val="0"/>
                      <w:bCs/>
                      <w:color w:val="auto"/>
                      <w:sz w:val="21"/>
                      <w:szCs w:val="21"/>
                      <w:lang w:val="en-US" w:eastAsia="zh-CN"/>
                    </w:rPr>
                    <w:t>液压油</w:t>
                  </w:r>
                </w:p>
              </w:tc>
              <w:tc>
                <w:tcPr>
                  <w:tcW w:w="297" w:type="pct"/>
                  <w:noWrap w:val="0"/>
                  <w:vAlign w:val="center"/>
                </w:tcPr>
                <w:p w14:paraId="52EBF1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eastAsia="zh-CN"/>
                    </w:rPr>
                  </w:pPr>
                  <w:r>
                    <w:rPr>
                      <w:rFonts w:hint="default" w:ascii="Times New Roman" w:hAnsi="Times New Roman" w:eastAsia="宋体" w:cs="Times New Roman"/>
                      <w:b w:val="0"/>
                      <w:bCs/>
                      <w:color w:val="auto"/>
                      <w:kern w:val="2"/>
                      <w:sz w:val="21"/>
                      <w:szCs w:val="21"/>
                      <w:lang w:eastAsia="zh-CN"/>
                    </w:rPr>
                    <w:t>月</w:t>
                  </w:r>
                </w:p>
              </w:tc>
              <w:tc>
                <w:tcPr>
                  <w:tcW w:w="356" w:type="pct"/>
                  <w:noWrap w:val="0"/>
                  <w:vAlign w:val="center"/>
                </w:tcPr>
                <w:p w14:paraId="258E71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eastAsia="zh-CN"/>
                    </w:rPr>
                    <w:t>T</w:t>
                  </w:r>
                  <w:r>
                    <w:rPr>
                      <w:rFonts w:hint="eastAsia" w:ascii="Times New Roman" w:hAnsi="Times New Roman" w:eastAsia="宋体" w:cs="Times New Roman"/>
                      <w:b w:val="0"/>
                      <w:bCs/>
                      <w:color w:val="auto"/>
                      <w:sz w:val="21"/>
                      <w:szCs w:val="21"/>
                      <w:lang w:eastAsia="zh-CN"/>
                    </w:rPr>
                    <w:t>，</w:t>
                  </w:r>
                  <w:r>
                    <w:rPr>
                      <w:rFonts w:hint="eastAsia" w:ascii="Times New Roman" w:hAnsi="Times New Roman" w:eastAsia="宋体" w:cs="Times New Roman"/>
                      <w:b w:val="0"/>
                      <w:bCs/>
                      <w:color w:val="auto"/>
                      <w:sz w:val="21"/>
                      <w:szCs w:val="21"/>
                      <w:lang w:val="en-US" w:eastAsia="zh-CN"/>
                    </w:rPr>
                    <w:t>I</w:t>
                  </w:r>
                </w:p>
              </w:tc>
              <w:tc>
                <w:tcPr>
                  <w:tcW w:w="425" w:type="pct"/>
                  <w:vMerge w:val="restart"/>
                  <w:noWrap w:val="0"/>
                  <w:vAlign w:val="center"/>
                </w:tcPr>
                <w:p w14:paraId="1149C3D3">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val="0"/>
                      <w:bCs/>
                      <w:color w:val="auto"/>
                      <w:sz w:val="21"/>
                      <w:szCs w:val="21"/>
                      <w:lang w:eastAsia="zh-CN"/>
                    </w:rPr>
                    <w:t>危废贮存库暂存，委托有资质单位处置</w:t>
                  </w:r>
                </w:p>
              </w:tc>
            </w:tr>
            <w:tr w14:paraId="64D2A00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158" w:type="pct"/>
                  <w:noWrap/>
                  <w:vAlign w:val="center"/>
                </w:tcPr>
                <w:p w14:paraId="3C1746D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2</w:t>
                  </w:r>
                </w:p>
              </w:tc>
              <w:tc>
                <w:tcPr>
                  <w:tcW w:w="537" w:type="pct"/>
                  <w:noWrap/>
                  <w:vAlign w:val="center"/>
                </w:tcPr>
                <w:p w14:paraId="3DDD1C9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废润滑油</w:t>
                  </w:r>
                </w:p>
              </w:tc>
              <w:tc>
                <w:tcPr>
                  <w:tcW w:w="369" w:type="pct"/>
                  <w:noWrap/>
                  <w:vAlign w:val="center"/>
                </w:tcPr>
                <w:p w14:paraId="6A84E78C">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08</w:t>
                  </w:r>
                </w:p>
              </w:tc>
              <w:tc>
                <w:tcPr>
                  <w:tcW w:w="625" w:type="pct"/>
                  <w:noWrap/>
                  <w:vAlign w:val="center"/>
                </w:tcPr>
                <w:p w14:paraId="5108F50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900-218-08</w:t>
                  </w:r>
                </w:p>
              </w:tc>
              <w:tc>
                <w:tcPr>
                  <w:tcW w:w="317" w:type="pct"/>
                  <w:noWrap w:val="0"/>
                  <w:vAlign w:val="center"/>
                </w:tcPr>
                <w:p w14:paraId="00F0C7C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0.</w:t>
                  </w:r>
                  <w:r>
                    <w:rPr>
                      <w:rFonts w:hint="eastAsia" w:cs="Times New Roman"/>
                      <w:b w:val="0"/>
                      <w:bCs/>
                      <w:color w:val="auto"/>
                      <w:kern w:val="0"/>
                      <w:sz w:val="21"/>
                      <w:szCs w:val="21"/>
                      <w:lang w:val="en-US" w:eastAsia="zh-CN" w:bidi="ar-SA"/>
                    </w:rPr>
                    <w:t>2</w:t>
                  </w:r>
                </w:p>
              </w:tc>
              <w:tc>
                <w:tcPr>
                  <w:tcW w:w="536" w:type="pct"/>
                  <w:noWrap/>
                  <w:vAlign w:val="center"/>
                </w:tcPr>
                <w:p w14:paraId="6BF5182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kern w:val="2"/>
                      <w:sz w:val="21"/>
                      <w:szCs w:val="21"/>
                      <w:lang w:val="en-US" w:eastAsia="zh-CN" w:bidi="ar-SA"/>
                    </w:rPr>
                    <w:t>维修</w:t>
                  </w:r>
                  <w:r>
                    <w:rPr>
                      <w:rFonts w:hint="eastAsia" w:ascii="Times New Roman" w:hAnsi="Times New Roman" w:eastAsia="宋体" w:cs="Times New Roman"/>
                      <w:b w:val="0"/>
                      <w:bCs/>
                      <w:color w:val="auto"/>
                      <w:kern w:val="2"/>
                      <w:sz w:val="21"/>
                      <w:szCs w:val="21"/>
                      <w:lang w:val="en-US" w:eastAsia="zh-CN" w:bidi="ar-SA"/>
                    </w:rPr>
                    <w:t>保养</w:t>
                  </w:r>
                </w:p>
              </w:tc>
              <w:tc>
                <w:tcPr>
                  <w:tcW w:w="312" w:type="pct"/>
                  <w:noWrap/>
                  <w:vAlign w:val="center"/>
                </w:tcPr>
                <w:p w14:paraId="58BB1140">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液态</w:t>
                  </w:r>
                </w:p>
              </w:tc>
              <w:tc>
                <w:tcPr>
                  <w:tcW w:w="564" w:type="pct"/>
                  <w:noWrap/>
                  <w:vAlign w:val="center"/>
                </w:tcPr>
                <w:p w14:paraId="77058C11">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auto"/>
                      <w:sz w:val="21"/>
                      <w:szCs w:val="21"/>
                      <w:lang w:val="en-US" w:eastAsia="zh-CN"/>
                    </w:rPr>
                    <w:t>润滑油</w:t>
                  </w:r>
                </w:p>
              </w:tc>
              <w:tc>
                <w:tcPr>
                  <w:tcW w:w="498" w:type="pct"/>
                  <w:noWrap/>
                  <w:vAlign w:val="center"/>
                </w:tcPr>
                <w:p w14:paraId="572594C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eastAsia" w:ascii="Times New Roman" w:hAnsi="Times New Roman" w:eastAsia="宋体" w:cs="Times New Roman"/>
                      <w:b w:val="0"/>
                      <w:bCs/>
                      <w:color w:val="auto"/>
                      <w:sz w:val="21"/>
                      <w:szCs w:val="21"/>
                      <w:lang w:val="en-US" w:eastAsia="zh-CN"/>
                    </w:rPr>
                    <w:t>润滑油</w:t>
                  </w:r>
                </w:p>
              </w:tc>
              <w:tc>
                <w:tcPr>
                  <w:tcW w:w="297" w:type="pct"/>
                  <w:noWrap w:val="0"/>
                  <w:vAlign w:val="center"/>
                </w:tcPr>
                <w:p w14:paraId="3E18B7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eastAsia="zh-CN"/>
                    </w:rPr>
                  </w:pPr>
                  <w:r>
                    <w:rPr>
                      <w:rFonts w:hint="default" w:ascii="Times New Roman" w:hAnsi="Times New Roman" w:eastAsia="宋体" w:cs="Times New Roman"/>
                      <w:b w:val="0"/>
                      <w:bCs/>
                      <w:color w:val="auto"/>
                      <w:kern w:val="2"/>
                      <w:sz w:val="21"/>
                      <w:szCs w:val="21"/>
                      <w:lang w:eastAsia="zh-CN"/>
                    </w:rPr>
                    <w:t>月</w:t>
                  </w:r>
                </w:p>
              </w:tc>
              <w:tc>
                <w:tcPr>
                  <w:tcW w:w="356" w:type="pct"/>
                  <w:noWrap w:val="0"/>
                  <w:vAlign w:val="center"/>
                </w:tcPr>
                <w:p w14:paraId="4966CE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T</w:t>
                  </w:r>
                  <w:r>
                    <w:rPr>
                      <w:rFonts w:hint="eastAsia" w:ascii="Times New Roman" w:hAnsi="Times New Roman" w:eastAsia="宋体" w:cs="Times New Roman"/>
                      <w:b w:val="0"/>
                      <w:bCs/>
                      <w:color w:val="auto"/>
                      <w:sz w:val="21"/>
                      <w:szCs w:val="21"/>
                      <w:lang w:eastAsia="zh-CN"/>
                    </w:rPr>
                    <w:t>，</w:t>
                  </w:r>
                  <w:r>
                    <w:rPr>
                      <w:rFonts w:hint="eastAsia" w:ascii="Times New Roman" w:hAnsi="Times New Roman" w:eastAsia="宋体" w:cs="Times New Roman"/>
                      <w:b w:val="0"/>
                      <w:bCs/>
                      <w:color w:val="auto"/>
                      <w:sz w:val="21"/>
                      <w:szCs w:val="21"/>
                      <w:lang w:val="en-US" w:eastAsia="zh-CN"/>
                    </w:rPr>
                    <w:t>I</w:t>
                  </w:r>
                </w:p>
              </w:tc>
              <w:tc>
                <w:tcPr>
                  <w:tcW w:w="425" w:type="pct"/>
                  <w:vMerge w:val="continue"/>
                  <w:noWrap w:val="0"/>
                  <w:vAlign w:val="center"/>
                </w:tcPr>
                <w:p w14:paraId="29DBB025">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p>
              </w:tc>
            </w:tr>
            <w:tr w14:paraId="34FF4D5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158" w:type="pct"/>
                  <w:noWrap/>
                  <w:vAlign w:val="center"/>
                </w:tcPr>
                <w:p w14:paraId="031B775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3</w:t>
                  </w:r>
                </w:p>
              </w:tc>
              <w:tc>
                <w:tcPr>
                  <w:tcW w:w="896" w:type="dxa"/>
                  <w:noWrap/>
                  <w:vAlign w:val="center"/>
                </w:tcPr>
                <w:p w14:paraId="3602CC2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000000"/>
                      <w:kern w:val="0"/>
                      <w:sz w:val="21"/>
                      <w:szCs w:val="21"/>
                      <w:lang w:val="en-US" w:eastAsia="zh-CN" w:bidi="ar-SA"/>
                    </w:rPr>
                  </w:pPr>
                  <w:r>
                    <w:rPr>
                      <w:rFonts w:hint="eastAsia" w:cs="Times New Roman"/>
                      <w:b w:val="0"/>
                      <w:bCs/>
                      <w:color w:val="000000"/>
                      <w:kern w:val="0"/>
                      <w:sz w:val="21"/>
                      <w:szCs w:val="21"/>
                      <w:lang w:val="en-US" w:eastAsia="zh-CN" w:bidi="ar-SA"/>
                    </w:rPr>
                    <w:t>废油桶</w:t>
                  </w:r>
                </w:p>
              </w:tc>
              <w:tc>
                <w:tcPr>
                  <w:tcW w:w="616" w:type="dxa"/>
                  <w:noWrap/>
                  <w:vAlign w:val="center"/>
                </w:tcPr>
                <w:p w14:paraId="26C6C10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49</w:t>
                  </w:r>
                </w:p>
              </w:tc>
              <w:tc>
                <w:tcPr>
                  <w:tcW w:w="1044" w:type="dxa"/>
                  <w:noWrap/>
                  <w:vAlign w:val="center"/>
                </w:tcPr>
                <w:p w14:paraId="79D7F11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900-041-49</w:t>
                  </w:r>
                </w:p>
              </w:tc>
              <w:tc>
                <w:tcPr>
                  <w:tcW w:w="529" w:type="dxa"/>
                  <w:noWrap w:val="0"/>
                  <w:vAlign w:val="center"/>
                </w:tcPr>
                <w:p w14:paraId="040090F1">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0.</w:t>
                  </w:r>
                  <w:r>
                    <w:rPr>
                      <w:rFonts w:hint="eastAsia" w:ascii="Times New Roman" w:hAnsi="Times New Roman" w:eastAsia="宋体" w:cs="Times New Roman"/>
                      <w:b w:val="0"/>
                      <w:bCs/>
                      <w:color w:val="auto"/>
                      <w:kern w:val="0"/>
                      <w:sz w:val="21"/>
                      <w:szCs w:val="21"/>
                      <w:lang w:val="en-US" w:eastAsia="zh-CN" w:bidi="ar-SA"/>
                    </w:rPr>
                    <w:t>05</w:t>
                  </w:r>
                </w:p>
              </w:tc>
              <w:tc>
                <w:tcPr>
                  <w:tcW w:w="894" w:type="dxa"/>
                  <w:noWrap/>
                  <w:vAlign w:val="center"/>
                </w:tcPr>
                <w:p w14:paraId="0DF8A2F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生产</w:t>
                  </w:r>
                </w:p>
              </w:tc>
              <w:tc>
                <w:tcPr>
                  <w:tcW w:w="521" w:type="dxa"/>
                  <w:noWrap/>
                  <w:vAlign w:val="center"/>
                </w:tcPr>
                <w:p w14:paraId="6CAB1A57">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液态</w:t>
                  </w:r>
                </w:p>
              </w:tc>
              <w:tc>
                <w:tcPr>
                  <w:tcW w:w="942" w:type="dxa"/>
                  <w:noWrap/>
                  <w:vAlign w:val="center"/>
                </w:tcPr>
                <w:p w14:paraId="7F9B2CA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000000"/>
                      <w:kern w:val="0"/>
                      <w:sz w:val="21"/>
                      <w:szCs w:val="21"/>
                      <w:lang w:val="en-US" w:eastAsia="zh-CN" w:bidi="ar-SA"/>
                    </w:rPr>
                    <w:t>包装桶、有机物</w:t>
                  </w:r>
                </w:p>
              </w:tc>
              <w:tc>
                <w:tcPr>
                  <w:tcW w:w="831" w:type="dxa"/>
                  <w:noWrap/>
                  <w:vAlign w:val="center"/>
                </w:tcPr>
                <w:p w14:paraId="18DA50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eastAsia="zh-CN"/>
                    </w:rPr>
                    <w:t>有机物</w:t>
                  </w:r>
                </w:p>
              </w:tc>
              <w:tc>
                <w:tcPr>
                  <w:tcW w:w="496" w:type="dxa"/>
                  <w:noWrap w:val="0"/>
                  <w:vAlign w:val="center"/>
                </w:tcPr>
                <w:p w14:paraId="5AF6F6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eastAsia="zh-CN"/>
                    </w:rPr>
                  </w:pPr>
                  <w:r>
                    <w:rPr>
                      <w:rFonts w:hint="default" w:ascii="Times New Roman" w:hAnsi="Times New Roman" w:eastAsia="宋体" w:cs="Times New Roman"/>
                      <w:b w:val="0"/>
                      <w:bCs/>
                      <w:color w:val="auto"/>
                      <w:kern w:val="2"/>
                      <w:sz w:val="21"/>
                      <w:szCs w:val="21"/>
                      <w:lang w:eastAsia="zh-CN"/>
                    </w:rPr>
                    <w:t>月</w:t>
                  </w:r>
                </w:p>
              </w:tc>
              <w:tc>
                <w:tcPr>
                  <w:tcW w:w="595" w:type="dxa"/>
                  <w:noWrap w:val="0"/>
                  <w:vAlign w:val="center"/>
                </w:tcPr>
                <w:p w14:paraId="0EC5840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T</w:t>
                  </w:r>
                  <w:r>
                    <w:rPr>
                      <w:rFonts w:hint="eastAsia" w:ascii="Times New Roman" w:hAnsi="Times New Roman" w:eastAsia="宋体" w:cs="Times New Roman"/>
                      <w:b w:val="0"/>
                      <w:bCs/>
                      <w:color w:val="auto"/>
                      <w:sz w:val="21"/>
                      <w:szCs w:val="21"/>
                      <w:lang w:val="en-US" w:eastAsia="zh-CN"/>
                    </w:rPr>
                    <w:t>/In</w:t>
                  </w:r>
                </w:p>
              </w:tc>
              <w:tc>
                <w:tcPr>
                  <w:tcW w:w="425" w:type="pct"/>
                  <w:vMerge w:val="continue"/>
                  <w:noWrap w:val="0"/>
                  <w:vAlign w:val="center"/>
                </w:tcPr>
                <w:p w14:paraId="70947640">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p>
              </w:tc>
            </w:tr>
            <w:tr w14:paraId="3BD8749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158" w:type="pct"/>
                  <w:noWrap/>
                  <w:vAlign w:val="center"/>
                </w:tcPr>
                <w:p w14:paraId="4D5B79C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eastAsia="zh-CN" w:bidi="ar-SA"/>
                    </w:rPr>
                  </w:pPr>
                  <w:r>
                    <w:rPr>
                      <w:rFonts w:hint="eastAsia" w:cs="Times New Roman"/>
                      <w:b w:val="0"/>
                      <w:bCs/>
                      <w:color w:val="auto"/>
                      <w:sz w:val="21"/>
                      <w:szCs w:val="21"/>
                      <w:lang w:val="en-US" w:eastAsia="zh-CN"/>
                    </w:rPr>
                    <w:t>4</w:t>
                  </w:r>
                </w:p>
              </w:tc>
              <w:tc>
                <w:tcPr>
                  <w:tcW w:w="537" w:type="pct"/>
                  <w:noWrap/>
                  <w:vAlign w:val="center"/>
                </w:tcPr>
                <w:p w14:paraId="29371A8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含油抹布</w:t>
                  </w:r>
                </w:p>
              </w:tc>
              <w:tc>
                <w:tcPr>
                  <w:tcW w:w="369" w:type="pct"/>
                  <w:noWrap/>
                  <w:vAlign w:val="center"/>
                </w:tcPr>
                <w:p w14:paraId="10AA2B5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eastAsia="zh-CN" w:bidi="ar-SA"/>
                    </w:rPr>
                  </w:pPr>
                  <w:r>
                    <w:rPr>
                      <w:rFonts w:hint="default" w:ascii="Times New Roman" w:hAnsi="Times New Roman" w:eastAsia="宋体" w:cs="Times New Roman"/>
                      <w:b w:val="0"/>
                      <w:bCs/>
                      <w:color w:val="auto"/>
                      <w:sz w:val="21"/>
                      <w:szCs w:val="21"/>
                      <w:lang w:eastAsia="zh-CN"/>
                    </w:rPr>
                    <w:t>HW49</w:t>
                  </w:r>
                </w:p>
              </w:tc>
              <w:tc>
                <w:tcPr>
                  <w:tcW w:w="625" w:type="pct"/>
                  <w:noWrap/>
                  <w:vAlign w:val="center"/>
                </w:tcPr>
                <w:p w14:paraId="11AB414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eastAsia="zh-CN" w:bidi="ar-SA"/>
                    </w:rPr>
                  </w:pPr>
                  <w:r>
                    <w:rPr>
                      <w:rFonts w:hint="default" w:ascii="Times New Roman" w:hAnsi="Times New Roman" w:eastAsia="宋体" w:cs="Times New Roman"/>
                      <w:b w:val="0"/>
                      <w:bCs/>
                      <w:color w:val="auto"/>
                      <w:sz w:val="21"/>
                      <w:szCs w:val="21"/>
                    </w:rPr>
                    <w:t>900-0</w:t>
                  </w:r>
                  <w:r>
                    <w:rPr>
                      <w:rFonts w:hint="default" w:ascii="Times New Roman" w:hAnsi="Times New Roman" w:eastAsia="宋体" w:cs="Times New Roman"/>
                      <w:b w:val="0"/>
                      <w:bCs/>
                      <w:color w:val="auto"/>
                      <w:sz w:val="21"/>
                      <w:szCs w:val="21"/>
                      <w:lang w:val="en-US" w:eastAsia="zh-CN"/>
                    </w:rPr>
                    <w:t>41</w:t>
                  </w:r>
                  <w:r>
                    <w:rPr>
                      <w:rFonts w:hint="default" w:ascii="Times New Roman" w:hAnsi="Times New Roman" w:eastAsia="宋体" w:cs="Times New Roman"/>
                      <w:b w:val="0"/>
                      <w:bCs/>
                      <w:color w:val="auto"/>
                      <w:sz w:val="21"/>
                      <w:szCs w:val="21"/>
                    </w:rPr>
                    <w:t>-49</w:t>
                  </w:r>
                </w:p>
              </w:tc>
              <w:tc>
                <w:tcPr>
                  <w:tcW w:w="317" w:type="pct"/>
                  <w:noWrap w:val="0"/>
                  <w:vAlign w:val="center"/>
                </w:tcPr>
                <w:p w14:paraId="57F8844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0.</w:t>
                  </w:r>
                  <w:r>
                    <w:rPr>
                      <w:rFonts w:hint="eastAsia" w:ascii="Times New Roman" w:hAnsi="Times New Roman" w:eastAsia="宋体" w:cs="Times New Roman"/>
                      <w:b w:val="0"/>
                      <w:bCs/>
                      <w:color w:val="auto"/>
                      <w:kern w:val="0"/>
                      <w:sz w:val="21"/>
                      <w:szCs w:val="21"/>
                      <w:lang w:val="en-US" w:eastAsia="zh-CN" w:bidi="ar-SA"/>
                    </w:rPr>
                    <w:t>0</w:t>
                  </w:r>
                  <w:r>
                    <w:rPr>
                      <w:rFonts w:hint="eastAsia" w:cs="Times New Roman"/>
                      <w:b w:val="0"/>
                      <w:bCs/>
                      <w:color w:val="auto"/>
                      <w:kern w:val="0"/>
                      <w:sz w:val="21"/>
                      <w:szCs w:val="21"/>
                      <w:lang w:val="en-US" w:eastAsia="zh-CN" w:bidi="ar-SA"/>
                    </w:rPr>
                    <w:t>4</w:t>
                  </w:r>
                </w:p>
              </w:tc>
              <w:tc>
                <w:tcPr>
                  <w:tcW w:w="536" w:type="pct"/>
                  <w:noWrap/>
                  <w:vAlign w:val="center"/>
                </w:tcPr>
                <w:p w14:paraId="5A50AF9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kern w:val="2"/>
                      <w:sz w:val="21"/>
                      <w:szCs w:val="21"/>
                      <w:lang w:val="en-US" w:eastAsia="zh-CN" w:bidi="ar-SA"/>
                    </w:rPr>
                    <w:t>维修</w:t>
                  </w:r>
                  <w:r>
                    <w:rPr>
                      <w:rFonts w:hint="eastAsia" w:ascii="Times New Roman" w:hAnsi="Times New Roman" w:eastAsia="宋体" w:cs="Times New Roman"/>
                      <w:b w:val="0"/>
                      <w:bCs/>
                      <w:color w:val="auto"/>
                      <w:kern w:val="2"/>
                      <w:sz w:val="21"/>
                      <w:szCs w:val="21"/>
                      <w:lang w:val="en-US" w:eastAsia="zh-CN" w:bidi="ar-SA"/>
                    </w:rPr>
                    <w:t>保养</w:t>
                  </w:r>
                </w:p>
              </w:tc>
              <w:tc>
                <w:tcPr>
                  <w:tcW w:w="312" w:type="pct"/>
                  <w:noWrap/>
                  <w:vAlign w:val="center"/>
                </w:tcPr>
                <w:p w14:paraId="1B2FCE0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固态</w:t>
                  </w:r>
                </w:p>
              </w:tc>
              <w:tc>
                <w:tcPr>
                  <w:tcW w:w="564" w:type="pct"/>
                  <w:noWrap/>
                  <w:vAlign w:val="center"/>
                </w:tcPr>
                <w:p w14:paraId="44E2511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抹布</w:t>
                  </w:r>
                </w:p>
              </w:tc>
              <w:tc>
                <w:tcPr>
                  <w:tcW w:w="498" w:type="pct"/>
                  <w:noWrap/>
                  <w:vAlign w:val="center"/>
                </w:tcPr>
                <w:p w14:paraId="678A55D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eastAsia="zh-CN"/>
                    </w:rPr>
                    <w:t>有机物</w:t>
                  </w:r>
                </w:p>
              </w:tc>
              <w:tc>
                <w:tcPr>
                  <w:tcW w:w="297" w:type="pct"/>
                  <w:noWrap w:val="0"/>
                  <w:vAlign w:val="center"/>
                </w:tcPr>
                <w:p w14:paraId="70C1EDE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eastAsia="zh-CN" w:bidi="ar-SA"/>
                    </w:rPr>
                  </w:pPr>
                  <w:r>
                    <w:rPr>
                      <w:rFonts w:hint="default" w:ascii="Times New Roman" w:hAnsi="Times New Roman" w:eastAsia="宋体" w:cs="Times New Roman"/>
                      <w:b w:val="0"/>
                      <w:bCs/>
                      <w:color w:val="auto"/>
                      <w:kern w:val="2"/>
                      <w:sz w:val="21"/>
                      <w:szCs w:val="21"/>
                      <w:lang w:eastAsia="zh-CN" w:bidi="ar-SA"/>
                    </w:rPr>
                    <w:t>月</w:t>
                  </w:r>
                </w:p>
              </w:tc>
              <w:tc>
                <w:tcPr>
                  <w:tcW w:w="356" w:type="pct"/>
                  <w:noWrap w:val="0"/>
                  <w:vAlign w:val="center"/>
                </w:tcPr>
                <w:p w14:paraId="7FE25CC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eastAsia="zh-CN" w:bidi="ar-SA"/>
                    </w:rPr>
                  </w:pPr>
                  <w:r>
                    <w:rPr>
                      <w:rFonts w:hint="default" w:ascii="Times New Roman" w:hAnsi="Times New Roman" w:eastAsia="宋体" w:cs="Times New Roman"/>
                      <w:b w:val="0"/>
                      <w:bCs/>
                      <w:color w:val="auto"/>
                      <w:sz w:val="21"/>
                      <w:szCs w:val="21"/>
                      <w:lang w:eastAsia="zh-CN"/>
                    </w:rPr>
                    <w:t>T</w:t>
                  </w:r>
                </w:p>
              </w:tc>
              <w:tc>
                <w:tcPr>
                  <w:tcW w:w="425" w:type="pct"/>
                  <w:vMerge w:val="continue"/>
                  <w:noWrap w:val="0"/>
                  <w:vAlign w:val="center"/>
                </w:tcPr>
                <w:p w14:paraId="23D30246">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p>
              </w:tc>
            </w:tr>
            <w:tr w14:paraId="34B0830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1691" w:type="pct"/>
                  <w:gridSpan w:val="4"/>
                  <w:noWrap/>
                  <w:vAlign w:val="center"/>
                </w:tcPr>
                <w:p w14:paraId="1831F9F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合计</w:t>
                  </w:r>
                </w:p>
              </w:tc>
              <w:tc>
                <w:tcPr>
                  <w:tcW w:w="317" w:type="pct"/>
                  <w:noWrap w:val="0"/>
                  <w:vAlign w:val="center"/>
                </w:tcPr>
                <w:p w14:paraId="24143B7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fldChar w:fldCharType="begin"/>
                  </w:r>
                  <w:r>
                    <w:rPr>
                      <w:rFonts w:hint="default" w:ascii="Times New Roman" w:hAnsi="Times New Roman" w:eastAsia="宋体" w:cs="Times New Roman"/>
                      <w:b w:val="0"/>
                      <w:bCs/>
                      <w:color w:val="auto"/>
                      <w:sz w:val="21"/>
                      <w:szCs w:val="21"/>
                      <w:lang w:eastAsia="zh-CN"/>
                    </w:rPr>
                    <w:instrText xml:space="preserve"> = sum（above） \* MERGEFORMAT </w:instrText>
                  </w:r>
                  <w:r>
                    <w:rPr>
                      <w:rFonts w:hint="default" w:ascii="Times New Roman" w:hAnsi="Times New Roman" w:eastAsia="宋体" w:cs="Times New Roman"/>
                      <w:b w:val="0"/>
                      <w:bCs/>
                      <w:color w:val="auto"/>
                      <w:sz w:val="21"/>
                      <w:szCs w:val="21"/>
                      <w:lang w:eastAsia="zh-CN"/>
                    </w:rPr>
                    <w:fldChar w:fldCharType="separate"/>
                  </w:r>
                  <w:r>
                    <w:rPr>
                      <w:rFonts w:hint="default" w:ascii="Times New Roman" w:hAnsi="Times New Roman" w:eastAsia="宋体" w:cs="Times New Roman"/>
                      <w:b w:val="0"/>
                      <w:bCs/>
                      <w:color w:val="auto"/>
                      <w:sz w:val="21"/>
                      <w:szCs w:val="21"/>
                      <w:lang w:eastAsia="zh-CN"/>
                    </w:rPr>
                    <w:t>0.79</w:t>
                  </w:r>
                  <w:r>
                    <w:rPr>
                      <w:rFonts w:hint="default" w:ascii="Times New Roman" w:hAnsi="Times New Roman" w:eastAsia="宋体" w:cs="Times New Roman"/>
                      <w:b w:val="0"/>
                      <w:bCs/>
                      <w:color w:val="auto"/>
                      <w:sz w:val="21"/>
                      <w:szCs w:val="21"/>
                      <w:lang w:eastAsia="zh-CN"/>
                    </w:rPr>
                    <w:fldChar w:fldCharType="end"/>
                  </w:r>
                </w:p>
              </w:tc>
              <w:tc>
                <w:tcPr>
                  <w:tcW w:w="536" w:type="pct"/>
                  <w:noWrap/>
                  <w:vAlign w:val="center"/>
                </w:tcPr>
                <w:p w14:paraId="03E070A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312" w:type="pct"/>
                  <w:noWrap/>
                  <w:vAlign w:val="center"/>
                </w:tcPr>
                <w:p w14:paraId="569E9E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564" w:type="pct"/>
                  <w:noWrap/>
                  <w:vAlign w:val="center"/>
                </w:tcPr>
                <w:p w14:paraId="32B0C5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498" w:type="pct"/>
                  <w:noWrap/>
                  <w:vAlign w:val="center"/>
                </w:tcPr>
                <w:p w14:paraId="5FD9A2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297" w:type="pct"/>
                  <w:noWrap w:val="0"/>
                  <w:vAlign w:val="center"/>
                </w:tcPr>
                <w:p w14:paraId="485223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356" w:type="pct"/>
                  <w:noWrap w:val="0"/>
                  <w:vAlign w:val="center"/>
                </w:tcPr>
                <w:p w14:paraId="3E40BD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425" w:type="pct"/>
                  <w:vMerge w:val="continue"/>
                  <w:noWrap w:val="0"/>
                  <w:vAlign w:val="center"/>
                </w:tcPr>
                <w:p w14:paraId="4C24E555">
                  <w:pPr>
                    <w:pStyle w:val="4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r>
          </w:tbl>
          <w:p w14:paraId="32DFC732">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jc w:val="both"/>
              <w:textAlignment w:val="auto"/>
              <w:rPr>
                <w:rFonts w:hint="default"/>
                <w:sz w:val="24"/>
                <w:szCs w:val="24"/>
              </w:rPr>
            </w:pPr>
            <w:r>
              <w:rPr>
                <w:rFonts w:hint="default"/>
                <w:sz w:val="24"/>
                <w:szCs w:val="24"/>
              </w:rPr>
              <w:t>本项目</w:t>
            </w:r>
            <w:r>
              <w:rPr>
                <w:rFonts w:hint="eastAsia"/>
                <w:sz w:val="24"/>
                <w:szCs w:val="24"/>
                <w:lang w:val="en-US" w:eastAsia="zh-CN"/>
              </w:rPr>
              <w:t>一般工业固废主要有金属屑及边角料和废模具</w:t>
            </w:r>
            <w:r>
              <w:rPr>
                <w:rFonts w:hint="default"/>
                <w:sz w:val="24"/>
                <w:szCs w:val="24"/>
                <w:lang w:val="en-US" w:eastAsia="zh-CN"/>
              </w:rPr>
              <w:t>，</w:t>
            </w:r>
            <w:r>
              <w:rPr>
                <w:rFonts w:hint="eastAsia"/>
                <w:sz w:val="24"/>
                <w:szCs w:val="24"/>
                <w:lang w:val="en-US" w:eastAsia="zh-CN"/>
              </w:rPr>
              <w:t>危险废物主要有废液压油、废油桶、废润滑油、含油抹布</w:t>
            </w:r>
            <w:r>
              <w:rPr>
                <w:rFonts w:hint="default"/>
                <w:sz w:val="24"/>
                <w:szCs w:val="24"/>
                <w:lang w:val="en-US" w:eastAsia="zh-CN"/>
              </w:rPr>
              <w:t>以及职工生活垃圾。</w:t>
            </w:r>
          </w:p>
          <w:p w14:paraId="4A01A6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eastAsia"/>
                <w:sz w:val="24"/>
                <w:szCs w:val="24"/>
                <w:lang w:val="en-US" w:eastAsia="zh-CN"/>
              </w:rPr>
              <w:t>（1）一般工业固体废物：</w:t>
            </w:r>
          </w:p>
          <w:p w14:paraId="73A638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4"/>
                <w:szCs w:val="24"/>
                <w:lang w:val="en-US" w:eastAsia="zh-CN"/>
              </w:rPr>
            </w:pPr>
            <w:r>
              <w:rPr>
                <w:rFonts w:hint="default" w:ascii="Times New Roman" w:hAnsi="Times New Roman" w:eastAsia="宋体" w:cs="Times New Roman"/>
                <w:sz w:val="24"/>
                <w:szCs w:val="24"/>
                <w:lang w:val="en-US" w:eastAsia="zh-CN"/>
              </w:rPr>
              <w:t>①</w:t>
            </w:r>
            <w:r>
              <w:rPr>
                <w:rFonts w:hint="eastAsia"/>
                <w:sz w:val="24"/>
                <w:szCs w:val="24"/>
                <w:lang w:val="en-US" w:eastAsia="zh-CN"/>
              </w:rPr>
              <w:t>金属屑及边角料</w:t>
            </w:r>
          </w:p>
          <w:p w14:paraId="3D61FA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4"/>
                <w:szCs w:val="24"/>
                <w:lang w:val="en-US" w:eastAsia="zh-CN"/>
              </w:rPr>
            </w:pPr>
            <w:r>
              <w:rPr>
                <w:rFonts w:hint="eastAsia"/>
                <w:sz w:val="24"/>
                <w:szCs w:val="24"/>
                <w:lang w:val="en-US" w:eastAsia="zh-CN"/>
              </w:rPr>
              <w:t>项目锯切工序会产生金属屑及边角料，根据建设单位提供资料，金属屑及边角料约占铝棒使用量的9%，项目年消耗铝棒17600t/a，则金属屑及边角料产生量约为1584t/a，收集暂存于一般固废库外售综合利用。</w:t>
            </w:r>
          </w:p>
          <w:p w14:paraId="58B06B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default" w:ascii="Times New Roman" w:hAnsi="Times New Roman" w:eastAsia="宋体" w:cs="Times New Roman"/>
                <w:sz w:val="24"/>
                <w:szCs w:val="24"/>
                <w:lang w:val="en-US" w:eastAsia="zh-CN"/>
              </w:rPr>
              <w:t>②</w:t>
            </w:r>
            <w:r>
              <w:rPr>
                <w:rFonts w:hint="eastAsia"/>
                <w:sz w:val="24"/>
                <w:szCs w:val="24"/>
                <w:lang w:val="en-US" w:eastAsia="zh-CN"/>
              </w:rPr>
              <w:t>废模具</w:t>
            </w:r>
          </w:p>
          <w:p w14:paraId="513E12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eastAsia"/>
                <w:sz w:val="24"/>
                <w:szCs w:val="24"/>
                <w:lang w:val="en-US" w:eastAsia="zh-CN"/>
              </w:rPr>
              <w:t>模具在生产过程中会有废模具产生，根据建设单位提供的资料，废模具年产生量约为0.4t/a，</w:t>
            </w:r>
            <w:r>
              <w:rPr>
                <w:rFonts w:hint="default"/>
                <w:sz w:val="24"/>
                <w:szCs w:val="24"/>
                <w:lang w:val="en-US" w:eastAsia="zh-CN"/>
              </w:rPr>
              <w:t>挤压工序产生的废模具收集后全部运往模具供应商回收处理</w:t>
            </w:r>
            <w:r>
              <w:rPr>
                <w:rFonts w:hint="eastAsia"/>
                <w:sz w:val="24"/>
                <w:szCs w:val="24"/>
                <w:lang w:val="en-US" w:eastAsia="zh-CN"/>
              </w:rPr>
              <w:t>。</w:t>
            </w:r>
          </w:p>
          <w:p w14:paraId="2F2EC0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eastAsia"/>
                <w:sz w:val="24"/>
                <w:szCs w:val="24"/>
                <w:lang w:val="en-US" w:eastAsia="zh-CN"/>
              </w:rPr>
              <w:t>（2）危险废物</w:t>
            </w:r>
          </w:p>
          <w:p w14:paraId="080DE5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default" w:ascii="Times New Roman" w:hAnsi="Times New Roman" w:eastAsia="宋体" w:cs="Times New Roman"/>
                <w:sz w:val="24"/>
                <w:szCs w:val="24"/>
                <w:lang w:val="en-US" w:eastAsia="zh-CN"/>
              </w:rPr>
              <w:t>①</w:t>
            </w:r>
            <w:r>
              <w:rPr>
                <w:rFonts w:hint="eastAsia"/>
                <w:sz w:val="24"/>
                <w:szCs w:val="24"/>
                <w:lang w:val="en-US" w:eastAsia="zh-CN"/>
              </w:rPr>
              <w:t>废液压油</w:t>
            </w:r>
          </w:p>
          <w:p w14:paraId="3CD802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default"/>
                <w:sz w:val="24"/>
                <w:szCs w:val="24"/>
                <w:lang w:val="en-US" w:eastAsia="zh-CN"/>
              </w:rPr>
              <w:t>该项目</w:t>
            </w:r>
            <w:r>
              <w:rPr>
                <w:rFonts w:hint="eastAsia"/>
                <w:sz w:val="24"/>
                <w:szCs w:val="24"/>
                <w:lang w:val="en-US" w:eastAsia="zh-CN"/>
              </w:rPr>
              <w:t>挤压</w:t>
            </w:r>
            <w:r>
              <w:rPr>
                <w:rFonts w:hint="default"/>
                <w:sz w:val="24"/>
                <w:szCs w:val="24"/>
                <w:lang w:val="en-US" w:eastAsia="zh-CN"/>
              </w:rPr>
              <w:t>设备在生产过程中需要使用液压油，使用和维修过程中会有废液压油产生，根据建设单位提供的资料，废液压油产生量约0.</w:t>
            </w:r>
            <w:r>
              <w:rPr>
                <w:rFonts w:hint="eastAsia"/>
                <w:sz w:val="24"/>
                <w:szCs w:val="24"/>
                <w:lang w:val="en-US" w:eastAsia="zh-CN"/>
              </w:rPr>
              <w:t>5</w:t>
            </w:r>
            <w:r>
              <w:rPr>
                <w:rFonts w:hint="default"/>
                <w:sz w:val="24"/>
                <w:szCs w:val="24"/>
                <w:lang w:val="en-US" w:eastAsia="zh-CN"/>
              </w:rPr>
              <w:t>t/a，据查《国家危险废物名录（2025年版）》，废液压油属于危险废物，危废编号为HW08废矿物油，代码为900-218-08，要求企业妥善收集后委托有相应资质的单位安全处置。</w:t>
            </w:r>
          </w:p>
          <w:p w14:paraId="7590A4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②</w:t>
            </w:r>
            <w:r>
              <w:rPr>
                <w:rFonts w:hint="eastAsia" w:cs="Times New Roman"/>
                <w:sz w:val="24"/>
                <w:szCs w:val="24"/>
                <w:lang w:val="en-US" w:eastAsia="zh-CN"/>
              </w:rPr>
              <w:t>废润滑油</w:t>
            </w:r>
          </w:p>
          <w:p w14:paraId="67A2E3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b w:val="0"/>
                <w:bCs w:val="0"/>
                <w:sz w:val="24"/>
                <w:szCs w:val="24"/>
                <w:lang w:val="en-US" w:eastAsia="zh-CN"/>
              </w:rPr>
            </w:pPr>
            <w:r>
              <w:rPr>
                <w:rFonts w:hint="default" w:ascii="Times New Roman" w:hAnsi="Times New Roman" w:cs="Times New Roman"/>
                <w:color w:val="auto"/>
                <w:sz w:val="24"/>
                <w:szCs w:val="24"/>
                <w:lang w:eastAsia="zh-CN"/>
              </w:rPr>
              <w:t>该项目机械设备在生产过程中需要使用</w:t>
            </w:r>
            <w:r>
              <w:rPr>
                <w:rFonts w:hint="eastAsia" w:ascii="Times New Roman" w:hAnsi="Times New Roman" w:cs="Times New Roman"/>
                <w:color w:val="auto"/>
                <w:sz w:val="24"/>
                <w:szCs w:val="24"/>
                <w:lang w:val="en-US" w:eastAsia="zh-CN"/>
              </w:rPr>
              <w:t>润滑油</w:t>
            </w:r>
            <w:r>
              <w:rPr>
                <w:rFonts w:hint="default" w:ascii="Times New Roman" w:hAnsi="Times New Roman" w:cs="Times New Roman"/>
                <w:color w:val="auto"/>
                <w:sz w:val="24"/>
                <w:szCs w:val="24"/>
                <w:lang w:eastAsia="zh-CN"/>
              </w:rPr>
              <w:t>，使用和维修</w:t>
            </w:r>
            <w:r>
              <w:rPr>
                <w:rFonts w:hint="eastAsia" w:ascii="Times New Roman" w:hAnsi="Times New Roman" w:cs="Times New Roman"/>
                <w:color w:val="auto"/>
                <w:sz w:val="24"/>
                <w:szCs w:val="24"/>
                <w:lang w:val="en-US" w:eastAsia="zh-CN"/>
              </w:rPr>
              <w:t>保养</w:t>
            </w:r>
            <w:r>
              <w:rPr>
                <w:rFonts w:hint="default" w:ascii="Times New Roman" w:hAnsi="Times New Roman" w:cs="Times New Roman"/>
                <w:color w:val="auto"/>
                <w:sz w:val="24"/>
                <w:szCs w:val="24"/>
                <w:lang w:eastAsia="zh-CN"/>
              </w:rPr>
              <w:t>过程中会有废</w:t>
            </w:r>
            <w:r>
              <w:rPr>
                <w:rFonts w:hint="eastAsia" w:ascii="Times New Roman" w:hAnsi="Times New Roman" w:cs="Times New Roman"/>
                <w:color w:val="auto"/>
                <w:sz w:val="24"/>
                <w:szCs w:val="24"/>
                <w:lang w:val="en-US" w:eastAsia="zh-CN"/>
              </w:rPr>
              <w:t>润滑油</w:t>
            </w:r>
            <w:r>
              <w:rPr>
                <w:rFonts w:hint="default" w:ascii="Times New Roman" w:hAnsi="Times New Roman" w:cs="Times New Roman"/>
                <w:color w:val="auto"/>
                <w:sz w:val="24"/>
                <w:szCs w:val="24"/>
                <w:lang w:eastAsia="zh-CN"/>
              </w:rPr>
              <w:t>产生，根据类比调查，废</w:t>
            </w:r>
            <w:r>
              <w:rPr>
                <w:rFonts w:hint="eastAsia" w:ascii="Times New Roman" w:hAnsi="Times New Roman" w:cs="Times New Roman"/>
                <w:color w:val="auto"/>
                <w:sz w:val="24"/>
                <w:szCs w:val="24"/>
                <w:lang w:val="en-US" w:eastAsia="zh-CN"/>
              </w:rPr>
              <w:t>润滑油</w:t>
            </w:r>
            <w:r>
              <w:rPr>
                <w:rFonts w:hint="default" w:ascii="Times New Roman" w:hAnsi="Times New Roman" w:cs="Times New Roman"/>
                <w:color w:val="auto"/>
                <w:sz w:val="24"/>
                <w:szCs w:val="24"/>
                <w:lang w:eastAsia="zh-CN"/>
              </w:rPr>
              <w:t>产生量约0.</w:t>
            </w:r>
            <w:r>
              <w:rPr>
                <w:rFonts w:hint="eastAsia" w:cs="Times New Roman"/>
                <w:color w:val="auto"/>
                <w:sz w:val="24"/>
                <w:szCs w:val="24"/>
                <w:lang w:val="en-US" w:eastAsia="zh-CN"/>
              </w:rPr>
              <w:t>2</w:t>
            </w:r>
            <w:r>
              <w:rPr>
                <w:rFonts w:hint="default" w:ascii="Times New Roman" w:hAnsi="Times New Roman" w:cs="Times New Roman"/>
                <w:color w:val="auto"/>
                <w:sz w:val="24"/>
                <w:szCs w:val="24"/>
                <w:lang w:eastAsia="zh-CN"/>
              </w:rPr>
              <w:t>t/a，据查《国家危险废物名录（202</w:t>
            </w:r>
            <w:r>
              <w:rPr>
                <w:rFonts w:hint="eastAsia" w:ascii="Times New Roman" w:hAnsi="Times New Roman" w:cs="Times New Roman"/>
                <w:color w:val="auto"/>
                <w:sz w:val="24"/>
                <w:szCs w:val="24"/>
                <w:lang w:val="en-US" w:eastAsia="zh-CN"/>
              </w:rPr>
              <w:t>5</w:t>
            </w:r>
            <w:r>
              <w:rPr>
                <w:rFonts w:hint="default" w:ascii="Times New Roman" w:hAnsi="Times New Roman" w:cs="Times New Roman"/>
                <w:color w:val="auto"/>
                <w:sz w:val="24"/>
                <w:szCs w:val="24"/>
                <w:lang w:eastAsia="zh-CN"/>
              </w:rPr>
              <w:t>年版）》，废机油属于危险废物，危废编号为HW08废矿物油，代码为900-214-08，要求企业妥善收集后委托有相应资质的单位安全处置。</w:t>
            </w:r>
          </w:p>
          <w:p w14:paraId="392809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4"/>
                <w:szCs w:val="24"/>
                <w:lang w:val="en-US" w:eastAsia="zh-CN"/>
              </w:rPr>
            </w:pPr>
            <w:r>
              <w:rPr>
                <w:rFonts w:hint="default" w:ascii="Times New Roman" w:hAnsi="Times New Roman" w:eastAsia="宋体" w:cs="Times New Roman"/>
                <w:sz w:val="24"/>
                <w:szCs w:val="24"/>
                <w:lang w:val="en-US" w:eastAsia="zh-CN"/>
              </w:rPr>
              <w:t>③</w:t>
            </w:r>
            <w:r>
              <w:rPr>
                <w:rFonts w:hint="eastAsia"/>
                <w:sz w:val="24"/>
                <w:szCs w:val="24"/>
                <w:lang w:val="en-US" w:eastAsia="zh-CN"/>
              </w:rPr>
              <w:t>废油桶</w:t>
            </w:r>
          </w:p>
          <w:p w14:paraId="52031FB9">
            <w:pPr>
              <w:pStyle w:val="43"/>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Times New Roman" w:hAnsi="Times New Roman" w:eastAsia="宋体" w:cs="Times New Roman"/>
                <w:color w:val="000000"/>
                <w:sz w:val="24"/>
                <w:szCs w:val="24"/>
                <w:vertAlign w:val="baseline"/>
                <w:lang w:val="en-US" w:eastAsia="zh-CN" w:bidi="ar-SA"/>
              </w:rPr>
            </w:pPr>
            <w:r>
              <w:rPr>
                <w:rFonts w:hint="eastAsia" w:ascii="Times New Roman" w:hAnsi="Times New Roman" w:eastAsia="宋体" w:cs="Times New Roman"/>
                <w:color w:val="000000"/>
                <w:sz w:val="24"/>
                <w:szCs w:val="24"/>
                <w:vertAlign w:val="baseline"/>
                <w:lang w:val="en-US" w:eastAsia="zh-CN" w:bidi="ar-SA"/>
              </w:rPr>
              <w:t>项目使用</w:t>
            </w:r>
            <w:r>
              <w:rPr>
                <w:rFonts w:hint="eastAsia" w:cs="Times New Roman"/>
                <w:color w:val="000000"/>
                <w:sz w:val="24"/>
                <w:szCs w:val="24"/>
                <w:vertAlign w:val="baseline"/>
                <w:lang w:val="en-US" w:eastAsia="zh-CN" w:bidi="ar-SA"/>
              </w:rPr>
              <w:t>液压油和润滑油等，</w:t>
            </w:r>
            <w:r>
              <w:rPr>
                <w:rFonts w:hint="eastAsia" w:ascii="Times New Roman" w:hAnsi="Times New Roman" w:eastAsia="宋体" w:cs="Times New Roman"/>
                <w:color w:val="000000"/>
                <w:sz w:val="24"/>
                <w:szCs w:val="24"/>
                <w:vertAlign w:val="baseline"/>
                <w:lang w:val="en-US" w:eastAsia="zh-CN" w:bidi="ar-SA"/>
              </w:rPr>
              <w:t>利用包装桶储存和运输，在原料使用后会产生空包装桶，包装桶在使用后由供应商定期回收。根据《固体废物鉴别标准通则》(GB34330—2017)中的“6.1以下物质不作为固体废物管理：a）任何不需要修复和加工即可用于其原始用途的物质，或者在产生点经过修复和加工后满足国家、地方制定或行业通行的产品质量标准并且用于其原始用途的物质；”回收的空包装桶不属于固体废物，也不属于危险废物。同时本环评要求，空包装桶在厂内的储存应符合《危险废物贮存污染控制标准》（GB18597-2023）要求：存放空包装桶的区域必须防雨、防风、防晒要求，地面做特殊防腐、防渗处理。</w:t>
            </w:r>
          </w:p>
          <w:p w14:paraId="3727BB69">
            <w:pPr>
              <w:pStyle w:val="43"/>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sz w:val="24"/>
                <w:szCs w:val="24"/>
                <w:lang w:val="en-US" w:eastAsia="zh-CN" w:bidi="ar-SA"/>
              </w:rPr>
            </w:pPr>
            <w:r>
              <w:rPr>
                <w:rFonts w:hint="eastAsia" w:ascii="Times New Roman" w:hAnsi="Times New Roman" w:eastAsia="宋体" w:cs="Times New Roman"/>
                <w:color w:val="000000"/>
                <w:sz w:val="24"/>
                <w:szCs w:val="24"/>
                <w:vertAlign w:val="baseline"/>
                <w:lang w:val="en-US" w:eastAsia="zh-CN" w:bidi="ar-SA"/>
              </w:rPr>
              <w:t>但在实际使用过程中，部分</w:t>
            </w:r>
            <w:r>
              <w:rPr>
                <w:rFonts w:hint="eastAsia" w:cs="Times New Roman"/>
                <w:color w:val="000000"/>
                <w:sz w:val="24"/>
                <w:szCs w:val="24"/>
                <w:vertAlign w:val="baseline"/>
                <w:lang w:val="en-US" w:eastAsia="zh-CN" w:bidi="ar-SA"/>
              </w:rPr>
              <w:t>包装桶</w:t>
            </w:r>
            <w:r>
              <w:rPr>
                <w:rFonts w:hint="eastAsia" w:ascii="Times New Roman" w:hAnsi="Times New Roman" w:eastAsia="宋体" w:cs="Times New Roman"/>
                <w:color w:val="000000"/>
                <w:sz w:val="24"/>
                <w:szCs w:val="24"/>
                <w:vertAlign w:val="baseline"/>
                <w:lang w:val="en-US" w:eastAsia="zh-CN" w:bidi="ar-SA"/>
              </w:rPr>
              <w:t>会由于破损等无法再次利用形成</w:t>
            </w:r>
            <w:r>
              <w:rPr>
                <w:rFonts w:hint="eastAsia" w:cs="Times New Roman"/>
                <w:color w:val="000000"/>
                <w:sz w:val="24"/>
                <w:szCs w:val="24"/>
                <w:vertAlign w:val="baseline"/>
                <w:lang w:val="en-US" w:eastAsia="zh-CN" w:bidi="ar-SA"/>
              </w:rPr>
              <w:t>废油桶</w:t>
            </w:r>
            <w:r>
              <w:rPr>
                <w:rFonts w:hint="eastAsia" w:ascii="Times New Roman" w:hAnsi="Times New Roman" w:eastAsia="宋体" w:cs="Times New Roman"/>
                <w:color w:val="000000"/>
                <w:sz w:val="24"/>
                <w:szCs w:val="24"/>
                <w:vertAlign w:val="baseline"/>
                <w:lang w:val="en-US" w:eastAsia="zh-CN" w:bidi="ar-SA"/>
              </w:rPr>
              <w:t>，而不能返回供应商直接利用。根据类比调查，</w:t>
            </w:r>
            <w:r>
              <w:rPr>
                <w:rFonts w:hint="eastAsia" w:cs="Times New Roman"/>
                <w:color w:val="000000"/>
                <w:sz w:val="24"/>
                <w:szCs w:val="24"/>
                <w:vertAlign w:val="baseline"/>
                <w:lang w:val="en-US" w:eastAsia="zh-CN" w:bidi="ar-SA"/>
              </w:rPr>
              <w:t>废油桶</w:t>
            </w:r>
            <w:r>
              <w:rPr>
                <w:rFonts w:hint="eastAsia" w:ascii="Times New Roman" w:hAnsi="Times New Roman" w:eastAsia="宋体" w:cs="Times New Roman"/>
                <w:color w:val="000000"/>
                <w:sz w:val="24"/>
                <w:szCs w:val="24"/>
                <w:vertAlign w:val="baseline"/>
                <w:lang w:val="en-US" w:eastAsia="zh-CN" w:bidi="ar-SA"/>
              </w:rPr>
              <w:t>产生量约0.</w:t>
            </w:r>
            <w:r>
              <w:rPr>
                <w:rFonts w:hint="eastAsia" w:cs="Times New Roman"/>
                <w:color w:val="000000"/>
                <w:sz w:val="24"/>
                <w:szCs w:val="24"/>
                <w:vertAlign w:val="baseline"/>
                <w:lang w:val="en-US" w:eastAsia="zh-CN" w:bidi="ar-SA"/>
              </w:rPr>
              <w:t>05</w:t>
            </w:r>
            <w:r>
              <w:rPr>
                <w:rFonts w:hint="eastAsia" w:ascii="Times New Roman" w:hAnsi="Times New Roman" w:eastAsia="宋体" w:cs="Times New Roman"/>
                <w:color w:val="000000"/>
                <w:sz w:val="24"/>
                <w:szCs w:val="24"/>
                <w:vertAlign w:val="baseline"/>
                <w:lang w:val="en-US" w:eastAsia="zh-CN" w:bidi="ar-SA"/>
              </w:rPr>
              <w:t>t/a，据查《国家危险废物名录》（202</w:t>
            </w:r>
            <w:r>
              <w:rPr>
                <w:rFonts w:hint="eastAsia" w:cs="Times New Roman"/>
                <w:color w:val="000000"/>
                <w:sz w:val="24"/>
                <w:szCs w:val="24"/>
                <w:vertAlign w:val="baseline"/>
                <w:lang w:val="en-US" w:eastAsia="zh-CN" w:bidi="ar-SA"/>
              </w:rPr>
              <w:t>5</w:t>
            </w:r>
            <w:r>
              <w:rPr>
                <w:rFonts w:hint="eastAsia" w:ascii="Times New Roman" w:hAnsi="Times New Roman" w:eastAsia="宋体" w:cs="Times New Roman"/>
                <w:color w:val="000000"/>
                <w:sz w:val="24"/>
                <w:szCs w:val="24"/>
                <w:vertAlign w:val="baseline"/>
                <w:lang w:val="en-US" w:eastAsia="zh-CN" w:bidi="ar-SA"/>
              </w:rPr>
              <w:t>年），</w:t>
            </w:r>
            <w:r>
              <w:rPr>
                <w:rFonts w:hint="eastAsia" w:cs="Times New Roman"/>
                <w:color w:val="000000"/>
                <w:sz w:val="24"/>
                <w:szCs w:val="24"/>
                <w:vertAlign w:val="baseline"/>
                <w:lang w:val="en-US" w:eastAsia="zh-CN" w:bidi="ar-SA"/>
              </w:rPr>
              <w:t>废油桶</w:t>
            </w:r>
            <w:r>
              <w:rPr>
                <w:rFonts w:hint="eastAsia" w:ascii="Times New Roman" w:hAnsi="Times New Roman" w:eastAsia="宋体" w:cs="Times New Roman"/>
                <w:color w:val="000000"/>
                <w:sz w:val="24"/>
                <w:szCs w:val="24"/>
                <w:vertAlign w:val="baseline"/>
                <w:lang w:val="en-US" w:eastAsia="zh-CN" w:bidi="ar-SA"/>
              </w:rPr>
              <w:t>为危险废物，编号为HW49，其他废物中900-041-49（含有或沾染毒性、感染性危险废物的废弃包装物、容器、过滤吸附介质），要求企业将该废物集中收集后委托有危险废物处理资质的单位处理，不得随意丢弃、倾倒</w:t>
            </w:r>
            <w:r>
              <w:rPr>
                <w:rFonts w:hint="eastAsia"/>
                <w:sz w:val="24"/>
                <w:szCs w:val="24"/>
                <w:lang w:val="en-US" w:eastAsia="zh-CN" w:bidi="ar-SA"/>
              </w:rPr>
              <w:t>。</w:t>
            </w:r>
          </w:p>
          <w:p w14:paraId="6DB01E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eastAsia" w:ascii="Times New Roman" w:hAnsi="Times New Roman" w:eastAsia="宋体" w:cs="Times New Roman"/>
                <w:sz w:val="24"/>
                <w:szCs w:val="24"/>
                <w:lang w:val="en-US" w:eastAsia="zh-CN"/>
              </w:rPr>
              <w:t>④</w:t>
            </w:r>
            <w:r>
              <w:rPr>
                <w:rFonts w:hint="eastAsia"/>
                <w:sz w:val="24"/>
                <w:szCs w:val="24"/>
                <w:lang w:val="en-US" w:eastAsia="zh-CN"/>
              </w:rPr>
              <w:t>含油抹布</w:t>
            </w:r>
          </w:p>
          <w:p w14:paraId="59E462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4"/>
                <w:szCs w:val="24"/>
                <w:lang w:val="en-US" w:eastAsia="zh-CN"/>
              </w:rPr>
            </w:pPr>
            <w:r>
              <w:rPr>
                <w:rFonts w:hint="eastAsia"/>
                <w:sz w:val="24"/>
                <w:szCs w:val="24"/>
                <w:lang w:val="en-US" w:eastAsia="zh-CN"/>
              </w:rPr>
              <w:t>项目在对机器进行维修的过程中可能会产生含油抹布，根据建设单位提供资料含油抹布的产生量约为0.04t/a。据查《国家危险废物名录（2025年）》，含油抹布属于危险废物，编号为HW49其他废物，危废代码900-041-49。要求企业妥善收集后暂存于危废贮存点，定期委托有处理资质的单位进行处置，不得随意丢弃倾倒。</w:t>
            </w:r>
          </w:p>
          <w:p w14:paraId="128FBB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sz w:val="24"/>
                <w:szCs w:val="24"/>
                <w:lang w:val="en-US" w:eastAsia="zh-CN"/>
              </w:rPr>
            </w:pPr>
            <w:r>
              <w:rPr>
                <w:rFonts w:hint="eastAsia" w:ascii="宋体" w:hAnsi="宋体" w:cs="宋体"/>
                <w:sz w:val="24"/>
                <w:szCs w:val="24"/>
                <w:lang w:eastAsia="zh-CN"/>
              </w:rPr>
              <w:t>（</w:t>
            </w:r>
            <w:r>
              <w:rPr>
                <w:rFonts w:hint="default" w:ascii="Times New Roman" w:hAnsi="Times New Roman" w:cs="Times New Roman"/>
                <w:sz w:val="24"/>
                <w:szCs w:val="24"/>
                <w:lang w:val="en-US" w:eastAsia="zh-CN"/>
              </w:rPr>
              <w:t>3</w:t>
            </w:r>
            <w:r>
              <w:rPr>
                <w:rFonts w:hint="eastAsia" w:ascii="宋体" w:hAnsi="宋体" w:cs="宋体"/>
                <w:sz w:val="24"/>
                <w:szCs w:val="24"/>
                <w:lang w:eastAsia="zh-CN"/>
              </w:rPr>
              <w:t>）</w:t>
            </w:r>
            <w:r>
              <w:rPr>
                <w:rFonts w:hint="default"/>
                <w:sz w:val="24"/>
                <w:szCs w:val="24"/>
                <w:lang w:val="en-US" w:eastAsia="zh-CN"/>
              </w:rPr>
              <w:t>生活垃圾</w:t>
            </w:r>
          </w:p>
          <w:p w14:paraId="5A54D8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rPr>
            </w:pPr>
            <w:r>
              <w:rPr>
                <w:rFonts w:hint="default"/>
                <w:sz w:val="24"/>
                <w:szCs w:val="24"/>
                <w:lang w:val="en-US" w:eastAsia="zh-CN"/>
              </w:rPr>
              <w:t>项目</w:t>
            </w:r>
            <w:r>
              <w:rPr>
                <w:rFonts w:hint="default"/>
                <w:sz w:val="24"/>
                <w:szCs w:val="24"/>
              </w:rPr>
              <w:t>全厂劳动定员为</w:t>
            </w:r>
            <w:r>
              <w:rPr>
                <w:rFonts w:hint="eastAsia"/>
                <w:sz w:val="24"/>
                <w:szCs w:val="24"/>
                <w:lang w:val="en-US" w:eastAsia="zh-CN"/>
              </w:rPr>
              <w:t>20</w:t>
            </w:r>
            <w:r>
              <w:rPr>
                <w:rFonts w:hint="default"/>
                <w:sz w:val="24"/>
                <w:szCs w:val="24"/>
              </w:rPr>
              <w:t>人，生活垃圾产生系数按1.0kg/人·天，年工作日以3</w:t>
            </w:r>
            <w:r>
              <w:rPr>
                <w:rFonts w:hint="eastAsia"/>
                <w:sz w:val="24"/>
                <w:szCs w:val="24"/>
                <w:lang w:val="en-US" w:eastAsia="zh-CN"/>
              </w:rPr>
              <w:t>00</w:t>
            </w:r>
            <w:r>
              <w:rPr>
                <w:rFonts w:hint="default"/>
                <w:sz w:val="24"/>
                <w:szCs w:val="24"/>
              </w:rPr>
              <w:t>d计算，则生活垃圾产生量为</w:t>
            </w:r>
            <w:r>
              <w:rPr>
                <w:rFonts w:hint="eastAsia"/>
                <w:sz w:val="24"/>
                <w:szCs w:val="24"/>
                <w:lang w:val="en-US" w:eastAsia="zh-CN"/>
              </w:rPr>
              <w:t>6</w:t>
            </w:r>
            <w:r>
              <w:rPr>
                <w:rFonts w:hint="default"/>
                <w:sz w:val="24"/>
                <w:szCs w:val="24"/>
              </w:rPr>
              <w:t>t/a。</w:t>
            </w:r>
            <w:r>
              <w:rPr>
                <w:rFonts w:hint="default"/>
                <w:sz w:val="24"/>
                <w:szCs w:val="24"/>
                <w:lang w:val="en-US" w:eastAsia="zh-CN"/>
              </w:rPr>
              <w:t>生活垃圾由垃圾桶分类收集最后委托园区环卫部门及时清运，送</w:t>
            </w:r>
            <w:r>
              <w:rPr>
                <w:rFonts w:hint="default"/>
                <w:sz w:val="24"/>
                <w:szCs w:val="24"/>
              </w:rPr>
              <w:t>垃圾焚烧发电厂焚烧</w:t>
            </w:r>
            <w:r>
              <w:rPr>
                <w:rFonts w:hint="default" w:ascii="Times New Roman" w:hAnsi="Times New Roman" w:cs="Times New Roman"/>
                <w:color w:val="auto"/>
                <w:sz w:val="24"/>
                <w:szCs w:val="24"/>
              </w:rPr>
              <w:t>。</w:t>
            </w:r>
          </w:p>
          <w:p w14:paraId="2DA1F42D">
            <w:pPr>
              <w:pStyle w:val="2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4.</w:t>
            </w:r>
            <w:r>
              <w:rPr>
                <w:rFonts w:hint="default"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lang w:eastAsia="zh-CN"/>
              </w:rPr>
              <w:t xml:space="preserve">  一般工业固废影响分析</w:t>
            </w:r>
          </w:p>
          <w:p w14:paraId="116F1380">
            <w:pPr>
              <w:pStyle w:val="15"/>
              <w:keepNext w:val="0"/>
              <w:keepLines w:val="0"/>
              <w:pageBreakBefore w:val="0"/>
              <w:widowControl w:val="0"/>
              <w:tabs>
                <w:tab w:val="left" w:pos="6105"/>
              </w:tabs>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本项目一般工业</w:t>
            </w:r>
            <w:r>
              <w:rPr>
                <w:rFonts w:hint="eastAsia" w:ascii="Times New Roman" w:hAnsi="Times New Roman" w:cs="Times New Roman"/>
                <w:color w:val="auto"/>
                <w:sz w:val="24"/>
                <w:szCs w:val="24"/>
                <w:lang w:val="en-US" w:eastAsia="zh-CN"/>
              </w:rPr>
              <w:t>固废金属屑及边角料收集后外售综合利用，废模具收集后交由模具供应商回收处理</w:t>
            </w:r>
            <w:r>
              <w:rPr>
                <w:rFonts w:hint="default" w:ascii="Times New Roman" w:hAnsi="Times New Roman" w:cs="Times New Roman"/>
                <w:color w:val="auto"/>
                <w:sz w:val="24"/>
                <w:szCs w:val="24"/>
                <w:lang w:val="en-US" w:eastAsia="zh-CN"/>
              </w:rPr>
              <w:t>。</w:t>
            </w:r>
          </w:p>
          <w:p w14:paraId="3E2685F2">
            <w:pPr>
              <w:pStyle w:val="19"/>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rPr>
                <w:rFonts w:hint="default"/>
                <w:b/>
                <w:bCs/>
                <w:sz w:val="24"/>
                <w:szCs w:val="24"/>
                <w:lang w:val="en-US" w:eastAsia="zh-CN"/>
              </w:rPr>
            </w:pPr>
            <w:r>
              <w:rPr>
                <w:rFonts w:hint="default"/>
                <w:b/>
                <w:bCs/>
                <w:sz w:val="24"/>
                <w:szCs w:val="24"/>
                <w:lang w:val="en-US" w:eastAsia="zh-CN"/>
              </w:rPr>
              <w:t>一般固废暂存要求：</w:t>
            </w:r>
          </w:p>
          <w:p w14:paraId="2BC33E62">
            <w:pPr>
              <w:pStyle w:val="37"/>
              <w:keepNext w:val="0"/>
              <w:keepLines w:val="0"/>
              <w:pageBreakBefore w:val="0"/>
              <w:widowControl w:val="0"/>
              <w:kinsoku/>
              <w:wordWrap/>
              <w:overflowPunct/>
              <w:topLinePunct w:val="0"/>
              <w:autoSpaceDE/>
              <w:autoSpaceDN/>
              <w:bidi w:val="0"/>
              <w:adjustRightInd w:val="0"/>
              <w:snapToGrid w:val="0"/>
              <w:spacing w:after="0" w:line="360" w:lineRule="auto"/>
              <w:ind w:left="0" w:leftChars="0"/>
              <w:jc w:val="both"/>
              <w:textAlignment w:val="auto"/>
              <w:rPr>
                <w:rFonts w:hint="default"/>
                <w:sz w:val="24"/>
                <w:szCs w:val="24"/>
                <w:lang w:val="en-US" w:eastAsia="zh-CN"/>
              </w:rPr>
            </w:pPr>
            <w:r>
              <w:rPr>
                <w:rFonts w:hint="default"/>
                <w:sz w:val="24"/>
                <w:szCs w:val="24"/>
                <w:lang w:val="en-US" w:eastAsia="zh-CN"/>
              </w:rPr>
              <w:t>根据一般固废种类进行分类收集，分类贮存，贮存场所设置挡风、挡雨和防渗措施，可有效防止扬尘、渗滤液对周围环境造成影响。一般固废临时暂存场所按照《一般工业固体废物贮存、处置场污染控制标准》（</w:t>
            </w:r>
            <w:r>
              <w:rPr>
                <w:rFonts w:hint="default" w:ascii="Times New Roman" w:hAnsi="Times New Roman" w:cs="Times New Roman"/>
                <w:sz w:val="24"/>
                <w:szCs w:val="24"/>
                <w:lang w:val="en-US" w:eastAsia="zh-CN"/>
              </w:rPr>
              <w:t>GB18599-2020</w:t>
            </w:r>
            <w:r>
              <w:rPr>
                <w:rFonts w:hint="default"/>
                <w:sz w:val="24"/>
                <w:szCs w:val="24"/>
                <w:lang w:val="en-US" w:eastAsia="zh-CN"/>
              </w:rPr>
              <w:t>）的相关要求进行设置，同时，应将入场的一般工业固体废物的种类和数量资料，详细记录在案，长期保存，供随时查阅。</w:t>
            </w:r>
          </w:p>
          <w:p w14:paraId="31098C38">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r>
              <w:rPr>
                <w:rFonts w:hint="default" w:ascii="Times New Roman" w:hAnsi="Times New Roman" w:cs="Times New Roman"/>
                <w:color w:val="auto"/>
                <w:sz w:val="24"/>
                <w:szCs w:val="24"/>
                <w:lang w:val="en-US" w:eastAsia="zh-CN"/>
              </w:rPr>
              <w:t>3</w:t>
            </w:r>
            <w:r>
              <w:rPr>
                <w:rFonts w:hint="default" w:ascii="Times New Roman" w:hAnsi="Times New Roman" w:cs="Times New Roman"/>
                <w:color w:val="auto"/>
                <w:sz w:val="24"/>
                <w:szCs w:val="24"/>
              </w:rPr>
              <w:t xml:space="preserve">  危险废物影响分析</w:t>
            </w:r>
          </w:p>
          <w:p w14:paraId="13D9AB3C">
            <w:pPr>
              <w:pStyle w:val="2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（1）危险废物处置情况</w:t>
            </w:r>
          </w:p>
          <w:p w14:paraId="3959B5C3">
            <w:pPr>
              <w:pStyle w:val="2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该项目在生产过程中会有废液压油、</w:t>
            </w:r>
            <w:r>
              <w:rPr>
                <w:rFonts w:hint="eastAsia" w:cs="Times New Roman"/>
                <w:color w:val="auto"/>
                <w:sz w:val="24"/>
                <w:szCs w:val="24"/>
                <w:lang w:eastAsia="zh-CN"/>
              </w:rPr>
              <w:t>废油桶</w:t>
            </w:r>
            <w:r>
              <w:rPr>
                <w:rFonts w:hint="default" w:ascii="Times New Roman" w:hAnsi="Times New Roman" w:cs="Times New Roman"/>
                <w:color w:val="auto"/>
                <w:sz w:val="24"/>
                <w:szCs w:val="24"/>
                <w:lang w:eastAsia="zh-CN"/>
              </w:rPr>
              <w:t>、废润滑油、含油抹布</w:t>
            </w:r>
            <w:r>
              <w:rPr>
                <w:rFonts w:hint="eastAsia" w:ascii="Times New Roman" w:hAnsi="Times New Roman" w:cs="Times New Roman"/>
                <w:color w:val="auto"/>
                <w:sz w:val="24"/>
                <w:szCs w:val="24"/>
                <w:lang w:val="en-US" w:eastAsia="zh-CN"/>
              </w:rPr>
              <w:t>等</w:t>
            </w:r>
            <w:r>
              <w:rPr>
                <w:rFonts w:hint="default" w:ascii="Times New Roman" w:hAnsi="Times New Roman" w:cs="Times New Roman"/>
                <w:color w:val="auto"/>
                <w:sz w:val="24"/>
                <w:szCs w:val="24"/>
                <w:lang w:eastAsia="zh-CN"/>
              </w:rPr>
              <w:t>产生，属于危险</w:t>
            </w:r>
            <w:r>
              <w:rPr>
                <w:rFonts w:hint="eastAsia" w:ascii="Times New Roman" w:hAnsi="Times New Roman" w:cs="Times New Roman"/>
                <w:color w:val="auto"/>
                <w:sz w:val="24"/>
                <w:szCs w:val="24"/>
                <w:lang w:val="en-US" w:eastAsia="zh-CN"/>
              </w:rPr>
              <w:t>废物</w:t>
            </w:r>
            <w:r>
              <w:rPr>
                <w:rFonts w:hint="default" w:ascii="Times New Roman" w:hAnsi="Times New Roman" w:cs="Times New Roman"/>
                <w:color w:val="auto"/>
                <w:sz w:val="24"/>
                <w:szCs w:val="24"/>
                <w:lang w:eastAsia="zh-CN"/>
              </w:rPr>
              <w:t>，要求企业妥善收集后委托有相应资质的单位安全处置。</w:t>
            </w:r>
          </w:p>
          <w:p w14:paraId="1CFA13E7">
            <w:pPr>
              <w:pStyle w:val="2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（2）危险废物贮存设施环境影响分析</w:t>
            </w:r>
          </w:p>
          <w:p w14:paraId="38A6FFFF">
            <w:pPr>
              <w:pStyle w:val="2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jc w:val="both"/>
              <w:textAlignment w:val="auto"/>
              <w:rPr>
                <w:rFonts w:hint="default" w:ascii="Times New Roman" w:hAnsi="Times New Roman" w:cs="Times New Roman"/>
                <w:color w:val="auto"/>
                <w:sz w:val="24"/>
                <w:szCs w:val="24"/>
                <w:lang w:eastAsia="zh-CN"/>
              </w:rPr>
            </w:pPr>
            <w:r>
              <w:rPr>
                <w:rFonts w:hint="eastAsia"/>
                <w:sz w:val="24"/>
                <w:szCs w:val="24"/>
                <w:lang w:val="en-US" w:eastAsia="zh-CN"/>
              </w:rPr>
              <w:t>废液压油、废油桶、废润滑油、含油抹布等</w:t>
            </w:r>
            <w:r>
              <w:rPr>
                <w:rFonts w:hint="default" w:ascii="Times New Roman" w:hAnsi="Times New Roman" w:cs="Times New Roman"/>
                <w:color w:val="auto"/>
                <w:sz w:val="24"/>
                <w:szCs w:val="24"/>
                <w:lang w:eastAsia="zh-CN"/>
              </w:rPr>
              <w:t>属于危险废物，要求企业妥善收集后委托有相应资质的单位安全处置或由供应商回收处置，在公司内的贮存必须严格按照《危险废物贮存污染控制标准》（GB 18597-20</w:t>
            </w:r>
            <w:r>
              <w:rPr>
                <w:rFonts w:hint="default" w:ascii="Times New Roman" w:hAnsi="Times New Roman" w:cs="Times New Roman"/>
                <w:color w:val="auto"/>
                <w:sz w:val="24"/>
                <w:szCs w:val="24"/>
                <w:lang w:val="en-US" w:eastAsia="zh-CN"/>
              </w:rPr>
              <w:t>23</w:t>
            </w:r>
            <w:r>
              <w:rPr>
                <w:rFonts w:hint="default" w:ascii="Times New Roman" w:hAnsi="Times New Roman" w:cs="Times New Roman"/>
                <w:color w:val="auto"/>
                <w:sz w:val="24"/>
                <w:szCs w:val="24"/>
                <w:lang w:eastAsia="zh-CN"/>
              </w:rPr>
              <w:t>）规定，项目</w:t>
            </w:r>
            <w:r>
              <w:rPr>
                <w:rFonts w:hint="eastAsia" w:ascii="Times New Roman" w:hAnsi="Times New Roman" w:cs="Times New Roman"/>
                <w:color w:val="auto"/>
                <w:sz w:val="24"/>
                <w:szCs w:val="24"/>
                <w:lang w:val="en-US" w:eastAsia="zh-CN"/>
              </w:rPr>
              <w:t>新建</w:t>
            </w:r>
            <w:r>
              <w:rPr>
                <w:rFonts w:hint="default" w:ascii="Times New Roman" w:hAnsi="Times New Roman" w:cs="Times New Roman"/>
                <w:color w:val="auto"/>
                <w:sz w:val="24"/>
                <w:szCs w:val="24"/>
                <w:lang w:eastAsia="zh-CN"/>
              </w:rPr>
              <w:t>危废贮存库（</w:t>
            </w:r>
            <w:r>
              <w:rPr>
                <w:rFonts w:hint="default" w:ascii="Times New Roman" w:hAnsi="Times New Roman" w:cs="Times New Roman"/>
                <w:color w:val="auto"/>
                <w:sz w:val="24"/>
                <w:szCs w:val="24"/>
                <w:lang w:val="en-US" w:eastAsia="zh-CN"/>
              </w:rPr>
              <w:t>位于</w:t>
            </w:r>
            <w:r>
              <w:rPr>
                <w:rFonts w:hint="eastAsia" w:cs="Times New Roman"/>
                <w:color w:val="auto"/>
                <w:sz w:val="24"/>
                <w:szCs w:val="24"/>
                <w:lang w:val="en-US" w:eastAsia="zh-CN"/>
              </w:rPr>
              <w:t>生产区西南角</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10</w:t>
            </w:r>
            <w:r>
              <w:rPr>
                <w:rFonts w:hint="default" w:ascii="Times New Roman" w:hAnsi="Times New Roman" w:cs="Times New Roman"/>
                <w:color w:val="auto"/>
                <w:sz w:val="24"/>
                <w:szCs w:val="24"/>
                <w:lang w:eastAsia="zh-CN"/>
              </w:rPr>
              <w:t>m</w:t>
            </w:r>
            <w:r>
              <w:rPr>
                <w:rFonts w:hint="default" w:ascii="Times New Roman" w:hAnsi="Times New Roman" w:cs="Times New Roman"/>
                <w:color w:val="auto"/>
                <w:sz w:val="24"/>
                <w:szCs w:val="24"/>
                <w:vertAlign w:val="superscript"/>
                <w:lang w:eastAsia="zh-CN"/>
              </w:rPr>
              <w:t>2</w:t>
            </w:r>
            <w:r>
              <w:rPr>
                <w:rFonts w:hint="default" w:ascii="Times New Roman" w:hAnsi="Times New Roman" w:cs="Times New Roman"/>
                <w:color w:val="auto"/>
                <w:sz w:val="24"/>
                <w:szCs w:val="24"/>
                <w:lang w:eastAsia="zh-CN"/>
              </w:rPr>
              <w:t>），其中废液压油、</w:t>
            </w:r>
            <w:r>
              <w:rPr>
                <w:rFonts w:hint="eastAsia" w:ascii="Times New Roman" w:hAnsi="Times New Roman" w:cs="Times New Roman"/>
                <w:color w:val="auto"/>
                <w:sz w:val="24"/>
                <w:szCs w:val="24"/>
                <w:lang w:val="en-US" w:eastAsia="zh-CN"/>
              </w:rPr>
              <w:t>废润滑油等</w:t>
            </w:r>
            <w:r>
              <w:rPr>
                <w:rFonts w:hint="default" w:ascii="Times New Roman" w:hAnsi="Times New Roman" w:cs="Times New Roman"/>
                <w:color w:val="auto"/>
                <w:sz w:val="24"/>
                <w:szCs w:val="24"/>
                <w:lang w:val="en-US" w:eastAsia="zh-CN"/>
              </w:rPr>
              <w:t>危废</w:t>
            </w:r>
            <w:r>
              <w:rPr>
                <w:rFonts w:hint="default" w:ascii="Times New Roman" w:hAnsi="Times New Roman" w:cs="Times New Roman"/>
                <w:color w:val="auto"/>
                <w:sz w:val="24"/>
                <w:szCs w:val="24"/>
                <w:lang w:eastAsia="zh-CN"/>
              </w:rPr>
              <w:t>等使用密闭容器存放，所有危废要进行分类收集存放，危废堆场要有标识牌，危废堆场地面做特殊防腐、防渗处理，日常管理要求必须履行申报的登记制度、建立台账管理制度；危险废物必须向当地环保部门申报固体废物的类型、处理处置方法，如果外售或转移给其他企业，应严格履行国家与地方政府环保部门关于危险废物转移的规定，填写危险废物转移单，并报当地环保部门备案，落实追踪制度，严防二次污染，杜绝随意买卖。</w:t>
            </w:r>
          </w:p>
          <w:p w14:paraId="2CA1543E">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16</w:t>
            </w:r>
            <w:r>
              <w:rPr>
                <w:rFonts w:hint="default" w:ascii="Times New Roman" w:hAnsi="Times New Roman" w:cs="Times New Roman"/>
                <w:color w:val="000000"/>
              </w:rPr>
              <w:fldChar w:fldCharType="end"/>
            </w:r>
            <w:r>
              <w:rPr>
                <w:rFonts w:hint="default" w:ascii="Times New Roman" w:hAnsi="Times New Roman" w:cs="Times New Roman"/>
                <w:color w:val="auto"/>
                <w:lang w:eastAsia="zh-CN"/>
              </w:rPr>
              <w:t xml:space="preserve">  本项目危险废物贮存场所基本情况表</w:t>
            </w:r>
          </w:p>
          <w:tbl>
            <w:tblPr>
              <w:tblStyle w:val="23"/>
              <w:tblW w:w="4995"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477"/>
              <w:gridCol w:w="1124"/>
              <w:gridCol w:w="1119"/>
              <w:gridCol w:w="644"/>
              <w:gridCol w:w="1349"/>
              <w:gridCol w:w="902"/>
              <w:gridCol w:w="912"/>
              <w:gridCol w:w="902"/>
              <w:gridCol w:w="902"/>
            </w:tblGrid>
            <w:tr w14:paraId="397D227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286" w:type="pct"/>
                  <w:noWrap w:val="0"/>
                  <w:vAlign w:val="center"/>
                </w:tcPr>
                <w:p w14:paraId="3B843C9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序号</w:t>
                  </w:r>
                </w:p>
              </w:tc>
              <w:tc>
                <w:tcPr>
                  <w:tcW w:w="674" w:type="pct"/>
                  <w:noWrap w:val="0"/>
                  <w:vAlign w:val="center"/>
                </w:tcPr>
                <w:p w14:paraId="2BF70033">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贮存场所</w:t>
                  </w:r>
                </w:p>
              </w:tc>
              <w:tc>
                <w:tcPr>
                  <w:tcW w:w="671" w:type="pct"/>
                  <w:noWrap w:val="0"/>
                  <w:vAlign w:val="center"/>
                </w:tcPr>
                <w:p w14:paraId="401FAE38">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危废名称</w:t>
                  </w:r>
                </w:p>
              </w:tc>
              <w:tc>
                <w:tcPr>
                  <w:tcW w:w="386" w:type="pct"/>
                  <w:noWrap w:val="0"/>
                  <w:vAlign w:val="center"/>
                </w:tcPr>
                <w:p w14:paraId="395A2BD5">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危废类别</w:t>
                  </w:r>
                </w:p>
              </w:tc>
              <w:tc>
                <w:tcPr>
                  <w:tcW w:w="809" w:type="pct"/>
                  <w:noWrap w:val="0"/>
                  <w:vAlign w:val="center"/>
                </w:tcPr>
                <w:p w14:paraId="3AD79D4A">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危险废物代码</w:t>
                  </w:r>
                </w:p>
              </w:tc>
              <w:tc>
                <w:tcPr>
                  <w:tcW w:w="541" w:type="pct"/>
                  <w:noWrap w:val="0"/>
                  <w:vAlign w:val="center"/>
                </w:tcPr>
                <w:p w14:paraId="7680809E">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拟建位置</w:t>
                  </w:r>
                </w:p>
              </w:tc>
              <w:tc>
                <w:tcPr>
                  <w:tcW w:w="547" w:type="pct"/>
                  <w:noWrap w:val="0"/>
                  <w:vAlign w:val="center"/>
                </w:tcPr>
                <w:p w14:paraId="31F685F7">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占地面积</w:t>
                  </w:r>
                </w:p>
              </w:tc>
              <w:tc>
                <w:tcPr>
                  <w:tcW w:w="541" w:type="pct"/>
                  <w:noWrap w:val="0"/>
                  <w:vAlign w:val="center"/>
                </w:tcPr>
                <w:p w14:paraId="793935DB">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贮存方式</w:t>
                  </w:r>
                </w:p>
              </w:tc>
              <w:tc>
                <w:tcPr>
                  <w:tcW w:w="541" w:type="pct"/>
                  <w:noWrap w:val="0"/>
                  <w:vAlign w:val="center"/>
                </w:tcPr>
                <w:p w14:paraId="2FD7D9F2">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贮存周期</w:t>
                  </w:r>
                </w:p>
              </w:tc>
            </w:tr>
            <w:tr w14:paraId="28A609E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286" w:type="pct"/>
                  <w:noWrap w:val="0"/>
                  <w:vAlign w:val="center"/>
                </w:tcPr>
                <w:p w14:paraId="06AEA4B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1</w:t>
                  </w:r>
                </w:p>
              </w:tc>
              <w:tc>
                <w:tcPr>
                  <w:tcW w:w="674" w:type="pct"/>
                  <w:vMerge w:val="restart"/>
                  <w:noWrap w:val="0"/>
                  <w:vAlign w:val="center"/>
                </w:tcPr>
                <w:p w14:paraId="221223BE">
                  <w:pPr>
                    <w:pStyle w:val="41"/>
                    <w:ind w:firstLine="0" w:firstLineChars="0"/>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危废贮存库</w:t>
                  </w:r>
                </w:p>
              </w:tc>
              <w:tc>
                <w:tcPr>
                  <w:tcW w:w="671" w:type="pct"/>
                  <w:noWrap w:val="0"/>
                  <w:vAlign w:val="center"/>
                </w:tcPr>
                <w:p w14:paraId="6F0251B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废液压油</w:t>
                  </w:r>
                </w:p>
              </w:tc>
              <w:tc>
                <w:tcPr>
                  <w:tcW w:w="386" w:type="pct"/>
                  <w:noWrap w:val="0"/>
                  <w:vAlign w:val="center"/>
                </w:tcPr>
                <w:p w14:paraId="7EC0A925">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08</w:t>
                  </w:r>
                </w:p>
              </w:tc>
              <w:tc>
                <w:tcPr>
                  <w:tcW w:w="809" w:type="pct"/>
                  <w:noWrap w:val="0"/>
                  <w:vAlign w:val="center"/>
                </w:tcPr>
                <w:p w14:paraId="4911F519">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900-218-08</w:t>
                  </w:r>
                </w:p>
              </w:tc>
              <w:tc>
                <w:tcPr>
                  <w:tcW w:w="541" w:type="pct"/>
                  <w:vMerge w:val="restart"/>
                  <w:noWrap w:val="0"/>
                  <w:vAlign w:val="center"/>
                </w:tcPr>
                <w:p w14:paraId="7182F480">
                  <w:pPr>
                    <w:pStyle w:val="41"/>
                    <w:ind w:firstLine="0" w:firstLineChars="0"/>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生产区西南角</w:t>
                  </w:r>
                </w:p>
              </w:tc>
              <w:tc>
                <w:tcPr>
                  <w:tcW w:w="547" w:type="pct"/>
                  <w:vMerge w:val="restart"/>
                  <w:noWrap w:val="0"/>
                  <w:vAlign w:val="center"/>
                </w:tcPr>
                <w:p w14:paraId="248D0DB8">
                  <w:pPr>
                    <w:pStyle w:val="41"/>
                    <w:ind w:firstLine="0" w:firstLineChars="0"/>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10</w:t>
                  </w:r>
                  <w:r>
                    <w:rPr>
                      <w:rFonts w:hint="default" w:ascii="Times New Roman" w:hAnsi="Times New Roman" w:eastAsia="宋体" w:cs="Times New Roman"/>
                      <w:b w:val="0"/>
                      <w:bCs/>
                      <w:color w:val="auto"/>
                      <w:sz w:val="21"/>
                      <w:szCs w:val="21"/>
                      <w:lang w:eastAsia="zh-CN"/>
                    </w:rPr>
                    <w:t>m</w:t>
                  </w:r>
                  <w:r>
                    <w:rPr>
                      <w:rFonts w:hint="default" w:ascii="Times New Roman" w:hAnsi="Times New Roman" w:eastAsia="宋体" w:cs="Times New Roman"/>
                      <w:b w:val="0"/>
                      <w:bCs/>
                      <w:color w:val="auto"/>
                      <w:sz w:val="21"/>
                      <w:szCs w:val="21"/>
                      <w:vertAlign w:val="superscript"/>
                      <w:lang w:val="en-US" w:eastAsia="zh-CN"/>
                    </w:rPr>
                    <w:t>2</w:t>
                  </w:r>
                </w:p>
              </w:tc>
              <w:tc>
                <w:tcPr>
                  <w:tcW w:w="541" w:type="pct"/>
                  <w:noWrap w:val="0"/>
                  <w:vAlign w:val="center"/>
                </w:tcPr>
                <w:p w14:paraId="71255154">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桶装</w:t>
                  </w:r>
                </w:p>
              </w:tc>
              <w:tc>
                <w:tcPr>
                  <w:tcW w:w="541" w:type="pct"/>
                  <w:noWrap w:val="0"/>
                  <w:vAlign w:val="center"/>
                </w:tcPr>
                <w:p w14:paraId="39C13D73">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≤一年</w:t>
                  </w:r>
                </w:p>
              </w:tc>
            </w:tr>
            <w:tr w14:paraId="7D47CAD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286" w:type="pct"/>
                  <w:noWrap w:val="0"/>
                  <w:vAlign w:val="center"/>
                </w:tcPr>
                <w:p w14:paraId="6683138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2</w:t>
                  </w:r>
                </w:p>
              </w:tc>
              <w:tc>
                <w:tcPr>
                  <w:tcW w:w="674" w:type="pct"/>
                  <w:vMerge w:val="continue"/>
                  <w:noWrap w:val="0"/>
                  <w:vAlign w:val="center"/>
                </w:tcPr>
                <w:p w14:paraId="1F28F52E">
                  <w:pPr>
                    <w:pStyle w:val="41"/>
                    <w:ind w:firstLine="0" w:firstLineChars="0"/>
                    <w:rPr>
                      <w:rFonts w:hint="default" w:ascii="Times New Roman" w:hAnsi="Times New Roman" w:eastAsia="宋体" w:cs="Times New Roman"/>
                      <w:b w:val="0"/>
                      <w:bCs/>
                      <w:color w:val="auto"/>
                      <w:sz w:val="21"/>
                      <w:szCs w:val="21"/>
                      <w:lang w:val="en-US" w:eastAsia="zh-CN"/>
                    </w:rPr>
                  </w:pPr>
                </w:p>
              </w:tc>
              <w:tc>
                <w:tcPr>
                  <w:tcW w:w="671" w:type="pct"/>
                  <w:noWrap w:val="0"/>
                  <w:vAlign w:val="center"/>
                </w:tcPr>
                <w:p w14:paraId="2AC2BA4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000000"/>
                      <w:kern w:val="0"/>
                      <w:sz w:val="21"/>
                      <w:szCs w:val="21"/>
                      <w:lang w:val="en-US" w:eastAsia="zh-CN" w:bidi="ar-SA"/>
                    </w:rPr>
                    <w:t>废润滑油</w:t>
                  </w:r>
                </w:p>
              </w:tc>
              <w:tc>
                <w:tcPr>
                  <w:tcW w:w="386" w:type="pct"/>
                  <w:noWrap w:val="0"/>
                  <w:vAlign w:val="center"/>
                </w:tcPr>
                <w:p w14:paraId="780536C2">
                  <w:pPr>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08</w:t>
                  </w:r>
                </w:p>
              </w:tc>
              <w:tc>
                <w:tcPr>
                  <w:tcW w:w="809" w:type="pct"/>
                  <w:noWrap w:val="0"/>
                  <w:vAlign w:val="center"/>
                </w:tcPr>
                <w:p w14:paraId="35D22C9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900-21</w:t>
                  </w:r>
                  <w:r>
                    <w:rPr>
                      <w:rFonts w:hint="eastAsia" w:ascii="Times New Roman" w:hAnsi="Times New Roman" w:eastAsia="宋体" w:cs="Times New Roman"/>
                      <w:b w:val="0"/>
                      <w:bCs/>
                      <w:color w:val="auto"/>
                      <w:sz w:val="21"/>
                      <w:szCs w:val="21"/>
                      <w:lang w:val="en-US" w:eastAsia="zh-CN"/>
                    </w:rPr>
                    <w:t>4</w:t>
                  </w:r>
                  <w:r>
                    <w:rPr>
                      <w:rFonts w:hint="default" w:ascii="Times New Roman" w:hAnsi="Times New Roman" w:eastAsia="宋体" w:cs="Times New Roman"/>
                      <w:b w:val="0"/>
                      <w:bCs/>
                      <w:color w:val="auto"/>
                      <w:sz w:val="21"/>
                      <w:szCs w:val="21"/>
                      <w:lang w:val="en-US" w:eastAsia="zh-CN"/>
                    </w:rPr>
                    <w:t>-08</w:t>
                  </w:r>
                </w:p>
              </w:tc>
              <w:tc>
                <w:tcPr>
                  <w:tcW w:w="541" w:type="pct"/>
                  <w:vMerge w:val="continue"/>
                  <w:noWrap w:val="0"/>
                  <w:vAlign w:val="center"/>
                </w:tcPr>
                <w:p w14:paraId="1A7FF459">
                  <w:pPr>
                    <w:pStyle w:val="41"/>
                    <w:ind w:firstLine="0" w:firstLineChars="0"/>
                    <w:rPr>
                      <w:rFonts w:hint="default" w:ascii="Times New Roman" w:hAnsi="Times New Roman" w:eastAsia="宋体" w:cs="Times New Roman"/>
                      <w:b w:val="0"/>
                      <w:bCs/>
                      <w:color w:val="auto"/>
                      <w:sz w:val="21"/>
                      <w:szCs w:val="21"/>
                      <w:lang w:val="en-US" w:eastAsia="zh-CN"/>
                    </w:rPr>
                  </w:pPr>
                </w:p>
              </w:tc>
              <w:tc>
                <w:tcPr>
                  <w:tcW w:w="547" w:type="pct"/>
                  <w:vMerge w:val="continue"/>
                  <w:noWrap w:val="0"/>
                  <w:vAlign w:val="center"/>
                </w:tcPr>
                <w:p w14:paraId="602398CE">
                  <w:pPr>
                    <w:pStyle w:val="41"/>
                    <w:ind w:firstLine="0" w:firstLineChars="0"/>
                    <w:rPr>
                      <w:rFonts w:hint="default" w:ascii="Times New Roman" w:hAnsi="Times New Roman" w:eastAsia="宋体" w:cs="Times New Roman"/>
                      <w:b w:val="0"/>
                      <w:bCs/>
                      <w:color w:val="auto"/>
                      <w:sz w:val="21"/>
                      <w:szCs w:val="21"/>
                      <w:lang w:val="en-US" w:eastAsia="zh-CN"/>
                    </w:rPr>
                  </w:pPr>
                </w:p>
              </w:tc>
              <w:tc>
                <w:tcPr>
                  <w:tcW w:w="541" w:type="pct"/>
                  <w:noWrap w:val="0"/>
                  <w:vAlign w:val="center"/>
                </w:tcPr>
                <w:p w14:paraId="6E59E6AD">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桶装</w:t>
                  </w:r>
                </w:p>
              </w:tc>
              <w:tc>
                <w:tcPr>
                  <w:tcW w:w="541" w:type="pct"/>
                  <w:noWrap w:val="0"/>
                  <w:vAlign w:val="center"/>
                </w:tcPr>
                <w:p w14:paraId="2FFC8C10">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≤一年</w:t>
                  </w:r>
                </w:p>
              </w:tc>
            </w:tr>
            <w:tr w14:paraId="36918EF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286" w:type="pct"/>
                  <w:noWrap w:val="0"/>
                  <w:vAlign w:val="center"/>
                </w:tcPr>
                <w:p w14:paraId="66E9F43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kern w:val="0"/>
                      <w:sz w:val="21"/>
                      <w:szCs w:val="21"/>
                      <w:lang w:val="en-US" w:eastAsia="zh-CN" w:bidi="ar-SA"/>
                    </w:rPr>
                    <w:t>3</w:t>
                  </w:r>
                </w:p>
              </w:tc>
              <w:tc>
                <w:tcPr>
                  <w:tcW w:w="674" w:type="pct"/>
                  <w:vMerge w:val="continue"/>
                  <w:noWrap w:val="0"/>
                  <w:vAlign w:val="center"/>
                </w:tcPr>
                <w:p w14:paraId="6034281E">
                  <w:pPr>
                    <w:pStyle w:val="41"/>
                    <w:ind w:firstLine="0" w:firstLineChars="0"/>
                    <w:rPr>
                      <w:rFonts w:hint="default" w:ascii="Times New Roman" w:hAnsi="Times New Roman" w:eastAsia="宋体" w:cs="Times New Roman"/>
                      <w:b w:val="0"/>
                      <w:bCs/>
                      <w:color w:val="auto"/>
                      <w:sz w:val="21"/>
                      <w:szCs w:val="21"/>
                      <w:lang w:val="en-US" w:eastAsia="zh-CN"/>
                    </w:rPr>
                  </w:pPr>
                </w:p>
              </w:tc>
              <w:tc>
                <w:tcPr>
                  <w:tcW w:w="671" w:type="pct"/>
                  <w:noWrap w:val="0"/>
                  <w:vAlign w:val="center"/>
                </w:tcPr>
                <w:p w14:paraId="11DB606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cs="Times New Roman"/>
                      <w:b w:val="0"/>
                      <w:bCs/>
                      <w:color w:val="000000"/>
                      <w:kern w:val="0"/>
                      <w:sz w:val="21"/>
                      <w:szCs w:val="21"/>
                      <w:lang w:val="en-US" w:eastAsia="zh-CN" w:bidi="ar-SA"/>
                    </w:rPr>
                    <w:t>废油桶</w:t>
                  </w:r>
                </w:p>
              </w:tc>
              <w:tc>
                <w:tcPr>
                  <w:tcW w:w="386" w:type="pct"/>
                  <w:noWrap w:val="0"/>
                  <w:vAlign w:val="center"/>
                </w:tcPr>
                <w:p w14:paraId="3606BF7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HW</w:t>
                  </w:r>
                  <w:r>
                    <w:rPr>
                      <w:rFonts w:hint="eastAsia" w:ascii="Times New Roman" w:hAnsi="Times New Roman" w:eastAsia="宋体" w:cs="Times New Roman"/>
                      <w:b w:val="0"/>
                      <w:bCs/>
                      <w:color w:val="auto"/>
                      <w:kern w:val="0"/>
                      <w:sz w:val="21"/>
                      <w:szCs w:val="21"/>
                      <w:lang w:val="en-US" w:eastAsia="zh-CN" w:bidi="ar-SA"/>
                    </w:rPr>
                    <w:t>49</w:t>
                  </w:r>
                </w:p>
              </w:tc>
              <w:tc>
                <w:tcPr>
                  <w:tcW w:w="809" w:type="pct"/>
                  <w:noWrap w:val="0"/>
                  <w:vAlign w:val="center"/>
                </w:tcPr>
                <w:p w14:paraId="1443C20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900-041-49</w:t>
                  </w:r>
                </w:p>
              </w:tc>
              <w:tc>
                <w:tcPr>
                  <w:tcW w:w="541" w:type="pct"/>
                  <w:vMerge w:val="continue"/>
                  <w:noWrap w:val="0"/>
                  <w:vAlign w:val="center"/>
                </w:tcPr>
                <w:p w14:paraId="56E2DB1E">
                  <w:pPr>
                    <w:pStyle w:val="41"/>
                    <w:ind w:firstLine="0" w:firstLineChars="0"/>
                    <w:rPr>
                      <w:rFonts w:hint="default" w:ascii="Times New Roman" w:hAnsi="Times New Roman" w:eastAsia="宋体" w:cs="Times New Roman"/>
                      <w:b w:val="0"/>
                      <w:bCs/>
                      <w:color w:val="auto"/>
                      <w:sz w:val="21"/>
                      <w:szCs w:val="21"/>
                      <w:lang w:val="en-US" w:eastAsia="zh-CN"/>
                    </w:rPr>
                  </w:pPr>
                </w:p>
              </w:tc>
              <w:tc>
                <w:tcPr>
                  <w:tcW w:w="547" w:type="pct"/>
                  <w:vMerge w:val="continue"/>
                  <w:noWrap w:val="0"/>
                  <w:vAlign w:val="center"/>
                </w:tcPr>
                <w:p w14:paraId="221E9037">
                  <w:pPr>
                    <w:pStyle w:val="41"/>
                    <w:ind w:firstLine="0" w:firstLineChars="0"/>
                    <w:rPr>
                      <w:rFonts w:hint="default" w:ascii="Times New Roman" w:hAnsi="Times New Roman" w:eastAsia="宋体" w:cs="Times New Roman"/>
                      <w:b w:val="0"/>
                      <w:bCs/>
                      <w:color w:val="auto"/>
                      <w:sz w:val="21"/>
                      <w:szCs w:val="21"/>
                      <w:lang w:val="en-US" w:eastAsia="zh-CN"/>
                    </w:rPr>
                  </w:pPr>
                </w:p>
              </w:tc>
              <w:tc>
                <w:tcPr>
                  <w:tcW w:w="541" w:type="pct"/>
                  <w:noWrap w:val="0"/>
                  <w:vAlign w:val="center"/>
                </w:tcPr>
                <w:p w14:paraId="31F527FF">
                  <w:pPr>
                    <w:pStyle w:val="41"/>
                    <w:ind w:firstLine="0" w:firstLineChars="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散装</w:t>
                  </w:r>
                </w:p>
              </w:tc>
              <w:tc>
                <w:tcPr>
                  <w:tcW w:w="541" w:type="pct"/>
                  <w:noWrap w:val="0"/>
                  <w:vAlign w:val="center"/>
                </w:tcPr>
                <w:p w14:paraId="1896EE98">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≤一年</w:t>
                  </w:r>
                </w:p>
              </w:tc>
            </w:tr>
            <w:tr w14:paraId="60BAFA8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425" w:hRule="atLeast"/>
                <w:jc w:val="center"/>
              </w:trPr>
              <w:tc>
                <w:tcPr>
                  <w:tcW w:w="286" w:type="pct"/>
                  <w:noWrap w:val="0"/>
                  <w:vAlign w:val="center"/>
                </w:tcPr>
                <w:p w14:paraId="322F4E45">
                  <w:pPr>
                    <w:pStyle w:val="41"/>
                    <w:ind w:firstLine="0" w:firstLineChars="0"/>
                    <w:rPr>
                      <w:rFonts w:hint="default" w:ascii="Times New Roman" w:hAnsi="Times New Roman" w:eastAsia="宋体" w:cs="Times New Roman"/>
                      <w:b w:val="0"/>
                      <w:bCs/>
                      <w:color w:val="auto"/>
                      <w:sz w:val="21"/>
                      <w:szCs w:val="21"/>
                      <w:lang w:val="en-US" w:eastAsia="zh-CN"/>
                    </w:rPr>
                  </w:pPr>
                  <w:r>
                    <w:rPr>
                      <w:rFonts w:hint="eastAsia" w:cs="Times New Roman"/>
                      <w:b w:val="0"/>
                      <w:bCs/>
                      <w:color w:val="auto"/>
                      <w:kern w:val="0"/>
                      <w:sz w:val="21"/>
                      <w:szCs w:val="21"/>
                      <w:lang w:val="en-US" w:eastAsia="zh-CN" w:bidi="ar-SA"/>
                    </w:rPr>
                    <w:t>4</w:t>
                  </w:r>
                </w:p>
              </w:tc>
              <w:tc>
                <w:tcPr>
                  <w:tcW w:w="674" w:type="pct"/>
                  <w:vMerge w:val="continue"/>
                  <w:noWrap w:val="0"/>
                  <w:vAlign w:val="center"/>
                </w:tcPr>
                <w:p w14:paraId="27D538CB">
                  <w:pPr>
                    <w:pStyle w:val="41"/>
                    <w:ind w:firstLine="0" w:firstLineChars="0"/>
                    <w:rPr>
                      <w:rFonts w:hint="default" w:ascii="Times New Roman" w:hAnsi="Times New Roman" w:eastAsia="宋体" w:cs="Times New Roman"/>
                      <w:b w:val="0"/>
                      <w:bCs/>
                      <w:color w:val="auto"/>
                      <w:sz w:val="21"/>
                      <w:szCs w:val="21"/>
                      <w:lang w:val="en-US" w:eastAsia="zh-CN"/>
                    </w:rPr>
                  </w:pPr>
                </w:p>
              </w:tc>
              <w:tc>
                <w:tcPr>
                  <w:tcW w:w="671" w:type="pct"/>
                  <w:noWrap w:val="0"/>
                  <w:vAlign w:val="center"/>
                </w:tcPr>
                <w:p w14:paraId="4FFE9BA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含油抹布</w:t>
                  </w:r>
                </w:p>
              </w:tc>
              <w:tc>
                <w:tcPr>
                  <w:tcW w:w="386" w:type="pct"/>
                  <w:noWrap w:val="0"/>
                  <w:vAlign w:val="center"/>
                </w:tcPr>
                <w:p w14:paraId="4DC0F36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eastAsia="zh-CN"/>
                    </w:rPr>
                    <w:t>HW49</w:t>
                  </w:r>
                </w:p>
              </w:tc>
              <w:tc>
                <w:tcPr>
                  <w:tcW w:w="809" w:type="pct"/>
                  <w:noWrap w:val="0"/>
                  <w:vAlign w:val="center"/>
                </w:tcPr>
                <w:p w14:paraId="2F051976">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rPr>
                    <w:t>900-0</w:t>
                  </w:r>
                  <w:r>
                    <w:rPr>
                      <w:rFonts w:hint="default" w:ascii="Times New Roman" w:hAnsi="Times New Roman" w:eastAsia="宋体" w:cs="Times New Roman"/>
                      <w:b w:val="0"/>
                      <w:bCs/>
                      <w:color w:val="auto"/>
                      <w:sz w:val="21"/>
                      <w:szCs w:val="21"/>
                      <w:lang w:val="en-US" w:eastAsia="zh-CN"/>
                    </w:rPr>
                    <w:t>41</w:t>
                  </w:r>
                  <w:r>
                    <w:rPr>
                      <w:rFonts w:hint="default" w:ascii="Times New Roman" w:hAnsi="Times New Roman" w:eastAsia="宋体" w:cs="Times New Roman"/>
                      <w:b w:val="0"/>
                      <w:bCs/>
                      <w:color w:val="auto"/>
                      <w:sz w:val="21"/>
                      <w:szCs w:val="21"/>
                    </w:rPr>
                    <w:t>-49</w:t>
                  </w:r>
                </w:p>
              </w:tc>
              <w:tc>
                <w:tcPr>
                  <w:tcW w:w="541" w:type="pct"/>
                  <w:vMerge w:val="continue"/>
                  <w:noWrap w:val="0"/>
                  <w:vAlign w:val="center"/>
                </w:tcPr>
                <w:p w14:paraId="63DA3946">
                  <w:pPr>
                    <w:pStyle w:val="41"/>
                    <w:ind w:firstLine="0" w:firstLineChars="0"/>
                    <w:rPr>
                      <w:rFonts w:hint="default" w:ascii="Times New Roman" w:hAnsi="Times New Roman" w:eastAsia="宋体" w:cs="Times New Roman"/>
                      <w:b w:val="0"/>
                      <w:bCs/>
                      <w:color w:val="auto"/>
                      <w:sz w:val="21"/>
                      <w:szCs w:val="21"/>
                      <w:lang w:val="en-US" w:eastAsia="zh-CN"/>
                    </w:rPr>
                  </w:pPr>
                </w:p>
              </w:tc>
              <w:tc>
                <w:tcPr>
                  <w:tcW w:w="547" w:type="pct"/>
                  <w:vMerge w:val="continue"/>
                  <w:noWrap w:val="0"/>
                  <w:vAlign w:val="center"/>
                </w:tcPr>
                <w:p w14:paraId="6C57DF23">
                  <w:pPr>
                    <w:pStyle w:val="41"/>
                    <w:ind w:firstLine="0" w:firstLineChars="0"/>
                    <w:rPr>
                      <w:rFonts w:hint="default" w:ascii="Times New Roman" w:hAnsi="Times New Roman" w:eastAsia="宋体" w:cs="Times New Roman"/>
                      <w:b w:val="0"/>
                      <w:bCs/>
                      <w:color w:val="auto"/>
                      <w:sz w:val="21"/>
                      <w:szCs w:val="21"/>
                      <w:lang w:val="en-US" w:eastAsia="zh-CN"/>
                    </w:rPr>
                  </w:pPr>
                </w:p>
              </w:tc>
              <w:tc>
                <w:tcPr>
                  <w:tcW w:w="541" w:type="pct"/>
                  <w:noWrap w:val="0"/>
                  <w:vAlign w:val="center"/>
                </w:tcPr>
                <w:p w14:paraId="06DA4105">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桶装</w:t>
                  </w:r>
                </w:p>
              </w:tc>
              <w:tc>
                <w:tcPr>
                  <w:tcW w:w="541" w:type="pct"/>
                  <w:noWrap w:val="0"/>
                  <w:vAlign w:val="center"/>
                </w:tcPr>
                <w:p w14:paraId="1121A2C3">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≤一年</w:t>
                  </w:r>
                </w:p>
              </w:tc>
            </w:tr>
          </w:tbl>
          <w:p w14:paraId="25E7DF1E">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根据项目的危废产生和</w:t>
            </w:r>
            <w:r>
              <w:rPr>
                <w:rFonts w:hint="eastAsia" w:ascii="Times New Roman" w:hAnsi="Times New Roman" w:cs="Times New Roman"/>
                <w:color w:val="auto"/>
                <w:sz w:val="24"/>
                <w:szCs w:val="24"/>
                <w:lang w:eastAsia="zh-CN"/>
              </w:rPr>
              <w:t>贮存</w:t>
            </w:r>
            <w:r>
              <w:rPr>
                <w:rFonts w:hint="default" w:ascii="Times New Roman" w:hAnsi="Times New Roman" w:cs="Times New Roman"/>
                <w:color w:val="auto"/>
                <w:sz w:val="24"/>
                <w:szCs w:val="24"/>
              </w:rPr>
              <w:t>周期，项目</w:t>
            </w:r>
            <w:r>
              <w:rPr>
                <w:rFonts w:hint="default" w:ascii="Times New Roman" w:hAnsi="Times New Roman" w:cs="Times New Roman"/>
                <w:color w:val="auto"/>
                <w:sz w:val="24"/>
                <w:szCs w:val="24"/>
                <w:lang w:eastAsia="zh-CN"/>
              </w:rPr>
              <w:t>危废贮存库</w:t>
            </w:r>
            <w:r>
              <w:rPr>
                <w:rFonts w:hint="default" w:ascii="Times New Roman" w:hAnsi="Times New Roman" w:cs="Times New Roman"/>
                <w:color w:val="auto"/>
                <w:sz w:val="24"/>
                <w:szCs w:val="24"/>
              </w:rPr>
              <w:t>可以满足危险废物的暂存要求。</w:t>
            </w:r>
            <w:r>
              <w:rPr>
                <w:rFonts w:hint="default" w:ascii="Times New Roman" w:hAnsi="Times New Roman" w:cs="Times New Roman"/>
                <w:color w:val="auto"/>
                <w:sz w:val="24"/>
                <w:szCs w:val="24"/>
                <w:lang w:eastAsia="zh-CN"/>
              </w:rPr>
              <w:t>危废贮存库</w:t>
            </w:r>
            <w:r>
              <w:rPr>
                <w:rFonts w:hint="default" w:ascii="Times New Roman" w:hAnsi="Times New Roman" w:cs="Times New Roman"/>
                <w:color w:val="auto"/>
                <w:sz w:val="24"/>
                <w:szCs w:val="24"/>
              </w:rPr>
              <w:t>所应按照《危险废物贮存污染控制标准》（GB18597-20</w:t>
            </w:r>
            <w:r>
              <w:rPr>
                <w:rFonts w:hint="default" w:ascii="Times New Roman" w:hAnsi="Times New Roman" w:cs="Times New Roman"/>
                <w:color w:val="auto"/>
                <w:sz w:val="24"/>
                <w:szCs w:val="24"/>
                <w:lang w:val="en-US" w:eastAsia="zh-CN"/>
              </w:rPr>
              <w:t>23</w:t>
            </w: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以及</w:t>
            </w:r>
            <w:r>
              <w:rPr>
                <w:rFonts w:hint="eastAsia" w:ascii="Times New Roman" w:hAnsi="Times New Roman" w:cs="Times New Roman"/>
                <w:color w:val="000000" w:themeColor="text1"/>
                <w:sz w:val="24"/>
                <w:szCs w:val="24"/>
                <w:lang w:val="en-US" w:eastAsia="zh-CN"/>
                <w14:textFill>
                  <w14:solidFill>
                    <w14:schemeClr w14:val="tx1"/>
                  </w14:solidFill>
                </w14:textFill>
              </w:rPr>
              <w:t>生态环境部办公厅《关于进一步加强危险废物规范化环境管理有关工作的通知》环办固体〔2023〕17号</w:t>
            </w:r>
            <w:r>
              <w:rPr>
                <w:rFonts w:hint="default" w:ascii="Times New Roman" w:hAnsi="Times New Roman" w:cs="Times New Roman"/>
                <w:color w:val="auto"/>
                <w:sz w:val="24"/>
                <w:szCs w:val="24"/>
              </w:rPr>
              <w:t>的规定设置，具体要求如下：</w:t>
            </w:r>
          </w:p>
          <w:p w14:paraId="173D5903">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val="0"/>
                <w:color w:val="auto"/>
                <w:sz w:val="24"/>
                <w:szCs w:val="24"/>
                <w:lang w:val="en-US" w:eastAsia="zh-CN"/>
              </w:rPr>
            </w:pPr>
            <w:r>
              <w:rPr>
                <w:rFonts w:hint="default" w:ascii="Times New Roman" w:hAnsi="Times New Roman" w:cs="Times New Roman"/>
                <w:b/>
                <w:bCs w:val="0"/>
                <w:color w:val="auto"/>
                <w:sz w:val="24"/>
                <w:szCs w:val="24"/>
                <w:lang w:val="en-US" w:eastAsia="zh-CN"/>
              </w:rPr>
              <w:t>一般规定：</w:t>
            </w:r>
          </w:p>
          <w:p w14:paraId="02D9A5F5">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①</w:t>
            </w:r>
            <w:r>
              <w:rPr>
                <w:rFonts w:hint="default" w:ascii="Times New Roman" w:hAnsi="Times New Roman" w:cs="Times New Roman"/>
                <w:bCs/>
                <w:color w:val="auto"/>
                <w:sz w:val="24"/>
                <w:szCs w:val="24"/>
                <w:lang w:val="en-US" w:eastAsia="zh-CN"/>
              </w:rPr>
              <w:t>贮存设施应根据危险废物的形态、物理化学性质、包装形式和污染物迁移途径，采取必要的防风、防晒、防雨、防漏、防渗、防腐以及其他环境污染防治措施，不应露天堆放危险废物。</w:t>
            </w:r>
          </w:p>
          <w:p w14:paraId="6007CA26">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②</w:t>
            </w:r>
            <w:r>
              <w:rPr>
                <w:rFonts w:hint="default" w:ascii="Times New Roman" w:hAnsi="Times New Roman" w:cs="Times New Roman"/>
                <w:bCs/>
                <w:color w:val="auto"/>
                <w:sz w:val="24"/>
                <w:szCs w:val="24"/>
                <w:lang w:val="en-US" w:eastAsia="zh-CN"/>
              </w:rPr>
              <w:t>贮存设施应根据危险废物的类别、数量、形态、物理化学性质和污染防治等要求设置必要的贮存分区，避免不相容的危险废物接触、混合。</w:t>
            </w:r>
          </w:p>
          <w:p w14:paraId="04EB98DA">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lang w:eastAsia="zh-CN"/>
              </w:rPr>
            </w:pPr>
            <w:r>
              <w:rPr>
                <w:rFonts w:hint="default" w:ascii="Times New Roman" w:hAnsi="Times New Roman" w:cs="Times New Roman"/>
                <w:bCs/>
                <w:color w:val="auto"/>
                <w:sz w:val="24"/>
                <w:szCs w:val="24"/>
              </w:rPr>
              <w:t>③</w:t>
            </w:r>
            <w:r>
              <w:rPr>
                <w:rFonts w:hint="default" w:ascii="Times New Roman" w:hAnsi="Times New Roman" w:cs="Times New Roman"/>
                <w:bCs/>
                <w:color w:val="auto"/>
                <w:sz w:val="24"/>
                <w:szCs w:val="24"/>
                <w:lang w:val="en-US" w:eastAsia="zh-CN"/>
              </w:rPr>
              <w:t>贮存设施或贮存分区内地面、墙面裙脚、堵截泄漏的围堰、接触危险废物的隔板和墙体等应采用坚固的材料建造，表面无裂缝</w:t>
            </w:r>
            <w:r>
              <w:rPr>
                <w:rFonts w:hint="default" w:ascii="Times New Roman" w:hAnsi="Times New Roman" w:cs="Times New Roman"/>
                <w:bCs/>
                <w:color w:val="auto"/>
                <w:sz w:val="24"/>
                <w:szCs w:val="24"/>
                <w:lang w:eastAsia="zh-CN"/>
              </w:rPr>
              <w:t>。</w:t>
            </w:r>
          </w:p>
          <w:p w14:paraId="75463456">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④</w:t>
            </w:r>
            <w:r>
              <w:rPr>
                <w:rFonts w:hint="default" w:ascii="Times New Roman" w:hAnsi="Times New Roman" w:cs="Times New Roman"/>
                <w:bCs/>
                <w:color w:val="auto"/>
                <w:sz w:val="24"/>
                <w:szCs w:val="24"/>
                <w:lang w:val="en-US"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default" w:ascii="Times New Roman" w:hAnsi="Times New Roman" w:cs="Times New Roman"/>
                <w:bCs/>
                <w:color w:val="auto"/>
                <w:sz w:val="24"/>
                <w:szCs w:val="24"/>
                <w:vertAlign w:val="superscript"/>
                <w:lang w:val="en-US" w:eastAsia="zh-CN"/>
              </w:rPr>
              <w:t>-7</w:t>
            </w:r>
            <w:r>
              <w:rPr>
                <w:rFonts w:hint="default" w:ascii="Times New Roman" w:hAnsi="Times New Roman" w:cs="Times New Roman"/>
                <w:bCs/>
                <w:color w:val="auto"/>
                <w:sz w:val="24"/>
                <w:szCs w:val="24"/>
                <w:lang w:val="en-US" w:eastAsia="zh-CN"/>
              </w:rPr>
              <w:t xml:space="preserve"> cm/s），或至少2 mm厚高密度聚乙烯膜等人工防渗材料（渗透系数不大于10</w:t>
            </w:r>
            <w:r>
              <w:rPr>
                <w:rFonts w:hint="default" w:ascii="Times New Roman" w:hAnsi="Times New Roman" w:cs="Times New Roman"/>
                <w:bCs/>
                <w:color w:val="auto"/>
                <w:sz w:val="24"/>
                <w:szCs w:val="24"/>
                <w:vertAlign w:val="superscript"/>
                <w:lang w:val="en-US" w:eastAsia="zh-CN"/>
              </w:rPr>
              <w:t>-10</w:t>
            </w:r>
            <w:r>
              <w:rPr>
                <w:rFonts w:hint="default" w:ascii="Times New Roman" w:hAnsi="Times New Roman" w:cs="Times New Roman"/>
                <w:bCs/>
                <w:color w:val="auto"/>
                <w:sz w:val="24"/>
                <w:szCs w:val="24"/>
                <w:lang w:val="en-US" w:eastAsia="zh-CN"/>
              </w:rPr>
              <w:t>cm/s），或其他防渗性能等效的材料。</w:t>
            </w:r>
          </w:p>
          <w:p w14:paraId="3149FDF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⑤</w:t>
            </w:r>
            <w:r>
              <w:rPr>
                <w:rFonts w:hint="default" w:ascii="Times New Roman" w:hAnsi="Times New Roman" w:cs="Times New Roman"/>
                <w:bCs/>
                <w:color w:val="auto"/>
                <w:sz w:val="24"/>
                <w:szCs w:val="24"/>
                <w:lang w:val="en-US"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14C0E9F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rPr>
              <w:t>⑥</w:t>
            </w:r>
            <w:r>
              <w:rPr>
                <w:rFonts w:hint="default" w:ascii="Times New Roman" w:hAnsi="Times New Roman" w:cs="Times New Roman"/>
                <w:bCs/>
                <w:color w:val="auto"/>
                <w:sz w:val="24"/>
                <w:szCs w:val="24"/>
                <w:lang w:val="en-US" w:eastAsia="zh-CN"/>
              </w:rPr>
              <w:t>贮存设施应采取技术和管理措施防止无关人员进入</w:t>
            </w:r>
            <w:r>
              <w:rPr>
                <w:rFonts w:hint="default" w:ascii="Times New Roman" w:hAnsi="Times New Roman" w:cs="Times New Roman"/>
                <w:bCs/>
                <w:color w:val="auto"/>
                <w:sz w:val="24"/>
                <w:szCs w:val="24"/>
                <w:lang w:eastAsia="zh-CN"/>
              </w:rPr>
              <w:t>。</w:t>
            </w:r>
          </w:p>
          <w:p w14:paraId="73084D81">
            <w:pPr>
              <w:pStyle w:val="2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cs="Times New Roman"/>
                <w:b/>
                <w:bCs w:val="0"/>
                <w:color w:val="auto"/>
                <w:sz w:val="24"/>
                <w:szCs w:val="24"/>
                <w:lang w:eastAsia="zh-CN"/>
              </w:rPr>
            </w:pPr>
            <w:r>
              <w:rPr>
                <w:rFonts w:hint="default" w:ascii="Times New Roman" w:hAnsi="Times New Roman" w:cs="Times New Roman"/>
                <w:b/>
                <w:bCs w:val="0"/>
                <w:color w:val="auto"/>
                <w:sz w:val="24"/>
                <w:szCs w:val="24"/>
                <w:lang w:eastAsia="zh-CN"/>
              </w:rPr>
              <w:t>贮存过程污染控制要求：</w:t>
            </w:r>
          </w:p>
          <w:p w14:paraId="105AA53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lang w:eastAsia="zh-CN"/>
              </w:rPr>
              <w:t>①在常温常压下不易水解、不易挥发的固态危险废物可分类堆放贮存，其他固态危险废物应装入容器或包装物内贮存。</w:t>
            </w:r>
          </w:p>
          <w:p w14:paraId="54152B1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lang w:eastAsia="zh-CN"/>
              </w:rPr>
              <w:t>②液态危险废物应装入容器内贮存，或直接采用贮存池、贮存罐区贮存。</w:t>
            </w:r>
          </w:p>
          <w:p w14:paraId="0F236C3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lang w:eastAsia="zh-CN"/>
              </w:rPr>
              <w:t>③半固态危险废物应装入容器或包装袋内贮存，或直接采用贮存池贮存。</w:t>
            </w:r>
          </w:p>
          <w:p w14:paraId="6DFC38D5">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lang w:eastAsia="zh-CN"/>
              </w:rPr>
              <w:t>④具有热塑性的危险废物应装入容器或包装袋内进行贮存。</w:t>
            </w:r>
          </w:p>
          <w:p w14:paraId="3FB5D1B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lang w:eastAsia="zh-CN"/>
              </w:rPr>
              <w:t>⑤易产生粉尘、VOCs、酸雾、有毒有害大气污染物和刺激性气味气体的危险废物应装入闭口容器或包装物内贮存。</w:t>
            </w:r>
          </w:p>
          <w:p w14:paraId="6FB28C9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bCs/>
                <w:color w:val="auto"/>
                <w:sz w:val="24"/>
                <w:szCs w:val="24"/>
                <w:lang w:eastAsia="zh-CN"/>
              </w:rPr>
            </w:pPr>
            <w:r>
              <w:rPr>
                <w:rFonts w:hint="default" w:ascii="Times New Roman" w:hAnsi="Times New Roman" w:cs="Times New Roman"/>
                <w:bCs/>
                <w:color w:val="auto"/>
                <w:sz w:val="24"/>
                <w:szCs w:val="24"/>
                <w:lang w:eastAsia="zh-CN"/>
              </w:rPr>
              <w:t>⑥危险废物贮存过程中易产生粉尘等无组织排放的，应采取抑尘等有效措施。</w:t>
            </w:r>
          </w:p>
          <w:p w14:paraId="0571445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对照上述要求，项目危废贮存库设置于</w:t>
            </w:r>
            <w:r>
              <w:rPr>
                <w:rFonts w:hint="eastAsia" w:ascii="Times New Roman" w:hAnsi="Times New Roman" w:cs="Times New Roman"/>
                <w:color w:val="auto"/>
                <w:sz w:val="24"/>
                <w:szCs w:val="24"/>
                <w:lang w:val="en-US" w:eastAsia="zh-CN"/>
              </w:rPr>
              <w:t>室</w:t>
            </w:r>
            <w:r>
              <w:rPr>
                <w:rFonts w:hint="default" w:ascii="Times New Roman" w:hAnsi="Times New Roman" w:cs="Times New Roman"/>
                <w:color w:val="auto"/>
                <w:sz w:val="24"/>
                <w:szCs w:val="24"/>
                <w:lang w:eastAsia="zh-CN"/>
              </w:rPr>
              <w:t>内，并按照《危险废物贮存污染控制标准》（GB18597-20</w:t>
            </w:r>
            <w:r>
              <w:rPr>
                <w:rFonts w:hint="default" w:ascii="Times New Roman" w:hAnsi="Times New Roman" w:cs="Times New Roman"/>
                <w:color w:val="auto"/>
                <w:sz w:val="24"/>
                <w:szCs w:val="24"/>
                <w:lang w:val="en-US" w:eastAsia="zh-CN"/>
              </w:rPr>
              <w:t>23</w:t>
            </w:r>
            <w:r>
              <w:rPr>
                <w:rFonts w:hint="default" w:ascii="Times New Roman" w:hAnsi="Times New Roman" w:cs="Times New Roman"/>
                <w:color w:val="auto"/>
                <w:sz w:val="24"/>
                <w:szCs w:val="24"/>
                <w:lang w:eastAsia="zh-CN"/>
              </w:rPr>
              <w:t>）的要求做好防雨、防风、防晒、防腐、防渗等处理。</w:t>
            </w:r>
          </w:p>
          <w:p w14:paraId="15D15538">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采取上述措施后，危险废物暂存过程对周边环境不产生影响。</w:t>
            </w:r>
          </w:p>
          <w:p w14:paraId="2792F67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（3）运输过程的环境影响分析</w:t>
            </w:r>
          </w:p>
          <w:p w14:paraId="0894D225">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本项目危废从产生场所转移运输到暂存场所过程中，固废危废采用防渗漏的袋装或桶装，由叉车运输至危废暂存场所，通过规范管理，可以保证转移过程桶、袋不破裂，不撒漏，避免危废泄漏或撒漏对周边环境造成影响。</w:t>
            </w:r>
          </w:p>
          <w:p w14:paraId="0E2F20C4">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危险废物外运时严格按照《危险废物转移管理办法》的相关规定报批危险废物转移计划，转移危险废物时按照规定填报危险废物转移联单，并向危险废物移出地和接受地的县级以上地方人民政府环境保护行政主管部门报告。运输危险废物的人员接受专业培训经考核合格后从事运输危险废物的工作；运输危险废物的资质单位应当制定在发生意外事故时采取的应急措施和防范措施方可运输；运输时，发生突发性事故必须立即采取措施消除或者减轻对环境的污染危害，及时通报给附近的单位和居民，并向事故发生地县级以上人民政府环境保护行政主管部门和有关部门报告，接受调查处理。运输过程中做到密闭，沿途不抛洒，应有明显的标志，并有防雨、防晒等设施。运输路线按照主管部门制定路线进行运输。</w:t>
            </w:r>
          </w:p>
          <w:p w14:paraId="3742FD2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综上所述，项目运输过程做好相关工作对外环境的影响是可以控制的。</w:t>
            </w:r>
          </w:p>
          <w:p w14:paraId="4990E18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（4）委托处置的环境影响分析</w:t>
            </w:r>
          </w:p>
          <w:p w14:paraId="26CF626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sz w:val="24"/>
                <w:szCs w:val="24"/>
                <w:lang w:eastAsia="zh-CN"/>
              </w:rPr>
              <w:t>项目危险废物的处置委托资质单位处置，项目的危废类别为HW08、HW49，根据调查，项目周边地市具有相关类别资质的危废处置和利用单位如下，建设单位可以根据情况选择有富余处理能</w:t>
            </w:r>
            <w:r>
              <w:rPr>
                <w:rFonts w:hint="eastAsia" w:ascii="Times New Roman" w:hAnsi="Times New Roman" w:cs="Times New Roman"/>
                <w:color w:val="auto"/>
                <w:sz w:val="24"/>
                <w:szCs w:val="24"/>
                <w:lang w:eastAsia="zh-CN"/>
              </w:rPr>
              <w:t>力的</w:t>
            </w:r>
            <w:r>
              <w:rPr>
                <w:rFonts w:hint="default" w:ascii="Times New Roman" w:hAnsi="Times New Roman" w:cs="Times New Roman"/>
                <w:color w:val="auto"/>
                <w:sz w:val="24"/>
                <w:szCs w:val="24"/>
                <w:lang w:eastAsia="zh-CN"/>
              </w:rPr>
              <w:t>资质单位进行处置。</w:t>
            </w:r>
          </w:p>
          <w:p w14:paraId="2177BF21">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17</w:t>
            </w:r>
            <w:r>
              <w:rPr>
                <w:rFonts w:hint="default" w:ascii="Times New Roman" w:hAnsi="Times New Roman" w:cs="Times New Roman"/>
                <w:color w:val="000000"/>
              </w:rPr>
              <w:fldChar w:fldCharType="end"/>
            </w:r>
            <w:r>
              <w:rPr>
                <w:rFonts w:hint="default" w:ascii="Times New Roman" w:hAnsi="Times New Roman" w:cs="Times New Roman"/>
                <w:color w:val="auto"/>
                <w:lang w:eastAsia="zh-CN"/>
              </w:rPr>
              <w:t xml:space="preserve">  项目周边县区部分危废资质单位处置名单</w:t>
            </w:r>
          </w:p>
          <w:tbl>
            <w:tblPr>
              <w:tblStyle w:val="23"/>
              <w:tblW w:w="4995"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
            <w:tblGrid>
              <w:gridCol w:w="376"/>
              <w:gridCol w:w="1447"/>
              <w:gridCol w:w="2678"/>
              <w:gridCol w:w="1512"/>
              <w:gridCol w:w="1426"/>
              <w:gridCol w:w="892"/>
            </w:tblGrid>
            <w:tr w14:paraId="2FA1F6C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97" w:hRule="atLeast"/>
                <w:jc w:val="center"/>
              </w:trPr>
              <w:tc>
                <w:tcPr>
                  <w:tcW w:w="225" w:type="pct"/>
                  <w:noWrap w:val="0"/>
                  <w:vAlign w:val="center"/>
                </w:tcPr>
                <w:p w14:paraId="60417B16">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序号</w:t>
                  </w:r>
                </w:p>
              </w:tc>
              <w:tc>
                <w:tcPr>
                  <w:tcW w:w="868" w:type="pct"/>
                  <w:noWrap w:val="0"/>
                  <w:vAlign w:val="center"/>
                </w:tcPr>
                <w:p w14:paraId="182BA312">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区域</w:t>
                  </w:r>
                </w:p>
              </w:tc>
              <w:tc>
                <w:tcPr>
                  <w:tcW w:w="1607" w:type="pct"/>
                  <w:noWrap w:val="0"/>
                  <w:vAlign w:val="center"/>
                </w:tcPr>
                <w:p w14:paraId="67A756C8">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公司名称</w:t>
                  </w:r>
                </w:p>
              </w:tc>
              <w:tc>
                <w:tcPr>
                  <w:tcW w:w="907" w:type="pct"/>
                  <w:noWrap w:val="0"/>
                  <w:vAlign w:val="center"/>
                </w:tcPr>
                <w:p w14:paraId="2C999291">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处置和利用类别</w:t>
                  </w:r>
                </w:p>
              </w:tc>
              <w:tc>
                <w:tcPr>
                  <w:tcW w:w="855" w:type="pct"/>
                  <w:noWrap w:val="0"/>
                  <w:vAlign w:val="center"/>
                </w:tcPr>
                <w:p w14:paraId="788A2DE4">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经营方式</w:t>
                  </w:r>
                </w:p>
              </w:tc>
              <w:tc>
                <w:tcPr>
                  <w:tcW w:w="535" w:type="pct"/>
                  <w:noWrap w:val="0"/>
                  <w:vAlign w:val="center"/>
                </w:tcPr>
                <w:p w14:paraId="7C96075B">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处置能力（t/a）</w:t>
                  </w:r>
                </w:p>
              </w:tc>
            </w:tr>
            <w:tr w14:paraId="7590F62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97" w:hRule="atLeast"/>
                <w:jc w:val="center"/>
              </w:trPr>
              <w:tc>
                <w:tcPr>
                  <w:tcW w:w="225" w:type="pct"/>
                  <w:noWrap w:val="0"/>
                  <w:vAlign w:val="center"/>
                </w:tcPr>
                <w:p w14:paraId="1F3C789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w:t>
                  </w:r>
                </w:p>
              </w:tc>
              <w:tc>
                <w:tcPr>
                  <w:tcW w:w="868" w:type="pct"/>
                  <w:noWrap w:val="0"/>
                  <w:vAlign w:val="center"/>
                </w:tcPr>
                <w:p w14:paraId="6F8053B9">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池州市江南产业集中区</w:t>
                  </w:r>
                </w:p>
              </w:tc>
              <w:tc>
                <w:tcPr>
                  <w:tcW w:w="1607" w:type="pct"/>
                  <w:noWrap w:val="0"/>
                  <w:vAlign w:val="center"/>
                </w:tcPr>
                <w:p w14:paraId="3EB3DAB6">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安徽天衢环保科技有限公司</w:t>
                  </w:r>
                </w:p>
              </w:tc>
              <w:tc>
                <w:tcPr>
                  <w:tcW w:w="907" w:type="pct"/>
                  <w:noWrap w:val="0"/>
                  <w:vAlign w:val="center"/>
                </w:tcPr>
                <w:p w14:paraId="2E8D130D">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eastAsia="zh-CN"/>
                    </w:rPr>
                    <w:t>HW08、HW49</w:t>
                  </w:r>
                </w:p>
              </w:tc>
              <w:tc>
                <w:tcPr>
                  <w:tcW w:w="855" w:type="pct"/>
                  <w:noWrap w:val="0"/>
                  <w:vAlign w:val="center"/>
                </w:tcPr>
                <w:p w14:paraId="5BB75C63">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收集、贮存、转运</w:t>
                  </w:r>
                </w:p>
              </w:tc>
              <w:tc>
                <w:tcPr>
                  <w:tcW w:w="535" w:type="pct"/>
                  <w:noWrap w:val="0"/>
                  <w:vAlign w:val="center"/>
                </w:tcPr>
                <w:p w14:paraId="30A50170">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20000</w:t>
                  </w:r>
                </w:p>
              </w:tc>
            </w:tr>
            <w:tr w14:paraId="1FA077E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97" w:hRule="atLeast"/>
                <w:jc w:val="center"/>
              </w:trPr>
              <w:tc>
                <w:tcPr>
                  <w:tcW w:w="225" w:type="pct"/>
                  <w:noWrap w:val="0"/>
                  <w:vAlign w:val="center"/>
                </w:tcPr>
                <w:p w14:paraId="0DB23F47">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w:t>
                  </w:r>
                </w:p>
              </w:tc>
              <w:tc>
                <w:tcPr>
                  <w:tcW w:w="868" w:type="pct"/>
                  <w:noWrap w:val="0"/>
                  <w:vAlign w:val="center"/>
                </w:tcPr>
                <w:p w14:paraId="60A3236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i w:val="0"/>
                      <w:iCs w:val="0"/>
                      <w:caps w:val="0"/>
                      <w:color w:val="auto"/>
                      <w:spacing w:val="0"/>
                      <w:sz w:val="21"/>
                      <w:szCs w:val="21"/>
                      <w:shd w:val="clear" w:color="auto" w:fill="FFFFFF"/>
                    </w:rPr>
                    <w:t>池州市贵池区</w:t>
                  </w:r>
                </w:p>
              </w:tc>
              <w:tc>
                <w:tcPr>
                  <w:tcW w:w="1607" w:type="pct"/>
                  <w:noWrap w:val="0"/>
                  <w:vAlign w:val="center"/>
                </w:tcPr>
                <w:p w14:paraId="2850B4B5">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安徽远扬环保科技有限公司</w:t>
                  </w:r>
                </w:p>
              </w:tc>
              <w:tc>
                <w:tcPr>
                  <w:tcW w:w="907" w:type="pct"/>
                  <w:noWrap w:val="0"/>
                  <w:vAlign w:val="center"/>
                </w:tcPr>
                <w:p w14:paraId="75E93D2B">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eastAsia="zh-CN"/>
                    </w:rPr>
                    <w:t>HW08、HW49</w:t>
                  </w:r>
                </w:p>
              </w:tc>
              <w:tc>
                <w:tcPr>
                  <w:tcW w:w="855" w:type="pct"/>
                  <w:noWrap w:val="0"/>
                  <w:vAlign w:val="center"/>
                </w:tcPr>
                <w:p w14:paraId="3326FE0A">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收集、贮存、利用</w:t>
                  </w:r>
                </w:p>
              </w:tc>
              <w:tc>
                <w:tcPr>
                  <w:tcW w:w="535" w:type="pct"/>
                  <w:noWrap w:val="0"/>
                  <w:vAlign w:val="center"/>
                </w:tcPr>
                <w:p w14:paraId="2C4436C7">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51000</w:t>
                  </w:r>
                </w:p>
              </w:tc>
            </w:tr>
            <w:tr w14:paraId="70F9B0E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97" w:hRule="atLeast"/>
                <w:jc w:val="center"/>
              </w:trPr>
              <w:tc>
                <w:tcPr>
                  <w:tcW w:w="225" w:type="pct"/>
                  <w:noWrap w:val="0"/>
                  <w:vAlign w:val="center"/>
                </w:tcPr>
                <w:p w14:paraId="7C665CCC">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w:t>
                  </w:r>
                </w:p>
              </w:tc>
              <w:tc>
                <w:tcPr>
                  <w:tcW w:w="868" w:type="pct"/>
                  <w:noWrap w:val="0"/>
                  <w:vAlign w:val="center"/>
                </w:tcPr>
                <w:p w14:paraId="0FB9B8F7">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池州市经开区</w:t>
                  </w:r>
                </w:p>
              </w:tc>
              <w:tc>
                <w:tcPr>
                  <w:tcW w:w="1607" w:type="pct"/>
                  <w:noWrap w:val="0"/>
                  <w:vAlign w:val="center"/>
                </w:tcPr>
                <w:p w14:paraId="62532433">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安徽海源环保科技有限责任公司</w:t>
                  </w:r>
                </w:p>
              </w:tc>
              <w:tc>
                <w:tcPr>
                  <w:tcW w:w="907" w:type="pct"/>
                  <w:noWrap w:val="0"/>
                  <w:vAlign w:val="center"/>
                </w:tcPr>
                <w:p w14:paraId="5DFBF229">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eastAsia="zh-CN"/>
                    </w:rPr>
                    <w:t>HW08、HW49</w:t>
                  </w:r>
                </w:p>
              </w:tc>
              <w:tc>
                <w:tcPr>
                  <w:tcW w:w="855" w:type="pct"/>
                  <w:noWrap w:val="0"/>
                  <w:vAlign w:val="center"/>
                </w:tcPr>
                <w:p w14:paraId="5AA99BDC">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收集、贮存</w:t>
                  </w:r>
                </w:p>
              </w:tc>
              <w:tc>
                <w:tcPr>
                  <w:tcW w:w="535" w:type="pct"/>
                  <w:noWrap w:val="0"/>
                  <w:vAlign w:val="center"/>
                </w:tcPr>
                <w:p w14:paraId="43CE15C6">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30000</w:t>
                  </w:r>
                </w:p>
              </w:tc>
            </w:tr>
            <w:tr w14:paraId="3E3E11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57" w:type="dxa"/>
                  <w:bottom w:w="0" w:type="dxa"/>
                  <w:right w:w="57" w:type="dxa"/>
                </w:tblCellMar>
              </w:tblPrEx>
              <w:trPr>
                <w:trHeight w:val="397" w:hRule="atLeast"/>
                <w:jc w:val="center"/>
              </w:trPr>
              <w:tc>
                <w:tcPr>
                  <w:tcW w:w="225" w:type="pct"/>
                  <w:noWrap w:val="0"/>
                  <w:vAlign w:val="center"/>
                </w:tcPr>
                <w:p w14:paraId="2363ECE5">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4</w:t>
                  </w:r>
                </w:p>
              </w:tc>
              <w:tc>
                <w:tcPr>
                  <w:tcW w:w="868" w:type="pct"/>
                  <w:noWrap w:val="0"/>
                  <w:vAlign w:val="center"/>
                </w:tcPr>
                <w:p w14:paraId="148D0865">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池州市高新区前江产业园</w:t>
                  </w:r>
                </w:p>
              </w:tc>
              <w:tc>
                <w:tcPr>
                  <w:tcW w:w="1607" w:type="pct"/>
                  <w:noWrap w:val="0"/>
                  <w:vAlign w:val="center"/>
                </w:tcPr>
                <w:p w14:paraId="0AAFA0D0">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池州西恩新材料科技有限公司</w:t>
                  </w:r>
                </w:p>
              </w:tc>
              <w:tc>
                <w:tcPr>
                  <w:tcW w:w="907" w:type="pct"/>
                  <w:noWrap w:val="0"/>
                  <w:vAlign w:val="center"/>
                </w:tcPr>
                <w:p w14:paraId="6D00DAF0">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HW49</w:t>
                  </w:r>
                </w:p>
              </w:tc>
              <w:tc>
                <w:tcPr>
                  <w:tcW w:w="855" w:type="pct"/>
                  <w:noWrap w:val="0"/>
                  <w:vAlign w:val="center"/>
                </w:tcPr>
                <w:p w14:paraId="06264962">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000000"/>
                      <w:sz w:val="21"/>
                      <w:szCs w:val="21"/>
                      <w:lang w:val="en-US" w:eastAsia="zh-CN"/>
                    </w:rPr>
                    <w:t>收集、贮存、利用</w:t>
                  </w:r>
                </w:p>
              </w:tc>
              <w:tc>
                <w:tcPr>
                  <w:tcW w:w="535" w:type="pct"/>
                  <w:noWrap w:val="0"/>
                  <w:vAlign w:val="center"/>
                </w:tcPr>
                <w:p w14:paraId="01852C35">
                  <w:pPr>
                    <w:pStyle w:val="41"/>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200000</w:t>
                  </w:r>
                </w:p>
              </w:tc>
            </w:tr>
          </w:tbl>
          <w:p w14:paraId="213967B1">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vertAlign w:val="baseline"/>
                <w:lang w:val="en-US" w:eastAsia="zh-CN" w:bidi="ar-SA"/>
                <w14:textFill>
                  <w14:solidFill>
                    <w14:schemeClr w14:val="tx1"/>
                  </w14:solidFill>
                </w14:textFill>
              </w:rPr>
            </w:pPr>
            <w:r>
              <w:rPr>
                <w:rFonts w:hint="default" w:ascii="Times New Roman" w:hAnsi="Times New Roman" w:cs="Times New Roman"/>
                <w:color w:val="auto"/>
                <w:lang w:val="en-US" w:eastAsia="zh-CN" w:bidi="ar-SA"/>
              </w:rPr>
              <w:t>综上所述，本项目建成运行后，本项目的危险废物可得到妥善处理处置，不外排，对周边环境的不利影响较小。</w:t>
            </w:r>
          </w:p>
          <w:p w14:paraId="774B6F41">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5、环境管理及环境监测</w:t>
            </w:r>
          </w:p>
          <w:p w14:paraId="4EF83394">
            <w:pPr>
              <w:pStyle w:val="43"/>
              <w:keepNext w:val="0"/>
              <w:keepLines w:val="0"/>
              <w:pageBreakBefore w:val="0"/>
              <w:widowControl/>
              <w:kinsoku/>
              <w:wordWrap/>
              <w:overflowPunct/>
              <w:topLinePunct w:val="0"/>
              <w:autoSpaceDE/>
              <w:autoSpaceDN/>
              <w:bidi w:val="0"/>
              <w:adjustRightInd w:val="0"/>
              <w:snapToGrid w:val="0"/>
              <w:jc w:val="both"/>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（1）环境管理</w:t>
            </w:r>
          </w:p>
          <w:p w14:paraId="3E0E0360">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根据本项目的生产特点，对环境管理机构的设置建议如下：</w:t>
            </w:r>
          </w:p>
          <w:p w14:paraId="7C1BF099">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环境管理应由总经理主管负责，下设环境保护专职机构，并与各职能部门保持密切的联系，由专职环境保护管理工作人员实施全公司的环境管理工作，其主要职责是：</w:t>
            </w:r>
          </w:p>
          <w:p w14:paraId="7574B52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①贯彻执行国家和地方的环境保护法规和标准；</w:t>
            </w:r>
          </w:p>
          <w:p w14:paraId="648A997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②接受环保部门的检查监督，定期上报各项环境管理工作的执行情况；</w:t>
            </w:r>
          </w:p>
          <w:p w14:paraId="046C6E79">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③组织制定公司各部门的环境管理规章制度；</w:t>
            </w:r>
          </w:p>
          <w:p w14:paraId="2CF7EA65">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④负责环保设施的正常运转，以及环境监测计划的实施。</w:t>
            </w:r>
          </w:p>
          <w:p w14:paraId="5CFA4A9A">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（2）环境监测计划</w:t>
            </w:r>
          </w:p>
          <w:p w14:paraId="0615CB11">
            <w:pPr>
              <w:pStyle w:val="43"/>
              <w:keepNext w:val="0"/>
              <w:keepLines w:val="0"/>
              <w:pageBreakBefore w:val="0"/>
              <w:widowControl/>
              <w:kinsoku/>
              <w:wordWrap/>
              <w:overflowPunct/>
              <w:topLinePunct w:val="0"/>
              <w:autoSpaceDE/>
              <w:autoSpaceDN/>
              <w:bidi w:val="0"/>
              <w:adjustRightInd w:val="0"/>
              <w:snapToGrid w:val="0"/>
              <w:jc w:val="both"/>
              <w:textAlignment w:val="auto"/>
              <w:rPr>
                <w:rFonts w:hint="eastAsia"/>
                <w:color w:val="000000" w:themeColor="text1"/>
                <w:lang w:val="en-US" w:eastAsia="zh-CN" w:bidi="ar-SA"/>
                <w14:textFill>
                  <w14:solidFill>
                    <w14:schemeClr w14:val="tx1"/>
                  </w14:solidFill>
                </w14:textFill>
              </w:rPr>
            </w:pPr>
            <w:r>
              <w:rPr>
                <w:rFonts w:hAnsi="宋体"/>
                <w:bCs/>
                <w:szCs w:val="21"/>
                <w:lang w:val="en-US" w:eastAsia="zh-CN" w:bidi="ar-SA"/>
              </w:rPr>
              <w:t>根据</w:t>
            </w:r>
            <w:r>
              <w:rPr>
                <w:rFonts w:hint="default" w:ascii="Times New Roman" w:hAnsi="Times New Roman" w:cs="Times New Roman"/>
                <w:color w:val="auto"/>
                <w:lang w:val="en-US" w:eastAsia="zh-CN" w:bidi="ar-SA"/>
              </w:rPr>
              <w:t xml:space="preserve">《排污许可证申请与核发技术规范 </w:t>
            </w:r>
            <w:r>
              <w:rPr>
                <w:rFonts w:hint="eastAsia" w:ascii="Times New Roman" w:hAnsi="Times New Roman" w:cs="Times New Roman"/>
                <w:color w:val="auto"/>
                <w:lang w:val="en-US" w:eastAsia="zh-CN" w:bidi="ar-SA"/>
              </w:rPr>
              <w:t>工业炉窑</w:t>
            </w:r>
            <w:r>
              <w:rPr>
                <w:rFonts w:hint="default" w:ascii="Times New Roman" w:hAnsi="Times New Roman" w:cs="Times New Roman"/>
                <w:color w:val="auto"/>
                <w:lang w:val="en-US" w:eastAsia="zh-CN" w:bidi="ar-SA"/>
              </w:rPr>
              <w:t xml:space="preserve">》（HJ </w:t>
            </w:r>
            <w:r>
              <w:rPr>
                <w:rFonts w:hint="eastAsia" w:ascii="Times New Roman" w:hAnsi="Times New Roman" w:cs="Times New Roman"/>
                <w:color w:val="auto"/>
                <w:lang w:val="en-US" w:eastAsia="zh-CN" w:bidi="ar-SA"/>
              </w:rPr>
              <w:t>1121</w:t>
            </w:r>
            <w:r>
              <w:rPr>
                <w:rFonts w:hint="default" w:ascii="Times New Roman" w:hAnsi="Times New Roman" w:cs="Times New Roman"/>
                <w:color w:val="auto"/>
                <w:lang w:val="en-US" w:eastAsia="zh-CN" w:bidi="ar-SA"/>
              </w:rPr>
              <w:t>-20</w:t>
            </w:r>
            <w:r>
              <w:rPr>
                <w:rFonts w:hint="eastAsia" w:ascii="Times New Roman" w:hAnsi="Times New Roman" w:cs="Times New Roman"/>
                <w:color w:val="auto"/>
                <w:lang w:val="en-US" w:eastAsia="zh-CN" w:bidi="ar-SA"/>
              </w:rPr>
              <w:t>20</w:t>
            </w:r>
            <w:r>
              <w:rPr>
                <w:rFonts w:hint="default" w:ascii="Times New Roman" w:hAnsi="Times New Roman" w:cs="Times New Roman"/>
                <w:color w:val="auto"/>
                <w:lang w:val="en-US" w:eastAsia="zh-CN" w:bidi="ar-SA"/>
              </w:rPr>
              <w:t>）</w:t>
            </w:r>
            <w:r>
              <w:rPr>
                <w:rFonts w:hint="eastAsia" w:hAnsi="宋体"/>
                <w:bCs/>
                <w:szCs w:val="21"/>
                <w:lang w:val="en-US" w:eastAsia="zh-CN" w:bidi="ar-SA"/>
              </w:rPr>
              <w:t>及</w:t>
            </w:r>
            <w:r>
              <w:rPr>
                <w:rFonts w:hAnsi="宋体"/>
                <w:bCs/>
                <w:szCs w:val="21"/>
                <w:lang w:val="en-US" w:eastAsia="zh-CN" w:bidi="ar-SA"/>
              </w:rPr>
              <w:t>《</w:t>
            </w:r>
            <w:r>
              <w:rPr>
                <w:rFonts w:hint="eastAsia" w:hAnsi="宋体"/>
                <w:bCs/>
                <w:szCs w:val="21"/>
                <w:lang w:val="en-US" w:eastAsia="zh-CN" w:bidi="ar-SA"/>
              </w:rPr>
              <w:t>排污单位自行监测技术指南 总则</w:t>
            </w:r>
            <w:r>
              <w:rPr>
                <w:rFonts w:hAnsi="宋体"/>
                <w:bCs/>
                <w:szCs w:val="21"/>
                <w:lang w:val="en-US" w:eastAsia="zh-CN" w:bidi="ar-SA"/>
              </w:rPr>
              <w:t xml:space="preserve">》（HJ </w:t>
            </w:r>
            <w:r>
              <w:rPr>
                <w:rFonts w:hint="eastAsia" w:hAnsi="宋体"/>
                <w:bCs/>
                <w:szCs w:val="21"/>
                <w:lang w:val="en-US" w:eastAsia="zh-CN" w:bidi="ar-SA"/>
              </w:rPr>
              <w:t>819</w:t>
            </w:r>
            <w:r>
              <w:rPr>
                <w:rFonts w:hAnsi="宋体"/>
                <w:bCs/>
                <w:szCs w:val="21"/>
                <w:lang w:val="en-US" w:eastAsia="zh-CN" w:bidi="ar-SA"/>
              </w:rPr>
              <w:t>-20</w:t>
            </w:r>
            <w:r>
              <w:rPr>
                <w:rFonts w:hint="eastAsia" w:hAnsi="宋体"/>
                <w:bCs/>
                <w:szCs w:val="21"/>
                <w:lang w:val="en-US" w:eastAsia="zh-CN" w:bidi="ar-SA"/>
              </w:rPr>
              <w:t>17</w:t>
            </w:r>
            <w:r>
              <w:rPr>
                <w:rFonts w:hAnsi="宋体"/>
                <w:bCs/>
                <w:szCs w:val="21"/>
                <w:lang w:val="en-US" w:eastAsia="zh-CN" w:bidi="ar-SA"/>
              </w:rPr>
              <w:t>），本次报告建议制定如下监测计划，发现废气和噪声超标，应及时进行整改，以降低周边环境的影响</w:t>
            </w:r>
            <w:r>
              <w:rPr>
                <w:rFonts w:hint="eastAsia"/>
                <w:color w:val="000000" w:themeColor="text1"/>
                <w:lang w:val="en-US" w:eastAsia="zh-CN" w:bidi="ar-SA"/>
                <w14:textFill>
                  <w14:solidFill>
                    <w14:schemeClr w14:val="tx1"/>
                  </w14:solidFill>
                </w14:textFill>
              </w:rPr>
              <w:t>。</w:t>
            </w:r>
          </w:p>
          <w:p w14:paraId="341BD433">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18</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本项目环境监测计划建议</w:t>
            </w:r>
          </w:p>
          <w:tbl>
            <w:tblPr>
              <w:tblStyle w:val="24"/>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40" w:type="dxa"/>
                <w:bottom w:w="0" w:type="dxa"/>
                <w:right w:w="40" w:type="dxa"/>
              </w:tblCellMar>
            </w:tblPr>
            <w:tblGrid>
              <w:gridCol w:w="681"/>
              <w:gridCol w:w="1527"/>
              <w:gridCol w:w="1932"/>
              <w:gridCol w:w="1933"/>
              <w:gridCol w:w="1081"/>
              <w:gridCol w:w="1142"/>
            </w:tblGrid>
            <w:tr w14:paraId="5DFF6E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681" w:type="dxa"/>
                  <w:tcBorders>
                    <w:tl2br w:val="nil"/>
                    <w:tr2bl w:val="nil"/>
                  </w:tcBorders>
                  <w:vAlign w:val="center"/>
                </w:tcPr>
                <w:p w14:paraId="6E8822B0">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类别</w:t>
                  </w:r>
                </w:p>
              </w:tc>
              <w:tc>
                <w:tcPr>
                  <w:tcW w:w="1527" w:type="dxa"/>
                  <w:tcBorders>
                    <w:tl2br w:val="nil"/>
                    <w:tr2bl w:val="nil"/>
                  </w:tcBorders>
                  <w:vAlign w:val="center"/>
                </w:tcPr>
                <w:p w14:paraId="351C4015">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排放口类型</w:t>
                  </w:r>
                </w:p>
              </w:tc>
              <w:tc>
                <w:tcPr>
                  <w:tcW w:w="1932" w:type="dxa"/>
                  <w:tcBorders>
                    <w:tl2br w:val="nil"/>
                    <w:tr2bl w:val="nil"/>
                  </w:tcBorders>
                  <w:vAlign w:val="center"/>
                </w:tcPr>
                <w:p w14:paraId="6C1C4A4B">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监测点</w:t>
                  </w:r>
                </w:p>
              </w:tc>
              <w:tc>
                <w:tcPr>
                  <w:tcW w:w="1933" w:type="dxa"/>
                  <w:tcBorders>
                    <w:tl2br w:val="nil"/>
                    <w:tr2bl w:val="nil"/>
                  </w:tcBorders>
                  <w:vAlign w:val="center"/>
                </w:tcPr>
                <w:p w14:paraId="2F793ED2">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项目</w:t>
                  </w:r>
                </w:p>
              </w:tc>
              <w:tc>
                <w:tcPr>
                  <w:tcW w:w="1081" w:type="dxa"/>
                  <w:tcBorders>
                    <w:tl2br w:val="nil"/>
                    <w:tr2bl w:val="nil"/>
                  </w:tcBorders>
                  <w:vAlign w:val="center"/>
                </w:tcPr>
                <w:p w14:paraId="4B2F4160">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频次</w:t>
                  </w:r>
                </w:p>
              </w:tc>
              <w:tc>
                <w:tcPr>
                  <w:tcW w:w="1142" w:type="dxa"/>
                  <w:tcBorders>
                    <w:tl2br w:val="nil"/>
                    <w:tr2bl w:val="nil"/>
                  </w:tcBorders>
                  <w:vAlign w:val="center"/>
                </w:tcPr>
                <w:p w14:paraId="4160360C">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监测方式</w:t>
                  </w:r>
                </w:p>
              </w:tc>
            </w:tr>
            <w:tr w14:paraId="08D750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681" w:type="dxa"/>
                  <w:vMerge w:val="restart"/>
                  <w:tcBorders>
                    <w:tl2br w:val="nil"/>
                    <w:tr2bl w:val="nil"/>
                  </w:tcBorders>
                  <w:vAlign w:val="center"/>
                </w:tcPr>
                <w:p w14:paraId="0E1810E6">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废气</w:t>
                  </w:r>
                </w:p>
              </w:tc>
              <w:tc>
                <w:tcPr>
                  <w:tcW w:w="1527" w:type="dxa"/>
                  <w:tcBorders>
                    <w:tl2br w:val="nil"/>
                    <w:tr2bl w:val="nil"/>
                  </w:tcBorders>
                  <w:vAlign w:val="center"/>
                </w:tcPr>
                <w:p w14:paraId="146A0459">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bidi="ar-SA"/>
                      <w14:textFill>
                        <w14:solidFill>
                          <w14:schemeClr w14:val="tx1"/>
                        </w14:solidFill>
                      </w14:textFill>
                    </w:rPr>
                    <w:t>一般排放口</w:t>
                  </w:r>
                </w:p>
              </w:tc>
              <w:tc>
                <w:tcPr>
                  <w:tcW w:w="1932" w:type="dxa"/>
                  <w:tcBorders>
                    <w:tl2br w:val="nil"/>
                    <w:tr2bl w:val="nil"/>
                  </w:tcBorders>
                  <w:vAlign w:val="center"/>
                </w:tcPr>
                <w:p w14:paraId="661BF709">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DA001</w:t>
                  </w:r>
                </w:p>
              </w:tc>
              <w:tc>
                <w:tcPr>
                  <w:tcW w:w="1933" w:type="dxa"/>
                  <w:tcBorders>
                    <w:tl2br w:val="nil"/>
                    <w:tr2bl w:val="nil"/>
                  </w:tcBorders>
                  <w:vAlign w:val="center"/>
                </w:tcPr>
                <w:p w14:paraId="4359F4E7">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颗粒物、SO</w:t>
                  </w:r>
                  <w:r>
                    <w:rPr>
                      <w:rFonts w:hint="eastAsia"/>
                      <w:color w:val="000000" w:themeColor="text1"/>
                      <w:vertAlign w:val="subscript"/>
                      <w:lang w:val="en-US" w:eastAsia="zh-CN" w:bidi="ar-SA"/>
                      <w14:textFill>
                        <w14:solidFill>
                          <w14:schemeClr w14:val="tx1"/>
                        </w14:solidFill>
                      </w14:textFill>
                    </w:rPr>
                    <w:t>2</w:t>
                  </w:r>
                  <w:r>
                    <w:rPr>
                      <w:rFonts w:hint="eastAsia"/>
                      <w:color w:val="000000" w:themeColor="text1"/>
                      <w:lang w:val="en-US" w:eastAsia="zh-CN" w:bidi="ar-SA"/>
                      <w14:textFill>
                        <w14:solidFill>
                          <w14:schemeClr w14:val="tx1"/>
                        </w14:solidFill>
                      </w14:textFill>
                    </w:rPr>
                    <w:t>、NOx</w:t>
                  </w:r>
                </w:p>
              </w:tc>
              <w:tc>
                <w:tcPr>
                  <w:tcW w:w="1081" w:type="dxa"/>
                  <w:tcBorders>
                    <w:tl2br w:val="nil"/>
                    <w:tr2bl w:val="nil"/>
                  </w:tcBorders>
                  <w:vAlign w:val="center"/>
                </w:tcPr>
                <w:p w14:paraId="077B8B18">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1次/年</w:t>
                  </w:r>
                </w:p>
              </w:tc>
              <w:tc>
                <w:tcPr>
                  <w:tcW w:w="1142" w:type="dxa"/>
                  <w:vMerge w:val="restart"/>
                  <w:tcBorders>
                    <w:tl2br w:val="nil"/>
                    <w:tr2bl w:val="nil"/>
                  </w:tcBorders>
                  <w:vAlign w:val="center"/>
                </w:tcPr>
                <w:p w14:paraId="3D76B1A2">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委托资质单位进行监测</w:t>
                  </w:r>
                </w:p>
              </w:tc>
            </w:tr>
            <w:tr w14:paraId="0C7FEA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681" w:type="dxa"/>
                  <w:vMerge w:val="continue"/>
                  <w:tcBorders>
                    <w:tl2br w:val="nil"/>
                    <w:tr2bl w:val="nil"/>
                  </w:tcBorders>
                  <w:vAlign w:val="center"/>
                </w:tcPr>
                <w:p w14:paraId="2F99B93C">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p>
              </w:tc>
              <w:tc>
                <w:tcPr>
                  <w:tcW w:w="1527" w:type="dxa"/>
                  <w:tcBorders>
                    <w:tl2br w:val="nil"/>
                    <w:tr2bl w:val="nil"/>
                  </w:tcBorders>
                  <w:vAlign w:val="center"/>
                </w:tcPr>
                <w:p w14:paraId="6D30466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一般排放口</w:t>
                  </w:r>
                </w:p>
              </w:tc>
              <w:tc>
                <w:tcPr>
                  <w:tcW w:w="1932" w:type="dxa"/>
                  <w:tcBorders>
                    <w:tl2br w:val="nil"/>
                    <w:tr2bl w:val="nil"/>
                  </w:tcBorders>
                  <w:vAlign w:val="center"/>
                </w:tcPr>
                <w:p w14:paraId="3A26A6AC">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DA002</w:t>
                  </w:r>
                </w:p>
              </w:tc>
              <w:tc>
                <w:tcPr>
                  <w:tcW w:w="1933" w:type="dxa"/>
                  <w:tcBorders>
                    <w:tl2br w:val="nil"/>
                    <w:tr2bl w:val="nil"/>
                  </w:tcBorders>
                  <w:vAlign w:val="center"/>
                </w:tcPr>
                <w:p w14:paraId="6A6A03FF">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颗粒物</w:t>
                  </w:r>
                </w:p>
              </w:tc>
              <w:tc>
                <w:tcPr>
                  <w:tcW w:w="1081" w:type="dxa"/>
                  <w:tcBorders>
                    <w:tl2br w:val="nil"/>
                    <w:tr2bl w:val="nil"/>
                  </w:tcBorders>
                  <w:vAlign w:val="center"/>
                </w:tcPr>
                <w:p w14:paraId="2C756CF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1次/年</w:t>
                  </w:r>
                </w:p>
              </w:tc>
              <w:tc>
                <w:tcPr>
                  <w:tcW w:w="1142" w:type="dxa"/>
                  <w:vMerge w:val="continue"/>
                  <w:tcBorders>
                    <w:tl2br w:val="nil"/>
                    <w:tr2bl w:val="nil"/>
                  </w:tcBorders>
                  <w:vAlign w:val="center"/>
                </w:tcPr>
                <w:p w14:paraId="3D87B6E9">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p>
              </w:tc>
            </w:tr>
            <w:tr w14:paraId="6F77CA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681" w:type="dxa"/>
                  <w:vMerge w:val="continue"/>
                  <w:tcBorders>
                    <w:tl2br w:val="nil"/>
                    <w:tr2bl w:val="nil"/>
                  </w:tcBorders>
                  <w:vAlign w:val="center"/>
                </w:tcPr>
                <w:p w14:paraId="4F2AD05F">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p>
              </w:tc>
              <w:tc>
                <w:tcPr>
                  <w:tcW w:w="1527" w:type="dxa"/>
                  <w:tcBorders>
                    <w:tl2br w:val="nil"/>
                    <w:tr2bl w:val="nil"/>
                  </w:tcBorders>
                  <w:vAlign w:val="center"/>
                </w:tcPr>
                <w:p w14:paraId="34F8A93A">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无组织废气</w:t>
                  </w:r>
                </w:p>
              </w:tc>
              <w:tc>
                <w:tcPr>
                  <w:tcW w:w="1932" w:type="dxa"/>
                  <w:tcBorders>
                    <w:tl2br w:val="nil"/>
                    <w:tr2bl w:val="nil"/>
                  </w:tcBorders>
                  <w:vAlign w:val="center"/>
                </w:tcPr>
                <w:p w14:paraId="466E6D61">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厂界无组织监控点</w:t>
                  </w:r>
                </w:p>
              </w:tc>
              <w:tc>
                <w:tcPr>
                  <w:tcW w:w="1933" w:type="dxa"/>
                  <w:tcBorders>
                    <w:tl2br w:val="nil"/>
                    <w:tr2bl w:val="nil"/>
                  </w:tcBorders>
                  <w:vAlign w:val="center"/>
                </w:tcPr>
                <w:p w14:paraId="50AE64BA">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颗粒物</w:t>
                  </w:r>
                </w:p>
              </w:tc>
              <w:tc>
                <w:tcPr>
                  <w:tcW w:w="1081" w:type="dxa"/>
                  <w:tcBorders>
                    <w:tl2br w:val="nil"/>
                    <w:tr2bl w:val="nil"/>
                  </w:tcBorders>
                  <w:vAlign w:val="center"/>
                </w:tcPr>
                <w:p w14:paraId="4F1E002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1次/年</w:t>
                  </w:r>
                </w:p>
              </w:tc>
              <w:tc>
                <w:tcPr>
                  <w:tcW w:w="1142" w:type="dxa"/>
                  <w:vMerge w:val="continue"/>
                  <w:tcBorders>
                    <w:tl2br w:val="nil"/>
                    <w:tr2bl w:val="nil"/>
                  </w:tcBorders>
                  <w:vAlign w:val="center"/>
                </w:tcPr>
                <w:p w14:paraId="3699FF61">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p>
              </w:tc>
            </w:tr>
            <w:tr w14:paraId="3AA28C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0" w:type="dxa"/>
                  <w:bottom w:w="0" w:type="dxa"/>
                  <w:right w:w="40" w:type="dxa"/>
                </w:tblCellMar>
              </w:tblPrEx>
              <w:trPr>
                <w:trHeight w:val="425" w:hRule="atLeast"/>
              </w:trPr>
              <w:tc>
                <w:tcPr>
                  <w:tcW w:w="681" w:type="dxa"/>
                  <w:tcBorders>
                    <w:tl2br w:val="nil"/>
                    <w:tr2bl w:val="nil"/>
                  </w:tcBorders>
                  <w:vAlign w:val="center"/>
                </w:tcPr>
                <w:p w14:paraId="1F2B935A">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噪声</w:t>
                  </w:r>
                </w:p>
              </w:tc>
              <w:tc>
                <w:tcPr>
                  <w:tcW w:w="1527" w:type="dxa"/>
                  <w:tcBorders>
                    <w:tl2br w:val="nil"/>
                    <w:tr2bl w:val="nil"/>
                  </w:tcBorders>
                  <w:vAlign w:val="center"/>
                </w:tcPr>
                <w:p w14:paraId="486C8A6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1932" w:type="dxa"/>
                  <w:tcBorders>
                    <w:tl2br w:val="nil"/>
                    <w:tr2bl w:val="nil"/>
                  </w:tcBorders>
                  <w:vAlign w:val="center"/>
                </w:tcPr>
                <w:p w14:paraId="1A87B1CD">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厂界四周噪声</w:t>
                  </w:r>
                </w:p>
              </w:tc>
              <w:tc>
                <w:tcPr>
                  <w:tcW w:w="1933" w:type="dxa"/>
                  <w:tcBorders>
                    <w:tl2br w:val="nil"/>
                    <w:tr2bl w:val="nil"/>
                  </w:tcBorders>
                  <w:vAlign w:val="center"/>
                </w:tcPr>
                <w:p w14:paraId="337736AE">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Leq（dBA）</w:t>
                  </w:r>
                </w:p>
              </w:tc>
              <w:tc>
                <w:tcPr>
                  <w:tcW w:w="1081" w:type="dxa"/>
                  <w:tcBorders>
                    <w:tl2br w:val="nil"/>
                    <w:tr2bl w:val="nil"/>
                  </w:tcBorders>
                  <w:vAlign w:val="center"/>
                </w:tcPr>
                <w:p w14:paraId="0C185244">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1次/季度</w:t>
                  </w:r>
                </w:p>
              </w:tc>
              <w:tc>
                <w:tcPr>
                  <w:tcW w:w="1142" w:type="dxa"/>
                  <w:vMerge w:val="continue"/>
                  <w:tcBorders>
                    <w:tl2br w:val="nil"/>
                    <w:tr2bl w:val="nil"/>
                  </w:tcBorders>
                  <w:vAlign w:val="center"/>
                </w:tcPr>
                <w:p w14:paraId="707FDA77">
                  <w:pPr>
                    <w:pStyle w:val="41"/>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color w:val="000000" w:themeColor="text1"/>
                      <w:lang w:val="en-US" w:eastAsia="zh-CN" w:bidi="ar-SA"/>
                      <w14:textFill>
                        <w14:solidFill>
                          <w14:schemeClr w14:val="tx1"/>
                        </w14:solidFill>
                      </w14:textFill>
                    </w:rPr>
                  </w:pPr>
                </w:p>
              </w:tc>
            </w:tr>
          </w:tbl>
          <w:p w14:paraId="57D7EBEB">
            <w:pPr>
              <w:pStyle w:val="22"/>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jc w:val="both"/>
              <w:textAlignment w:val="auto"/>
              <w:rPr>
                <w:rFonts w:hint="default" w:ascii="Times New Roman" w:hAnsi="Times New Roman" w:cs="Times New Roman"/>
                <w:b w:val="0"/>
                <w:bCs w:val="0"/>
                <w:color w:val="auto"/>
                <w:lang w:eastAsia="zh-CN"/>
              </w:rPr>
            </w:pPr>
            <w:r>
              <w:rPr>
                <w:rFonts w:hint="eastAsia" w:ascii="Times New Roman" w:hAnsi="Times New Roman" w:cs="Times New Roman"/>
                <w:b w:val="0"/>
                <w:bCs w:val="0"/>
                <w:color w:val="auto"/>
                <w:lang w:val="en-US" w:eastAsia="zh-CN"/>
              </w:rPr>
              <w:t>6</w:t>
            </w:r>
            <w:r>
              <w:rPr>
                <w:rFonts w:hint="default" w:ascii="Times New Roman" w:hAnsi="Times New Roman" w:cs="Times New Roman"/>
                <w:b w:val="0"/>
                <w:bCs w:val="0"/>
                <w:color w:val="auto"/>
                <w:lang w:eastAsia="zh-CN"/>
              </w:rPr>
              <w:t>、土壤和地下水</w:t>
            </w:r>
          </w:p>
          <w:p w14:paraId="7EF5BE2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（1）地下水、土壤污染源</w:t>
            </w:r>
          </w:p>
          <w:p w14:paraId="308BE765">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根据对项目生产过程及存储方式等进行分析，本项目对地下水及土壤环境影响的污染源有：</w:t>
            </w:r>
            <w:r>
              <w:rPr>
                <w:rFonts w:hint="default" w:ascii="Times New Roman" w:hAnsi="Times New Roman" w:cs="Times New Roman" w:eastAsiaTheme="minorEastAsia"/>
                <w:sz w:val="24"/>
                <w:szCs w:val="24"/>
                <w:lang w:eastAsia="zh-CN"/>
              </w:rPr>
              <w:t>危废暂存间</w:t>
            </w:r>
            <w:r>
              <w:rPr>
                <w:rFonts w:hint="default" w:ascii="Times New Roman" w:hAnsi="Times New Roman" w:cs="Times New Roman" w:eastAsiaTheme="minorEastAsia"/>
                <w:sz w:val="24"/>
                <w:szCs w:val="24"/>
                <w:lang w:val="en-US" w:eastAsia="zh-CN"/>
              </w:rPr>
              <w:t>，主要污染物为原料存储和固体废物（主要是危险废物）。</w:t>
            </w:r>
          </w:p>
          <w:p w14:paraId="328478E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（2）地下水、土壤污染途径</w:t>
            </w:r>
          </w:p>
          <w:p w14:paraId="702A9AC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本项目对地下水及土壤产生污染的途径主要是渗透污染。渗透污染是导致地下水污染的普遍和主要方式，主要产生可能性来自：</w:t>
            </w:r>
          </w:p>
          <w:p w14:paraId="05D9485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1）项目产生的污水事故情况下排入地表水环境，再渗入补给地下水；或者直接渗入土壤，进而污染土壤及含水层。</w:t>
            </w:r>
          </w:p>
          <w:p w14:paraId="64EB027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2）项目原料或产生的危险废物，在未采取防渗措施的情况下，液压油</w:t>
            </w:r>
            <w:r>
              <w:rPr>
                <w:rFonts w:hint="eastAsia" w:cs="Times New Roman" w:eastAsiaTheme="minorEastAsia"/>
                <w:sz w:val="24"/>
                <w:szCs w:val="24"/>
                <w:lang w:val="en-US" w:eastAsia="zh-CN"/>
              </w:rPr>
              <w:t>、润滑油</w:t>
            </w:r>
            <w:r>
              <w:rPr>
                <w:rFonts w:hint="default" w:ascii="Times New Roman" w:hAnsi="Times New Roman" w:cs="Times New Roman" w:eastAsiaTheme="minorEastAsia"/>
                <w:sz w:val="24"/>
                <w:szCs w:val="24"/>
                <w:lang w:val="en-US" w:eastAsia="zh-CN"/>
              </w:rPr>
              <w:t>等原料或危险固废液体泄漏，原料或危险废液下渗将引起的地下水及土壤污染。</w:t>
            </w:r>
          </w:p>
          <w:p w14:paraId="4405B6D1">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（3）影响分析</w:t>
            </w:r>
          </w:p>
          <w:p w14:paraId="273F3EC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1）正常情况下地下水环境影响分析本项目通过采取本评价提出的环保措施后，对</w:t>
            </w:r>
            <w:r>
              <w:rPr>
                <w:rFonts w:hint="default" w:ascii="Times New Roman" w:hAnsi="Times New Roman" w:cs="Times New Roman" w:eastAsiaTheme="minorEastAsia"/>
                <w:sz w:val="24"/>
                <w:szCs w:val="24"/>
                <w:lang w:eastAsia="zh-CN"/>
              </w:rPr>
              <w:t>危废暂存间</w:t>
            </w:r>
            <w:r>
              <w:rPr>
                <w:rFonts w:hint="default" w:ascii="Times New Roman" w:hAnsi="Times New Roman" w:cs="Times New Roman" w:eastAsiaTheme="minorEastAsia"/>
                <w:sz w:val="24"/>
                <w:szCs w:val="24"/>
                <w:lang w:val="en-US" w:eastAsia="zh-CN"/>
              </w:rPr>
              <w:t>进行严格的防渗处理后，废水或废液下渗量很小，在正常情况下对地下水及土壤不会造成污染。</w:t>
            </w:r>
          </w:p>
          <w:p w14:paraId="217BB88D">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2）非正常情况下地下水环境影响分析根据场地水文地质条件，</w:t>
            </w:r>
            <w:r>
              <w:rPr>
                <w:rFonts w:hint="default" w:ascii="Times New Roman" w:hAnsi="Times New Roman" w:cs="Times New Roman" w:eastAsiaTheme="minorEastAsia"/>
                <w:sz w:val="24"/>
                <w:szCs w:val="24"/>
                <w:lang w:eastAsia="zh-CN"/>
              </w:rPr>
              <w:t>危废暂存间</w:t>
            </w:r>
            <w:r>
              <w:rPr>
                <w:rFonts w:hint="default" w:ascii="Times New Roman" w:hAnsi="Times New Roman" w:cs="Times New Roman" w:eastAsiaTheme="minorEastAsia"/>
                <w:sz w:val="24"/>
                <w:szCs w:val="24"/>
                <w:lang w:val="en-US" w:eastAsia="zh-CN"/>
              </w:rPr>
              <w:t>若发生渗漏，废水或废液将通过地表渗入地下污染地下水及土壤。由于污染物的存在，非正常状况下，将不可避免会对项目所在区域周围，特别是下游部分区域的地下水及土壤产生一定程度的污染。因此，建设单位应积极采取有效的防渗措施，定期监控，一旦发现废水、废液渗漏后，采取有效的应急措施，避免泄漏持续发生。</w:t>
            </w:r>
          </w:p>
          <w:p w14:paraId="6F39BEE5">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（4）预防措施</w:t>
            </w:r>
          </w:p>
          <w:p w14:paraId="1FC0C26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sz w:val="24"/>
                <w:szCs w:val="24"/>
                <w:lang w:val="en-US" w:eastAsia="zh-CN"/>
              </w:rPr>
              <w:t>针对上述情况，企业</w:t>
            </w:r>
            <w:r>
              <w:rPr>
                <w:rFonts w:hint="default" w:ascii="Times New Roman" w:hAnsi="Times New Roman" w:cs="Times New Roman" w:eastAsiaTheme="minorEastAsia"/>
                <w:color w:val="auto"/>
                <w:sz w:val="24"/>
                <w:szCs w:val="24"/>
                <w:lang w:eastAsia="zh-CN"/>
              </w:rPr>
              <w:t>按照“源头控制、分区防治、污染监控、应急响应”的原则，</w:t>
            </w:r>
            <w:r>
              <w:rPr>
                <w:rFonts w:hint="default" w:ascii="Times New Roman" w:hAnsi="Times New Roman" w:cs="Times New Roman" w:eastAsiaTheme="minorEastAsia"/>
                <w:sz w:val="24"/>
                <w:szCs w:val="24"/>
                <w:lang w:val="en-US" w:eastAsia="zh-CN"/>
              </w:rPr>
              <w:t>采取以下措施，以减轻对地下水及土壤的污染。</w:t>
            </w:r>
          </w:p>
          <w:p w14:paraId="6D619496">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sz w:val="24"/>
                <w:szCs w:val="24"/>
                <w:lang w:val="en-US" w:eastAsia="zh-CN"/>
              </w:rPr>
              <w:t>1）</w:t>
            </w:r>
            <w:r>
              <w:rPr>
                <w:rFonts w:hint="default" w:ascii="Times New Roman" w:hAnsi="Times New Roman" w:cs="Times New Roman" w:eastAsiaTheme="minorEastAsia"/>
                <w:color w:val="auto"/>
                <w:sz w:val="24"/>
                <w:szCs w:val="24"/>
                <w:lang w:eastAsia="zh-CN"/>
              </w:rPr>
              <w:t>源头控制</w:t>
            </w:r>
          </w:p>
          <w:p w14:paraId="5DBF0F60">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lang w:eastAsia="zh-CN"/>
              </w:rPr>
              <w:t>项目选择先进、成熟、可靠的工艺技术，并对产生的各类废物进行合理的回用和治理，尽可能从源头上减少污染物的产生和排放。严格按照国家相关规范要求，对工艺、管道、设备、仓库、污水储存和处理构筑物采取相应措施，防止和降低污染物的跑、冒、滴、漏，将污染物泄漏的环境风险降到最低程度。堆放各种原辅料的仓库，危险废物临时存放场所要按照国家相关规范要求，采取严格的防泄漏、防溢流、防腐蚀等措施，严格危险化学品和危险废物的管理。对可能泄漏有害介质和污染物的设备和管道铺设尽量采用“可视化”原则，即管道尽可</w:t>
            </w:r>
            <w:r>
              <w:rPr>
                <w:rFonts w:hint="default" w:ascii="Times New Roman" w:hAnsi="Times New Roman" w:cs="Times New Roman" w:eastAsiaTheme="minorEastAsia"/>
                <w:color w:val="auto"/>
                <w:sz w:val="24"/>
                <w:szCs w:val="24"/>
                <w:lang w:val="en-US" w:eastAsia="zh-CN"/>
              </w:rPr>
              <w:t>能在</w:t>
            </w:r>
            <w:r>
              <w:rPr>
                <w:rFonts w:hint="default" w:ascii="Times New Roman" w:hAnsi="Times New Roman" w:cs="Times New Roman" w:eastAsiaTheme="minorEastAsia"/>
                <w:color w:val="auto"/>
                <w:sz w:val="24"/>
                <w:szCs w:val="24"/>
                <w:lang w:eastAsia="zh-CN"/>
              </w:rPr>
              <w:t>地上铺设，做到污染物“早发现、早处理”，以减少由于埋地管道泄漏而可能造成的地下水及土壤污染。</w:t>
            </w:r>
          </w:p>
          <w:p w14:paraId="3632965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sz w:val="24"/>
                <w:szCs w:val="24"/>
                <w:lang w:val="en-US" w:eastAsia="zh-CN"/>
              </w:rPr>
              <w:t>2）</w:t>
            </w:r>
            <w:r>
              <w:rPr>
                <w:rFonts w:hint="default" w:ascii="Times New Roman" w:hAnsi="Times New Roman" w:cs="Times New Roman" w:eastAsiaTheme="minorEastAsia"/>
                <w:color w:val="auto"/>
                <w:sz w:val="24"/>
                <w:szCs w:val="24"/>
                <w:lang w:eastAsia="zh-CN"/>
              </w:rPr>
              <w:t>分区防控措施</w:t>
            </w:r>
          </w:p>
          <w:p w14:paraId="773CCA9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lang w:eastAsia="zh-CN"/>
              </w:rPr>
              <w:t>①污染防治分区原则：</w:t>
            </w:r>
          </w:p>
          <w:p w14:paraId="2C1F258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lang w:eastAsia="zh-CN"/>
              </w:rPr>
              <w:t>按照各生产、贮运装置及污染处理设施（包括生产设备、管廊或管线，贮存与运输设施，污染处理与贮存设施等）通过各种途径可能进入地下水环境的各种有毒有害物料及其他各类污染物的性质、产生和排放量，厂区分为非污染防治区和污染防治区，非污染防治区主要指没有物料或污染物泄漏，不会对地下水环境造成污染的区域或部位，如办公区域等。污染防治区根据工程特点又分为</w:t>
            </w:r>
            <w:r>
              <w:rPr>
                <w:rFonts w:hint="default" w:ascii="Times New Roman" w:hAnsi="Times New Roman" w:cs="Times New Roman" w:eastAsiaTheme="minorEastAsia"/>
                <w:color w:val="auto"/>
                <w:sz w:val="24"/>
                <w:szCs w:val="24"/>
                <w:lang w:val="en-US" w:eastAsia="zh-CN"/>
              </w:rPr>
              <w:t>重点防渗区、</w:t>
            </w:r>
            <w:r>
              <w:rPr>
                <w:rFonts w:hint="default" w:ascii="Times New Roman" w:hAnsi="Times New Roman" w:cs="Times New Roman" w:eastAsiaTheme="minorEastAsia"/>
                <w:color w:val="auto"/>
                <w:sz w:val="24"/>
                <w:szCs w:val="24"/>
                <w:lang w:eastAsia="zh-CN"/>
              </w:rPr>
              <w:t>一般污染防治区、</w:t>
            </w:r>
            <w:r>
              <w:rPr>
                <w:rFonts w:hint="default" w:ascii="Times New Roman" w:hAnsi="Times New Roman" w:cs="Times New Roman" w:eastAsiaTheme="minorEastAsia"/>
                <w:color w:val="auto"/>
                <w:sz w:val="24"/>
                <w:szCs w:val="24"/>
                <w:lang w:val="en-US" w:eastAsia="zh-CN"/>
              </w:rPr>
              <w:t>非污染</w:t>
            </w:r>
            <w:r>
              <w:rPr>
                <w:rFonts w:hint="default" w:ascii="Times New Roman" w:hAnsi="Times New Roman" w:cs="Times New Roman" w:eastAsiaTheme="minorEastAsia"/>
                <w:color w:val="auto"/>
                <w:sz w:val="24"/>
                <w:szCs w:val="24"/>
                <w:lang w:eastAsia="zh-CN"/>
              </w:rPr>
              <w:t xml:space="preserve">防治区。 </w:t>
            </w:r>
          </w:p>
          <w:p w14:paraId="641FF53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lang w:eastAsia="zh-CN"/>
              </w:rPr>
              <w:t>②项目分区防控情况</w:t>
            </w:r>
          </w:p>
          <w:p w14:paraId="6077E615">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重点防渗区：危废库；</w:t>
            </w:r>
          </w:p>
          <w:p w14:paraId="0A8E3760">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一般防渗区为：</w:t>
            </w:r>
            <w:r>
              <w:rPr>
                <w:rFonts w:hint="default" w:ascii="Times New Roman" w:hAnsi="Times New Roman" w:cs="Times New Roman" w:eastAsiaTheme="minorEastAsia"/>
                <w:color w:val="auto"/>
                <w:sz w:val="24"/>
                <w:szCs w:val="24"/>
                <w:lang w:val="en-US" w:eastAsia="zh-CN"/>
              </w:rPr>
              <w:t>一般固废库、</w:t>
            </w:r>
            <w:r>
              <w:rPr>
                <w:rFonts w:hint="default" w:ascii="Times New Roman" w:hAnsi="Times New Roman" w:cs="Times New Roman" w:eastAsiaTheme="minorEastAsia"/>
                <w:color w:val="auto"/>
                <w:sz w:val="24"/>
                <w:szCs w:val="24"/>
                <w:lang w:eastAsia="zh-CN"/>
              </w:rPr>
              <w:t>其他生产</w:t>
            </w:r>
            <w:r>
              <w:rPr>
                <w:rFonts w:hint="default" w:ascii="Times New Roman" w:hAnsi="Times New Roman" w:cs="Times New Roman" w:eastAsiaTheme="minorEastAsia"/>
                <w:color w:val="auto"/>
                <w:sz w:val="24"/>
                <w:szCs w:val="24"/>
                <w:lang w:val="en-US" w:eastAsia="zh-CN"/>
              </w:rPr>
              <w:t>区</w:t>
            </w:r>
            <w:r>
              <w:rPr>
                <w:rFonts w:hint="default" w:ascii="Times New Roman" w:hAnsi="Times New Roman" w:cs="Times New Roman" w:eastAsiaTheme="minorEastAsia"/>
                <w:color w:val="auto"/>
                <w:sz w:val="24"/>
                <w:szCs w:val="24"/>
                <w:lang w:eastAsia="zh-CN"/>
              </w:rPr>
              <w:t>；</w:t>
            </w:r>
          </w:p>
          <w:p w14:paraId="55E2B345">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非污染防治区：生活</w:t>
            </w:r>
            <w:r>
              <w:rPr>
                <w:rFonts w:hint="default" w:ascii="Times New Roman" w:hAnsi="Times New Roman" w:cs="Times New Roman" w:eastAsiaTheme="minorEastAsia"/>
                <w:color w:val="auto"/>
                <w:sz w:val="24"/>
                <w:szCs w:val="24"/>
                <w:lang w:eastAsia="zh-CN"/>
              </w:rPr>
              <w:t>办公</w:t>
            </w:r>
            <w:r>
              <w:rPr>
                <w:rFonts w:hint="default" w:ascii="Times New Roman" w:hAnsi="Times New Roman" w:cs="Times New Roman" w:eastAsiaTheme="minorEastAsia"/>
                <w:color w:val="auto"/>
                <w:sz w:val="24"/>
                <w:szCs w:val="24"/>
              </w:rPr>
              <w:t>区域等</w:t>
            </w:r>
            <w:r>
              <w:rPr>
                <w:rFonts w:hint="default" w:ascii="Times New Roman" w:hAnsi="Times New Roman" w:cs="Times New Roman" w:eastAsiaTheme="minorEastAsia"/>
                <w:color w:val="auto"/>
                <w:sz w:val="24"/>
                <w:szCs w:val="24"/>
                <w:lang w:eastAsia="zh-CN"/>
              </w:rPr>
              <w:t>。</w:t>
            </w:r>
          </w:p>
          <w:p w14:paraId="10521C29">
            <w:pPr>
              <w:pStyle w:val="22"/>
              <w:keepNext w:val="0"/>
              <w:keepLines w:val="0"/>
              <w:pageBreakBefore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本项目防渗分区设施见下表。</w:t>
            </w:r>
          </w:p>
          <w:p w14:paraId="166A6C68">
            <w:pPr>
              <w:pStyle w:val="44"/>
              <w:keepNext/>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rPr>
              <w:t>表</w:t>
            </w:r>
            <w:r>
              <w:rPr>
                <w:rFonts w:hint="eastAsia" w:ascii="Times New Roman" w:hAnsi="Times New Roman" w:cs="Times New Roman"/>
                <w:color w:val="auto"/>
                <w:lang w:val="en-US" w:eastAsia="zh-CN"/>
              </w:rPr>
              <w:t xml:space="preserve">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19</w:t>
            </w:r>
            <w:r>
              <w:rPr>
                <w:rFonts w:hint="default" w:ascii="Times New Roman" w:hAnsi="Times New Roman" w:cs="Times New Roman"/>
                <w:color w:val="000000"/>
              </w:rPr>
              <w:fldChar w:fldCharType="end"/>
            </w:r>
            <w:r>
              <w:rPr>
                <w:rFonts w:hint="default" w:ascii="Times New Roman" w:hAnsi="Times New Roman" w:cs="Times New Roman"/>
                <w:color w:val="auto"/>
              </w:rPr>
              <w:t xml:space="preserve">   本项目地下水防渗分区表</w:t>
            </w:r>
          </w:p>
          <w:tbl>
            <w:tblPr>
              <w:tblStyle w:val="23"/>
              <w:tblW w:w="4998"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72"/>
              <w:gridCol w:w="1491"/>
              <w:gridCol w:w="2532"/>
              <w:gridCol w:w="3641"/>
            </w:tblGrid>
            <w:tr w14:paraId="7120F0A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403" w:type="pct"/>
                  <w:noWrap w:val="0"/>
                  <w:vAlign w:val="center"/>
                </w:tcPr>
                <w:p w14:paraId="5D1FF6B8">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序号</w:t>
                  </w:r>
                </w:p>
              </w:tc>
              <w:tc>
                <w:tcPr>
                  <w:tcW w:w="894" w:type="pct"/>
                  <w:noWrap w:val="0"/>
                  <w:vAlign w:val="center"/>
                </w:tcPr>
                <w:p w14:paraId="5CFC952F">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类别</w:t>
                  </w:r>
                </w:p>
              </w:tc>
              <w:tc>
                <w:tcPr>
                  <w:tcW w:w="1518" w:type="pct"/>
                  <w:noWrap w:val="0"/>
                  <w:vAlign w:val="center"/>
                </w:tcPr>
                <w:p w14:paraId="3089703D">
                  <w:pPr>
                    <w:pStyle w:val="41"/>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区域</w:t>
                  </w:r>
                </w:p>
              </w:tc>
              <w:tc>
                <w:tcPr>
                  <w:tcW w:w="2183" w:type="pct"/>
                  <w:noWrap w:val="0"/>
                  <w:vAlign w:val="center"/>
                </w:tcPr>
                <w:p w14:paraId="7AAA0790">
                  <w:pPr>
                    <w:pStyle w:val="41"/>
                    <w:rPr>
                      <w:rFonts w:hint="default" w:ascii="Times New Roman" w:hAnsi="Times New Roman" w:eastAsia="宋体" w:cs="Times New Roman"/>
                      <w:color w:val="auto"/>
                      <w:sz w:val="21"/>
                      <w:szCs w:val="21"/>
                      <w:lang w:val="en-US" w:eastAsia="zh-CN"/>
                    </w:rPr>
                  </w:pPr>
                </w:p>
              </w:tc>
            </w:tr>
            <w:tr w14:paraId="3CA649B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403" w:type="pct"/>
                  <w:noWrap w:val="0"/>
                  <w:vAlign w:val="center"/>
                </w:tcPr>
                <w:p w14:paraId="12A40E60">
                  <w:pPr>
                    <w:pStyle w:val="41"/>
                    <w:ind w:firstLine="0" w:firstLineChars="0"/>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1</w:t>
                  </w:r>
                </w:p>
              </w:tc>
              <w:tc>
                <w:tcPr>
                  <w:tcW w:w="894" w:type="pct"/>
                  <w:noWrap w:val="0"/>
                  <w:vAlign w:val="center"/>
                </w:tcPr>
                <w:p w14:paraId="0C63B30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重点防渗区</w:t>
                  </w:r>
                </w:p>
              </w:tc>
              <w:tc>
                <w:tcPr>
                  <w:tcW w:w="1518" w:type="pct"/>
                  <w:noWrap w:val="0"/>
                  <w:vAlign w:val="center"/>
                </w:tcPr>
                <w:p w14:paraId="41121DBE">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危废库</w:t>
                  </w:r>
                </w:p>
              </w:tc>
              <w:tc>
                <w:tcPr>
                  <w:tcW w:w="2183" w:type="pct"/>
                  <w:noWrap w:val="0"/>
                  <w:vAlign w:val="center"/>
                </w:tcPr>
                <w:p w14:paraId="2CA5E495">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000000"/>
                      <w:sz w:val="21"/>
                      <w:szCs w:val="21"/>
                      <w:lang w:val="en-US" w:eastAsia="zh-CN" w:bidi="ar-SA"/>
                    </w:rPr>
                    <w:t>基础必须防渗，防渗层为至少1m厚黏土层（渗透系数≤10</w:t>
                  </w:r>
                  <w:r>
                    <w:rPr>
                      <w:rFonts w:hint="default" w:ascii="Times New Roman" w:hAnsi="Times New Roman" w:eastAsia="宋体" w:cs="Times New Roman"/>
                      <w:color w:val="000000"/>
                      <w:sz w:val="21"/>
                      <w:szCs w:val="21"/>
                      <w:vertAlign w:val="superscript"/>
                      <w:lang w:val="en-US" w:eastAsia="zh-CN" w:bidi="ar-SA"/>
                    </w:rPr>
                    <w:t>-7</w:t>
                  </w:r>
                  <w:r>
                    <w:rPr>
                      <w:rFonts w:hint="default" w:ascii="Times New Roman" w:hAnsi="Times New Roman" w:eastAsia="宋体" w:cs="Times New Roman"/>
                      <w:color w:val="000000"/>
                      <w:sz w:val="21"/>
                      <w:szCs w:val="21"/>
                      <w:lang w:val="en-US" w:eastAsia="zh-CN" w:bidi="ar-SA"/>
                    </w:rPr>
                    <w:t>cm/s），或2mm厚高密度聚乙烯，或至少2mm厚的其他人工材料，渗透系数≤10</w:t>
                  </w:r>
                  <w:r>
                    <w:rPr>
                      <w:rFonts w:hint="default" w:ascii="Times New Roman" w:hAnsi="Times New Roman" w:eastAsia="宋体" w:cs="Times New Roman"/>
                      <w:color w:val="000000"/>
                      <w:sz w:val="21"/>
                      <w:szCs w:val="21"/>
                      <w:vertAlign w:val="superscript"/>
                      <w:lang w:val="en-US" w:eastAsia="zh-CN" w:bidi="ar-SA"/>
                    </w:rPr>
                    <w:t>-7</w:t>
                  </w:r>
                  <w:r>
                    <w:rPr>
                      <w:rFonts w:hint="default" w:ascii="Times New Roman" w:hAnsi="Times New Roman" w:eastAsia="宋体" w:cs="Times New Roman"/>
                      <w:color w:val="000000"/>
                      <w:sz w:val="21"/>
                      <w:szCs w:val="21"/>
                      <w:lang w:val="en-US" w:eastAsia="zh-CN" w:bidi="ar-SA"/>
                    </w:rPr>
                    <w:t>cm/s，或参照GB18597执行</w:t>
                  </w:r>
                </w:p>
              </w:tc>
            </w:tr>
            <w:tr w14:paraId="0CB95A6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403" w:type="pct"/>
                  <w:noWrap w:val="0"/>
                  <w:vAlign w:val="center"/>
                </w:tcPr>
                <w:p w14:paraId="078E7FDE">
                  <w:pPr>
                    <w:pStyle w:val="41"/>
                    <w:ind w:firstLine="0" w:firstLineChars="0"/>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2</w:t>
                  </w:r>
                </w:p>
              </w:tc>
              <w:tc>
                <w:tcPr>
                  <w:tcW w:w="894" w:type="pct"/>
                  <w:noWrap w:val="0"/>
                  <w:vAlign w:val="center"/>
                </w:tcPr>
                <w:p w14:paraId="60323B5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一般防渗区</w:t>
                  </w:r>
                </w:p>
              </w:tc>
              <w:tc>
                <w:tcPr>
                  <w:tcW w:w="1518" w:type="pct"/>
                  <w:noWrap w:val="0"/>
                  <w:vAlign w:val="center"/>
                </w:tcPr>
                <w:p w14:paraId="125F6CBE">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一般固废库、其他生产区</w:t>
                  </w:r>
                </w:p>
              </w:tc>
              <w:tc>
                <w:tcPr>
                  <w:tcW w:w="2183" w:type="pct"/>
                  <w:noWrap w:val="0"/>
                  <w:vAlign w:val="center"/>
                </w:tcPr>
                <w:p w14:paraId="14C541C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 w:val="21"/>
                      <w:szCs w:val="21"/>
                      <w:highlight w:val="none"/>
                    </w:rPr>
                    <w:t>等效黏土防渗层Mb≥1.5m，K≤1.0×10</w:t>
                  </w:r>
                  <w:r>
                    <w:rPr>
                      <w:rFonts w:hint="default" w:ascii="Times New Roman" w:hAnsi="Times New Roman" w:eastAsia="宋体" w:cs="Times New Roman"/>
                      <w:color w:val="auto"/>
                      <w:sz w:val="21"/>
                      <w:szCs w:val="21"/>
                      <w:highlight w:val="none"/>
                      <w:vertAlign w:val="superscript"/>
                    </w:rPr>
                    <w:t>-7</w:t>
                  </w:r>
                  <w:r>
                    <w:rPr>
                      <w:rFonts w:hint="default" w:ascii="Times New Roman" w:hAnsi="Times New Roman" w:eastAsia="宋体" w:cs="Times New Roman"/>
                      <w:color w:val="auto"/>
                      <w:sz w:val="21"/>
                      <w:szCs w:val="21"/>
                      <w:highlight w:val="none"/>
                    </w:rPr>
                    <w:t>cm/s，或参照GB16889执行</w:t>
                  </w:r>
                </w:p>
              </w:tc>
            </w:tr>
            <w:tr w14:paraId="32CD6B4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403" w:type="pct"/>
                  <w:noWrap w:val="0"/>
                  <w:vAlign w:val="center"/>
                </w:tcPr>
                <w:p w14:paraId="45DD5A8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w:t>
                  </w:r>
                </w:p>
              </w:tc>
              <w:tc>
                <w:tcPr>
                  <w:tcW w:w="894" w:type="pct"/>
                  <w:noWrap w:val="0"/>
                  <w:vAlign w:val="center"/>
                </w:tcPr>
                <w:p w14:paraId="27509668">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非污染防治区</w:t>
                  </w:r>
                </w:p>
              </w:tc>
              <w:tc>
                <w:tcPr>
                  <w:tcW w:w="1518" w:type="pct"/>
                  <w:noWrap w:val="0"/>
                  <w:vAlign w:val="center"/>
                </w:tcPr>
                <w:p w14:paraId="2F939476">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生活</w:t>
                  </w:r>
                  <w:r>
                    <w:rPr>
                      <w:rFonts w:hint="default" w:ascii="Times New Roman" w:hAnsi="Times New Roman" w:eastAsia="宋体" w:cs="Times New Roman"/>
                      <w:b w:val="0"/>
                      <w:bCs/>
                      <w:color w:val="auto"/>
                      <w:sz w:val="21"/>
                      <w:szCs w:val="21"/>
                      <w:lang w:eastAsia="zh-CN"/>
                    </w:rPr>
                    <w:t>办公</w:t>
                  </w:r>
                  <w:r>
                    <w:rPr>
                      <w:rFonts w:hint="default" w:ascii="Times New Roman" w:hAnsi="Times New Roman" w:eastAsia="宋体" w:cs="Times New Roman"/>
                      <w:b w:val="0"/>
                      <w:bCs/>
                      <w:color w:val="auto"/>
                      <w:sz w:val="21"/>
                      <w:szCs w:val="21"/>
                    </w:rPr>
                    <w:t>区域</w:t>
                  </w:r>
                </w:p>
              </w:tc>
              <w:tc>
                <w:tcPr>
                  <w:tcW w:w="2183" w:type="pct"/>
                  <w:noWrap w:val="0"/>
                  <w:vAlign w:val="center"/>
                </w:tcPr>
                <w:p w14:paraId="42FB1C11">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highlight w:val="none"/>
                    </w:rPr>
                    <w:t>一般地面硬化</w:t>
                  </w:r>
                </w:p>
              </w:tc>
            </w:tr>
          </w:tbl>
          <w:p w14:paraId="28668D75">
            <w:pPr>
              <w:keepNext w:val="0"/>
              <w:keepLines w:val="0"/>
              <w:pageBreakBefore w:val="0"/>
              <w:widowControl w:val="0"/>
              <w:kinsoku/>
              <w:wordWrap/>
              <w:overflowPunct/>
              <w:topLinePunct w:val="0"/>
              <w:autoSpaceDE/>
              <w:autoSpaceDN/>
              <w:bidi w:val="0"/>
              <w:adjustRightInd w:val="0"/>
              <w:snapToGrid w:val="0"/>
              <w:spacing w:before="157" w:beforeLines="50" w:line="336" w:lineRule="auto"/>
              <w:ind w:firstLine="482" w:firstLineChars="200"/>
              <w:textAlignment w:val="baseline"/>
              <w:rPr>
                <w:rFonts w:hint="default" w:ascii="Times New Roman" w:hAnsi="Times New Roman" w:cs="Times New Roman"/>
                <w:b/>
                <w:bCs/>
                <w:color w:val="auto"/>
                <w:sz w:val="24"/>
                <w:szCs w:val="24"/>
              </w:rPr>
            </w:pPr>
            <w:r>
              <w:rPr>
                <w:rFonts w:hint="default" w:ascii="Times New Roman" w:hAnsi="Times New Roman" w:cs="Times New Roman"/>
                <w:b/>
                <w:color w:val="auto"/>
                <w:sz w:val="24"/>
                <w:szCs w:val="24"/>
              </w:rPr>
              <w:t>重点污染区防渗措施：</w:t>
            </w:r>
          </w:p>
          <w:p w14:paraId="5D1DAF0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对</w:t>
            </w:r>
            <w:r>
              <w:rPr>
                <w:rFonts w:hint="default" w:ascii="Times New Roman" w:hAnsi="Times New Roman" w:cs="Times New Roman"/>
                <w:color w:val="auto"/>
                <w:sz w:val="24"/>
                <w:szCs w:val="24"/>
                <w:lang w:val="en-US" w:eastAsia="zh-CN"/>
              </w:rPr>
              <w:t>危废贮存库</w:t>
            </w:r>
            <w:r>
              <w:rPr>
                <w:rFonts w:hint="default" w:ascii="Times New Roman" w:hAnsi="Times New Roman" w:cs="Times New Roman"/>
                <w:color w:val="auto"/>
                <w:sz w:val="24"/>
                <w:szCs w:val="24"/>
                <w:lang w:eastAsia="zh-CN"/>
              </w:rPr>
              <w:t>采用刚性防渗结构，即抗渗混凝土（厚度不小于250mm）＋水泥基渗透结晶型防渗涂层（厚度不小于1.0mm）结构型式，防渗结构层渗透系数≤10</w:t>
            </w:r>
            <w:r>
              <w:rPr>
                <w:rFonts w:hint="default" w:ascii="Times New Roman" w:hAnsi="Times New Roman" w:cs="Times New Roman"/>
                <w:color w:val="auto"/>
                <w:sz w:val="24"/>
                <w:szCs w:val="24"/>
                <w:vertAlign w:val="superscript"/>
                <w:lang w:eastAsia="zh-CN"/>
              </w:rPr>
              <w:t>-10</w:t>
            </w:r>
            <w:r>
              <w:rPr>
                <w:rFonts w:hint="default" w:ascii="Times New Roman" w:hAnsi="Times New Roman" w:cs="Times New Roman"/>
                <w:color w:val="auto"/>
                <w:sz w:val="24"/>
                <w:szCs w:val="24"/>
                <w:lang w:eastAsia="zh-CN"/>
              </w:rPr>
              <w:t>cm/s。</w:t>
            </w:r>
          </w:p>
          <w:p w14:paraId="68A44E5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液体原</w:t>
            </w:r>
            <w:r>
              <w:rPr>
                <w:rFonts w:hint="eastAsia" w:cs="Times New Roman"/>
                <w:color w:val="auto"/>
                <w:sz w:val="24"/>
                <w:szCs w:val="24"/>
                <w:lang w:val="en-US" w:eastAsia="zh-CN"/>
              </w:rPr>
              <w:t>辅料</w:t>
            </w:r>
            <w:r>
              <w:rPr>
                <w:rFonts w:hint="default" w:ascii="Times New Roman" w:hAnsi="Times New Roman" w:cs="Times New Roman"/>
                <w:color w:val="auto"/>
                <w:sz w:val="24"/>
                <w:szCs w:val="24"/>
                <w:lang w:eastAsia="zh-CN"/>
              </w:rPr>
              <w:t>存放在容器内并地上放置，四周应设置围堰或设置防渗托盘，发生泄漏时通过围堰或托盘收集泄漏液。</w:t>
            </w:r>
          </w:p>
          <w:p w14:paraId="6D8DB0F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废水收集装置及运行管线尽量在地上铺设，加强检查、维护和管理，以减少由于埋地管道泄漏而可能造成的地下水污染。用于运送废水的碳钢污水管道设计壁厚应适当加厚，并采用最高级别的外防腐层。管道施工严格执行规范要求，接口严密、平顺，填料密实，避免发生破损污染地下水。</w:t>
            </w:r>
          </w:p>
          <w:p w14:paraId="330D87D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baseline"/>
              <w:rPr>
                <w:rFonts w:hint="default" w:ascii="Times New Roman" w:hAnsi="Times New Roman" w:cs="Times New Roman"/>
                <w:b/>
                <w:bCs/>
                <w:color w:val="auto"/>
                <w:sz w:val="24"/>
                <w:szCs w:val="24"/>
              </w:rPr>
            </w:pPr>
            <w:r>
              <w:rPr>
                <w:rFonts w:hint="default" w:ascii="Times New Roman" w:hAnsi="Times New Roman" w:cs="Times New Roman"/>
                <w:b/>
                <w:color w:val="auto"/>
                <w:sz w:val="24"/>
                <w:szCs w:val="24"/>
              </w:rPr>
              <w:t>一般污染区防渗措施：</w:t>
            </w:r>
          </w:p>
          <w:p w14:paraId="1085860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color w:val="auto"/>
                <w:sz w:val="24"/>
                <w:szCs w:val="24"/>
              </w:rPr>
              <w:t>采用抗渗混凝土作面层，面层厚度不小于100mm，渗透系数≤10</w:t>
            </w:r>
            <w:r>
              <w:rPr>
                <w:rFonts w:hint="default" w:ascii="Times New Roman" w:hAnsi="Times New Roman" w:cs="Times New Roman"/>
                <w:color w:val="auto"/>
                <w:sz w:val="24"/>
                <w:szCs w:val="24"/>
                <w:vertAlign w:val="superscript"/>
              </w:rPr>
              <w:t>-7</w:t>
            </w:r>
            <w:r>
              <w:rPr>
                <w:rFonts w:hint="default" w:ascii="Times New Roman" w:hAnsi="Times New Roman" w:cs="Times New Roman"/>
                <w:color w:val="auto"/>
                <w:sz w:val="24"/>
                <w:szCs w:val="24"/>
              </w:rPr>
              <w:t>cm/s，其下以防渗性能较好的灰土压实后（压实系数≥0.95）进行防渗。</w:t>
            </w:r>
          </w:p>
          <w:p w14:paraId="2123F285">
            <w:pPr>
              <w:pStyle w:val="2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rPr>
                <w:rFonts w:hint="default" w:ascii="Times New Roman" w:hAnsi="Times New Roman" w:cs="Times New Roman"/>
                <w:b/>
                <w:bCs/>
                <w:color w:val="auto"/>
                <w:sz w:val="24"/>
                <w:szCs w:val="24"/>
                <w:lang w:eastAsia="zh-CN"/>
              </w:rPr>
            </w:pPr>
            <w:r>
              <w:rPr>
                <w:rFonts w:hint="eastAsia" w:ascii="Times New Roman" w:hAnsi="Times New Roman" w:cs="Times New Roman"/>
                <w:b/>
                <w:bCs/>
                <w:color w:val="auto"/>
                <w:sz w:val="24"/>
                <w:szCs w:val="24"/>
                <w:lang w:val="en-US" w:eastAsia="zh-CN"/>
              </w:rPr>
              <w:t>7</w:t>
            </w:r>
            <w:r>
              <w:rPr>
                <w:rFonts w:hint="default" w:ascii="Times New Roman" w:hAnsi="Times New Roman" w:cs="Times New Roman"/>
                <w:b/>
                <w:bCs/>
                <w:color w:val="auto"/>
                <w:sz w:val="24"/>
                <w:szCs w:val="24"/>
                <w:lang w:eastAsia="zh-CN"/>
              </w:rPr>
              <w:t>、环境风险</w:t>
            </w:r>
          </w:p>
          <w:p w14:paraId="2077D5F5">
            <w:pPr>
              <w:pStyle w:val="14"/>
              <w:keepNext w:val="0"/>
              <w:keepLines w:val="0"/>
              <w:pageBreakBefore w:val="0"/>
              <w:widowControl w:val="0"/>
              <w:kinsoku/>
              <w:wordWrap/>
              <w:overflowPunct/>
              <w:topLinePunct w:val="0"/>
              <w:autoSpaceDE/>
              <w:autoSpaceDN/>
              <w:bidi w:val="0"/>
              <w:adjustRightInd w:val="0"/>
              <w:snapToGrid w:val="0"/>
              <w:spacing w:after="0" w:afterLines="0" w:line="360" w:lineRule="auto"/>
              <w:ind w:firstLine="480" w:firstLineChars="200"/>
              <w:jc w:val="both"/>
              <w:textAlignment w:val="auto"/>
              <w:rPr>
                <w:rFonts w:hint="eastAsia" w:ascii="Times New Roman" w:hAnsi="Times New Roman" w:eastAsia="宋体" w:cs="Times New Roman"/>
                <w:color w:val="000000"/>
                <w:sz w:val="24"/>
                <w:vertAlign w:val="baseline"/>
                <w:lang w:val="en-US" w:eastAsia="zh-CN" w:bidi="ar-SA"/>
              </w:rPr>
            </w:pPr>
            <w:r>
              <w:rPr>
                <w:rFonts w:hint="eastAsia" w:ascii="Times New Roman" w:hAnsi="Times New Roman" w:eastAsia="宋体" w:cs="Times New Roman"/>
                <w:color w:val="000000"/>
                <w:sz w:val="24"/>
                <w:vertAlign w:val="baseline"/>
                <w:lang w:val="en-US" w:eastAsia="zh-CN" w:bidi="ar-SA"/>
              </w:rPr>
              <w:t>环境风险评价是分析和预测建设项目存在的潜在危险、有害因素，项目运行期间可能发生的突发性事件或事故（不包括人为破坏及自然灾害），引起有毒有害和易燃易爆等物质泄漏，造成人身安全与环境影响和损害程度，提出防范、应急与减缓措施，使项目事故率、损失和环境影响达到可接受水平。</w:t>
            </w:r>
          </w:p>
          <w:p w14:paraId="4DEE547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7.1风险源调查</w:t>
            </w:r>
          </w:p>
          <w:p w14:paraId="488F3729">
            <w:pPr>
              <w:pStyle w:val="14"/>
              <w:keepNext w:val="0"/>
              <w:keepLines w:val="0"/>
              <w:pageBreakBefore w:val="0"/>
              <w:widowControl w:val="0"/>
              <w:kinsoku/>
              <w:wordWrap/>
              <w:overflowPunct/>
              <w:topLinePunct w:val="0"/>
              <w:autoSpaceDE/>
              <w:autoSpaceDN/>
              <w:bidi w:val="0"/>
              <w:adjustRightInd w:val="0"/>
              <w:snapToGrid w:val="0"/>
              <w:spacing w:after="0" w:afterLines="0" w:line="360" w:lineRule="auto"/>
              <w:ind w:firstLine="480" w:firstLineChars="200"/>
              <w:jc w:val="both"/>
              <w:textAlignment w:val="auto"/>
              <w:rPr>
                <w:rFonts w:hint="eastAsia" w:ascii="Times New Roman" w:hAnsi="Times New Roman" w:eastAsia="宋体" w:cs="Times New Roman"/>
                <w:color w:val="000000"/>
                <w:sz w:val="24"/>
                <w:vertAlign w:val="baseline"/>
                <w:lang w:val="en-US" w:eastAsia="zh-CN" w:bidi="ar-SA"/>
              </w:rPr>
            </w:pPr>
            <w:r>
              <w:rPr>
                <w:rFonts w:hint="eastAsia" w:ascii="Times New Roman" w:hAnsi="Times New Roman" w:eastAsia="宋体" w:cs="Times New Roman"/>
                <w:color w:val="000000"/>
                <w:sz w:val="24"/>
                <w:vertAlign w:val="baseline"/>
                <w:lang w:val="en-US" w:eastAsia="zh-CN" w:bidi="ar-SA"/>
              </w:rPr>
              <w:t>风险物质的识别范围包括主要原材料及辅助材料、燃料、中间产品、最终产品以及生产过程排放的“三废”污染物等。对照《建设项目环境风险评价技术导则》（HJ169-2018）附录B可知，本公司涉及的危险物质主要为切削液、</w:t>
            </w:r>
            <w:r>
              <w:rPr>
                <w:rFonts w:hint="eastAsia" w:cs="Times New Roman"/>
                <w:color w:val="000000"/>
                <w:sz w:val="24"/>
                <w:vertAlign w:val="baseline"/>
                <w:lang w:val="en-US" w:eastAsia="zh-CN" w:bidi="ar-SA"/>
              </w:rPr>
              <w:t>液压油、润滑油、天然气以及危险废物</w:t>
            </w:r>
            <w:r>
              <w:rPr>
                <w:rFonts w:hint="eastAsia" w:ascii="Times New Roman" w:hAnsi="Times New Roman" w:eastAsia="宋体" w:cs="Times New Roman"/>
                <w:color w:val="000000"/>
                <w:sz w:val="24"/>
                <w:vertAlign w:val="baseline"/>
                <w:lang w:val="en-US" w:eastAsia="zh-CN" w:bidi="ar-SA"/>
              </w:rPr>
              <w:t>等。</w:t>
            </w:r>
          </w:p>
          <w:p w14:paraId="7D4358FC">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7.2风险潜势初判</w:t>
            </w:r>
          </w:p>
          <w:p w14:paraId="43F70AFD">
            <w:pPr>
              <w:pStyle w:val="14"/>
              <w:keepNext w:val="0"/>
              <w:keepLines w:val="0"/>
              <w:pageBreakBefore w:val="0"/>
              <w:widowControl/>
              <w:kinsoku/>
              <w:wordWrap/>
              <w:overflowPunct/>
              <w:topLinePunct w:val="0"/>
              <w:autoSpaceDE/>
              <w:autoSpaceDN/>
              <w:bidi w:val="0"/>
              <w:adjustRightInd w:val="0"/>
              <w:snapToGrid w:val="0"/>
              <w:spacing w:after="0" w:afterLines="0" w:line="360" w:lineRule="auto"/>
              <w:ind w:firstLine="480" w:firstLineChars="200"/>
              <w:jc w:val="both"/>
              <w:textAlignment w:val="auto"/>
              <w:rPr>
                <w:color w:val="auto"/>
                <w:sz w:val="24"/>
                <w:szCs w:val="24"/>
              </w:rPr>
            </w:pPr>
            <w:r>
              <w:rPr>
                <w:color w:val="auto"/>
                <w:sz w:val="24"/>
                <w:szCs w:val="24"/>
              </w:rPr>
              <w:t>本项目营运期按下列公式计算</w:t>
            </w:r>
            <w:r>
              <w:rPr>
                <w:rFonts w:hint="eastAsia"/>
                <w:color w:val="auto"/>
                <w:sz w:val="24"/>
                <w:szCs w:val="24"/>
                <w:lang w:val="en-US" w:eastAsia="zh-CN"/>
              </w:rPr>
              <w:t>风险</w:t>
            </w:r>
            <w:r>
              <w:rPr>
                <w:color w:val="auto"/>
                <w:sz w:val="24"/>
                <w:szCs w:val="24"/>
              </w:rPr>
              <w:t>物质总量与其临界量比值（Q）：</w:t>
            </w:r>
          </w:p>
          <w:p w14:paraId="0BFF107B">
            <w:pPr>
              <w:pStyle w:val="14"/>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b/>
                <w:color w:val="auto"/>
              </w:rPr>
            </w:pPr>
            <w:r>
              <w:rPr>
                <w:b/>
                <w:color w:val="auto"/>
              </w:rPr>
              <w:drawing>
                <wp:inline distT="0" distB="0" distL="114300" distR="114300">
                  <wp:extent cx="5123815" cy="1624965"/>
                  <wp:effectExtent l="0" t="0" r="635" b="1333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icPr>
                        <pic:blipFill>
                          <a:blip r:embed="rId29"/>
                          <a:stretch>
                            <a:fillRect/>
                          </a:stretch>
                        </pic:blipFill>
                        <pic:spPr>
                          <a:xfrm>
                            <a:off x="0" y="0"/>
                            <a:ext cx="5123815" cy="1624965"/>
                          </a:xfrm>
                          <a:prstGeom prst="rect">
                            <a:avLst/>
                          </a:prstGeom>
                          <a:noFill/>
                          <a:ln>
                            <a:noFill/>
                          </a:ln>
                        </pic:spPr>
                      </pic:pic>
                    </a:graphicData>
                  </a:graphic>
                </wp:inline>
              </w:drawing>
            </w:r>
          </w:p>
          <w:p w14:paraId="0BAF887E">
            <w:pPr>
              <w:pStyle w:val="44"/>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rPr>
                <w:rFonts w:hint="eastAsia"/>
                <w:color w:val="000000"/>
                <w:lang w:val="en-US" w:eastAsia="zh-CN" w:bidi="ar-SA"/>
              </w:rPr>
            </w:pPr>
            <w:r>
              <w:rPr>
                <w:rFonts w:hint="eastAsia"/>
                <w:color w:val="000000"/>
                <w:lang w:val="en-US" w:eastAsia="zh-CN" w:bidi="ar-SA"/>
              </w:rPr>
              <w:t xml:space="preserve">表 </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STYLEREF 1 \s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4</w:t>
            </w:r>
            <w:r>
              <w:rPr>
                <w:rFonts w:hint="default" w:ascii="Times New Roman" w:hAnsi="Times New Roman" w:cs="Times New Roman"/>
                <w:color w:val="000000"/>
              </w:rPr>
              <w:fldChar w:fldCharType="end"/>
            </w:r>
            <w:r>
              <w:rPr>
                <w:rFonts w:hint="default" w:ascii="Times New Roman" w:hAnsi="Times New Roman" w:cs="Times New Roman"/>
                <w:color w:val="000000"/>
                <w:lang w:eastAsia="zh-CN"/>
              </w:rPr>
              <w:noBreakHyphen/>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20</w:t>
            </w:r>
            <w:r>
              <w:rPr>
                <w:rFonts w:hint="default" w:ascii="Times New Roman" w:hAnsi="Times New Roman" w:cs="Times New Roman"/>
                <w:color w:val="000000"/>
              </w:rPr>
              <w:fldChar w:fldCharType="end"/>
            </w:r>
            <w:r>
              <w:rPr>
                <w:rFonts w:hint="eastAsia"/>
                <w:color w:val="000000"/>
                <w:lang w:val="en-US" w:eastAsia="zh-CN" w:bidi="ar-SA"/>
              </w:rPr>
              <w:t xml:space="preserve">  危险物质数量与临界量的比值Q计算表</w:t>
            </w:r>
          </w:p>
          <w:tbl>
            <w:tblPr>
              <w:tblStyle w:val="24"/>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45" w:type="dxa"/>
                <w:bottom w:w="0" w:type="dxa"/>
                <w:right w:w="45" w:type="dxa"/>
              </w:tblCellMar>
            </w:tblPr>
            <w:tblGrid>
              <w:gridCol w:w="685"/>
              <w:gridCol w:w="1810"/>
              <w:gridCol w:w="1671"/>
              <w:gridCol w:w="1064"/>
              <w:gridCol w:w="889"/>
              <w:gridCol w:w="2217"/>
            </w:tblGrid>
            <w:tr w14:paraId="40A9C9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4C4F4B3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序号</w:t>
                  </w:r>
                </w:p>
              </w:tc>
              <w:tc>
                <w:tcPr>
                  <w:tcW w:w="1085" w:type="pct"/>
                  <w:tcBorders>
                    <w:tl2br w:val="nil"/>
                    <w:tr2bl w:val="nil"/>
                  </w:tcBorders>
                  <w:noWrap w:val="0"/>
                  <w:vAlign w:val="center"/>
                </w:tcPr>
                <w:p w14:paraId="2CBA6DE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原材料名称</w:t>
                  </w:r>
                </w:p>
              </w:tc>
              <w:tc>
                <w:tcPr>
                  <w:tcW w:w="1002" w:type="pct"/>
                  <w:tcBorders>
                    <w:tl2br w:val="nil"/>
                    <w:tr2bl w:val="nil"/>
                  </w:tcBorders>
                  <w:noWrap w:val="0"/>
                  <w:vAlign w:val="center"/>
                </w:tcPr>
                <w:p w14:paraId="1614763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最大储存及在线量（t）</w:t>
                  </w:r>
                </w:p>
              </w:tc>
              <w:tc>
                <w:tcPr>
                  <w:tcW w:w="638" w:type="pct"/>
                  <w:tcBorders>
                    <w:tl2br w:val="nil"/>
                    <w:tr2bl w:val="nil"/>
                  </w:tcBorders>
                  <w:noWrap w:val="0"/>
                  <w:vAlign w:val="center"/>
                </w:tcPr>
                <w:p w14:paraId="6CECF94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临界量（t）</w:t>
                  </w:r>
                </w:p>
              </w:tc>
              <w:tc>
                <w:tcPr>
                  <w:tcW w:w="533" w:type="pct"/>
                  <w:tcBorders>
                    <w:tl2br w:val="nil"/>
                    <w:tr2bl w:val="nil"/>
                  </w:tcBorders>
                  <w:noWrap w:val="0"/>
                  <w:vAlign w:val="center"/>
                </w:tcPr>
                <w:p w14:paraId="4D10BF7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比值（Q）</w:t>
                  </w:r>
                </w:p>
              </w:tc>
              <w:tc>
                <w:tcPr>
                  <w:tcW w:w="1329" w:type="pct"/>
                  <w:tcBorders>
                    <w:tl2br w:val="nil"/>
                    <w:tr2bl w:val="nil"/>
                  </w:tcBorders>
                  <w:noWrap w:val="0"/>
                  <w:vAlign w:val="center"/>
                </w:tcPr>
                <w:p w14:paraId="1C6FD45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备注</w:t>
                  </w:r>
                </w:p>
              </w:tc>
            </w:tr>
            <w:tr w14:paraId="5E3465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3CBAB1A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1</w:t>
                  </w:r>
                </w:p>
              </w:tc>
              <w:tc>
                <w:tcPr>
                  <w:tcW w:w="1085" w:type="pct"/>
                  <w:tcBorders>
                    <w:tl2br w:val="nil"/>
                    <w:tr2bl w:val="nil"/>
                  </w:tcBorders>
                  <w:noWrap w:val="0"/>
                  <w:vAlign w:val="center"/>
                </w:tcPr>
                <w:p w14:paraId="71F3294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液压油</w:t>
                  </w:r>
                </w:p>
              </w:tc>
              <w:tc>
                <w:tcPr>
                  <w:tcW w:w="1002" w:type="pct"/>
                  <w:tcBorders>
                    <w:tl2br w:val="nil"/>
                    <w:tr2bl w:val="nil"/>
                  </w:tcBorders>
                  <w:noWrap w:val="0"/>
                  <w:vAlign w:val="center"/>
                </w:tcPr>
                <w:p w14:paraId="5F225D4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0.</w:t>
                  </w:r>
                  <w:r>
                    <w:rPr>
                      <w:rFonts w:hint="eastAsia" w:cs="Times New Roman"/>
                      <w:b w:val="0"/>
                      <w:bCs/>
                      <w:color w:val="000000"/>
                      <w:sz w:val="21"/>
                      <w:szCs w:val="21"/>
                      <w:lang w:val="en-US" w:eastAsia="zh-CN" w:bidi="ar-SA"/>
                    </w:rPr>
                    <w:t>5</w:t>
                  </w:r>
                </w:p>
              </w:tc>
              <w:tc>
                <w:tcPr>
                  <w:tcW w:w="638" w:type="pct"/>
                  <w:tcBorders>
                    <w:tl2br w:val="nil"/>
                    <w:tr2bl w:val="nil"/>
                  </w:tcBorders>
                  <w:noWrap w:val="0"/>
                  <w:vAlign w:val="center"/>
                </w:tcPr>
                <w:p w14:paraId="24EFA66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2500</w:t>
                  </w:r>
                </w:p>
              </w:tc>
              <w:tc>
                <w:tcPr>
                  <w:tcW w:w="533" w:type="pct"/>
                  <w:tcBorders>
                    <w:tl2br w:val="nil"/>
                    <w:tr2bl w:val="nil"/>
                  </w:tcBorders>
                  <w:noWrap w:val="0"/>
                  <w:vAlign w:val="center"/>
                </w:tcPr>
                <w:p w14:paraId="4CBA3DE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0.000</w:t>
                  </w:r>
                  <w:r>
                    <w:rPr>
                      <w:rFonts w:hint="eastAsia" w:cs="Times New Roman"/>
                      <w:b w:val="0"/>
                      <w:bCs/>
                      <w:color w:val="000000"/>
                      <w:sz w:val="21"/>
                      <w:szCs w:val="21"/>
                      <w:lang w:val="en-US" w:eastAsia="zh-CN" w:bidi="ar-SA"/>
                    </w:rPr>
                    <w:t>2</w:t>
                  </w:r>
                </w:p>
              </w:tc>
              <w:tc>
                <w:tcPr>
                  <w:tcW w:w="1329" w:type="pct"/>
                  <w:tcBorders>
                    <w:tl2br w:val="nil"/>
                    <w:tr2bl w:val="nil"/>
                  </w:tcBorders>
                  <w:noWrap w:val="0"/>
                  <w:vAlign w:val="center"/>
                </w:tcPr>
                <w:p w14:paraId="53E46CD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p>
              </w:tc>
            </w:tr>
            <w:tr w14:paraId="2A2F5B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20BFAA1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2</w:t>
                  </w:r>
                </w:p>
              </w:tc>
              <w:tc>
                <w:tcPr>
                  <w:tcW w:w="1085" w:type="pct"/>
                  <w:tcBorders>
                    <w:tl2br w:val="nil"/>
                    <w:tr2bl w:val="nil"/>
                  </w:tcBorders>
                  <w:noWrap w:val="0"/>
                  <w:vAlign w:val="center"/>
                </w:tcPr>
                <w:p w14:paraId="0E72BC4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废</w:t>
                  </w:r>
                  <w:r>
                    <w:rPr>
                      <w:rFonts w:hint="default" w:ascii="Times New Roman" w:hAnsi="Times New Roman" w:eastAsia="宋体" w:cs="Times New Roman"/>
                      <w:b w:val="0"/>
                      <w:bCs/>
                      <w:color w:val="000000"/>
                      <w:sz w:val="21"/>
                      <w:szCs w:val="21"/>
                      <w:lang w:val="en-US" w:eastAsia="zh-CN" w:bidi="ar-SA"/>
                    </w:rPr>
                    <w:t>液压油</w:t>
                  </w:r>
                </w:p>
              </w:tc>
              <w:tc>
                <w:tcPr>
                  <w:tcW w:w="1002" w:type="pct"/>
                  <w:tcBorders>
                    <w:tl2br w:val="nil"/>
                    <w:tr2bl w:val="nil"/>
                  </w:tcBorders>
                  <w:noWrap w:val="0"/>
                  <w:vAlign w:val="center"/>
                </w:tcPr>
                <w:p w14:paraId="05FFB13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0.</w:t>
                  </w:r>
                  <w:r>
                    <w:rPr>
                      <w:rFonts w:hint="eastAsia" w:cs="Times New Roman"/>
                      <w:b w:val="0"/>
                      <w:bCs/>
                      <w:color w:val="000000"/>
                      <w:sz w:val="21"/>
                      <w:szCs w:val="21"/>
                      <w:lang w:val="en-US" w:eastAsia="zh-CN" w:bidi="ar-SA"/>
                    </w:rPr>
                    <w:t>5</w:t>
                  </w:r>
                </w:p>
              </w:tc>
              <w:tc>
                <w:tcPr>
                  <w:tcW w:w="638" w:type="pct"/>
                  <w:tcBorders>
                    <w:tl2br w:val="nil"/>
                    <w:tr2bl w:val="nil"/>
                  </w:tcBorders>
                  <w:noWrap w:val="0"/>
                  <w:vAlign w:val="center"/>
                </w:tcPr>
                <w:p w14:paraId="71904D6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2500</w:t>
                  </w:r>
                </w:p>
              </w:tc>
              <w:tc>
                <w:tcPr>
                  <w:tcW w:w="533" w:type="pct"/>
                  <w:tcBorders>
                    <w:tl2br w:val="nil"/>
                    <w:tr2bl w:val="nil"/>
                  </w:tcBorders>
                  <w:noWrap w:val="0"/>
                  <w:vAlign w:val="center"/>
                </w:tcPr>
                <w:p w14:paraId="0826F6CF">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0.000</w:t>
                  </w:r>
                  <w:r>
                    <w:rPr>
                      <w:rFonts w:hint="eastAsia" w:cs="Times New Roman"/>
                      <w:b w:val="0"/>
                      <w:bCs/>
                      <w:color w:val="000000"/>
                      <w:sz w:val="21"/>
                      <w:szCs w:val="21"/>
                      <w:lang w:val="en-US" w:eastAsia="zh-CN" w:bidi="ar-SA"/>
                    </w:rPr>
                    <w:t>2</w:t>
                  </w:r>
                </w:p>
              </w:tc>
              <w:tc>
                <w:tcPr>
                  <w:tcW w:w="1329" w:type="pct"/>
                  <w:tcBorders>
                    <w:tl2br w:val="nil"/>
                    <w:tr2bl w:val="nil"/>
                  </w:tcBorders>
                  <w:noWrap w:val="0"/>
                  <w:vAlign w:val="center"/>
                </w:tcPr>
                <w:p w14:paraId="270B7F0B">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p>
              </w:tc>
            </w:tr>
            <w:tr w14:paraId="2C8AAF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3AC3A7C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cs="Times New Roman"/>
                      <w:b w:val="0"/>
                      <w:bCs/>
                      <w:color w:val="000000"/>
                      <w:sz w:val="21"/>
                      <w:szCs w:val="21"/>
                      <w:lang w:val="en-US" w:eastAsia="zh-CN" w:bidi="ar-SA"/>
                    </w:rPr>
                    <w:t>3</w:t>
                  </w:r>
                </w:p>
              </w:tc>
              <w:tc>
                <w:tcPr>
                  <w:tcW w:w="1085" w:type="pct"/>
                  <w:tcBorders>
                    <w:tl2br w:val="nil"/>
                    <w:tr2bl w:val="nil"/>
                  </w:tcBorders>
                  <w:noWrap w:val="0"/>
                  <w:vAlign w:val="center"/>
                </w:tcPr>
                <w:p w14:paraId="00A357F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润滑油</w:t>
                  </w:r>
                </w:p>
              </w:tc>
              <w:tc>
                <w:tcPr>
                  <w:tcW w:w="1002" w:type="pct"/>
                  <w:tcBorders>
                    <w:tl2br w:val="nil"/>
                    <w:tr2bl w:val="nil"/>
                  </w:tcBorders>
                  <w:noWrap w:val="0"/>
                  <w:vAlign w:val="center"/>
                </w:tcPr>
                <w:p w14:paraId="7347512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0.</w:t>
                  </w:r>
                  <w:r>
                    <w:rPr>
                      <w:rFonts w:hint="eastAsia" w:cs="Times New Roman"/>
                      <w:b w:val="0"/>
                      <w:bCs/>
                      <w:color w:val="000000"/>
                      <w:sz w:val="21"/>
                      <w:szCs w:val="21"/>
                      <w:lang w:val="en-US" w:eastAsia="zh-CN" w:bidi="ar-SA"/>
                    </w:rPr>
                    <w:t>2</w:t>
                  </w:r>
                </w:p>
              </w:tc>
              <w:tc>
                <w:tcPr>
                  <w:tcW w:w="638" w:type="pct"/>
                  <w:tcBorders>
                    <w:tl2br w:val="nil"/>
                    <w:tr2bl w:val="nil"/>
                  </w:tcBorders>
                  <w:noWrap w:val="0"/>
                  <w:vAlign w:val="center"/>
                </w:tcPr>
                <w:p w14:paraId="3C60DD8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2500</w:t>
                  </w:r>
                </w:p>
              </w:tc>
              <w:tc>
                <w:tcPr>
                  <w:tcW w:w="533" w:type="pct"/>
                  <w:tcBorders>
                    <w:tl2br w:val="nil"/>
                    <w:tr2bl w:val="nil"/>
                  </w:tcBorders>
                  <w:noWrap w:val="0"/>
                  <w:vAlign w:val="center"/>
                </w:tcPr>
                <w:p w14:paraId="5747D40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0.0000</w:t>
                  </w:r>
                  <w:r>
                    <w:rPr>
                      <w:rFonts w:hint="eastAsia" w:cs="Times New Roman"/>
                      <w:b w:val="0"/>
                      <w:bCs/>
                      <w:color w:val="000000"/>
                      <w:sz w:val="21"/>
                      <w:szCs w:val="21"/>
                      <w:lang w:val="en-US" w:eastAsia="zh-CN" w:bidi="ar-SA"/>
                    </w:rPr>
                    <w:t>8</w:t>
                  </w:r>
                </w:p>
              </w:tc>
              <w:tc>
                <w:tcPr>
                  <w:tcW w:w="1329" w:type="pct"/>
                  <w:tcBorders>
                    <w:tl2br w:val="nil"/>
                    <w:tr2bl w:val="nil"/>
                  </w:tcBorders>
                  <w:noWrap w:val="0"/>
                  <w:vAlign w:val="center"/>
                </w:tcPr>
                <w:p w14:paraId="661080B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p>
              </w:tc>
            </w:tr>
            <w:tr w14:paraId="732484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3F86849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cs="Times New Roman"/>
                      <w:b w:val="0"/>
                      <w:bCs/>
                      <w:color w:val="000000"/>
                      <w:sz w:val="21"/>
                      <w:szCs w:val="21"/>
                      <w:lang w:val="en-US" w:eastAsia="zh-CN" w:bidi="ar-SA"/>
                    </w:rPr>
                    <w:t>4</w:t>
                  </w:r>
                </w:p>
              </w:tc>
              <w:tc>
                <w:tcPr>
                  <w:tcW w:w="1085" w:type="pct"/>
                  <w:tcBorders>
                    <w:tl2br w:val="nil"/>
                    <w:tr2bl w:val="nil"/>
                  </w:tcBorders>
                  <w:noWrap w:val="0"/>
                  <w:vAlign w:val="center"/>
                </w:tcPr>
                <w:p w14:paraId="5A0AC5DE">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废润滑油</w:t>
                  </w:r>
                </w:p>
              </w:tc>
              <w:tc>
                <w:tcPr>
                  <w:tcW w:w="1002" w:type="pct"/>
                  <w:tcBorders>
                    <w:tl2br w:val="nil"/>
                    <w:tr2bl w:val="nil"/>
                  </w:tcBorders>
                  <w:noWrap w:val="0"/>
                  <w:vAlign w:val="center"/>
                </w:tcPr>
                <w:p w14:paraId="12ECE946">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0.</w:t>
                  </w:r>
                  <w:r>
                    <w:rPr>
                      <w:rFonts w:hint="eastAsia" w:cs="Times New Roman"/>
                      <w:b w:val="0"/>
                      <w:bCs/>
                      <w:color w:val="000000"/>
                      <w:sz w:val="21"/>
                      <w:szCs w:val="21"/>
                      <w:lang w:val="en-US" w:eastAsia="zh-CN" w:bidi="ar-SA"/>
                    </w:rPr>
                    <w:t>2</w:t>
                  </w:r>
                </w:p>
              </w:tc>
              <w:tc>
                <w:tcPr>
                  <w:tcW w:w="638" w:type="pct"/>
                  <w:tcBorders>
                    <w:tl2br w:val="nil"/>
                    <w:tr2bl w:val="nil"/>
                  </w:tcBorders>
                  <w:noWrap w:val="0"/>
                  <w:vAlign w:val="center"/>
                </w:tcPr>
                <w:p w14:paraId="32F313B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2500</w:t>
                  </w:r>
                </w:p>
              </w:tc>
              <w:tc>
                <w:tcPr>
                  <w:tcW w:w="533" w:type="pct"/>
                  <w:tcBorders>
                    <w:tl2br w:val="nil"/>
                    <w:tr2bl w:val="nil"/>
                  </w:tcBorders>
                  <w:noWrap w:val="0"/>
                  <w:vAlign w:val="center"/>
                </w:tcPr>
                <w:p w14:paraId="4C13B78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ascii="Times New Roman" w:hAnsi="Times New Roman" w:eastAsia="宋体" w:cs="Times New Roman"/>
                      <w:b w:val="0"/>
                      <w:bCs/>
                      <w:color w:val="000000"/>
                      <w:sz w:val="21"/>
                      <w:szCs w:val="21"/>
                      <w:lang w:val="en-US" w:eastAsia="zh-CN" w:bidi="ar-SA"/>
                    </w:rPr>
                    <w:t>0.0000</w:t>
                  </w:r>
                  <w:r>
                    <w:rPr>
                      <w:rFonts w:hint="eastAsia" w:cs="Times New Roman"/>
                      <w:b w:val="0"/>
                      <w:bCs/>
                      <w:color w:val="000000"/>
                      <w:sz w:val="21"/>
                      <w:szCs w:val="21"/>
                      <w:lang w:val="en-US" w:eastAsia="zh-CN" w:bidi="ar-SA"/>
                    </w:rPr>
                    <w:t>8</w:t>
                  </w:r>
                </w:p>
              </w:tc>
              <w:tc>
                <w:tcPr>
                  <w:tcW w:w="1329" w:type="pct"/>
                  <w:tcBorders>
                    <w:tl2br w:val="nil"/>
                    <w:tr2bl w:val="nil"/>
                  </w:tcBorders>
                  <w:noWrap w:val="0"/>
                  <w:vAlign w:val="center"/>
                </w:tcPr>
                <w:p w14:paraId="656A5D8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p>
              </w:tc>
            </w:tr>
            <w:tr w14:paraId="5E9A8E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2AA3048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cs="Times New Roman"/>
                      <w:b w:val="0"/>
                      <w:bCs/>
                      <w:color w:val="000000"/>
                      <w:sz w:val="21"/>
                      <w:szCs w:val="21"/>
                      <w:lang w:val="en-US" w:eastAsia="zh-CN" w:bidi="ar-SA"/>
                    </w:rPr>
                    <w:t>5</w:t>
                  </w:r>
                </w:p>
              </w:tc>
              <w:tc>
                <w:tcPr>
                  <w:tcW w:w="1085" w:type="pct"/>
                  <w:tcBorders>
                    <w:tl2br w:val="nil"/>
                    <w:tr2bl w:val="nil"/>
                  </w:tcBorders>
                  <w:noWrap w:val="0"/>
                  <w:vAlign w:val="center"/>
                </w:tcPr>
                <w:p w14:paraId="77646F4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天然气（甲烷）</w:t>
                  </w:r>
                </w:p>
              </w:tc>
              <w:tc>
                <w:tcPr>
                  <w:tcW w:w="1002" w:type="pct"/>
                  <w:tcBorders>
                    <w:tl2br w:val="nil"/>
                    <w:tr2bl w:val="nil"/>
                  </w:tcBorders>
                  <w:noWrap w:val="0"/>
                  <w:vAlign w:val="center"/>
                </w:tcPr>
                <w:p w14:paraId="06040EF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0.1</w:t>
                  </w:r>
                </w:p>
              </w:tc>
              <w:tc>
                <w:tcPr>
                  <w:tcW w:w="638" w:type="pct"/>
                  <w:tcBorders>
                    <w:tl2br w:val="nil"/>
                    <w:tr2bl w:val="nil"/>
                  </w:tcBorders>
                  <w:noWrap w:val="0"/>
                  <w:vAlign w:val="center"/>
                </w:tcPr>
                <w:p w14:paraId="32311AEC">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10</w:t>
                  </w:r>
                </w:p>
              </w:tc>
              <w:tc>
                <w:tcPr>
                  <w:tcW w:w="533" w:type="pct"/>
                  <w:tcBorders>
                    <w:tl2br w:val="nil"/>
                    <w:tr2bl w:val="nil"/>
                  </w:tcBorders>
                  <w:noWrap w:val="0"/>
                  <w:vAlign w:val="center"/>
                </w:tcPr>
                <w:p w14:paraId="6DBF3971">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0.01</w:t>
                  </w:r>
                </w:p>
              </w:tc>
              <w:tc>
                <w:tcPr>
                  <w:tcW w:w="1329" w:type="pct"/>
                  <w:tcBorders>
                    <w:tl2br w:val="nil"/>
                    <w:tr2bl w:val="nil"/>
                  </w:tcBorders>
                  <w:noWrap w:val="0"/>
                  <w:vAlign w:val="center"/>
                </w:tcPr>
                <w:p w14:paraId="6A077DAA">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p>
              </w:tc>
            </w:tr>
            <w:tr w14:paraId="174ACE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410" w:type="pct"/>
                  <w:tcBorders>
                    <w:tl2br w:val="nil"/>
                    <w:tr2bl w:val="nil"/>
                  </w:tcBorders>
                  <w:noWrap w:val="0"/>
                  <w:vAlign w:val="center"/>
                </w:tcPr>
                <w:p w14:paraId="327B8023">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cs="Times New Roman"/>
                      <w:b w:val="0"/>
                      <w:bCs/>
                      <w:color w:val="000000"/>
                      <w:sz w:val="21"/>
                      <w:szCs w:val="21"/>
                      <w:lang w:val="en-US" w:eastAsia="zh-CN" w:bidi="ar-SA"/>
                    </w:rPr>
                    <w:t>6</w:t>
                  </w:r>
                </w:p>
              </w:tc>
              <w:tc>
                <w:tcPr>
                  <w:tcW w:w="1085" w:type="pct"/>
                  <w:tcBorders>
                    <w:tl2br w:val="nil"/>
                    <w:tr2bl w:val="nil"/>
                  </w:tcBorders>
                  <w:noWrap w:val="0"/>
                  <w:vAlign w:val="center"/>
                </w:tcPr>
                <w:p w14:paraId="22145112">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危险废物（</w:t>
                  </w:r>
                  <w:r>
                    <w:rPr>
                      <w:rFonts w:hint="eastAsia" w:cs="Times New Roman"/>
                      <w:b w:val="0"/>
                      <w:bCs/>
                      <w:color w:val="000000"/>
                      <w:sz w:val="21"/>
                      <w:szCs w:val="21"/>
                      <w:lang w:val="en-US" w:eastAsia="zh-CN" w:bidi="ar-SA"/>
                    </w:rPr>
                    <w:t>废油桶</w:t>
                  </w:r>
                  <w:r>
                    <w:rPr>
                      <w:rFonts w:hint="eastAsia" w:ascii="Times New Roman" w:hAnsi="Times New Roman" w:eastAsia="宋体" w:cs="Times New Roman"/>
                      <w:b w:val="0"/>
                      <w:bCs/>
                      <w:color w:val="000000"/>
                      <w:sz w:val="21"/>
                      <w:szCs w:val="21"/>
                      <w:lang w:val="en-US" w:eastAsia="zh-CN" w:bidi="ar-SA"/>
                    </w:rPr>
                    <w:t>及</w:t>
                  </w:r>
                  <w:r>
                    <w:rPr>
                      <w:rFonts w:hint="default" w:ascii="Times New Roman" w:hAnsi="Times New Roman" w:eastAsia="宋体" w:cs="Times New Roman"/>
                      <w:b w:val="0"/>
                      <w:bCs/>
                      <w:color w:val="000000"/>
                      <w:sz w:val="21"/>
                      <w:szCs w:val="21"/>
                      <w:lang w:val="en-US" w:eastAsia="zh-CN" w:bidi="ar-SA"/>
                    </w:rPr>
                    <w:t>含油抹布）</w:t>
                  </w:r>
                </w:p>
              </w:tc>
              <w:tc>
                <w:tcPr>
                  <w:tcW w:w="1002" w:type="pct"/>
                  <w:tcBorders>
                    <w:tl2br w:val="nil"/>
                    <w:tr2bl w:val="nil"/>
                  </w:tcBorders>
                  <w:noWrap w:val="0"/>
                  <w:vAlign w:val="center"/>
                </w:tcPr>
                <w:p w14:paraId="77024F47">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eastAsia" w:cs="Times New Roman"/>
                      <w:b w:val="0"/>
                      <w:bCs/>
                      <w:color w:val="000000"/>
                      <w:sz w:val="21"/>
                      <w:szCs w:val="21"/>
                      <w:lang w:val="en-US" w:eastAsia="zh-CN" w:bidi="ar-SA"/>
                    </w:rPr>
                    <w:t>0.09</w:t>
                  </w:r>
                </w:p>
              </w:tc>
              <w:tc>
                <w:tcPr>
                  <w:tcW w:w="638" w:type="pct"/>
                  <w:tcBorders>
                    <w:tl2br w:val="nil"/>
                    <w:tr2bl w:val="nil"/>
                  </w:tcBorders>
                  <w:noWrap w:val="0"/>
                  <w:vAlign w:val="center"/>
                </w:tcPr>
                <w:p w14:paraId="5C1B0E8D">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50</w:t>
                  </w:r>
                </w:p>
              </w:tc>
              <w:tc>
                <w:tcPr>
                  <w:tcW w:w="533" w:type="pct"/>
                  <w:tcBorders>
                    <w:tl2br w:val="nil"/>
                    <w:tr2bl w:val="nil"/>
                  </w:tcBorders>
                  <w:noWrap w:val="0"/>
                  <w:vAlign w:val="center"/>
                </w:tcPr>
                <w:p w14:paraId="0E00D0D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0.</w:t>
                  </w:r>
                  <w:r>
                    <w:rPr>
                      <w:rFonts w:hint="eastAsia" w:ascii="Times New Roman" w:hAnsi="Times New Roman" w:eastAsia="宋体" w:cs="Times New Roman"/>
                      <w:b w:val="0"/>
                      <w:bCs/>
                      <w:color w:val="000000"/>
                      <w:sz w:val="21"/>
                      <w:szCs w:val="21"/>
                      <w:lang w:val="en-US" w:eastAsia="zh-CN" w:bidi="ar-SA"/>
                    </w:rPr>
                    <w:t>0</w:t>
                  </w:r>
                  <w:r>
                    <w:rPr>
                      <w:rFonts w:hint="eastAsia" w:cs="Times New Roman"/>
                      <w:b w:val="0"/>
                      <w:bCs/>
                      <w:color w:val="000000"/>
                      <w:sz w:val="21"/>
                      <w:szCs w:val="21"/>
                      <w:lang w:val="en-US" w:eastAsia="zh-CN" w:bidi="ar-SA"/>
                    </w:rPr>
                    <w:t>018</w:t>
                  </w:r>
                </w:p>
              </w:tc>
              <w:tc>
                <w:tcPr>
                  <w:tcW w:w="1329" w:type="pct"/>
                  <w:tcBorders>
                    <w:tl2br w:val="nil"/>
                    <w:tr2bl w:val="nil"/>
                  </w:tcBorders>
                  <w:noWrap w:val="0"/>
                  <w:vAlign w:val="center"/>
                </w:tcPr>
                <w:p w14:paraId="2FA14CE5">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auto"/>
                      <w:sz w:val="21"/>
                      <w:szCs w:val="21"/>
                      <w:lang w:val="en-US" w:eastAsia="zh-CN"/>
                    </w:rPr>
                    <w:t>以健康危险急性毒性物质（类别2，类别3）计</w:t>
                  </w:r>
                </w:p>
              </w:tc>
            </w:tr>
            <w:tr w14:paraId="5BBAD9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45" w:type="dxa"/>
                  <w:bottom w:w="0" w:type="dxa"/>
                  <w:right w:w="45" w:type="dxa"/>
                </w:tblCellMar>
              </w:tblPrEx>
              <w:trPr>
                <w:trHeight w:val="425" w:hRule="atLeast"/>
                <w:jc w:val="center"/>
              </w:trPr>
              <w:tc>
                <w:tcPr>
                  <w:tcW w:w="3136" w:type="pct"/>
                  <w:gridSpan w:val="4"/>
                  <w:tcBorders>
                    <w:tl2br w:val="nil"/>
                    <w:tr2bl w:val="nil"/>
                  </w:tcBorders>
                  <w:noWrap w:val="0"/>
                  <w:vAlign w:val="center"/>
                </w:tcPr>
                <w:p w14:paraId="1BB443E0">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val="en-US" w:eastAsia="zh-CN" w:bidi="ar-SA"/>
                    </w:rPr>
                  </w:pPr>
                  <w:r>
                    <w:rPr>
                      <w:rFonts w:hint="default" w:ascii="Times New Roman" w:hAnsi="Times New Roman" w:eastAsia="宋体" w:cs="Times New Roman"/>
                      <w:b w:val="0"/>
                      <w:bCs/>
                      <w:color w:val="000000"/>
                      <w:sz w:val="21"/>
                      <w:szCs w:val="21"/>
                      <w:lang w:val="en-US" w:eastAsia="zh-CN" w:bidi="ar-SA"/>
                    </w:rPr>
                    <w:t>合计</w:t>
                  </w:r>
                </w:p>
              </w:tc>
              <w:tc>
                <w:tcPr>
                  <w:tcW w:w="533" w:type="pct"/>
                  <w:tcBorders>
                    <w:tl2br w:val="nil"/>
                    <w:tr2bl w:val="nil"/>
                  </w:tcBorders>
                  <w:noWrap w:val="0"/>
                  <w:vAlign w:val="center"/>
                </w:tcPr>
                <w:p w14:paraId="39807D38">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000000"/>
                      <w:sz w:val="21"/>
                      <w:szCs w:val="21"/>
                      <w:lang w:eastAsia="zh-CN" w:bidi="ar-SA"/>
                    </w:rPr>
                  </w:pPr>
                  <w:r>
                    <w:rPr>
                      <w:rFonts w:hint="default" w:ascii="Times New Roman" w:hAnsi="Times New Roman" w:eastAsia="宋体" w:cs="Times New Roman"/>
                      <w:b w:val="0"/>
                      <w:bCs/>
                      <w:color w:val="000000"/>
                      <w:sz w:val="21"/>
                      <w:szCs w:val="21"/>
                      <w:lang w:eastAsia="zh-CN" w:bidi="ar-SA"/>
                    </w:rPr>
                    <w:fldChar w:fldCharType="begin"/>
                  </w:r>
                  <w:r>
                    <w:rPr>
                      <w:rFonts w:hint="default" w:ascii="Times New Roman" w:hAnsi="Times New Roman" w:eastAsia="宋体" w:cs="Times New Roman"/>
                      <w:b w:val="0"/>
                      <w:bCs/>
                      <w:color w:val="000000"/>
                      <w:sz w:val="21"/>
                      <w:szCs w:val="21"/>
                      <w:lang w:eastAsia="zh-CN" w:bidi="ar-SA"/>
                    </w:rPr>
                    <w:instrText xml:space="preserve"> = sum（above） \* MERGEFORMAT </w:instrText>
                  </w:r>
                  <w:r>
                    <w:rPr>
                      <w:rFonts w:hint="default" w:ascii="Times New Roman" w:hAnsi="Times New Roman" w:eastAsia="宋体" w:cs="Times New Roman"/>
                      <w:b w:val="0"/>
                      <w:bCs/>
                      <w:color w:val="000000"/>
                      <w:sz w:val="21"/>
                      <w:szCs w:val="21"/>
                      <w:lang w:eastAsia="zh-CN" w:bidi="ar-SA"/>
                    </w:rPr>
                    <w:fldChar w:fldCharType="separate"/>
                  </w:r>
                  <w:r>
                    <w:rPr>
                      <w:rFonts w:hint="default" w:ascii="Times New Roman" w:hAnsi="Times New Roman" w:eastAsia="宋体" w:cs="Times New Roman"/>
                      <w:b w:val="0"/>
                      <w:bCs/>
                      <w:color w:val="000000"/>
                      <w:sz w:val="21"/>
                      <w:szCs w:val="21"/>
                      <w:lang w:eastAsia="zh-CN" w:bidi="ar-SA"/>
                    </w:rPr>
                    <w:t>0.01236</w:t>
                  </w:r>
                  <w:r>
                    <w:rPr>
                      <w:rFonts w:hint="default" w:ascii="Times New Roman" w:hAnsi="Times New Roman" w:eastAsia="宋体" w:cs="Times New Roman"/>
                      <w:b w:val="0"/>
                      <w:bCs/>
                      <w:color w:val="000000"/>
                      <w:sz w:val="21"/>
                      <w:szCs w:val="21"/>
                      <w:lang w:eastAsia="zh-CN" w:bidi="ar-SA"/>
                    </w:rPr>
                    <w:fldChar w:fldCharType="end"/>
                  </w:r>
                </w:p>
              </w:tc>
              <w:tc>
                <w:tcPr>
                  <w:tcW w:w="1329" w:type="pct"/>
                  <w:tcBorders>
                    <w:tl2br w:val="nil"/>
                    <w:tr2bl w:val="nil"/>
                  </w:tcBorders>
                  <w:noWrap w:val="0"/>
                  <w:vAlign w:val="center"/>
                </w:tcPr>
                <w:p w14:paraId="2820E909">
                  <w:pPr>
                    <w:pStyle w:val="41"/>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default" w:ascii="Times New Roman" w:hAnsi="Times New Roman" w:eastAsia="宋体" w:cs="Times New Roman"/>
                      <w:b w:val="0"/>
                      <w:bCs/>
                      <w:color w:val="auto"/>
                      <w:sz w:val="21"/>
                      <w:szCs w:val="21"/>
                      <w:lang w:val="en-US" w:eastAsia="zh-CN"/>
                    </w:rPr>
                  </w:pPr>
                </w:p>
              </w:tc>
            </w:tr>
          </w:tbl>
          <w:p w14:paraId="27DF2EA5">
            <w:pPr>
              <w:pStyle w:val="14"/>
              <w:keepNext w:val="0"/>
              <w:keepLines w:val="0"/>
              <w:pageBreakBefore w:val="0"/>
              <w:widowControl w:val="0"/>
              <w:kinsoku/>
              <w:wordWrap/>
              <w:overflowPunct/>
              <w:topLinePunct w:val="0"/>
              <w:autoSpaceDE/>
              <w:autoSpaceDN/>
              <w:bidi w:val="0"/>
              <w:adjustRightInd w:val="0"/>
              <w:snapToGrid w:val="0"/>
              <w:spacing w:before="95" w:beforeLines="30" w:after="0" w:line="360" w:lineRule="auto"/>
              <w:ind w:firstLine="480" w:firstLineChars="200"/>
              <w:jc w:val="left"/>
              <w:textAlignment w:val="auto"/>
              <w:rPr>
                <w:color w:val="auto"/>
                <w:spacing w:val="-1"/>
                <w:sz w:val="24"/>
                <w:szCs w:val="24"/>
              </w:rPr>
            </w:pPr>
            <w:r>
              <w:rPr>
                <w:color w:val="auto"/>
                <w:sz w:val="24"/>
                <w:szCs w:val="24"/>
              </w:rPr>
              <w:t>由计算可知，本项目Q值为</w:t>
            </w:r>
            <w:r>
              <w:rPr>
                <w:rFonts w:hint="default" w:ascii="Times New Roman" w:hAnsi="Times New Roman" w:eastAsia="宋体" w:cs="Times New Roman"/>
                <w:b w:val="0"/>
                <w:bCs/>
                <w:color w:val="000000"/>
                <w:sz w:val="24"/>
                <w:szCs w:val="24"/>
                <w:lang w:eastAsia="zh-CN" w:bidi="ar-SA"/>
              </w:rPr>
              <w:fldChar w:fldCharType="begin"/>
            </w:r>
            <w:r>
              <w:rPr>
                <w:rFonts w:hint="default" w:ascii="Times New Roman" w:hAnsi="Times New Roman" w:eastAsia="宋体" w:cs="Times New Roman"/>
                <w:b w:val="0"/>
                <w:bCs/>
                <w:color w:val="000000"/>
                <w:sz w:val="24"/>
                <w:szCs w:val="24"/>
                <w:lang w:eastAsia="zh-CN" w:bidi="ar-SA"/>
              </w:rPr>
              <w:instrText xml:space="preserve"> = sum（above） \* MERGEFORMAT </w:instrText>
            </w:r>
            <w:r>
              <w:rPr>
                <w:rFonts w:hint="default" w:ascii="Times New Roman" w:hAnsi="Times New Roman" w:eastAsia="宋体" w:cs="Times New Roman"/>
                <w:b w:val="0"/>
                <w:bCs/>
                <w:color w:val="000000"/>
                <w:sz w:val="24"/>
                <w:szCs w:val="24"/>
                <w:lang w:eastAsia="zh-CN" w:bidi="ar-SA"/>
              </w:rPr>
              <w:fldChar w:fldCharType="separate"/>
            </w:r>
            <w:r>
              <w:rPr>
                <w:rFonts w:hint="default" w:ascii="Times New Roman" w:hAnsi="Times New Roman" w:eastAsia="宋体" w:cs="Times New Roman"/>
                <w:b w:val="0"/>
                <w:bCs/>
                <w:color w:val="000000"/>
                <w:sz w:val="24"/>
                <w:szCs w:val="24"/>
                <w:lang w:eastAsia="zh-CN" w:bidi="ar-SA"/>
              </w:rPr>
              <w:t>0.01236</w:t>
            </w:r>
            <w:r>
              <w:rPr>
                <w:rFonts w:hint="default" w:ascii="Times New Roman" w:hAnsi="Times New Roman" w:eastAsia="宋体" w:cs="Times New Roman"/>
                <w:b w:val="0"/>
                <w:bCs/>
                <w:color w:val="000000"/>
                <w:sz w:val="24"/>
                <w:szCs w:val="24"/>
                <w:lang w:eastAsia="zh-CN" w:bidi="ar-SA"/>
              </w:rPr>
              <w:fldChar w:fldCharType="end"/>
            </w:r>
            <w:r>
              <w:rPr>
                <w:color w:val="auto"/>
                <w:sz w:val="24"/>
                <w:szCs w:val="24"/>
              </w:rPr>
              <w:t>﹤1，本项目环境风险潜势为</w:t>
            </w:r>
            <w:r>
              <w:rPr>
                <w:rFonts w:hint="default" w:ascii="Times New Roman" w:hAnsi="Times New Roman" w:cs="Times New Roman"/>
                <w:color w:val="auto"/>
                <w:sz w:val="24"/>
                <w:szCs w:val="24"/>
              </w:rPr>
              <w:t>Ⅰ</w:t>
            </w:r>
            <w:r>
              <w:rPr>
                <w:color w:val="auto"/>
                <w:sz w:val="24"/>
                <w:szCs w:val="24"/>
              </w:rPr>
              <w:t>级。</w:t>
            </w:r>
          </w:p>
          <w:p w14:paraId="55C880CD">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7.3评价等级</w:t>
            </w:r>
          </w:p>
          <w:p w14:paraId="4E18AEE5">
            <w:pPr>
              <w:pStyle w:val="2"/>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根据《建设项目环境风险评价技术导则》（HJ169-2018），风险潜势为</w:t>
            </w:r>
            <w:r>
              <w:rPr>
                <w:rFonts w:hint="default" w:ascii="Times New Roman" w:hAnsi="Times New Roman" w:cs="Times New Roman"/>
                <w:color w:val="auto"/>
                <w:lang w:val="en-US" w:eastAsia="zh-CN"/>
              </w:rPr>
              <w:t>Ⅰ</w:t>
            </w:r>
            <w:r>
              <w:rPr>
                <w:rFonts w:hint="eastAsia" w:ascii="Times New Roman" w:hAnsi="Times New Roman"/>
                <w:color w:val="auto"/>
                <w:lang w:val="en-US" w:eastAsia="zh-CN"/>
              </w:rPr>
              <w:t>时，环境风险评价工作等级为简单分析。</w:t>
            </w:r>
          </w:p>
          <w:p w14:paraId="2275143C">
            <w:pPr>
              <w:pStyle w:val="2"/>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（1）环境风险识别</w:t>
            </w:r>
          </w:p>
          <w:p w14:paraId="7D7044EE">
            <w:pPr>
              <w:pStyle w:val="2"/>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①火灾事故</w:t>
            </w:r>
          </w:p>
          <w:p w14:paraId="11CA68FB">
            <w:pPr>
              <w:pStyle w:val="2"/>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本项目一旦发生火灾，将对环境空气造成一定污染；在事故应急救援中产生的消防灭火水和喷淋冷却水可能伴有一定的物料和未完全燃烧的产物，若沿雨水管网外排将对受纳水体产生严重污染；灭火过程中可能产生大量的废泡沫、干粉、沙土等固体废物，若事故排放后随意丢弃、排放，将对环境产生二次污染。</w:t>
            </w:r>
          </w:p>
          <w:p w14:paraId="70CE821F">
            <w:pPr>
              <w:pStyle w:val="2"/>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②风险物质及危险废物泄露</w:t>
            </w:r>
          </w:p>
          <w:p w14:paraId="7F1E9683">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风险物质贮存过程中也有可能发生泄漏，渗入地下或溢流入排水沟中，引起污染事故；危险废物暂存过程泄露、直接排放对区域大气、土壤、地下水环境产生影响。危废流失可能性有委托不具有相应资质单位处置、混入一般固废、被抛洒或倾倒等，可能对地表水、地下水、土壤环境造成严重污染。项目危废暂存间地面进行重点防渗并设置导流沟和收集池，可有效防止废液压油等危废泄漏。</w:t>
            </w:r>
          </w:p>
          <w:p w14:paraId="0E6E057D">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项目风险物质储存区域地面及裙角应作防腐、防渗处理，避免物料泄漏污染环境。项目危废设专人全程管理，从产生、收集，到库内暂存，最后到委托处置。项目危废产生后立即收集送入危废库集中暂存。每年至少一次全部委托有相应资质的单位处置，不得随意委托不具有相应资质的单位处置。加强全程监管，杜绝危废被混入一般固废，被人员有意或无意抛洒倾倒。危废暂存必须分类暂存，建立危废台账。危废暂存间设有防渗、防雨、防风、防晒、防盗、防火、防泄漏等措施。</w:t>
            </w:r>
          </w:p>
          <w:p w14:paraId="104E67DB">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（2）风险防范措施</w:t>
            </w:r>
          </w:p>
          <w:p w14:paraId="71D7B21A">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①风险事故防范措施</w:t>
            </w:r>
          </w:p>
          <w:p w14:paraId="3F2D1D03">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人、物、环境和管理构成了现代工业企业生产中最基本的生产组织和生产单位，同时又是构成企业生产过程中诱发各种风险事故的危险因素。</w:t>
            </w:r>
          </w:p>
          <w:p w14:paraId="3AEF2290">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风险事故发生规律表明：物的不安全状态+管理缺陷==&gt;风险事故隐患+人的不安全行为==&gt;风险事故。</w:t>
            </w:r>
          </w:p>
          <w:p w14:paraId="6AC01211">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“预防为主”是安全生产的原则，加强预防工作，从管理着手，把风险事故的发生和影响降到最低程度，针对本项目的特点，特别要注意以下几点：</w:t>
            </w:r>
          </w:p>
          <w:p w14:paraId="53F06E71">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a.严格按照工业安全生产规定，设置安全监控点，按中华全国总工会职业危害安全监控法执行；</w:t>
            </w:r>
          </w:p>
          <w:p w14:paraId="21F9CB78">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b.对生产设备进行定期检测；</w:t>
            </w:r>
          </w:p>
          <w:p w14:paraId="2C462B62">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c.确保设备、管道、阀门的材质和加工质量，所有管线系统均必须按有关标准进行良好设计、制作及安装；</w:t>
            </w:r>
          </w:p>
          <w:p w14:paraId="7BB4C7A5">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d.加强职工安全环保教育，增强操作工人的责任心，防止和减少因人为因素造成的事故，同时也要加强防火安全教育；</w:t>
            </w:r>
          </w:p>
          <w:p w14:paraId="411C90D7">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e.应配备足够的消防设施，落实安全管理责任。</w:t>
            </w:r>
          </w:p>
          <w:p w14:paraId="7D13136B">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②选址、总图布置和建筑风险防范措施</w:t>
            </w:r>
          </w:p>
          <w:p w14:paraId="33296DB4">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a.总平面布置，严格执行国家规范要求，所有建、构筑物之间或与其他场所之间留有足够的防火间距，防止在火灾或爆炸时相互影响。道路人、医废分开，满足消防通道和人员疏散要求。</w:t>
            </w:r>
          </w:p>
          <w:p w14:paraId="5FEA688D">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b.根据火灾危险性等级和防火、防爆要求，建筑物按一、二级耐火等级设计，满足建筑防火要求。</w:t>
            </w:r>
          </w:p>
          <w:p w14:paraId="55885C60">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c.建立完善的消防设施，包括高压水消防系统、火灾报警系统等。</w:t>
            </w:r>
          </w:p>
          <w:p w14:paraId="79ADB609">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③防止事故污染物向水环境转移防范措施</w:t>
            </w:r>
          </w:p>
          <w:p w14:paraId="5BD1A06A">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企业需加强企业安全管理制度和安全教育，制定防止事故发生的各种规章制度并严格执行，使安全工作做到经常化和制度化。本项目在采取上述措施后，可确保项目的事故废水不会污染厂址附近地表水体和地下水体。</w:t>
            </w:r>
          </w:p>
          <w:p w14:paraId="10E992F7">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④消防及火灾报警系统</w:t>
            </w:r>
          </w:p>
          <w:p w14:paraId="551026F2">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a.根据火灾危险性等级和防火、防爆要求，建筑物的防火等级均应采用国家现行规范要求按一、二级耐火等级设计，满足建筑防火要求；凡禁火区均设置明显标志牌，安全出口及安全疏散距离应符合《建筑设计防火规范》GB 50016-2014的要求。</w:t>
            </w:r>
          </w:p>
          <w:p w14:paraId="6EE67E29">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b.设置干粉灭火器，危化品仓库设置泡沫灭火器。</w:t>
            </w:r>
          </w:p>
          <w:p w14:paraId="2C473D69">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c.消防水是独立的稳高压消防水管网，消防水管道沿生产车间及危化品仓周围布置，在管道上按照规范要求配置消火栓。</w:t>
            </w:r>
          </w:p>
          <w:p w14:paraId="3FD1D5F7">
            <w:pPr>
              <w:pStyle w:val="2"/>
              <w:keepNext w:val="0"/>
              <w:keepLines w:val="0"/>
              <w:pageBreakBefore w:val="0"/>
              <w:widowControl w:val="0"/>
              <w:kinsoku/>
              <w:wordWrap/>
              <w:overflowPunct/>
              <w:topLinePunct w:val="0"/>
              <w:bidi w:val="0"/>
              <w:adjustRightInd w:val="0"/>
              <w:snapToGrid w:val="0"/>
              <w:spacing w:line="360" w:lineRule="auto"/>
              <w:ind w:firstLine="480"/>
              <w:jc w:val="both"/>
              <w:textAlignment w:val="auto"/>
              <w:rPr>
                <w:rFonts w:hint="eastAsia" w:ascii="Times New Roman" w:hAnsi="Times New Roman"/>
                <w:color w:val="auto"/>
                <w:lang w:val="en-US" w:eastAsia="zh-CN"/>
              </w:rPr>
            </w:pPr>
            <w:r>
              <w:rPr>
                <w:rFonts w:hint="eastAsia" w:ascii="Times New Roman" w:hAnsi="Times New Roman"/>
                <w:color w:val="auto"/>
                <w:lang w:val="en-US" w:eastAsia="zh-CN"/>
              </w:rPr>
              <w:t>d.火灾报警系统：全厂采用电话报警，专人负责，发生火灾时，报警至各生产车间，装置周围设有手动火灾报警按钮，装置内重点部位设有感烟、感温探测器及手动报警按钮等。</w:t>
            </w:r>
          </w:p>
          <w:p w14:paraId="51CF4EC5">
            <w:pPr>
              <w:pStyle w:val="22"/>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7.4分析小结</w:t>
            </w:r>
          </w:p>
          <w:p w14:paraId="709F2228">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cs="Times New Roman"/>
                <w:color w:val="auto"/>
                <w:sz w:val="24"/>
                <w:szCs w:val="22"/>
              </w:rPr>
            </w:pPr>
            <w:r>
              <w:rPr>
                <w:rFonts w:hint="default" w:ascii="Times New Roman" w:hAnsi="Times New Roman" w:cs="Times New Roman"/>
                <w:color w:val="auto"/>
                <w:sz w:val="24"/>
                <w:szCs w:val="22"/>
              </w:rPr>
              <w:t>本项目未涉及重大危险</w:t>
            </w:r>
            <w:r>
              <w:rPr>
                <w:rFonts w:hint="default" w:ascii="Times New Roman" w:hAnsi="Times New Roman" w:cs="Times New Roman"/>
                <w:color w:val="auto"/>
                <w:sz w:val="24"/>
                <w:szCs w:val="22"/>
                <w:lang w:val="en-US" w:eastAsia="zh-CN"/>
              </w:rPr>
              <w:t>源</w:t>
            </w:r>
            <w:r>
              <w:rPr>
                <w:rFonts w:hint="default" w:ascii="Times New Roman" w:hAnsi="Times New Roman" w:cs="Times New Roman"/>
                <w:color w:val="auto"/>
                <w:sz w:val="24"/>
                <w:szCs w:val="22"/>
              </w:rPr>
              <w:t>，主要项目涉及的主要危险物质为</w:t>
            </w:r>
            <w:r>
              <w:rPr>
                <w:rFonts w:hint="eastAsia" w:ascii="Times New Roman" w:hAnsi="Times New Roman" w:cs="Times New Roman"/>
                <w:color w:val="auto"/>
                <w:sz w:val="24"/>
                <w:szCs w:val="22"/>
                <w:lang w:val="en-US" w:eastAsia="zh-CN"/>
              </w:rPr>
              <w:t>天然气、</w:t>
            </w:r>
            <w:r>
              <w:rPr>
                <w:rFonts w:hint="default" w:ascii="Times New Roman" w:hAnsi="Times New Roman" w:cs="Times New Roman"/>
                <w:color w:val="auto"/>
                <w:sz w:val="24"/>
                <w:szCs w:val="22"/>
                <w:lang w:val="en-US" w:eastAsia="zh-CN"/>
              </w:rPr>
              <w:t>液压油</w:t>
            </w:r>
            <w:r>
              <w:rPr>
                <w:rFonts w:hint="default" w:ascii="Times New Roman" w:hAnsi="Times New Roman" w:cs="Times New Roman"/>
                <w:color w:val="auto"/>
                <w:sz w:val="24"/>
                <w:szCs w:val="22"/>
              </w:rPr>
              <w:t>、</w:t>
            </w:r>
            <w:r>
              <w:rPr>
                <w:rFonts w:hint="eastAsia" w:ascii="Times New Roman" w:hAnsi="Times New Roman" w:cs="Times New Roman"/>
                <w:color w:val="auto"/>
                <w:sz w:val="24"/>
                <w:szCs w:val="22"/>
                <w:lang w:val="en-US" w:eastAsia="zh-CN"/>
              </w:rPr>
              <w:t>润滑油以及危险废物等</w:t>
            </w:r>
            <w:r>
              <w:rPr>
                <w:rFonts w:hint="default" w:ascii="Times New Roman" w:hAnsi="Times New Roman" w:cs="Times New Roman"/>
                <w:color w:val="auto"/>
                <w:sz w:val="24"/>
                <w:szCs w:val="22"/>
              </w:rPr>
              <w:t>。企业需强化环境风险防范和应急措施，建立严格的环境与安全管理体制，制定完善环保规章制度，并按照《企业事业单位突发环境事件应急预案备案管理办法（试行）》（环发</w:t>
            </w:r>
            <w:r>
              <w:rPr>
                <w:rFonts w:hint="default" w:ascii="Times New Roman" w:hAnsi="Times New Roman" w:cs="Times New Roman"/>
                <w:color w:val="auto"/>
                <w:sz w:val="24"/>
                <w:szCs w:val="22"/>
                <w:lang w:eastAsia="zh-CN"/>
              </w:rPr>
              <w:t>〔2015〕4号</w:t>
            </w:r>
            <w:r>
              <w:rPr>
                <w:rFonts w:hint="default" w:ascii="Times New Roman" w:hAnsi="Times New Roman" w:cs="Times New Roman"/>
                <w:color w:val="auto"/>
                <w:sz w:val="24"/>
                <w:szCs w:val="22"/>
              </w:rPr>
              <w:t>）等文件的要求，做好环境应急预案的编制、评估和备案等工作，并定期演练。此外，企业今后需要进一步加强管理和监控，将环境风险控制在可接受水平之内。项目在发生风险事故后能立即启动厂区事故应急预案，确保事故不扩大，将不会对建设地区环境造成较大危险。</w:t>
            </w:r>
          </w:p>
          <w:p w14:paraId="0B775579">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cs="Times New Roman"/>
                <w:b/>
                <w:color w:val="auto"/>
              </w:rPr>
            </w:pPr>
            <w:r>
              <w:rPr>
                <w:rFonts w:hint="default" w:ascii="Times New Roman" w:hAnsi="Times New Roman" w:cs="Times New Roman"/>
                <w:color w:val="auto"/>
              </w:rPr>
              <w:t>本项目在采取一定防范措施后，可将环境风险影响降到最低。本项目环境风险简单分析内容详见下表。</w:t>
            </w:r>
          </w:p>
          <w:p w14:paraId="6044F181">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21</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w:t>
            </w:r>
            <w:r>
              <w:rPr>
                <w:rFonts w:hint="eastAsia"/>
                <w:color w:val="000000" w:themeColor="text1"/>
                <w:highlight w:val="none"/>
                <w:lang w:val="en-US" w:eastAsia="zh-CN" w:bidi="ar-SA"/>
                <w14:textFill>
                  <w14:solidFill>
                    <w14:schemeClr w14:val="tx1"/>
                  </w14:solidFill>
                </w14:textFill>
              </w:rPr>
              <w:t>建设项目</w:t>
            </w:r>
            <w:r>
              <w:rPr>
                <w:rFonts w:hint="eastAsia"/>
                <w:color w:val="000000" w:themeColor="text1"/>
                <w:lang w:val="en-US" w:eastAsia="zh-CN" w:bidi="ar-SA"/>
                <w14:textFill>
                  <w14:solidFill>
                    <w14:schemeClr w14:val="tx1"/>
                  </w14:solidFill>
                </w14:textFill>
              </w:rPr>
              <w:t>环境风险简单分析内容表</w:t>
            </w:r>
          </w:p>
          <w:tbl>
            <w:tblPr>
              <w:tblStyle w:val="24"/>
              <w:tblW w:w="8306"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1661"/>
              <w:gridCol w:w="1661"/>
              <w:gridCol w:w="1661"/>
              <w:gridCol w:w="1662"/>
            </w:tblGrid>
            <w:tr w14:paraId="09A398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61" w:type="dxa"/>
                  <w:tcBorders>
                    <w:tl2br w:val="nil"/>
                    <w:tr2bl w:val="nil"/>
                  </w:tcBorders>
                  <w:vAlign w:val="center"/>
                </w:tcPr>
                <w:p w14:paraId="5CE59926">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建设项目名称</w:t>
                  </w:r>
                </w:p>
              </w:tc>
              <w:tc>
                <w:tcPr>
                  <w:tcW w:w="6645" w:type="dxa"/>
                  <w:gridSpan w:val="4"/>
                  <w:tcBorders>
                    <w:tl2br w:val="nil"/>
                    <w:tr2bl w:val="nil"/>
                  </w:tcBorders>
                  <w:vAlign w:val="center"/>
                </w:tcPr>
                <w:p w14:paraId="429714BB">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年产10万吨电子、汽车、智能机器人等科技行业用铝型材项目（一期）</w:t>
                  </w:r>
                </w:p>
              </w:tc>
            </w:tr>
            <w:tr w14:paraId="386E3B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61" w:type="dxa"/>
                  <w:tcBorders>
                    <w:tl2br w:val="nil"/>
                    <w:tr2bl w:val="nil"/>
                  </w:tcBorders>
                  <w:vAlign w:val="center"/>
                </w:tcPr>
                <w:p w14:paraId="6EAC69AA">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建设地点</w:t>
                  </w:r>
                </w:p>
              </w:tc>
              <w:tc>
                <w:tcPr>
                  <w:tcW w:w="6645" w:type="dxa"/>
                  <w:gridSpan w:val="4"/>
                  <w:tcBorders>
                    <w:tl2br w:val="nil"/>
                    <w:tr2bl w:val="nil"/>
                  </w:tcBorders>
                  <w:vAlign w:val="center"/>
                </w:tcPr>
                <w:p w14:paraId="0BF458FB">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default"/>
                      <w:color w:val="000000" w:themeColor="text1"/>
                      <w:sz w:val="21"/>
                      <w:szCs w:val="21"/>
                      <w:lang w:val="en-US" w:eastAsia="zh-CN" w:bidi="ar-SA"/>
                      <w14:textFill>
                        <w14:solidFill>
                          <w14:schemeClr w14:val="tx1"/>
                        </w14:solidFill>
                      </w14:textFill>
                    </w:rPr>
                    <w:t>安徽省池州市江南产业集中区兴业大道以西，创裕金属以南，兴业大道25号部分厂房</w:t>
                  </w:r>
                </w:p>
              </w:tc>
            </w:tr>
            <w:tr w14:paraId="3185AC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61" w:type="dxa"/>
                  <w:tcBorders>
                    <w:tl2br w:val="nil"/>
                    <w:tr2bl w:val="nil"/>
                  </w:tcBorders>
                  <w:vAlign w:val="center"/>
                </w:tcPr>
                <w:p w14:paraId="7DA60B5D">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地理坐标</w:t>
                  </w:r>
                </w:p>
              </w:tc>
              <w:tc>
                <w:tcPr>
                  <w:tcW w:w="1661" w:type="dxa"/>
                  <w:tcBorders>
                    <w:tl2br w:val="nil"/>
                    <w:tr2bl w:val="nil"/>
                  </w:tcBorders>
                  <w:vAlign w:val="center"/>
                </w:tcPr>
                <w:p w14:paraId="105DE026">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经度</w:t>
                  </w:r>
                </w:p>
              </w:tc>
              <w:tc>
                <w:tcPr>
                  <w:tcW w:w="1661" w:type="dxa"/>
                  <w:tcBorders>
                    <w:tl2br w:val="nil"/>
                    <w:tr2bl w:val="nil"/>
                  </w:tcBorders>
                  <w:vAlign w:val="center"/>
                </w:tcPr>
                <w:p w14:paraId="31747800">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E117.644417</w:t>
                  </w:r>
                  <w:r>
                    <w:rPr>
                      <w:rFonts w:hint="default" w:ascii="Times New Roman" w:hAnsi="Times New Roman" w:cs="Times New Roman"/>
                      <w:color w:val="000000" w:themeColor="text1"/>
                      <w:sz w:val="21"/>
                      <w:szCs w:val="21"/>
                      <w:lang w:val="en-US" w:eastAsia="zh-CN" w:bidi="ar-SA"/>
                      <w14:textFill>
                        <w14:solidFill>
                          <w14:schemeClr w14:val="tx1"/>
                        </w14:solidFill>
                      </w14:textFill>
                    </w:rPr>
                    <w:t>°</w:t>
                  </w:r>
                </w:p>
              </w:tc>
              <w:tc>
                <w:tcPr>
                  <w:tcW w:w="1661" w:type="dxa"/>
                  <w:tcBorders>
                    <w:tl2br w:val="nil"/>
                    <w:tr2bl w:val="nil"/>
                  </w:tcBorders>
                  <w:vAlign w:val="center"/>
                </w:tcPr>
                <w:p w14:paraId="4E81CDD8">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纬度</w:t>
                  </w:r>
                </w:p>
              </w:tc>
              <w:tc>
                <w:tcPr>
                  <w:tcW w:w="1662" w:type="dxa"/>
                  <w:tcBorders>
                    <w:tl2br w:val="nil"/>
                    <w:tr2bl w:val="nil"/>
                  </w:tcBorders>
                  <w:vAlign w:val="center"/>
                </w:tcPr>
                <w:p w14:paraId="71977505">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N330.719444</w:t>
                  </w:r>
                  <w:r>
                    <w:rPr>
                      <w:rFonts w:hint="default" w:ascii="Times New Roman" w:hAnsi="Times New Roman" w:cs="Times New Roman"/>
                      <w:color w:val="000000" w:themeColor="text1"/>
                      <w:sz w:val="21"/>
                      <w:szCs w:val="21"/>
                      <w:lang w:val="en-US" w:eastAsia="zh-CN" w:bidi="ar-SA"/>
                      <w14:textFill>
                        <w14:solidFill>
                          <w14:schemeClr w14:val="tx1"/>
                        </w14:solidFill>
                      </w14:textFill>
                    </w:rPr>
                    <w:t>°</w:t>
                  </w:r>
                </w:p>
              </w:tc>
            </w:tr>
            <w:tr w14:paraId="4C5D25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61" w:type="dxa"/>
                  <w:tcBorders>
                    <w:tl2br w:val="nil"/>
                    <w:tr2bl w:val="nil"/>
                  </w:tcBorders>
                  <w:vAlign w:val="center"/>
                </w:tcPr>
                <w:p w14:paraId="232FA065">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主要风险物质及分布</w:t>
                  </w:r>
                </w:p>
              </w:tc>
              <w:tc>
                <w:tcPr>
                  <w:tcW w:w="6645" w:type="dxa"/>
                  <w:gridSpan w:val="4"/>
                  <w:tcBorders>
                    <w:tl2br w:val="nil"/>
                    <w:tr2bl w:val="nil"/>
                  </w:tcBorders>
                  <w:vAlign w:val="center"/>
                </w:tcPr>
                <w:p w14:paraId="29038F82">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主要危险物质：液压油、废液压油、天然气和危险废物；危险物质分布：车间和危废暂存间；</w:t>
                  </w:r>
                </w:p>
              </w:tc>
            </w:tr>
            <w:tr w14:paraId="02119D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61" w:type="dxa"/>
                  <w:tcBorders>
                    <w:tl2br w:val="nil"/>
                    <w:tr2bl w:val="nil"/>
                  </w:tcBorders>
                  <w:vAlign w:val="center"/>
                </w:tcPr>
                <w:p w14:paraId="5A099BEE">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环境影响途径及危害后果</w:t>
                  </w:r>
                </w:p>
              </w:tc>
              <w:tc>
                <w:tcPr>
                  <w:tcW w:w="6645" w:type="dxa"/>
                  <w:gridSpan w:val="4"/>
                  <w:tcBorders>
                    <w:tl2br w:val="nil"/>
                    <w:tr2bl w:val="nil"/>
                  </w:tcBorders>
                  <w:vAlign w:val="center"/>
                </w:tcPr>
                <w:p w14:paraId="3B49E2F5">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highlight w:val="none"/>
                      <w:lang w:val="en-US" w:eastAsia="zh-CN" w:bidi="ar-SA"/>
                      <w14:textFill>
                        <w14:solidFill>
                          <w14:schemeClr w14:val="tx1"/>
                        </w14:solidFill>
                      </w14:textFill>
                    </w:rPr>
                    <w:t>含</w:t>
                  </w:r>
                  <w:r>
                    <w:rPr>
                      <w:rFonts w:hint="eastAsia"/>
                      <w:color w:val="000000" w:themeColor="text1"/>
                      <w:sz w:val="21"/>
                      <w:szCs w:val="21"/>
                      <w:lang w:val="en-US" w:eastAsia="zh-CN" w:bidi="ar-SA"/>
                      <w14:textFill>
                        <w14:solidFill>
                          <w14:schemeClr w14:val="tx1"/>
                        </w14:solidFill>
                      </w14:textFill>
                    </w:rPr>
                    <w:t>风险物质泄漏导致周边大气、水体和土壤污染；废气处理</w:t>
                  </w:r>
                  <w:r>
                    <w:rPr>
                      <w:rFonts w:hint="eastAsia"/>
                      <w:color w:val="000000" w:themeColor="text1"/>
                      <w:sz w:val="21"/>
                      <w:szCs w:val="21"/>
                      <w:highlight w:val="none"/>
                      <w:lang w:val="en-US" w:eastAsia="zh-CN" w:bidi="ar-SA"/>
                      <w14:textFill>
                        <w14:solidFill>
                          <w14:schemeClr w14:val="tx1"/>
                        </w14:solidFill>
                      </w14:textFill>
                    </w:rPr>
                    <w:t>措施</w:t>
                  </w:r>
                  <w:r>
                    <w:rPr>
                      <w:rFonts w:hint="eastAsia"/>
                      <w:color w:val="000000" w:themeColor="text1"/>
                      <w:sz w:val="21"/>
                      <w:szCs w:val="21"/>
                      <w:lang w:val="en-US" w:eastAsia="zh-CN" w:bidi="ar-SA"/>
                      <w14:textFill>
                        <w14:solidFill>
                          <w14:schemeClr w14:val="tx1"/>
                        </w14:solidFill>
                      </w14:textFill>
                    </w:rPr>
                    <w:t>故障污染物超标排放；火灾、爆炸引起的二次污染。</w:t>
                  </w:r>
                </w:p>
              </w:tc>
            </w:tr>
            <w:tr w14:paraId="695889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61" w:type="dxa"/>
                  <w:tcBorders>
                    <w:tl2br w:val="nil"/>
                    <w:tr2bl w:val="nil"/>
                  </w:tcBorders>
                  <w:vAlign w:val="center"/>
                </w:tcPr>
                <w:p w14:paraId="3BB79D67">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风险防范措施要求</w:t>
                  </w:r>
                </w:p>
              </w:tc>
              <w:tc>
                <w:tcPr>
                  <w:tcW w:w="6645" w:type="dxa"/>
                  <w:gridSpan w:val="4"/>
                  <w:tcBorders>
                    <w:tl2br w:val="nil"/>
                    <w:tr2bl w:val="nil"/>
                  </w:tcBorders>
                  <w:vAlign w:val="center"/>
                </w:tcPr>
                <w:p w14:paraId="4F73BCEA">
                  <w:pPr>
                    <w:pStyle w:val="41"/>
                    <w:keepNext w:val="0"/>
                    <w:keepLines w:val="0"/>
                    <w:pageBreakBefore w:val="0"/>
                    <w:kinsoku/>
                    <w:wordWrap/>
                    <w:overflowPunct/>
                    <w:topLinePunct w:val="0"/>
                    <w:autoSpaceDE/>
                    <w:autoSpaceDN/>
                    <w:bidi w:val="0"/>
                    <w:adjustRightInd/>
                    <w:snapToGrid/>
                    <w:ind w:firstLine="0" w:firstLineChars="0"/>
                    <w:textAlignment w:val="auto"/>
                    <w:rPr>
                      <w:rFonts w:hint="default"/>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对职工进行广泛系统的安全培训；合理进行车间布局；加强设备维修保养；制定突发情况应急预案并备案。</w:t>
                  </w:r>
                </w:p>
              </w:tc>
            </w:tr>
            <w:tr w14:paraId="1FC8E1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306" w:type="dxa"/>
                  <w:gridSpan w:val="5"/>
                  <w:tcBorders>
                    <w:tl2br w:val="nil"/>
                    <w:tr2bl w:val="nil"/>
                  </w:tcBorders>
                  <w:vAlign w:val="center"/>
                </w:tcPr>
                <w:p w14:paraId="046D2319">
                  <w:pPr>
                    <w:pStyle w:val="41"/>
                    <w:keepNext w:val="0"/>
                    <w:keepLines w:val="0"/>
                    <w:pageBreakBefore w:val="0"/>
                    <w:kinsoku/>
                    <w:wordWrap/>
                    <w:overflowPunct/>
                    <w:topLinePunct w:val="0"/>
                    <w:autoSpaceDE/>
                    <w:autoSpaceDN/>
                    <w:bidi w:val="0"/>
                    <w:adjustRightInd/>
                    <w:snapToGrid/>
                    <w:ind w:firstLine="0" w:firstLineChars="0"/>
                    <w:jc w:val="both"/>
                    <w:textAlignment w:val="auto"/>
                    <w:rPr>
                      <w:rFonts w:hint="eastAsia"/>
                      <w:color w:val="000000" w:themeColor="text1"/>
                      <w:sz w:val="21"/>
                      <w:szCs w:val="21"/>
                      <w:lang w:val="en-US" w:eastAsia="zh-CN" w:bidi="ar-SA"/>
                      <w14:textFill>
                        <w14:solidFill>
                          <w14:schemeClr w14:val="tx1"/>
                        </w14:solidFill>
                      </w14:textFill>
                    </w:rPr>
                  </w:pPr>
                  <w:r>
                    <w:rPr>
                      <w:rFonts w:hint="eastAsia"/>
                      <w:color w:val="000000" w:themeColor="text1"/>
                      <w:sz w:val="21"/>
                      <w:szCs w:val="21"/>
                      <w:lang w:val="en-US" w:eastAsia="zh-CN" w:bidi="ar-SA"/>
                      <w14:textFill>
                        <w14:solidFill>
                          <w14:schemeClr w14:val="tx1"/>
                        </w14:solidFill>
                      </w14:textFill>
                    </w:rPr>
                    <w:t>填表说明（列出项目相关信息及评价说明）：</w:t>
                  </w:r>
                </w:p>
                <w:p w14:paraId="122A43CC">
                  <w:pPr>
                    <w:pStyle w:val="43"/>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default"/>
                      <w:color w:val="000000" w:themeColor="text1"/>
                      <w:sz w:val="21"/>
                      <w:szCs w:val="21"/>
                      <w:lang w:val="en-US" w:eastAsia="zh-CN" w:bidi="ar-SA"/>
                      <w14:textFill>
                        <w14:solidFill>
                          <w14:schemeClr w14:val="tx1"/>
                        </w14:solidFill>
                      </w14:textFill>
                    </w:rPr>
                  </w:pPr>
                  <w:r>
                    <w:rPr>
                      <w:rStyle w:val="42"/>
                      <w:rFonts w:hint="eastAsia"/>
                      <w:color w:val="000000" w:themeColor="text1"/>
                      <w:sz w:val="21"/>
                      <w:szCs w:val="21"/>
                      <w:lang w:val="en-US" w:eastAsia="zh-CN" w:bidi="ar-SA"/>
                      <w14:textFill>
                        <w14:solidFill>
                          <w14:schemeClr w14:val="tx1"/>
                        </w14:solidFill>
                      </w14:textFill>
                    </w:rPr>
                    <w:t>本项目危险物质数量与临界量比值Q</w:t>
                  </w:r>
                  <w:r>
                    <w:rPr>
                      <w:rStyle w:val="42"/>
                      <w:rFonts w:hint="default"/>
                      <w:color w:val="000000" w:themeColor="text1"/>
                      <w:sz w:val="21"/>
                      <w:szCs w:val="21"/>
                      <w:lang w:val="en-US" w:eastAsia="zh-CN" w:bidi="ar-SA"/>
                      <w14:textFill>
                        <w14:solidFill>
                          <w14:schemeClr w14:val="tx1"/>
                        </w14:solidFill>
                      </w14:textFill>
                    </w:rPr>
                    <w:t>&lt;</w:t>
                  </w:r>
                  <w:r>
                    <w:rPr>
                      <w:rStyle w:val="42"/>
                      <w:rFonts w:hint="eastAsia"/>
                      <w:color w:val="000000" w:themeColor="text1"/>
                      <w:sz w:val="21"/>
                      <w:szCs w:val="21"/>
                      <w:lang w:val="en-US" w:eastAsia="zh-CN" w:bidi="ar-SA"/>
                      <w14:textFill>
                        <w14:solidFill>
                          <w14:schemeClr w14:val="tx1"/>
                        </w14:solidFill>
                      </w14:textFill>
                    </w:rPr>
                    <w:t>1</w:t>
                  </w:r>
                  <w:r>
                    <w:rPr>
                      <w:rFonts w:hint="eastAsia"/>
                      <w:color w:val="000000" w:themeColor="text1"/>
                      <w:sz w:val="21"/>
                      <w:szCs w:val="21"/>
                      <w:lang w:val="en-US" w:eastAsia="zh-CN" w:bidi="ar-SA"/>
                      <w14:textFill>
                        <w14:solidFill>
                          <w14:schemeClr w14:val="tx1"/>
                        </w14:solidFill>
                      </w14:textFill>
                    </w:rPr>
                    <w:t>，风险潜势为</w:t>
                  </w:r>
                  <w: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t>Ⅰ</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，且本项目位于</w:t>
                  </w:r>
                  <w:r>
                    <w:rPr>
                      <w:rFonts w:hint="eastAsia" w:ascii="Times New Roman" w:hAnsi="Times New Roman" w:cs="Times New Roman"/>
                      <w:color w:val="000000" w:themeColor="text1"/>
                      <w:sz w:val="21"/>
                      <w:szCs w:val="21"/>
                      <w:lang w:val="en-US" w:eastAsia="zh-CN" w:bidi="ar-SA"/>
                      <w14:textFill>
                        <w14:solidFill>
                          <w14:schemeClr w14:val="tx1"/>
                        </w14:solidFill>
                      </w14:textFill>
                    </w:rPr>
                    <w:t>皖江江南新兴产业集中区</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，周边多为企业，敏感程度低，本项目环境风险在可接受范围内。</w:t>
                  </w:r>
                </w:p>
              </w:tc>
            </w:tr>
          </w:tbl>
          <w:p w14:paraId="4A79681B">
            <w:pPr>
              <w:pStyle w:val="43"/>
              <w:keepNext w:val="0"/>
              <w:keepLines w:val="0"/>
              <w:pageBreakBefore w:val="0"/>
              <w:widowControl/>
              <w:kinsoku/>
              <w:wordWrap/>
              <w:overflowPunct/>
              <w:topLinePunct w:val="0"/>
              <w:autoSpaceDE/>
              <w:autoSpaceDN/>
              <w:bidi w:val="0"/>
              <w:adjustRightInd/>
              <w:snapToGrid/>
              <w:spacing w:before="157" w:beforeLines="50"/>
              <w:jc w:val="both"/>
              <w:textAlignment w:val="auto"/>
              <w:rPr>
                <w:rFonts w:hint="eastAsia" w:ascii="Times New Roman" w:hAnsi="Times New Roman" w:eastAsia="宋体" w:cs="Times New Roman"/>
                <w:color w:val="000000" w:themeColor="text1"/>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vertAlign w:val="baseline"/>
                <w:lang w:val="en-US" w:eastAsia="zh-CN" w:bidi="ar-SA"/>
                <w14:textFill>
                  <w14:solidFill>
                    <w14:schemeClr w14:val="tx1"/>
                  </w14:solidFill>
                </w14:textFill>
              </w:rPr>
              <w:t>8、环保投资</w:t>
            </w:r>
          </w:p>
          <w:p w14:paraId="6089AC16">
            <w:pPr>
              <w:pStyle w:val="43"/>
              <w:bidi w:val="0"/>
              <w:jc w:val="both"/>
              <w:rPr>
                <w:rFonts w:hint="eastAsia" w:ascii="Times New Roman" w:hAnsi="Times New Roman" w:eastAsia="宋体" w:cs="Times New Roman"/>
                <w:color w:val="000000" w:themeColor="text1"/>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vertAlign w:val="baseline"/>
                <w:lang w:val="en-US" w:eastAsia="zh-CN" w:bidi="ar-SA"/>
                <w14:textFill>
                  <w14:solidFill>
                    <w14:schemeClr w14:val="tx1"/>
                  </w14:solidFill>
                </w14:textFill>
              </w:rPr>
              <w:t>结合前面分析描述情况，该项目的环保投资见下表。</w:t>
            </w:r>
          </w:p>
          <w:p w14:paraId="7ADABB2E">
            <w:pPr>
              <w:pStyle w:val="44"/>
              <w:keepNext w:val="0"/>
              <w:keepLines w:val="0"/>
              <w:pageBreakBefore w:val="0"/>
              <w:widowControl w:val="0"/>
              <w:kinsoku/>
              <w:wordWrap/>
              <w:overflowPunct/>
              <w:topLinePunct w:val="0"/>
              <w:autoSpaceDE/>
              <w:autoSpaceDN/>
              <w:bidi w:val="0"/>
              <w:adjustRightInd w:val="0"/>
              <w:snapToGrid w:val="0"/>
              <w:spacing w:before="313" w:beforeLines="100" w:line="240" w:lineRule="auto"/>
              <w:ind w:firstLine="0" w:firstLineChars="0"/>
              <w:textAlignment w:val="auto"/>
              <w:rPr>
                <w:rFonts w:hint="default"/>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表4-</w:t>
            </w:r>
            <w:r>
              <w:rPr>
                <w:rFonts w:hint="default" w:ascii="Times New Roman" w:hAnsi="Times New Roman" w:cs="Times New Roman"/>
                <w:color w:val="000000"/>
              </w:rPr>
              <w:fldChar w:fldCharType="begin"/>
            </w:r>
            <w:r>
              <w:rPr>
                <w:rFonts w:hint="default" w:ascii="Times New Roman" w:hAnsi="Times New Roman" w:cs="Times New Roman"/>
                <w:color w:val="000000"/>
                <w:lang w:eastAsia="zh-CN"/>
              </w:rPr>
              <w:instrText xml:space="preserve"> SEQ 表 \* ARABIC \s 1 </w:instrText>
            </w:r>
            <w:r>
              <w:rPr>
                <w:rFonts w:hint="default" w:ascii="Times New Roman" w:hAnsi="Times New Roman" w:cs="Times New Roman"/>
                <w:color w:val="000000"/>
              </w:rPr>
              <w:fldChar w:fldCharType="separate"/>
            </w:r>
            <w:r>
              <w:rPr>
                <w:rFonts w:hint="default" w:ascii="Times New Roman" w:hAnsi="Times New Roman" w:cs="Times New Roman"/>
                <w:color w:val="000000"/>
                <w:lang w:eastAsia="zh-CN"/>
              </w:rPr>
              <w:t>22</w:t>
            </w:r>
            <w:r>
              <w:rPr>
                <w:rFonts w:hint="default" w:ascii="Times New Roman" w:hAnsi="Times New Roman" w:cs="Times New Roman"/>
                <w:color w:val="000000"/>
              </w:rPr>
              <w:fldChar w:fldCharType="end"/>
            </w:r>
            <w:r>
              <w:rPr>
                <w:rFonts w:hint="eastAsia"/>
                <w:color w:val="000000" w:themeColor="text1"/>
                <w:lang w:val="en-US" w:eastAsia="zh-CN" w:bidi="ar-SA"/>
                <w14:textFill>
                  <w14:solidFill>
                    <w14:schemeClr w14:val="tx1"/>
                  </w14:solidFill>
                </w14:textFill>
              </w:rPr>
              <w:t xml:space="preserve">  环保设施及其估算一览表</w:t>
            </w:r>
          </w:p>
          <w:tbl>
            <w:tblPr>
              <w:tblStyle w:val="23"/>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496"/>
              <w:gridCol w:w="4779"/>
              <w:gridCol w:w="1359"/>
            </w:tblGrid>
            <w:tr w14:paraId="3AAC99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tcBorders>
                    <w:tl2br w:val="nil"/>
                    <w:tr2bl w:val="nil"/>
                  </w:tcBorders>
                  <w:noWrap w:val="0"/>
                  <w:vAlign w:val="center"/>
                </w:tcPr>
                <w:p w14:paraId="448B2EA2">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类别</w:t>
                  </w:r>
                </w:p>
              </w:tc>
              <w:tc>
                <w:tcPr>
                  <w:tcW w:w="896" w:type="pct"/>
                  <w:tcBorders>
                    <w:tl2br w:val="nil"/>
                    <w:tr2bl w:val="nil"/>
                  </w:tcBorders>
                  <w:noWrap w:val="0"/>
                  <w:vAlign w:val="center"/>
                </w:tcPr>
                <w:p w14:paraId="526BBDAE">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污染治理项目</w:t>
                  </w:r>
                </w:p>
              </w:tc>
              <w:tc>
                <w:tcPr>
                  <w:tcW w:w="2866" w:type="pct"/>
                  <w:tcBorders>
                    <w:tl2br w:val="nil"/>
                    <w:tr2bl w:val="nil"/>
                  </w:tcBorders>
                  <w:noWrap w:val="0"/>
                  <w:vAlign w:val="center"/>
                </w:tcPr>
                <w:p w14:paraId="4215D786">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采取的环保措施</w:t>
                  </w:r>
                </w:p>
              </w:tc>
              <w:tc>
                <w:tcPr>
                  <w:tcW w:w="815" w:type="pct"/>
                  <w:tcBorders>
                    <w:tl2br w:val="nil"/>
                    <w:tr2bl w:val="nil"/>
                  </w:tcBorders>
                  <w:noWrap w:val="0"/>
                  <w:vAlign w:val="center"/>
                </w:tcPr>
                <w:p w14:paraId="1707C0FF">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投资</w:t>
                  </w:r>
                  <w:r>
                    <w:rPr>
                      <w:rFonts w:hint="eastAsia" w:ascii="Times New Roman" w:hAnsi="Times New Roman" w:cs="Times New Roman"/>
                      <w:b/>
                      <w:color w:val="auto"/>
                      <w:sz w:val="21"/>
                      <w:szCs w:val="21"/>
                      <w:lang w:eastAsia="zh-CN"/>
                    </w:rPr>
                    <w:t>（</w:t>
                  </w:r>
                  <w:r>
                    <w:rPr>
                      <w:rFonts w:hint="default" w:ascii="Times New Roman" w:hAnsi="Times New Roman" w:cs="Times New Roman"/>
                      <w:b/>
                      <w:color w:val="auto"/>
                      <w:sz w:val="21"/>
                      <w:szCs w:val="21"/>
                    </w:rPr>
                    <w:t>万元</w:t>
                  </w:r>
                  <w:r>
                    <w:rPr>
                      <w:rFonts w:hint="eastAsia" w:ascii="Times New Roman" w:hAnsi="Times New Roman" w:cs="Times New Roman"/>
                      <w:b/>
                      <w:color w:val="auto"/>
                      <w:sz w:val="21"/>
                      <w:szCs w:val="21"/>
                      <w:lang w:eastAsia="zh-CN"/>
                    </w:rPr>
                    <w:t>）</w:t>
                  </w:r>
                </w:p>
              </w:tc>
            </w:tr>
            <w:tr w14:paraId="088C31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vMerge w:val="restart"/>
                  <w:tcBorders>
                    <w:tl2br w:val="nil"/>
                    <w:tr2bl w:val="nil"/>
                  </w:tcBorders>
                  <w:noWrap w:val="0"/>
                  <w:vAlign w:val="center"/>
                </w:tcPr>
                <w:p w14:paraId="637795C9">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废气</w:t>
                  </w:r>
                </w:p>
              </w:tc>
              <w:tc>
                <w:tcPr>
                  <w:tcW w:w="896" w:type="pct"/>
                  <w:tcBorders>
                    <w:tl2br w:val="nil"/>
                    <w:tr2bl w:val="nil"/>
                  </w:tcBorders>
                  <w:noWrap w:val="0"/>
                  <w:vAlign w:val="center"/>
                </w:tcPr>
                <w:p w14:paraId="506452CC">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有组织废气</w:t>
                  </w:r>
                </w:p>
              </w:tc>
              <w:tc>
                <w:tcPr>
                  <w:tcW w:w="2866" w:type="pct"/>
                  <w:tcBorders>
                    <w:tl2br w:val="nil"/>
                    <w:tr2bl w:val="nil"/>
                  </w:tcBorders>
                  <w:noWrap w:val="0"/>
                  <w:vAlign w:val="center"/>
                </w:tcPr>
                <w:p w14:paraId="37185431">
                  <w:pPr>
                    <w:spacing w:line="240" w:lineRule="auto"/>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低氮燃烧器、</w:t>
                  </w:r>
                  <w:r>
                    <w:rPr>
                      <w:rFonts w:hint="eastAsia" w:cs="Times New Roman"/>
                      <w:color w:val="auto"/>
                      <w:kern w:val="0"/>
                      <w:sz w:val="21"/>
                      <w:szCs w:val="21"/>
                      <w:lang w:val="en-US" w:eastAsia="zh-CN"/>
                    </w:rPr>
                    <w:t>集气罩、</w:t>
                  </w:r>
                  <w:r>
                    <w:rPr>
                      <w:rFonts w:hint="eastAsia" w:ascii="Times New Roman" w:hAnsi="Times New Roman" w:cs="Times New Roman"/>
                      <w:color w:val="auto"/>
                      <w:kern w:val="0"/>
                      <w:sz w:val="21"/>
                      <w:szCs w:val="21"/>
                      <w:lang w:val="en-US" w:eastAsia="zh-CN"/>
                    </w:rPr>
                    <w:t>布袋除尘器、</w:t>
                  </w:r>
                  <w:r>
                    <w:rPr>
                      <w:rFonts w:hint="default" w:ascii="Times New Roman" w:hAnsi="Times New Roman" w:cs="Times New Roman"/>
                      <w:color w:val="auto"/>
                      <w:kern w:val="0"/>
                      <w:sz w:val="21"/>
                      <w:szCs w:val="21"/>
                    </w:rPr>
                    <w:t>管道、</w:t>
                  </w:r>
                  <w:r>
                    <w:rPr>
                      <w:rFonts w:hint="eastAsia" w:ascii="Times New Roman" w:hAnsi="Times New Roman" w:cs="Times New Roman"/>
                      <w:color w:val="auto"/>
                      <w:kern w:val="0"/>
                      <w:sz w:val="21"/>
                      <w:szCs w:val="21"/>
                      <w:lang w:val="en-US" w:eastAsia="zh-CN"/>
                    </w:rPr>
                    <w:t>排气筒</w:t>
                  </w:r>
                </w:p>
              </w:tc>
              <w:tc>
                <w:tcPr>
                  <w:tcW w:w="815" w:type="pct"/>
                  <w:tcBorders>
                    <w:tl2br w:val="nil"/>
                    <w:tr2bl w:val="nil"/>
                  </w:tcBorders>
                  <w:noWrap w:val="0"/>
                  <w:vAlign w:val="center"/>
                </w:tcPr>
                <w:p w14:paraId="03BA1EC5">
                  <w:pPr>
                    <w:spacing w:line="240" w:lineRule="auto"/>
                    <w:jc w:val="center"/>
                    <w:rPr>
                      <w:rFonts w:hint="default" w:ascii="Times New Roman" w:hAnsi="Times New Roman" w:cs="Times New Roman"/>
                      <w:color w:val="auto"/>
                      <w:kern w:val="0"/>
                      <w:sz w:val="21"/>
                      <w:szCs w:val="21"/>
                      <w:lang w:val="en-US" w:eastAsia="zh-CN" w:bidi="ar-SA"/>
                    </w:rPr>
                  </w:pPr>
                  <w:r>
                    <w:rPr>
                      <w:rFonts w:hint="eastAsia" w:cs="Times New Roman"/>
                      <w:color w:val="auto"/>
                      <w:kern w:val="0"/>
                      <w:sz w:val="21"/>
                      <w:szCs w:val="21"/>
                      <w:lang w:val="en-US" w:eastAsia="zh-CN" w:bidi="ar-SA"/>
                    </w:rPr>
                    <w:t>40</w:t>
                  </w:r>
                </w:p>
              </w:tc>
            </w:tr>
            <w:tr w14:paraId="015C33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vMerge w:val="continue"/>
                  <w:tcBorders>
                    <w:tl2br w:val="nil"/>
                    <w:tr2bl w:val="nil"/>
                  </w:tcBorders>
                  <w:noWrap w:val="0"/>
                  <w:vAlign w:val="center"/>
                </w:tcPr>
                <w:p w14:paraId="2EC5F177">
                  <w:pPr>
                    <w:spacing w:line="240" w:lineRule="auto"/>
                    <w:jc w:val="center"/>
                    <w:rPr>
                      <w:rFonts w:hint="default" w:ascii="Times New Roman" w:hAnsi="Times New Roman" w:cs="Times New Roman"/>
                      <w:b/>
                      <w:color w:val="auto"/>
                      <w:sz w:val="21"/>
                      <w:szCs w:val="21"/>
                    </w:rPr>
                  </w:pPr>
                </w:p>
              </w:tc>
              <w:tc>
                <w:tcPr>
                  <w:tcW w:w="896" w:type="pct"/>
                  <w:tcBorders>
                    <w:tl2br w:val="nil"/>
                    <w:tr2bl w:val="nil"/>
                  </w:tcBorders>
                  <w:noWrap w:val="0"/>
                  <w:vAlign w:val="center"/>
                </w:tcPr>
                <w:p w14:paraId="44F1D6AA">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无组织废气</w:t>
                  </w:r>
                </w:p>
              </w:tc>
              <w:tc>
                <w:tcPr>
                  <w:tcW w:w="2866" w:type="pct"/>
                  <w:tcBorders>
                    <w:tl2br w:val="nil"/>
                    <w:tr2bl w:val="nil"/>
                  </w:tcBorders>
                  <w:noWrap w:val="0"/>
                  <w:vAlign w:val="center"/>
                </w:tcPr>
                <w:p w14:paraId="2C9513A8">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加强车间通风、清扫</w:t>
                  </w:r>
                </w:p>
              </w:tc>
              <w:tc>
                <w:tcPr>
                  <w:tcW w:w="815" w:type="pct"/>
                  <w:tcBorders>
                    <w:tl2br w:val="nil"/>
                    <w:tr2bl w:val="nil"/>
                  </w:tcBorders>
                  <w:noWrap w:val="0"/>
                  <w:vAlign w:val="center"/>
                </w:tcPr>
                <w:p w14:paraId="2F42EED2">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eastAsia" w:cs="Times New Roman"/>
                      <w:color w:val="auto"/>
                      <w:kern w:val="0"/>
                      <w:sz w:val="21"/>
                      <w:szCs w:val="21"/>
                      <w:lang w:val="en-US" w:eastAsia="zh-CN" w:bidi="ar-SA"/>
                    </w:rPr>
                    <w:t>5</w:t>
                  </w:r>
                </w:p>
              </w:tc>
            </w:tr>
            <w:tr w14:paraId="41C944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tcBorders>
                    <w:tl2br w:val="nil"/>
                    <w:tr2bl w:val="nil"/>
                  </w:tcBorders>
                  <w:noWrap w:val="0"/>
                  <w:vAlign w:val="center"/>
                </w:tcPr>
                <w:p w14:paraId="46F58576">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废水</w:t>
                  </w:r>
                </w:p>
              </w:tc>
              <w:tc>
                <w:tcPr>
                  <w:tcW w:w="896" w:type="pct"/>
                  <w:tcBorders>
                    <w:tl2br w:val="nil"/>
                    <w:tr2bl w:val="nil"/>
                  </w:tcBorders>
                  <w:noWrap w:val="0"/>
                  <w:vAlign w:val="center"/>
                </w:tcPr>
                <w:p w14:paraId="223B24D9">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生活污水</w:t>
                  </w:r>
                </w:p>
              </w:tc>
              <w:tc>
                <w:tcPr>
                  <w:tcW w:w="2866" w:type="pct"/>
                  <w:tcBorders>
                    <w:tl2br w:val="nil"/>
                    <w:tr2bl w:val="nil"/>
                  </w:tcBorders>
                  <w:noWrap w:val="0"/>
                  <w:vAlign w:val="center"/>
                </w:tcPr>
                <w:p w14:paraId="304888B8">
                  <w:pPr>
                    <w:spacing w:line="240" w:lineRule="auto"/>
                    <w:jc w:val="center"/>
                    <w:rPr>
                      <w:rFonts w:hint="default" w:ascii="Times New Roman" w:hAnsi="Times New Roman"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bidi="ar-SA"/>
                    </w:rPr>
                    <w:t>化粪池</w:t>
                  </w:r>
                </w:p>
              </w:tc>
              <w:tc>
                <w:tcPr>
                  <w:tcW w:w="815" w:type="pct"/>
                  <w:tcBorders>
                    <w:tl2br w:val="nil"/>
                    <w:tr2bl w:val="nil"/>
                  </w:tcBorders>
                  <w:noWrap w:val="0"/>
                  <w:vAlign w:val="center"/>
                </w:tcPr>
                <w:p w14:paraId="38B9C47C">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bidi="ar-SA"/>
                    </w:rPr>
                    <w:t>2</w:t>
                  </w:r>
                </w:p>
              </w:tc>
            </w:tr>
            <w:tr w14:paraId="40846A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vMerge w:val="restart"/>
                  <w:tcBorders>
                    <w:tl2br w:val="nil"/>
                    <w:tr2bl w:val="nil"/>
                  </w:tcBorders>
                  <w:noWrap w:val="0"/>
                  <w:vAlign w:val="center"/>
                </w:tcPr>
                <w:p w14:paraId="6B8F1CF4">
                  <w:pPr>
                    <w:spacing w:line="240" w:lineRule="auto"/>
                    <w:jc w:val="center"/>
                    <w:rPr>
                      <w:rFonts w:hint="default" w:ascii="Times New Roman" w:hAnsi="Times New Roman" w:eastAsia="宋体" w:cs="Times New Roman"/>
                      <w:b/>
                      <w:color w:val="auto"/>
                      <w:sz w:val="21"/>
                      <w:szCs w:val="21"/>
                      <w:lang w:val="en-US" w:eastAsia="zh-CN"/>
                    </w:rPr>
                  </w:pPr>
                  <w:r>
                    <w:rPr>
                      <w:rFonts w:hint="eastAsia" w:ascii="Times New Roman" w:hAnsi="Times New Roman" w:cs="Times New Roman"/>
                      <w:b/>
                      <w:color w:val="auto"/>
                      <w:sz w:val="21"/>
                      <w:szCs w:val="21"/>
                      <w:lang w:val="en-US" w:eastAsia="zh-CN"/>
                    </w:rPr>
                    <w:t>固废</w:t>
                  </w:r>
                </w:p>
              </w:tc>
              <w:tc>
                <w:tcPr>
                  <w:tcW w:w="896" w:type="pct"/>
                  <w:tcBorders>
                    <w:tl2br w:val="nil"/>
                    <w:tr2bl w:val="nil"/>
                  </w:tcBorders>
                  <w:noWrap w:val="0"/>
                  <w:vAlign w:val="center"/>
                </w:tcPr>
                <w:p w14:paraId="6D4DBB22">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一般固废库</w:t>
                  </w:r>
                </w:p>
              </w:tc>
              <w:tc>
                <w:tcPr>
                  <w:tcW w:w="2866" w:type="pct"/>
                  <w:tcBorders>
                    <w:tl2br w:val="nil"/>
                    <w:tr2bl w:val="nil"/>
                  </w:tcBorders>
                  <w:noWrap w:val="0"/>
                  <w:vAlign w:val="center"/>
                </w:tcPr>
                <w:p w14:paraId="39C17856">
                  <w:pPr>
                    <w:spacing w:line="240" w:lineRule="auto"/>
                    <w:jc w:val="center"/>
                    <w:rPr>
                      <w:rFonts w:hint="default" w:ascii="Times New Roman" w:hAnsi="Times New Roman" w:cs="Times New Roman"/>
                      <w:color w:val="auto"/>
                      <w:kern w:val="0"/>
                      <w:sz w:val="21"/>
                      <w:szCs w:val="21"/>
                      <w:lang w:val="en-US" w:eastAsia="zh-CN" w:bidi="ar-SA"/>
                    </w:rPr>
                  </w:pPr>
                  <w:r>
                    <w:rPr>
                      <w:rFonts w:hint="eastAsia" w:cs="Times New Roman"/>
                      <w:color w:val="auto"/>
                      <w:sz w:val="21"/>
                      <w:szCs w:val="21"/>
                      <w:lang w:val="en-US" w:eastAsia="zh-CN"/>
                    </w:rPr>
                    <w:t>3</w:t>
                  </w:r>
                  <w:r>
                    <w:rPr>
                      <w:rFonts w:hint="eastAsia" w:ascii="Times New Roman" w:hAnsi="Times New Roman" w:cs="Times New Roman"/>
                      <w:color w:val="auto"/>
                      <w:sz w:val="21"/>
                      <w:szCs w:val="21"/>
                      <w:lang w:val="en-US" w:eastAsia="zh-CN"/>
                    </w:rPr>
                    <w:t>0m</w:t>
                  </w:r>
                  <w:r>
                    <w:rPr>
                      <w:rFonts w:hint="eastAsia" w:ascii="Times New Roman" w:hAnsi="Times New Roman" w:cs="Times New Roman"/>
                      <w:color w:val="auto"/>
                      <w:sz w:val="21"/>
                      <w:szCs w:val="21"/>
                      <w:vertAlign w:val="superscript"/>
                      <w:lang w:val="en-US" w:eastAsia="zh-CN"/>
                    </w:rPr>
                    <w:t>2</w:t>
                  </w:r>
                </w:p>
              </w:tc>
              <w:tc>
                <w:tcPr>
                  <w:tcW w:w="815" w:type="pct"/>
                  <w:tcBorders>
                    <w:tl2br w:val="nil"/>
                    <w:tr2bl w:val="nil"/>
                  </w:tcBorders>
                  <w:noWrap w:val="0"/>
                  <w:vAlign w:val="center"/>
                </w:tcPr>
                <w:p w14:paraId="0814FDC2">
                  <w:pPr>
                    <w:spacing w:line="240" w:lineRule="auto"/>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w:t>
                  </w:r>
                </w:p>
              </w:tc>
            </w:tr>
            <w:tr w14:paraId="276EFA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vMerge w:val="continue"/>
                  <w:tcBorders>
                    <w:tl2br w:val="nil"/>
                    <w:tr2bl w:val="nil"/>
                  </w:tcBorders>
                  <w:noWrap w:val="0"/>
                  <w:vAlign w:val="center"/>
                </w:tcPr>
                <w:p w14:paraId="27AA6E3B">
                  <w:pPr>
                    <w:spacing w:line="240" w:lineRule="auto"/>
                    <w:jc w:val="center"/>
                    <w:rPr>
                      <w:rFonts w:hint="eastAsia" w:ascii="Times New Roman" w:hAnsi="Times New Roman" w:cs="Times New Roman"/>
                      <w:b/>
                      <w:color w:val="auto"/>
                      <w:sz w:val="21"/>
                      <w:szCs w:val="21"/>
                      <w:lang w:val="en-US" w:eastAsia="zh-CN"/>
                    </w:rPr>
                  </w:pPr>
                </w:p>
              </w:tc>
              <w:tc>
                <w:tcPr>
                  <w:tcW w:w="896" w:type="pct"/>
                  <w:tcBorders>
                    <w:tl2br w:val="nil"/>
                    <w:tr2bl w:val="nil"/>
                  </w:tcBorders>
                  <w:noWrap w:val="0"/>
                  <w:vAlign w:val="center"/>
                </w:tcPr>
                <w:p w14:paraId="325F07F4">
                  <w:pPr>
                    <w:spacing w:line="240" w:lineRule="auto"/>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危废库</w:t>
                  </w:r>
                </w:p>
              </w:tc>
              <w:tc>
                <w:tcPr>
                  <w:tcW w:w="2866" w:type="pct"/>
                  <w:tcBorders>
                    <w:tl2br w:val="nil"/>
                    <w:tr2bl w:val="nil"/>
                  </w:tcBorders>
                  <w:noWrap w:val="0"/>
                  <w:vAlign w:val="center"/>
                </w:tcPr>
                <w:p w14:paraId="4CE6B2F9">
                  <w:pPr>
                    <w:spacing w:line="240" w:lineRule="auto"/>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10m</w:t>
                  </w:r>
                  <w:r>
                    <w:rPr>
                      <w:rFonts w:hint="eastAsia" w:ascii="Times New Roman" w:hAnsi="Times New Roman" w:cs="Times New Roman"/>
                      <w:color w:val="auto"/>
                      <w:sz w:val="21"/>
                      <w:szCs w:val="21"/>
                      <w:vertAlign w:val="superscript"/>
                      <w:lang w:val="en-US" w:eastAsia="zh-CN"/>
                    </w:rPr>
                    <w:t>2</w:t>
                  </w:r>
                </w:p>
              </w:tc>
              <w:tc>
                <w:tcPr>
                  <w:tcW w:w="815" w:type="pct"/>
                  <w:tcBorders>
                    <w:tl2br w:val="nil"/>
                    <w:tr2bl w:val="nil"/>
                  </w:tcBorders>
                  <w:noWrap w:val="0"/>
                  <w:vAlign w:val="center"/>
                </w:tcPr>
                <w:p w14:paraId="6DF9AE08">
                  <w:pPr>
                    <w:spacing w:line="240" w:lineRule="auto"/>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5</w:t>
                  </w:r>
                </w:p>
              </w:tc>
            </w:tr>
            <w:tr w14:paraId="3114F1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 w:type="pct"/>
                  <w:tcBorders>
                    <w:tl2br w:val="nil"/>
                    <w:tr2bl w:val="nil"/>
                  </w:tcBorders>
                  <w:noWrap w:val="0"/>
                  <w:vAlign w:val="center"/>
                </w:tcPr>
                <w:p w14:paraId="0FBFE78F">
                  <w:pPr>
                    <w:spacing w:line="240" w:lineRule="auto"/>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噪声</w:t>
                  </w:r>
                </w:p>
              </w:tc>
              <w:tc>
                <w:tcPr>
                  <w:tcW w:w="896" w:type="pct"/>
                  <w:tcBorders>
                    <w:tl2br w:val="nil"/>
                    <w:tr2bl w:val="nil"/>
                  </w:tcBorders>
                  <w:noWrap w:val="0"/>
                  <w:vAlign w:val="center"/>
                </w:tcPr>
                <w:p w14:paraId="273F4126">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噪声</w:t>
                  </w:r>
                </w:p>
              </w:tc>
              <w:tc>
                <w:tcPr>
                  <w:tcW w:w="2866" w:type="pct"/>
                  <w:tcBorders>
                    <w:tl2br w:val="nil"/>
                    <w:tr2bl w:val="nil"/>
                  </w:tcBorders>
                  <w:noWrap w:val="0"/>
                  <w:vAlign w:val="center"/>
                </w:tcPr>
                <w:p w14:paraId="274B50E0">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选用低噪声设备，车间内布置、隔声、减振等</w:t>
                  </w:r>
                </w:p>
              </w:tc>
              <w:tc>
                <w:tcPr>
                  <w:tcW w:w="815" w:type="pct"/>
                  <w:tcBorders>
                    <w:tl2br w:val="nil"/>
                    <w:tr2bl w:val="nil"/>
                  </w:tcBorders>
                  <w:noWrap w:val="0"/>
                  <w:vAlign w:val="center"/>
                </w:tcPr>
                <w:p w14:paraId="4492DEB6">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w:t>
                  </w:r>
                </w:p>
              </w:tc>
            </w:tr>
            <w:tr w14:paraId="1453E1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318" w:type="pct"/>
                  <w:gridSpan w:val="2"/>
                  <w:tcBorders>
                    <w:tl2br w:val="nil"/>
                    <w:tr2bl w:val="nil"/>
                  </w:tcBorders>
                  <w:noWrap w:val="0"/>
                  <w:vAlign w:val="center"/>
                </w:tcPr>
                <w:p w14:paraId="5F08F724">
                  <w:pPr>
                    <w:pStyle w:val="41"/>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sz w:val="21"/>
                      <w:szCs w:val="21"/>
                      <w:lang w:val="en-US" w:eastAsia="zh-CN"/>
                    </w:rPr>
                    <w:t>土壤及地下水</w:t>
                  </w:r>
                </w:p>
              </w:tc>
              <w:tc>
                <w:tcPr>
                  <w:tcW w:w="2866" w:type="pct"/>
                  <w:tcBorders>
                    <w:tl2br w:val="nil"/>
                    <w:tr2bl w:val="nil"/>
                  </w:tcBorders>
                  <w:noWrap w:val="0"/>
                  <w:vAlign w:val="center"/>
                </w:tcPr>
                <w:p w14:paraId="714DA834">
                  <w:pPr>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sz w:val="21"/>
                      <w:szCs w:val="21"/>
                      <w:lang w:val="en-US" w:eastAsia="zh-CN"/>
                    </w:rPr>
                    <w:t>一般防渗、重点防渗</w:t>
                  </w:r>
                </w:p>
              </w:tc>
              <w:tc>
                <w:tcPr>
                  <w:tcW w:w="815" w:type="pct"/>
                  <w:tcBorders>
                    <w:tl2br w:val="nil"/>
                    <w:tr2bl w:val="nil"/>
                  </w:tcBorders>
                  <w:noWrap w:val="0"/>
                  <w:vAlign w:val="center"/>
                </w:tcPr>
                <w:p w14:paraId="5F9DA694">
                  <w:pPr>
                    <w:spacing w:line="240" w:lineRule="auto"/>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w:t>
                  </w:r>
                </w:p>
              </w:tc>
            </w:tr>
            <w:tr w14:paraId="358207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184" w:type="pct"/>
                  <w:gridSpan w:val="3"/>
                  <w:tcBorders>
                    <w:tl2br w:val="nil"/>
                    <w:tr2bl w:val="nil"/>
                  </w:tcBorders>
                  <w:noWrap w:val="0"/>
                  <w:vAlign w:val="center"/>
                </w:tcPr>
                <w:p w14:paraId="260654EC">
                  <w:pPr>
                    <w:spacing w:line="240" w:lineRule="auto"/>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合计</w:t>
                  </w:r>
                </w:p>
              </w:tc>
              <w:tc>
                <w:tcPr>
                  <w:tcW w:w="815" w:type="pct"/>
                  <w:tcBorders>
                    <w:tl2br w:val="nil"/>
                    <w:tr2bl w:val="nil"/>
                  </w:tcBorders>
                  <w:noWrap w:val="0"/>
                  <w:vAlign w:val="center"/>
                </w:tcPr>
                <w:p w14:paraId="5E483CC7">
                  <w:pPr>
                    <w:spacing w:line="240" w:lineRule="auto"/>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cs="Times New Roman"/>
                      <w:b/>
                      <w:bCs/>
                      <w:color w:val="auto"/>
                      <w:sz w:val="21"/>
                      <w:szCs w:val="16"/>
                      <w:lang w:eastAsia="zh-CN"/>
                    </w:rPr>
                    <w:fldChar w:fldCharType="begin"/>
                  </w:r>
                  <w:r>
                    <w:rPr>
                      <w:rFonts w:hint="default" w:ascii="Times New Roman" w:hAnsi="Times New Roman" w:cs="Times New Roman"/>
                      <w:b/>
                      <w:bCs/>
                      <w:color w:val="auto"/>
                      <w:sz w:val="21"/>
                      <w:szCs w:val="16"/>
                      <w:lang w:eastAsia="zh-CN"/>
                    </w:rPr>
                    <w:instrText xml:space="preserve"> = sum（above） \* MERGEFORMAT </w:instrText>
                  </w:r>
                  <w:r>
                    <w:rPr>
                      <w:rFonts w:hint="default" w:ascii="Times New Roman" w:hAnsi="Times New Roman" w:cs="Times New Roman"/>
                      <w:b/>
                      <w:bCs/>
                      <w:color w:val="auto"/>
                      <w:sz w:val="21"/>
                      <w:szCs w:val="16"/>
                      <w:lang w:eastAsia="zh-CN"/>
                    </w:rPr>
                    <w:fldChar w:fldCharType="separate"/>
                  </w:r>
                  <w:r>
                    <w:rPr>
                      <w:rFonts w:hint="default" w:ascii="Times New Roman" w:hAnsi="Times New Roman" w:cs="Times New Roman"/>
                      <w:b/>
                      <w:bCs/>
                      <w:color w:val="auto"/>
                      <w:sz w:val="21"/>
                      <w:szCs w:val="16"/>
                      <w:lang w:eastAsia="zh-CN"/>
                    </w:rPr>
                    <w:t>86</w:t>
                  </w:r>
                  <w:r>
                    <w:rPr>
                      <w:rFonts w:hint="default" w:ascii="Times New Roman" w:hAnsi="Times New Roman" w:cs="Times New Roman"/>
                      <w:b/>
                      <w:bCs/>
                      <w:color w:val="auto"/>
                      <w:sz w:val="21"/>
                      <w:szCs w:val="16"/>
                      <w:lang w:eastAsia="zh-CN"/>
                    </w:rPr>
                    <w:fldChar w:fldCharType="end"/>
                  </w:r>
                </w:p>
              </w:tc>
            </w:tr>
          </w:tbl>
          <w:p w14:paraId="0B87DF1A">
            <w:pPr>
              <w:pStyle w:val="43"/>
              <w:bidi w:val="0"/>
              <w:ind w:left="0" w:leftChars="0" w:firstLine="0" w:firstLineChars="0"/>
              <w:rPr>
                <w:rFonts w:hint="default"/>
                <w:color w:val="000000" w:themeColor="text1"/>
                <w:lang w:val="en-US" w:eastAsia="zh-CN" w:bidi="ar-SA"/>
                <w14:textFill>
                  <w14:solidFill>
                    <w14:schemeClr w14:val="tx1"/>
                  </w14:solidFill>
                </w14:textFill>
              </w:rPr>
            </w:pPr>
          </w:p>
        </w:tc>
      </w:tr>
    </w:tbl>
    <w:p w14:paraId="37F2D26F">
      <w:pPr>
        <w:jc w:val="center"/>
        <w:outlineLvl w:val="9"/>
        <w:rPr>
          <w:rFonts w:hint="default" w:eastAsia="黑体" w:cs="Times New Roman"/>
          <w:snapToGrid w:val="0"/>
          <w:color w:val="000000" w:themeColor="text1"/>
          <w:sz w:val="30"/>
          <w:szCs w:val="30"/>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AC09058">
      <w:pPr>
        <w:keepNext w:val="0"/>
        <w:keepLines w:val="0"/>
        <w:pageBreakBefore w:val="0"/>
        <w:widowControl w:val="0"/>
        <w:kinsoku/>
        <w:wordWrap/>
        <w:overflowPunct/>
        <w:topLinePunct w:val="0"/>
        <w:autoSpaceDE/>
        <w:autoSpaceDN/>
        <w:bidi w:val="0"/>
        <w:adjustRightInd w:val="0"/>
        <w:snapToGrid w:val="0"/>
        <w:jc w:val="center"/>
        <w:textAlignment w:val="auto"/>
        <w:outlineLvl w:val="0"/>
        <w:rPr>
          <w:rFonts w:hint="default" w:eastAsia="黑体" w:cs="Times New Roman"/>
          <w:snapToGrid w:val="0"/>
          <w:color w:val="000000" w:themeColor="text1"/>
          <w:sz w:val="30"/>
          <w:szCs w:val="30"/>
          <w:lang w:val="en-US" w:eastAsia="zh-CN"/>
          <w14:textFill>
            <w14:solidFill>
              <w14:schemeClr w14:val="tx1"/>
            </w14:solidFill>
          </w14:textFill>
        </w:rPr>
      </w:pPr>
      <w:bookmarkStart w:id="18" w:name="_Toc25020"/>
      <w:bookmarkStart w:id="19" w:name="_Toc15078"/>
      <w:bookmarkStart w:id="20" w:name="_Toc12067"/>
      <w:bookmarkStart w:id="21" w:name="_Toc2356"/>
      <w:bookmarkStart w:id="22" w:name="_Toc28911"/>
      <w:r>
        <w:rPr>
          <w:rFonts w:hint="eastAsia" w:eastAsia="黑体" w:cs="Times New Roman"/>
          <w:snapToGrid w:val="0"/>
          <w:color w:val="000000" w:themeColor="text1"/>
          <w:sz w:val="30"/>
          <w:szCs w:val="30"/>
          <w:lang w:val="en-US" w:eastAsia="zh-CN"/>
          <w14:textFill>
            <w14:solidFill>
              <w14:schemeClr w14:val="tx1"/>
            </w14:solidFill>
          </w14:textFill>
        </w:rPr>
        <w:t>五</w:t>
      </w:r>
      <w:r>
        <w:rPr>
          <w:rFonts w:hint="default" w:ascii="Times New Roman" w:hAnsi="Times New Roman" w:eastAsia="黑体" w:cs="Times New Roman"/>
          <w:snapToGrid w:val="0"/>
          <w:color w:val="000000" w:themeColor="text1"/>
          <w:sz w:val="30"/>
          <w:szCs w:val="30"/>
          <w14:textFill>
            <w14:solidFill>
              <w14:schemeClr w14:val="tx1"/>
            </w14:solidFill>
          </w14:textFill>
        </w:rPr>
        <w:t>、</w:t>
      </w:r>
      <w:r>
        <w:rPr>
          <w:rFonts w:hint="eastAsia" w:eastAsia="黑体" w:cs="Times New Roman"/>
          <w:snapToGrid w:val="0"/>
          <w:color w:val="000000" w:themeColor="text1"/>
          <w:sz w:val="30"/>
          <w:szCs w:val="30"/>
          <w:lang w:val="en-US" w:eastAsia="zh-CN"/>
          <w14:textFill>
            <w14:solidFill>
              <w14:schemeClr w14:val="tx1"/>
            </w14:solidFill>
          </w14:textFill>
        </w:rPr>
        <w:t>环境保护措施监督检查清单</w:t>
      </w:r>
      <w:bookmarkEnd w:id="18"/>
      <w:bookmarkEnd w:id="19"/>
      <w:bookmarkEnd w:id="20"/>
      <w:bookmarkEnd w:id="21"/>
      <w:bookmarkEnd w:id="22"/>
    </w:p>
    <w:tbl>
      <w:tblPr>
        <w:tblStyle w:val="2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29"/>
        <w:gridCol w:w="936"/>
        <w:gridCol w:w="1440"/>
        <w:gridCol w:w="1367"/>
        <w:gridCol w:w="6236"/>
        <w:gridCol w:w="2110"/>
      </w:tblGrid>
      <w:tr w14:paraId="020CF8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24" w:hRule="atLeast"/>
          <w:tblHeader/>
          <w:jc w:val="center"/>
        </w:trPr>
        <w:tc>
          <w:tcPr>
            <w:tcW w:w="1529" w:type="dxa"/>
            <w:tcBorders>
              <w:tl2br w:val="nil"/>
              <w:tr2bl w:val="nil"/>
            </w:tcBorders>
            <w:noWrap w:val="0"/>
            <w:vAlign w:val="top"/>
            <mc:AlternateContent>
              <mc:Choice Requires="wpsCustomData">
                <wpsCustomData:diagonals>
                  <wpsCustomData:diagonal from="30000" to="10000">
                    <wpsCustomData:border w:val="single" w:color="000000" w:sz="8" w:space="0"/>
                  </wpsCustomData:diagonal>
                </wpsCustomData:diagonals>
              </mc:Choice>
            </mc:AlternateContent>
          </w:tcPr>
          <w:p w14:paraId="4C1379A4">
            <w:pPr>
              <w:adjustRightInd w:val="0"/>
              <w:snapToGrid w:val="0"/>
              <w:spacing w:line="240" w:lineRule="auto"/>
              <w:rPr>
                <w:rFonts w:hint="eastAsia" w:ascii="Times New Roman" w:hAnsi="Times New Roman" w:eastAsia="宋体" w:cs="Times New Roman"/>
                <w:color w:val="auto"/>
                <w:sz w:val="21"/>
                <w:szCs w:val="21"/>
                <w:lang w:val="en-US" w:eastAsia="zh-CN"/>
              </w:rPr>
            </w:pPr>
          </w:p>
          <w:p w14:paraId="5028C7A6">
            <w:pPr>
              <w:adjustRightInd w:val="0"/>
              <w:snapToGrid w:val="0"/>
              <w:spacing w:line="240" w:lineRule="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要素</w:t>
            </w:r>
          </w:p>
          <w:p w14:paraId="0C1B9179">
            <w:pPr>
              <w:adjustRightInd w:val="0"/>
              <w:snapToGrid w:val="0"/>
              <w:spacing w:line="240" w:lineRule="auto"/>
              <mc:AlternateContent>
                <mc:Choice Requires="wpsCustomData">
                  <wpsCustomData:diagonalParaType/>
                </mc:Choice>
              </mc:AlternateConten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要</w:t>
            </w:r>
            <w:r>
              <w:rPr>
                <w:rFonts w:hint="default" w:ascii="Times New Roman" w:hAnsi="Times New Roman" w:eastAsia="宋体" w:cs="Times New Roman"/>
                <w:color w:val="auto"/>
                <w:sz w:val="21"/>
                <w:szCs w:val="21"/>
              </w:rPr>
              <w:t>素</w:t>
            </w:r>
          </w:p>
          <w:p w14:paraId="7E68ED3F">
            <w:pPr>
              <w:adjustRightInd w:val="0"/>
              <w:snapToGrid w:val="0"/>
              <w:spacing w:line="240" w:lineRule="auto"/>
              <w:jc w:val="righ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内容</w:t>
            </w:r>
          </w:p>
        </w:tc>
        <w:tc>
          <w:tcPr>
            <w:tcW w:w="2376" w:type="dxa"/>
            <w:gridSpan w:val="2"/>
            <w:tcBorders>
              <w:tl2br w:val="nil"/>
              <w:tr2bl w:val="nil"/>
            </w:tcBorders>
            <w:noWrap w:val="0"/>
            <w:vAlign w:val="center"/>
          </w:tcPr>
          <w:p w14:paraId="657A5C72">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排放口</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编号、名称</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/污染源</w:t>
            </w:r>
          </w:p>
        </w:tc>
        <w:tc>
          <w:tcPr>
            <w:tcW w:w="1367" w:type="dxa"/>
            <w:tcBorders>
              <w:tl2br w:val="nil"/>
              <w:tr2bl w:val="nil"/>
            </w:tcBorders>
            <w:noWrap w:val="0"/>
            <w:vAlign w:val="center"/>
          </w:tcPr>
          <w:p w14:paraId="21DEC834">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污染物项目</w:t>
            </w:r>
          </w:p>
        </w:tc>
        <w:tc>
          <w:tcPr>
            <w:tcW w:w="6236" w:type="dxa"/>
            <w:tcBorders>
              <w:tl2br w:val="nil"/>
              <w:tr2bl w:val="nil"/>
            </w:tcBorders>
            <w:noWrap w:val="0"/>
            <w:vAlign w:val="center"/>
          </w:tcPr>
          <w:p w14:paraId="6AAD761B">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环境保护措施</w:t>
            </w:r>
          </w:p>
        </w:tc>
        <w:tc>
          <w:tcPr>
            <w:tcW w:w="2110" w:type="dxa"/>
            <w:tcBorders>
              <w:tl2br w:val="nil"/>
              <w:tr2bl w:val="nil"/>
            </w:tcBorders>
            <w:noWrap w:val="0"/>
            <w:vAlign w:val="center"/>
          </w:tcPr>
          <w:p w14:paraId="2C6F9B6E">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r>
      <w:tr w14:paraId="1AA442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vMerge w:val="restart"/>
            <w:tcBorders>
              <w:tl2br w:val="nil"/>
              <w:tr2bl w:val="nil"/>
            </w:tcBorders>
            <w:noWrap w:val="0"/>
            <w:vAlign w:val="center"/>
          </w:tcPr>
          <w:p w14:paraId="47B0FF11">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kern w:val="0"/>
                <w:sz w:val="21"/>
                <w:szCs w:val="21"/>
                <w:lang w:val="en-US" w:eastAsia="zh-CN" w:bidi="ar-SA"/>
              </w:rPr>
              <w:t>大气环境</w:t>
            </w:r>
          </w:p>
        </w:tc>
        <w:tc>
          <w:tcPr>
            <w:tcW w:w="936" w:type="dxa"/>
            <w:tcBorders>
              <w:tl2br w:val="nil"/>
              <w:tr2bl w:val="nil"/>
            </w:tcBorders>
            <w:noWrap w:val="0"/>
            <w:vAlign w:val="center"/>
          </w:tcPr>
          <w:p w14:paraId="395E727A">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DA001</w:t>
            </w:r>
          </w:p>
        </w:tc>
        <w:tc>
          <w:tcPr>
            <w:tcW w:w="1440" w:type="dxa"/>
            <w:tcBorders>
              <w:tl2br w:val="nil"/>
              <w:tr2bl w:val="nil"/>
            </w:tcBorders>
            <w:noWrap w:val="0"/>
            <w:vAlign w:val="center"/>
          </w:tcPr>
          <w:p w14:paraId="3F334C95">
            <w:pPr>
              <w:pStyle w:val="41"/>
              <w:bidi w:val="0"/>
              <w:ind w:firstLine="0" w:firstLineChars="0"/>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bidi="ar-SA"/>
              </w:rPr>
              <w:t>天然气</w:t>
            </w:r>
            <w:r>
              <w:rPr>
                <w:rFonts w:hint="eastAsia" w:ascii="Times New Roman" w:hAnsi="Times New Roman" w:eastAsia="宋体" w:cs="Times New Roman"/>
                <w:b w:val="0"/>
                <w:bCs/>
                <w:color w:val="auto"/>
                <w:kern w:val="0"/>
                <w:sz w:val="21"/>
                <w:szCs w:val="21"/>
                <w:lang w:val="en-US" w:eastAsia="zh-CN" w:bidi="ar-SA"/>
              </w:rPr>
              <w:t>燃烧废气</w:t>
            </w:r>
            <w:r>
              <w:rPr>
                <w:rFonts w:hint="default" w:ascii="Times New Roman" w:hAnsi="Times New Roman" w:eastAsia="宋体" w:cs="Times New Roman"/>
                <w:b w:val="0"/>
                <w:bCs/>
                <w:color w:val="auto"/>
                <w:kern w:val="0"/>
                <w:sz w:val="21"/>
                <w:szCs w:val="21"/>
                <w:lang w:val="en-US" w:eastAsia="zh-CN" w:bidi="ar-SA"/>
              </w:rPr>
              <w:t>排气筒</w:t>
            </w:r>
          </w:p>
        </w:tc>
        <w:tc>
          <w:tcPr>
            <w:tcW w:w="1367" w:type="dxa"/>
            <w:tcBorders>
              <w:bottom w:val="single" w:color="000000" w:sz="8" w:space="0"/>
              <w:tl2br w:val="nil"/>
              <w:tr2bl w:val="nil"/>
            </w:tcBorders>
            <w:noWrap w:val="0"/>
            <w:vAlign w:val="center"/>
          </w:tcPr>
          <w:p w14:paraId="520FD98C">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颗粒物、</w:t>
            </w:r>
            <w:r>
              <w:rPr>
                <w:rFonts w:hint="eastAsia" w:ascii="Times New Roman" w:hAnsi="Times New Roman" w:eastAsia="宋体" w:cs="Times New Roman"/>
                <w:b w:val="0"/>
                <w:bCs/>
                <w:color w:val="auto"/>
                <w:sz w:val="21"/>
                <w:szCs w:val="21"/>
                <w:lang w:val="en-US" w:eastAsia="zh-CN"/>
              </w:rPr>
              <w:t>SO</w:t>
            </w:r>
            <w:r>
              <w:rPr>
                <w:rFonts w:hint="eastAsia" w:ascii="Times New Roman" w:hAnsi="Times New Roman" w:eastAsia="宋体" w:cs="Times New Roman"/>
                <w:b w:val="0"/>
                <w:bCs/>
                <w:color w:val="auto"/>
                <w:sz w:val="21"/>
                <w:szCs w:val="21"/>
                <w:vertAlign w:val="subscript"/>
                <w:lang w:val="en-US" w:eastAsia="zh-CN"/>
              </w:rPr>
              <w:t>2</w:t>
            </w:r>
            <w:r>
              <w:rPr>
                <w:rFonts w:hint="eastAsia" w:ascii="Times New Roman" w:hAnsi="Times New Roman" w:eastAsia="宋体" w:cs="Times New Roman"/>
                <w:b w:val="0"/>
                <w:bCs/>
                <w:color w:val="auto"/>
                <w:sz w:val="21"/>
                <w:szCs w:val="21"/>
                <w:vertAlign w:val="baseline"/>
                <w:lang w:val="en-US" w:eastAsia="zh-CN"/>
              </w:rPr>
              <w:t>、</w:t>
            </w:r>
            <w:r>
              <w:rPr>
                <w:rFonts w:hint="eastAsia" w:ascii="Times New Roman" w:hAnsi="Times New Roman" w:eastAsia="宋体" w:cs="Times New Roman"/>
                <w:b w:val="0"/>
                <w:bCs/>
                <w:color w:val="auto"/>
                <w:sz w:val="21"/>
                <w:szCs w:val="21"/>
                <w:lang w:val="en-US" w:eastAsia="zh-CN"/>
              </w:rPr>
              <w:t>NOx</w:t>
            </w:r>
          </w:p>
        </w:tc>
        <w:tc>
          <w:tcPr>
            <w:tcW w:w="6236" w:type="dxa"/>
            <w:tcBorders>
              <w:tl2br w:val="nil"/>
              <w:tr2bl w:val="nil"/>
            </w:tcBorders>
            <w:noWrap w:val="0"/>
            <w:vAlign w:val="center"/>
          </w:tcPr>
          <w:p w14:paraId="11E2C844">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left"/>
              <w:textAlignment w:val="auto"/>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sz w:val="21"/>
                <w:szCs w:val="21"/>
                <w:lang w:val="en-US" w:eastAsia="zh-CN"/>
              </w:rPr>
              <w:t>低氮燃烧+密闭管道收集+15</w:t>
            </w:r>
            <w:r>
              <w:rPr>
                <w:rFonts w:hint="default" w:ascii="Times New Roman" w:hAnsi="Times New Roman" w:eastAsia="宋体" w:cs="Times New Roman"/>
                <w:b w:val="0"/>
                <w:bCs/>
                <w:color w:val="auto"/>
                <w:sz w:val="21"/>
                <w:szCs w:val="21"/>
                <w:lang w:eastAsia="zh-CN"/>
              </w:rPr>
              <w:t>m</w:t>
            </w:r>
            <w:r>
              <w:rPr>
                <w:rFonts w:hint="default" w:ascii="Times New Roman" w:hAnsi="Times New Roman" w:eastAsia="宋体" w:cs="Times New Roman"/>
                <w:b w:val="0"/>
                <w:bCs/>
                <w:color w:val="auto"/>
                <w:sz w:val="21"/>
                <w:szCs w:val="21"/>
              </w:rPr>
              <w:t>高排气筒（DA001）排放</w:t>
            </w:r>
          </w:p>
        </w:tc>
        <w:tc>
          <w:tcPr>
            <w:tcW w:w="2110" w:type="dxa"/>
            <w:tcBorders>
              <w:tl2br w:val="nil"/>
              <w:tr2bl w:val="nil"/>
            </w:tcBorders>
            <w:noWrap w:val="0"/>
            <w:vAlign w:val="center"/>
          </w:tcPr>
          <w:p w14:paraId="2A14E8C7">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环大气〔2019〕56号</w:t>
            </w:r>
          </w:p>
        </w:tc>
      </w:tr>
      <w:tr w14:paraId="4D53F0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vMerge w:val="continue"/>
            <w:tcBorders>
              <w:tl2br w:val="nil"/>
              <w:tr2bl w:val="nil"/>
            </w:tcBorders>
            <w:noWrap w:val="0"/>
            <w:vAlign w:val="center"/>
          </w:tcPr>
          <w:p w14:paraId="05117F4B">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p>
        </w:tc>
        <w:tc>
          <w:tcPr>
            <w:tcW w:w="936" w:type="dxa"/>
            <w:tcBorders>
              <w:tl2br w:val="nil"/>
              <w:tr2bl w:val="nil"/>
            </w:tcBorders>
            <w:noWrap w:val="0"/>
            <w:vAlign w:val="center"/>
          </w:tcPr>
          <w:p w14:paraId="24C86916">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DA00</w:t>
            </w:r>
            <w:r>
              <w:rPr>
                <w:rFonts w:hint="eastAsia" w:cs="Times New Roman"/>
                <w:b w:val="0"/>
                <w:bCs/>
                <w:color w:val="auto"/>
                <w:kern w:val="0"/>
                <w:sz w:val="21"/>
                <w:szCs w:val="21"/>
                <w:lang w:val="en-US" w:eastAsia="zh-CN" w:bidi="ar-SA"/>
              </w:rPr>
              <w:t>2</w:t>
            </w:r>
          </w:p>
        </w:tc>
        <w:tc>
          <w:tcPr>
            <w:tcW w:w="1440" w:type="dxa"/>
            <w:tcBorders>
              <w:tl2br w:val="nil"/>
              <w:tr2bl w:val="nil"/>
            </w:tcBorders>
            <w:noWrap w:val="0"/>
            <w:vAlign w:val="center"/>
          </w:tcPr>
          <w:p w14:paraId="67D39DA5">
            <w:pPr>
              <w:pStyle w:val="41"/>
              <w:bidi w:val="0"/>
              <w:ind w:firstLine="0" w:firstLineChars="0"/>
              <w:rPr>
                <w:rFonts w:hint="default" w:ascii="Times New Roman" w:hAnsi="Times New Roman" w:eastAsia="宋体" w:cs="Times New Roman"/>
                <w:b w:val="0"/>
                <w:bCs/>
                <w:color w:val="auto"/>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锯切废气排气筒</w:t>
            </w:r>
          </w:p>
        </w:tc>
        <w:tc>
          <w:tcPr>
            <w:tcW w:w="1367" w:type="dxa"/>
            <w:tcBorders>
              <w:bottom w:val="single" w:color="000000" w:sz="8" w:space="0"/>
              <w:tl2br w:val="nil"/>
              <w:tr2bl w:val="nil"/>
            </w:tcBorders>
            <w:noWrap w:val="0"/>
            <w:vAlign w:val="center"/>
          </w:tcPr>
          <w:p w14:paraId="7418F397">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颗粒物</w:t>
            </w:r>
          </w:p>
        </w:tc>
        <w:tc>
          <w:tcPr>
            <w:tcW w:w="6236" w:type="dxa"/>
            <w:tcBorders>
              <w:tl2br w:val="nil"/>
              <w:tr2bl w:val="nil"/>
            </w:tcBorders>
            <w:noWrap w:val="0"/>
            <w:vAlign w:val="center"/>
          </w:tcPr>
          <w:p w14:paraId="76BAFDED">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集气罩收集+布袋除尘器处理+15</w:t>
            </w:r>
            <w:r>
              <w:rPr>
                <w:rFonts w:hint="default" w:ascii="Times New Roman" w:hAnsi="Times New Roman" w:eastAsia="宋体" w:cs="Times New Roman"/>
                <w:b w:val="0"/>
                <w:bCs/>
                <w:color w:val="auto"/>
                <w:sz w:val="21"/>
                <w:szCs w:val="21"/>
                <w:lang w:eastAsia="zh-CN"/>
              </w:rPr>
              <w:t>m</w:t>
            </w:r>
            <w:r>
              <w:rPr>
                <w:rFonts w:hint="default" w:ascii="Times New Roman" w:hAnsi="Times New Roman" w:eastAsia="宋体" w:cs="Times New Roman"/>
                <w:b w:val="0"/>
                <w:bCs/>
                <w:color w:val="auto"/>
                <w:sz w:val="21"/>
                <w:szCs w:val="21"/>
              </w:rPr>
              <w:t>高排气筒（DA00</w:t>
            </w:r>
            <w:r>
              <w:rPr>
                <w:rFonts w:hint="eastAsia"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rPr>
              <w:t>）排放</w:t>
            </w:r>
          </w:p>
        </w:tc>
        <w:tc>
          <w:tcPr>
            <w:tcW w:w="2110" w:type="dxa"/>
            <w:tcBorders>
              <w:tl2br w:val="nil"/>
              <w:tr2bl w:val="nil"/>
            </w:tcBorders>
            <w:noWrap w:val="0"/>
            <w:vAlign w:val="center"/>
          </w:tcPr>
          <w:p w14:paraId="269EA37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GB 16297-1996</w:t>
            </w:r>
          </w:p>
        </w:tc>
      </w:tr>
      <w:tr w14:paraId="6A8D36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vMerge w:val="continue"/>
            <w:tcBorders>
              <w:tl2br w:val="nil"/>
              <w:tr2bl w:val="nil"/>
            </w:tcBorders>
            <w:noWrap w:val="0"/>
            <w:vAlign w:val="center"/>
          </w:tcPr>
          <w:p w14:paraId="4F17121D">
            <w:pPr>
              <w:pStyle w:val="41"/>
              <w:keepNext w:val="0"/>
              <w:keepLines w:val="0"/>
              <w:pageBreakBefore w:val="0"/>
              <w:kinsoku/>
              <w:wordWrap/>
              <w:overflowPunct/>
              <w:topLinePunct w:val="0"/>
              <w:autoSpaceDE/>
              <w:autoSpaceDN/>
              <w:bidi w:val="0"/>
              <w:spacing w:before="0" w:beforeLines="0" w:after="0" w:afterLines="0" w:line="240" w:lineRule="auto"/>
              <w:ind w:firstLine="0" w:firstLineChars="0"/>
              <w:textAlignment w:val="auto"/>
              <w:rPr>
                <w:rFonts w:hint="default" w:ascii="Times New Roman" w:hAnsi="Times New Roman" w:eastAsia="宋体" w:cs="Times New Roman"/>
                <w:b w:val="0"/>
                <w:bCs/>
                <w:color w:val="auto"/>
                <w:kern w:val="0"/>
                <w:sz w:val="21"/>
                <w:szCs w:val="21"/>
                <w:lang w:val="en-US" w:eastAsia="zh-CN" w:bidi="ar-SA"/>
              </w:rPr>
            </w:pPr>
          </w:p>
        </w:tc>
        <w:tc>
          <w:tcPr>
            <w:tcW w:w="2376" w:type="dxa"/>
            <w:gridSpan w:val="2"/>
            <w:tcBorders>
              <w:tl2br w:val="nil"/>
              <w:tr2bl w:val="nil"/>
            </w:tcBorders>
            <w:noWrap w:val="0"/>
            <w:vAlign w:val="center"/>
          </w:tcPr>
          <w:p w14:paraId="43DDD1A3">
            <w:pPr>
              <w:pStyle w:val="41"/>
              <w:bidi w:val="0"/>
              <w:ind w:firstLine="0" w:firstLineChars="0"/>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bidi="ar-SA"/>
              </w:rPr>
              <w:t>无组织废气</w:t>
            </w:r>
          </w:p>
        </w:tc>
        <w:tc>
          <w:tcPr>
            <w:tcW w:w="1367" w:type="dxa"/>
            <w:tcBorders>
              <w:bottom w:val="single" w:color="000000" w:sz="8" w:space="0"/>
              <w:tl2br w:val="nil"/>
              <w:tr2bl w:val="nil"/>
            </w:tcBorders>
            <w:noWrap w:val="0"/>
            <w:vAlign w:val="center"/>
          </w:tcPr>
          <w:p w14:paraId="6F504E77">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颗粒物</w:t>
            </w:r>
          </w:p>
        </w:tc>
        <w:tc>
          <w:tcPr>
            <w:tcW w:w="6236" w:type="dxa"/>
            <w:tcBorders>
              <w:tl2br w:val="nil"/>
              <w:tr2bl w:val="nil"/>
            </w:tcBorders>
            <w:noWrap w:val="0"/>
            <w:vAlign w:val="center"/>
          </w:tcPr>
          <w:p w14:paraId="67845F03">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加强设备密闭，提高废气捕集率，加强车间整体通风换气</w:t>
            </w:r>
          </w:p>
        </w:tc>
        <w:tc>
          <w:tcPr>
            <w:tcW w:w="2110" w:type="dxa"/>
            <w:tcBorders>
              <w:tl2br w:val="nil"/>
              <w:tr2bl w:val="nil"/>
            </w:tcBorders>
            <w:noWrap w:val="0"/>
            <w:vAlign w:val="center"/>
          </w:tcPr>
          <w:p w14:paraId="7AB34E3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GB 16297-1996</w:t>
            </w:r>
          </w:p>
        </w:tc>
      </w:tr>
      <w:tr w14:paraId="773FC9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54FF1AB3">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地表水环境</w:t>
            </w:r>
          </w:p>
        </w:tc>
        <w:tc>
          <w:tcPr>
            <w:tcW w:w="2376" w:type="dxa"/>
            <w:gridSpan w:val="2"/>
            <w:tcBorders>
              <w:tl2br w:val="nil"/>
              <w:tr2bl w:val="nil"/>
            </w:tcBorders>
            <w:noWrap w:val="0"/>
            <w:vAlign w:val="center"/>
          </w:tcPr>
          <w:p w14:paraId="251E6749">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DW0</w:t>
            </w:r>
            <w:r>
              <w:rPr>
                <w:rFonts w:hint="eastAsia" w:ascii="Times New Roman" w:hAnsi="Times New Roman" w:eastAsia="宋体" w:cs="Times New Roman"/>
                <w:b w:val="0"/>
                <w:bCs/>
                <w:color w:val="auto"/>
                <w:sz w:val="21"/>
                <w:szCs w:val="21"/>
                <w:lang w:val="en-US" w:eastAsia="zh-CN"/>
              </w:rPr>
              <w:t>01</w:t>
            </w:r>
          </w:p>
        </w:tc>
        <w:tc>
          <w:tcPr>
            <w:tcW w:w="1367" w:type="dxa"/>
            <w:tcBorders>
              <w:tl2br w:val="nil"/>
              <w:tr2bl w:val="nil"/>
            </w:tcBorders>
            <w:noWrap w:val="0"/>
            <w:vAlign w:val="center"/>
          </w:tcPr>
          <w:p w14:paraId="40E8DB90">
            <w:pPr>
              <w:pStyle w:val="41"/>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COD、SS、氨氮</w:t>
            </w:r>
            <w:r>
              <w:rPr>
                <w:rFonts w:hint="eastAsia" w:cs="Times New Roman"/>
                <w:b w:val="0"/>
                <w:bCs/>
                <w:color w:val="auto"/>
                <w:sz w:val="21"/>
                <w:szCs w:val="21"/>
                <w:lang w:val="en-US" w:eastAsia="zh-CN"/>
              </w:rPr>
              <w:t>、BOD</w:t>
            </w:r>
            <w:r>
              <w:rPr>
                <w:rFonts w:hint="eastAsia" w:cs="Times New Roman"/>
                <w:b w:val="0"/>
                <w:bCs/>
                <w:color w:val="auto"/>
                <w:sz w:val="21"/>
                <w:szCs w:val="21"/>
                <w:vertAlign w:val="subscript"/>
                <w:lang w:val="en-US" w:eastAsia="zh-CN"/>
              </w:rPr>
              <w:t>5</w:t>
            </w:r>
          </w:p>
        </w:tc>
        <w:tc>
          <w:tcPr>
            <w:tcW w:w="6236" w:type="dxa"/>
            <w:tcBorders>
              <w:tl2br w:val="nil"/>
              <w:tr2bl w:val="nil"/>
            </w:tcBorders>
            <w:noWrap w:val="0"/>
            <w:vAlign w:val="center"/>
          </w:tcPr>
          <w:p w14:paraId="7EC6129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vertAlign w:val="baseline"/>
                <w:lang w:val="en-US" w:eastAsia="zh-CN"/>
              </w:rPr>
              <w:t>生活污水经化粪池预处理后排入</w:t>
            </w:r>
            <w:r>
              <w:rPr>
                <w:rFonts w:hint="eastAsia" w:cs="Times New Roman"/>
                <w:b w:val="0"/>
                <w:bCs/>
                <w:color w:val="auto"/>
                <w:sz w:val="21"/>
                <w:szCs w:val="21"/>
                <w:vertAlign w:val="baseline"/>
                <w:lang w:val="en-US" w:eastAsia="zh-CN"/>
              </w:rPr>
              <w:t>皖江江南新兴产业集中区第一污水处理厂</w:t>
            </w:r>
            <w:r>
              <w:rPr>
                <w:rFonts w:hint="default" w:ascii="Times New Roman" w:hAnsi="Times New Roman" w:eastAsia="宋体" w:cs="Times New Roman"/>
                <w:b w:val="0"/>
                <w:bCs/>
                <w:color w:val="auto"/>
                <w:sz w:val="21"/>
                <w:szCs w:val="21"/>
                <w:vertAlign w:val="baseline"/>
                <w:lang w:val="en-US" w:eastAsia="zh-CN"/>
              </w:rPr>
              <w:t>进一步处理</w:t>
            </w:r>
          </w:p>
        </w:tc>
        <w:tc>
          <w:tcPr>
            <w:tcW w:w="2110" w:type="dxa"/>
            <w:tcBorders>
              <w:top w:val="single" w:color="000000" w:sz="8" w:space="0"/>
              <w:tl2br w:val="nil"/>
              <w:tr2bl w:val="nil"/>
            </w:tcBorders>
            <w:noWrap w:val="0"/>
            <w:vAlign w:val="center"/>
          </w:tcPr>
          <w:p w14:paraId="7A038A7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pacing w:val="2"/>
                <w:sz w:val="21"/>
                <w:szCs w:val="21"/>
                <w:lang w:val="en-US" w:eastAsia="zh-CN"/>
              </w:rPr>
              <w:t>皖江江南新兴产业集中区第一污水处理厂</w:t>
            </w:r>
            <w:r>
              <w:rPr>
                <w:rFonts w:hint="default" w:ascii="Times New Roman" w:hAnsi="Times New Roman" w:eastAsia="宋体" w:cs="Times New Roman"/>
                <w:b w:val="0"/>
                <w:bCs/>
                <w:color w:val="auto"/>
                <w:spacing w:val="2"/>
                <w:sz w:val="21"/>
                <w:szCs w:val="21"/>
              </w:rPr>
              <w:t>接管</w:t>
            </w:r>
            <w:r>
              <w:rPr>
                <w:rFonts w:hint="default" w:ascii="Times New Roman" w:hAnsi="Times New Roman" w:eastAsia="宋体" w:cs="Times New Roman"/>
                <w:b w:val="0"/>
                <w:bCs/>
                <w:color w:val="auto"/>
                <w:spacing w:val="2"/>
                <w:sz w:val="21"/>
                <w:szCs w:val="21"/>
                <w:lang w:val="en-US" w:eastAsia="zh-CN"/>
              </w:rPr>
              <w:t>标准</w:t>
            </w:r>
          </w:p>
        </w:tc>
      </w:tr>
      <w:tr w14:paraId="733833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5378612C">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声环境</w:t>
            </w:r>
          </w:p>
        </w:tc>
        <w:tc>
          <w:tcPr>
            <w:tcW w:w="2376" w:type="dxa"/>
            <w:gridSpan w:val="2"/>
            <w:tcBorders>
              <w:tl2br w:val="nil"/>
              <w:tr2bl w:val="nil"/>
            </w:tcBorders>
            <w:noWrap w:val="0"/>
            <w:vAlign w:val="center"/>
          </w:tcPr>
          <w:p w14:paraId="472CEB1E">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各产噪设备</w:t>
            </w:r>
          </w:p>
        </w:tc>
        <w:tc>
          <w:tcPr>
            <w:tcW w:w="1367" w:type="dxa"/>
            <w:tcBorders>
              <w:tl2br w:val="nil"/>
              <w:tr2bl w:val="nil"/>
            </w:tcBorders>
            <w:noWrap w:val="0"/>
            <w:vAlign w:val="center"/>
          </w:tcPr>
          <w:p w14:paraId="2854A90A">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LAeq</w:t>
            </w:r>
          </w:p>
        </w:tc>
        <w:tc>
          <w:tcPr>
            <w:tcW w:w="6236" w:type="dxa"/>
            <w:tcBorders>
              <w:tl2br w:val="nil"/>
              <w:tr2bl w:val="nil"/>
            </w:tcBorders>
            <w:noWrap w:val="0"/>
            <w:vAlign w:val="center"/>
          </w:tcPr>
          <w:p w14:paraId="6670A2C0">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选用低噪声设备，合理布局，对高噪声设备安装减振基础，定期检查、维修设备，使设备处于良好的运行状态，生产车间封闭，安装隔声门窗，利用建筑物、构筑物形成隔声屏障，阻碍噪声传播。</w:t>
            </w:r>
          </w:p>
        </w:tc>
        <w:tc>
          <w:tcPr>
            <w:tcW w:w="2110" w:type="dxa"/>
            <w:tcBorders>
              <w:tl2br w:val="nil"/>
              <w:tr2bl w:val="nil"/>
            </w:tcBorders>
            <w:noWrap w:val="0"/>
            <w:vAlign w:val="center"/>
          </w:tcPr>
          <w:p w14:paraId="3BC93C94">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GB12348-2008中3类</w:t>
            </w:r>
          </w:p>
        </w:tc>
      </w:tr>
      <w:tr w14:paraId="7DE893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4875C0C6">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电磁辐射</w:t>
            </w:r>
          </w:p>
        </w:tc>
        <w:tc>
          <w:tcPr>
            <w:tcW w:w="2376" w:type="dxa"/>
            <w:gridSpan w:val="2"/>
            <w:tcBorders>
              <w:tl2br w:val="nil"/>
              <w:tr2bl w:val="nil"/>
            </w:tcBorders>
            <w:noWrap w:val="0"/>
            <w:vAlign w:val="center"/>
          </w:tcPr>
          <w:p w14:paraId="3AA92A20">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1367" w:type="dxa"/>
            <w:tcBorders>
              <w:tl2br w:val="nil"/>
              <w:tr2bl w:val="nil"/>
            </w:tcBorders>
            <w:noWrap w:val="0"/>
            <w:vAlign w:val="center"/>
          </w:tcPr>
          <w:p w14:paraId="64A54F9C">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6236" w:type="dxa"/>
            <w:tcBorders>
              <w:tl2br w:val="nil"/>
              <w:tr2bl w:val="nil"/>
            </w:tcBorders>
            <w:noWrap w:val="0"/>
            <w:vAlign w:val="center"/>
          </w:tcPr>
          <w:p w14:paraId="36EE4E68">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2110" w:type="dxa"/>
            <w:tcBorders>
              <w:tl2br w:val="nil"/>
              <w:tr2bl w:val="nil"/>
            </w:tcBorders>
            <w:noWrap w:val="0"/>
            <w:vAlign w:val="center"/>
          </w:tcPr>
          <w:p w14:paraId="1CACD8DB">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r>
      <w:tr w14:paraId="5D153A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0FA6A9E0">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固体废物</w:t>
            </w:r>
          </w:p>
        </w:tc>
        <w:tc>
          <w:tcPr>
            <w:tcW w:w="12089" w:type="dxa"/>
            <w:gridSpan w:val="5"/>
            <w:tcBorders>
              <w:tl2br w:val="nil"/>
              <w:tr2bl w:val="nil"/>
            </w:tcBorders>
            <w:noWrap w:val="0"/>
            <w:vAlign w:val="center"/>
          </w:tcPr>
          <w:p w14:paraId="79F7D59A">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设置一般固废暂存场所</w:t>
            </w:r>
            <w:r>
              <w:rPr>
                <w:rFonts w:hint="eastAsia" w:ascii="Times New Roman" w:hAnsi="Times New Roman" w:eastAsia="宋体" w:cs="Times New Roman"/>
                <w:b w:val="0"/>
                <w:bCs/>
                <w:color w:val="auto"/>
                <w:sz w:val="21"/>
                <w:szCs w:val="21"/>
                <w:lang w:val="en-US" w:eastAsia="zh-CN"/>
              </w:rPr>
              <w:t>1</w:t>
            </w:r>
            <w:r>
              <w:rPr>
                <w:rFonts w:hint="default" w:ascii="Times New Roman" w:hAnsi="Times New Roman" w:eastAsia="宋体" w:cs="Times New Roman"/>
                <w:b w:val="0"/>
                <w:bCs/>
                <w:color w:val="auto"/>
                <w:sz w:val="21"/>
                <w:szCs w:val="21"/>
                <w:lang w:val="en-US" w:eastAsia="zh-CN"/>
              </w:rPr>
              <w:t>个</w:t>
            </w:r>
            <w:r>
              <w:rPr>
                <w:rFonts w:hint="eastAsia" w:ascii="Times New Roman" w:hAnsi="Times New Roman" w:eastAsia="宋体" w:cs="Times New Roman"/>
                <w:b w:val="0"/>
                <w:bCs/>
                <w:color w:val="auto"/>
                <w:sz w:val="21"/>
                <w:szCs w:val="21"/>
                <w:lang w:val="en-US" w:eastAsia="zh-CN"/>
              </w:rPr>
              <w:t>（</w:t>
            </w:r>
            <w:r>
              <w:rPr>
                <w:rFonts w:hint="eastAsia" w:cs="Times New Roman"/>
                <w:b w:val="0"/>
                <w:bCs/>
                <w:color w:val="auto"/>
                <w:sz w:val="21"/>
                <w:szCs w:val="21"/>
                <w:lang w:val="en-US" w:eastAsia="zh-CN"/>
              </w:rPr>
              <w:t>3</w:t>
            </w:r>
            <w:r>
              <w:rPr>
                <w:rFonts w:hint="eastAsia" w:ascii="Times New Roman" w:hAnsi="Times New Roman" w:eastAsia="宋体" w:cs="Times New Roman"/>
                <w:b w:val="0"/>
                <w:bCs/>
                <w:color w:val="auto"/>
                <w:sz w:val="21"/>
                <w:szCs w:val="21"/>
                <w:lang w:val="en-US" w:eastAsia="zh-CN"/>
              </w:rPr>
              <w:t>0m</w:t>
            </w:r>
            <w:r>
              <w:rPr>
                <w:rFonts w:hint="eastAsia" w:ascii="Times New Roman" w:hAnsi="Times New Roman" w:eastAsia="宋体" w:cs="Times New Roman"/>
                <w:b w:val="0"/>
                <w:bCs/>
                <w:color w:val="auto"/>
                <w:sz w:val="21"/>
                <w:szCs w:val="21"/>
                <w:vertAlign w:val="superscript"/>
                <w:lang w:val="en-US" w:eastAsia="zh-CN"/>
              </w:rPr>
              <w:t>2</w:t>
            </w:r>
            <w:r>
              <w:rPr>
                <w:rFonts w:hint="eastAsia" w:ascii="Times New Roman" w:hAnsi="Times New Roman" w:eastAsia="宋体" w:cs="Times New Roman"/>
                <w:b w:val="0"/>
                <w:bCs/>
                <w:color w:val="auto"/>
                <w:sz w:val="21"/>
                <w:szCs w:val="21"/>
                <w:lang w:val="en-US" w:eastAsia="zh-CN"/>
              </w:rPr>
              <w:t>）</w:t>
            </w:r>
            <w:r>
              <w:rPr>
                <w:rFonts w:hint="default" w:ascii="Times New Roman" w:hAnsi="Times New Roman" w:eastAsia="宋体" w:cs="Times New Roman"/>
                <w:b w:val="0"/>
                <w:bCs/>
                <w:color w:val="auto"/>
                <w:sz w:val="21"/>
                <w:szCs w:val="21"/>
                <w:lang w:val="en-US" w:eastAsia="zh-CN"/>
              </w:rPr>
              <w:t>，一般工业固废</w:t>
            </w:r>
            <w:r>
              <w:rPr>
                <w:rFonts w:hint="eastAsia" w:ascii="Times New Roman" w:hAnsi="Times New Roman" w:eastAsia="宋体" w:cs="Times New Roman"/>
                <w:b w:val="0"/>
                <w:bCs/>
                <w:color w:val="auto"/>
                <w:sz w:val="21"/>
                <w:szCs w:val="21"/>
                <w:lang w:val="en-US" w:eastAsia="zh-CN"/>
              </w:rPr>
              <w:t>中的</w:t>
            </w:r>
            <w:r>
              <w:rPr>
                <w:rFonts w:hint="eastAsia"/>
                <w:sz w:val="21"/>
                <w:szCs w:val="21"/>
                <w:lang w:val="en-US" w:eastAsia="zh-CN"/>
              </w:rPr>
              <w:t>金属屑及边角料</w:t>
            </w:r>
            <w:r>
              <w:rPr>
                <w:rFonts w:hint="default" w:ascii="Times New Roman" w:hAnsi="Times New Roman" w:eastAsia="宋体" w:cs="Times New Roman"/>
                <w:b w:val="0"/>
                <w:bCs/>
                <w:color w:val="auto"/>
                <w:sz w:val="21"/>
                <w:szCs w:val="21"/>
                <w:lang w:val="en-US" w:eastAsia="zh-CN"/>
              </w:rPr>
              <w:t>收集</w:t>
            </w:r>
            <w:r>
              <w:rPr>
                <w:rFonts w:hint="eastAsia" w:ascii="Times New Roman" w:hAnsi="Times New Roman" w:eastAsia="宋体" w:cs="Times New Roman"/>
                <w:b w:val="0"/>
                <w:bCs/>
                <w:color w:val="auto"/>
                <w:sz w:val="21"/>
                <w:szCs w:val="21"/>
                <w:lang w:val="en-US" w:eastAsia="zh-CN"/>
              </w:rPr>
              <w:t>后外售</w:t>
            </w:r>
            <w:r>
              <w:rPr>
                <w:rFonts w:hint="default" w:ascii="Times New Roman" w:hAnsi="Times New Roman" w:eastAsia="宋体" w:cs="Times New Roman"/>
                <w:b w:val="0"/>
                <w:bCs/>
                <w:color w:val="auto"/>
                <w:sz w:val="21"/>
                <w:szCs w:val="21"/>
                <w:lang w:val="en-US" w:eastAsia="zh-CN"/>
              </w:rPr>
              <w:t>综合利用</w:t>
            </w:r>
            <w:r>
              <w:rPr>
                <w:rFonts w:hint="eastAsia" w:ascii="Times New Roman" w:hAnsi="Times New Roman" w:eastAsia="宋体" w:cs="Times New Roman"/>
                <w:b w:val="0"/>
                <w:bCs/>
                <w:color w:val="auto"/>
                <w:sz w:val="21"/>
                <w:szCs w:val="21"/>
                <w:lang w:val="en-US" w:eastAsia="zh-CN"/>
              </w:rPr>
              <w:t>，废模具交由模具供应商回收</w:t>
            </w:r>
            <w:r>
              <w:rPr>
                <w:rFonts w:hint="default" w:ascii="Times New Roman" w:hAnsi="Times New Roman" w:eastAsia="宋体" w:cs="Times New Roman"/>
                <w:b w:val="0"/>
                <w:bCs/>
                <w:color w:val="auto"/>
                <w:sz w:val="21"/>
                <w:szCs w:val="21"/>
                <w:lang w:val="en-US" w:eastAsia="zh-CN"/>
              </w:rPr>
              <w:t>。</w:t>
            </w:r>
          </w:p>
          <w:p w14:paraId="525C556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设置危废库</w:t>
            </w:r>
            <w:r>
              <w:rPr>
                <w:rFonts w:hint="eastAsia" w:ascii="Times New Roman" w:hAnsi="Times New Roman" w:eastAsia="宋体" w:cs="Times New Roman"/>
                <w:b w:val="0"/>
                <w:bCs/>
                <w:color w:val="auto"/>
                <w:sz w:val="21"/>
                <w:szCs w:val="21"/>
                <w:lang w:val="en-US" w:eastAsia="zh-CN"/>
              </w:rPr>
              <w:t>1</w:t>
            </w:r>
            <w:r>
              <w:rPr>
                <w:rFonts w:hint="default" w:ascii="Times New Roman" w:hAnsi="Times New Roman" w:eastAsia="宋体" w:cs="Times New Roman"/>
                <w:b w:val="0"/>
                <w:bCs/>
                <w:color w:val="auto"/>
                <w:sz w:val="21"/>
                <w:szCs w:val="21"/>
                <w:lang w:val="en-US" w:eastAsia="zh-CN"/>
              </w:rPr>
              <w:t>个</w:t>
            </w:r>
            <w:r>
              <w:rPr>
                <w:rFonts w:hint="eastAsia" w:ascii="Times New Roman" w:hAnsi="Times New Roman" w:eastAsia="宋体" w:cs="Times New Roman"/>
                <w:b w:val="0"/>
                <w:bCs/>
                <w:color w:val="auto"/>
                <w:sz w:val="21"/>
                <w:szCs w:val="21"/>
                <w:lang w:val="en-US" w:eastAsia="zh-CN"/>
              </w:rPr>
              <w:t>（10m</w:t>
            </w:r>
            <w:r>
              <w:rPr>
                <w:rFonts w:hint="eastAsia" w:ascii="Times New Roman" w:hAnsi="Times New Roman" w:eastAsia="宋体" w:cs="Times New Roman"/>
                <w:b w:val="0"/>
                <w:bCs/>
                <w:color w:val="auto"/>
                <w:sz w:val="21"/>
                <w:szCs w:val="21"/>
                <w:vertAlign w:val="superscript"/>
                <w:lang w:val="en-US" w:eastAsia="zh-CN"/>
              </w:rPr>
              <w:t>2</w:t>
            </w:r>
            <w:r>
              <w:rPr>
                <w:rFonts w:hint="eastAsia" w:ascii="Times New Roman" w:hAnsi="Times New Roman" w:eastAsia="宋体" w:cs="Times New Roman"/>
                <w:b w:val="0"/>
                <w:bCs/>
                <w:color w:val="auto"/>
                <w:sz w:val="21"/>
                <w:szCs w:val="21"/>
                <w:lang w:val="en-US" w:eastAsia="zh-CN"/>
              </w:rPr>
              <w:t>）</w:t>
            </w:r>
            <w:r>
              <w:rPr>
                <w:rFonts w:hint="default" w:ascii="Times New Roman" w:hAnsi="Times New Roman" w:eastAsia="宋体" w:cs="Times New Roman"/>
                <w:b w:val="0"/>
                <w:bCs/>
                <w:color w:val="auto"/>
                <w:sz w:val="21"/>
                <w:szCs w:val="21"/>
                <w:lang w:val="en-US" w:eastAsia="zh-CN"/>
              </w:rPr>
              <w:t>，</w:t>
            </w:r>
            <w:r>
              <w:rPr>
                <w:rFonts w:hint="eastAsia" w:cs="Times New Roman"/>
                <w:b w:val="0"/>
                <w:bCs/>
                <w:color w:val="auto"/>
                <w:sz w:val="21"/>
                <w:szCs w:val="21"/>
                <w:lang w:val="en-US" w:eastAsia="zh-CN"/>
              </w:rPr>
              <w:t>废液压油、废润滑油、废油桶及含油抹布等</w:t>
            </w:r>
            <w:r>
              <w:rPr>
                <w:rFonts w:hint="default" w:ascii="Times New Roman" w:hAnsi="Times New Roman" w:eastAsia="宋体" w:cs="Times New Roman"/>
                <w:b w:val="0"/>
                <w:bCs/>
                <w:color w:val="auto"/>
                <w:sz w:val="21"/>
                <w:szCs w:val="21"/>
                <w:lang w:val="en-US" w:eastAsia="zh-CN"/>
              </w:rPr>
              <w:t>危险废物委托有资质的单位处置。</w:t>
            </w:r>
          </w:p>
          <w:p w14:paraId="51DB6F1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生活垃圾收集后委托环卫部门处置。</w:t>
            </w:r>
          </w:p>
        </w:tc>
      </w:tr>
      <w:tr w14:paraId="53E1E0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1C65FAA1">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土壤及地下水污染防治措施</w:t>
            </w:r>
          </w:p>
        </w:tc>
        <w:tc>
          <w:tcPr>
            <w:tcW w:w="12089" w:type="dxa"/>
            <w:gridSpan w:val="5"/>
            <w:tcBorders>
              <w:tl2br w:val="nil"/>
              <w:tr2bl w:val="nil"/>
            </w:tcBorders>
            <w:noWrap w:val="0"/>
            <w:vAlign w:val="center"/>
          </w:tcPr>
          <w:p w14:paraId="38063A6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重点防渗区：危废库</w:t>
            </w:r>
            <w:r>
              <w:rPr>
                <w:rFonts w:hint="eastAsia" w:ascii="Times New Roman" w:hAnsi="Times New Roman" w:eastAsia="宋体" w:cs="Times New Roman"/>
                <w:b w:val="0"/>
                <w:bCs/>
                <w:color w:val="auto"/>
                <w:sz w:val="21"/>
                <w:szCs w:val="21"/>
                <w:lang w:val="en-US" w:eastAsia="zh-CN"/>
              </w:rPr>
              <w:t>。</w:t>
            </w:r>
          </w:p>
          <w:p w14:paraId="35612AA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一般防渗区：其他生产区、一般固废库</w:t>
            </w:r>
            <w:r>
              <w:rPr>
                <w:rFonts w:hint="eastAsia" w:ascii="Times New Roman" w:hAnsi="Times New Roman" w:eastAsia="宋体" w:cs="Times New Roman"/>
                <w:b w:val="0"/>
                <w:bCs/>
                <w:color w:val="auto"/>
                <w:sz w:val="21"/>
                <w:szCs w:val="21"/>
                <w:lang w:val="en-US" w:eastAsia="zh-CN"/>
              </w:rPr>
              <w:t>。</w:t>
            </w:r>
          </w:p>
        </w:tc>
      </w:tr>
      <w:tr w14:paraId="09635F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6F448577">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生态保护措施</w:t>
            </w:r>
          </w:p>
        </w:tc>
        <w:tc>
          <w:tcPr>
            <w:tcW w:w="12089" w:type="dxa"/>
            <w:gridSpan w:val="5"/>
            <w:tcBorders>
              <w:tl2br w:val="nil"/>
              <w:tr2bl w:val="nil"/>
            </w:tcBorders>
            <w:noWrap w:val="0"/>
            <w:vAlign w:val="center"/>
          </w:tcPr>
          <w:p w14:paraId="5F00B1CC">
            <w:pPr>
              <w:pStyle w:val="22"/>
              <w:bidi w:val="0"/>
              <w:spacing w:line="240" w:lineRule="auto"/>
              <w:ind w:left="0" w:leftChars="0" w:firstLine="0" w:firstLineChars="0"/>
              <w:jc w:val="left"/>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sz w:val="21"/>
                <w:szCs w:val="21"/>
                <w:lang w:eastAsia="zh-CN"/>
              </w:rPr>
              <w:t>厂区四周采取种植花卉及草坪等绿化措施。</w:t>
            </w:r>
          </w:p>
        </w:tc>
      </w:tr>
      <w:tr w14:paraId="00BE1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99" w:hRule="atLeast"/>
          <w:jc w:val="center"/>
        </w:trPr>
        <w:tc>
          <w:tcPr>
            <w:tcW w:w="1529" w:type="dxa"/>
            <w:tcBorders>
              <w:tl2br w:val="nil"/>
              <w:tr2bl w:val="nil"/>
            </w:tcBorders>
            <w:noWrap w:val="0"/>
            <w:vAlign w:val="center"/>
          </w:tcPr>
          <w:p w14:paraId="2D61617E">
            <w:pPr>
              <w:pStyle w:val="4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环境风险防范措施</w:t>
            </w:r>
          </w:p>
        </w:tc>
        <w:tc>
          <w:tcPr>
            <w:tcW w:w="12089" w:type="dxa"/>
            <w:gridSpan w:val="5"/>
            <w:tcBorders>
              <w:tl2br w:val="nil"/>
              <w:tr2bl w:val="nil"/>
            </w:tcBorders>
            <w:noWrap w:val="0"/>
            <w:vAlign w:val="center"/>
          </w:tcPr>
          <w:p w14:paraId="07EED574">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kern w:val="2"/>
                <w:sz w:val="21"/>
                <w:szCs w:val="21"/>
                <w:lang w:val="en-US" w:eastAsia="zh-CN" w:bidi="ar-SA"/>
              </w:rPr>
              <w:t>①防止物料泄漏对环境造成污染，落实分区防渗措施；制定危险废物的收集管理制度；危废库设置</w:t>
            </w:r>
            <w:r>
              <w:rPr>
                <w:rFonts w:hint="default" w:ascii="Times New Roman" w:hAnsi="Times New Roman" w:eastAsia="宋体" w:cs="Times New Roman"/>
                <w:b w:val="0"/>
                <w:bCs/>
                <w:color w:val="000000"/>
                <w:kern w:val="2"/>
                <w:sz w:val="21"/>
                <w:szCs w:val="21"/>
                <w:lang w:val="en-US" w:eastAsia="zh-CN" w:bidi="ar-SA"/>
              </w:rPr>
              <w:t>托盘或者围堰</w:t>
            </w:r>
            <w:r>
              <w:rPr>
                <w:rFonts w:hint="default" w:ascii="Times New Roman" w:hAnsi="Times New Roman" w:eastAsia="宋体" w:cs="Times New Roman"/>
                <w:b w:val="0"/>
                <w:bCs/>
                <w:color w:val="auto"/>
                <w:kern w:val="2"/>
                <w:sz w:val="21"/>
                <w:szCs w:val="21"/>
                <w:lang w:val="en-US" w:eastAsia="zh-CN" w:bidi="ar-SA"/>
              </w:rPr>
              <w:t>等防渗措施。</w:t>
            </w:r>
          </w:p>
          <w:p w14:paraId="148F4EEF">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kern w:val="2"/>
                <w:sz w:val="21"/>
                <w:szCs w:val="21"/>
                <w:lang w:val="en-US" w:eastAsia="zh-CN" w:bidi="ar-SA"/>
              </w:rPr>
              <w:t>②</w:t>
            </w:r>
            <w:r>
              <w:rPr>
                <w:rFonts w:hint="eastAsia" w:ascii="Times New Roman" w:hAnsi="Times New Roman" w:eastAsia="宋体" w:cs="Times New Roman"/>
                <w:b w:val="0"/>
                <w:bCs/>
                <w:color w:val="auto"/>
                <w:kern w:val="2"/>
                <w:sz w:val="21"/>
                <w:szCs w:val="21"/>
                <w:lang w:val="en-US" w:eastAsia="zh-CN" w:bidi="ar-SA"/>
              </w:rPr>
              <w:t>编制</w:t>
            </w:r>
            <w:r>
              <w:rPr>
                <w:rFonts w:hint="default" w:ascii="Times New Roman" w:hAnsi="Times New Roman" w:eastAsia="宋体" w:cs="Times New Roman"/>
                <w:b w:val="0"/>
                <w:bCs/>
                <w:color w:val="auto"/>
                <w:kern w:val="2"/>
                <w:sz w:val="21"/>
                <w:szCs w:val="21"/>
                <w:lang w:val="en-US" w:eastAsia="zh-CN" w:bidi="ar-SA"/>
              </w:rPr>
              <w:t>突发环境事件应急预案，定期开展应急演练。</w:t>
            </w:r>
          </w:p>
        </w:tc>
      </w:tr>
    </w:tbl>
    <w:p w14:paraId="74127D38">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hint="default" w:eastAsia="黑体" w:cs="Times New Roman"/>
          <w:snapToGrid w:val="0"/>
          <w:color w:val="000000" w:themeColor="text1"/>
          <w:sz w:val="30"/>
          <w:szCs w:val="30"/>
          <w:lang w:val="en-US" w:eastAsia="zh-CN"/>
          <w14:textFill>
            <w14:solidFill>
              <w14:schemeClr w14:val="tx1"/>
            </w14:solidFill>
          </w14:textFill>
        </w:rPr>
      </w:pPr>
    </w:p>
    <w:p w14:paraId="1126B92E">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hint="default" w:eastAsia="黑体" w:cs="Times New Roman"/>
          <w:snapToGrid w:val="0"/>
          <w:color w:val="000000" w:themeColor="text1"/>
          <w:sz w:val="30"/>
          <w:szCs w:val="30"/>
          <w:lang w:val="en-US" w:eastAsia="zh-CN"/>
          <w14:textFill>
            <w14:solidFill>
              <w14:schemeClr w14:val="tx1"/>
            </w14:solidFill>
          </w14:textFill>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B21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393C9C7">
            <w:pPr>
              <w:pStyle w:val="43"/>
              <w:bidi w:val="0"/>
              <w:ind w:left="0" w:leftChars="0" w:firstLine="0" w:firstLineChars="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其他环境管理要求：</w:t>
            </w:r>
          </w:p>
          <w:p w14:paraId="5358611A">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1、环境管理机构</w:t>
            </w:r>
          </w:p>
          <w:p w14:paraId="682B4AF9">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项目建成后，建设单位应重视环境保护工作，并设置专门从事环境管理的机构，配备专职环保技术人员1名，负责环境监督管理工作，同时要加强对管理人员的环保培训，不断提高管理水平。</w:t>
            </w:r>
          </w:p>
          <w:p w14:paraId="74CD17C0">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2、环境管理内容</w:t>
            </w:r>
          </w:p>
          <w:p w14:paraId="021668B6">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建设项目</w:t>
            </w:r>
            <w:r>
              <w:rPr>
                <w:rFonts w:hint="eastAsia"/>
                <w:color w:val="000000" w:themeColor="text1"/>
                <w:highlight w:val="none"/>
                <w:lang w:val="en-US" w:eastAsia="zh-CN" w:bidi="ar-SA"/>
                <w14:textFill>
                  <w14:solidFill>
                    <w14:schemeClr w14:val="tx1"/>
                  </w14:solidFill>
                </w14:textFill>
              </w:rPr>
              <w:t>生产</w:t>
            </w:r>
            <w:r>
              <w:rPr>
                <w:rFonts w:hint="eastAsia"/>
                <w:color w:val="000000" w:themeColor="text1"/>
                <w:lang w:val="en-US" w:eastAsia="zh-CN" w:bidi="ar-SA"/>
                <w14:textFill>
                  <w14:solidFill>
                    <w14:schemeClr w14:val="tx1"/>
                  </w14:solidFill>
                </w14:textFill>
              </w:rPr>
              <w:t>运行过程中为保证环境管理系统的有效运行，应制定环保管理方案，环境管理方案主要包括以下内容：</w:t>
            </w:r>
          </w:p>
          <w:p w14:paraId="692DC9F0">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（1）组织贯彻落实国家及地方的有关环保方针、政策</w:t>
            </w:r>
            <w:r>
              <w:rPr>
                <w:rFonts w:hint="eastAsia"/>
                <w:color w:val="000000" w:themeColor="text1"/>
                <w:highlight w:val="none"/>
                <w:lang w:val="en-US" w:eastAsia="zh-CN" w:bidi="ar-SA"/>
                <w14:textFill>
                  <w14:solidFill>
                    <w14:schemeClr w14:val="tx1"/>
                  </w14:solidFill>
                </w14:textFill>
              </w:rPr>
              <w:t>法令</w:t>
            </w:r>
            <w:r>
              <w:rPr>
                <w:rFonts w:hint="eastAsia"/>
                <w:color w:val="000000" w:themeColor="text1"/>
                <w:lang w:val="en-US" w:eastAsia="zh-CN" w:bidi="ar-SA"/>
                <w14:textFill>
                  <w14:solidFill>
                    <w14:schemeClr w14:val="tx1"/>
                  </w14:solidFill>
                </w14:textFill>
              </w:rPr>
              <w:t>和条例，搞好环境教育和技术培训，提高公司职工的环保意识和技术水平，提高污染控制的责任心。</w:t>
            </w:r>
          </w:p>
          <w:p w14:paraId="3B4796FE">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（2）制定并实施公司环境保护工作的长期规划及年度污染治理计划；定期检查环保设施的运行状况及对设备的维</w:t>
            </w:r>
            <w:r>
              <w:rPr>
                <w:rFonts w:hint="eastAsia"/>
                <w:color w:val="000000" w:themeColor="text1"/>
                <w:highlight w:val="none"/>
                <w:lang w:val="en-US" w:eastAsia="zh-CN" w:bidi="ar-SA"/>
                <w14:textFill>
                  <w14:solidFill>
                    <w14:schemeClr w14:val="tx1"/>
                  </w14:solidFill>
                </w14:textFill>
              </w:rPr>
              <w:t>修</w:t>
            </w:r>
            <w:r>
              <w:rPr>
                <w:rFonts w:hint="eastAsia"/>
                <w:color w:val="000000" w:themeColor="text1"/>
                <w:lang w:val="en-US" w:eastAsia="zh-CN" w:bidi="ar-SA"/>
                <w14:textFill>
                  <w14:solidFill>
                    <w14:schemeClr w14:val="tx1"/>
                  </w14:solidFill>
                </w14:textFill>
              </w:rPr>
              <w:t>与管理，严格控制“三废”的排放。</w:t>
            </w:r>
          </w:p>
          <w:p w14:paraId="2B96FB6D">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（3）掌握公司内部污染物排放情况，编制公司内部环境状况报告。</w:t>
            </w:r>
          </w:p>
          <w:p w14:paraId="0D3806E1">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（4）负责环保专项资金的平衡与控制及办理环保超标缴费工作。</w:t>
            </w:r>
          </w:p>
          <w:p w14:paraId="0EC17C14">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（5）协同有关环境保护主管部门组织落实“三同时”，参与有关方案的审定及竣工验收。</w:t>
            </w:r>
          </w:p>
          <w:p w14:paraId="03556037">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（6）落实排污申报制度，组织环境监测，检查公司环境状况，并及时将环境监测的信息向环保部门通报。</w:t>
            </w:r>
          </w:p>
          <w:p w14:paraId="11D0BDCF">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（7）调查处理公司内污染事故和污染纠纷；组织“三废”处理技术的实验和研究；建立</w:t>
            </w:r>
            <w:r>
              <w:rPr>
                <w:rFonts w:hint="eastAsia"/>
                <w:color w:val="000000" w:themeColor="text1"/>
                <w:highlight w:val="none"/>
                <w:lang w:val="en-US" w:eastAsia="zh-CN" w:bidi="ar-SA"/>
                <w14:textFill>
                  <w14:solidFill>
                    <w14:schemeClr w14:val="tx1"/>
                  </w14:solidFill>
                </w14:textFill>
              </w:rPr>
              <w:t>污染突发</w:t>
            </w:r>
            <w:r>
              <w:rPr>
                <w:rFonts w:hint="eastAsia"/>
                <w:color w:val="000000" w:themeColor="text1"/>
                <w:lang w:val="en-US" w:eastAsia="zh-CN" w:bidi="ar-SA"/>
                <w14:textFill>
                  <w14:solidFill>
                    <w14:schemeClr w14:val="tx1"/>
                  </w14:solidFill>
                </w14:textFill>
              </w:rPr>
              <w:t>事故分类分级档</w:t>
            </w:r>
            <w:r>
              <w:rPr>
                <w:rFonts w:hint="eastAsia"/>
                <w:color w:val="000000" w:themeColor="text1"/>
                <w:highlight w:val="none"/>
                <w:lang w:val="en-US" w:eastAsia="zh-CN" w:bidi="ar-SA"/>
                <w14:textFill>
                  <w14:solidFill>
                    <w14:schemeClr w14:val="tx1"/>
                  </w14:solidFill>
                </w14:textFill>
              </w:rPr>
              <w:t>案和</w:t>
            </w:r>
            <w:r>
              <w:rPr>
                <w:rFonts w:hint="eastAsia"/>
                <w:color w:val="000000" w:themeColor="text1"/>
                <w:lang w:val="en-US" w:eastAsia="zh-CN" w:bidi="ar-SA"/>
                <w14:textFill>
                  <w14:solidFill>
                    <w14:schemeClr w14:val="tx1"/>
                  </w14:solidFill>
                </w14:textFill>
              </w:rPr>
              <w:t>处理制度。</w:t>
            </w:r>
          </w:p>
          <w:p w14:paraId="05ED38B8">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（8）努力健全公司的EMS（环境管理系统），</w:t>
            </w:r>
            <w:r>
              <w:rPr>
                <w:rFonts w:hint="eastAsia"/>
                <w:color w:val="000000" w:themeColor="text1"/>
                <w:highlight w:val="none"/>
                <w:lang w:val="en-US" w:eastAsia="zh-CN" w:bidi="ar-SA"/>
                <w14:textFill>
                  <w14:solidFill>
                    <w14:schemeClr w14:val="tx1"/>
                  </w14:solidFill>
                </w14:textFill>
              </w:rPr>
              <w:t>以达到</w:t>
            </w:r>
            <w:r>
              <w:rPr>
                <w:rFonts w:hint="eastAsia"/>
                <w:color w:val="000000" w:themeColor="text1"/>
                <w:lang w:val="en-US" w:eastAsia="zh-CN" w:bidi="ar-SA"/>
                <w14:textFill>
                  <w14:solidFill>
                    <w14:schemeClr w14:val="tx1"/>
                  </w14:solidFill>
                </w14:textFill>
              </w:rPr>
              <w:t>ISO14000的要求。</w:t>
            </w:r>
          </w:p>
          <w:p w14:paraId="400FAF71">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（9）建立清洁审查</w:t>
            </w:r>
            <w:r>
              <w:rPr>
                <w:rFonts w:hint="eastAsia"/>
                <w:color w:val="000000" w:themeColor="text1"/>
                <w:highlight w:val="none"/>
                <w:lang w:val="en-US" w:eastAsia="zh-CN" w:bidi="ar-SA"/>
                <w14:textFill>
                  <w14:solidFill>
                    <w14:schemeClr w14:val="tx1"/>
                  </w14:solidFill>
                </w14:textFill>
              </w:rPr>
              <w:t>计划</w:t>
            </w:r>
            <w:r>
              <w:rPr>
                <w:rFonts w:hint="eastAsia"/>
                <w:color w:val="000000" w:themeColor="text1"/>
                <w:lang w:val="en-US" w:eastAsia="zh-CN" w:bidi="ar-SA"/>
                <w14:textFill>
                  <w14:solidFill>
                    <w14:schemeClr w14:val="tx1"/>
                  </w14:solidFill>
                </w14:textFill>
              </w:rPr>
              <w:t>，体现“以防为主”的方针，实现环境效益和经济效益的统一。</w:t>
            </w:r>
          </w:p>
          <w:p w14:paraId="4E481217">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3、环境保护管理制度的建立</w:t>
            </w:r>
          </w:p>
          <w:p w14:paraId="0AB9D4EF">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（1）报告制度</w:t>
            </w:r>
          </w:p>
          <w:p w14:paraId="188B28A5">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按《建设项目环境保护管理条例》中第十七条和十九条规定，本项目在竣工后，必须对配套建设的环境保护设施进行验收，并编制验收报告；且配套建设的环境保护设施验收合格后方可投入生产或使用；未经验收或验收不合格的，不得投入生产或使用。</w:t>
            </w:r>
          </w:p>
          <w:p w14:paraId="4715CD67">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项目建成后应严格执行月报制度。即每月向当地环保部门报告污染治理设施运行情况、污染物排放情况以及污染事故、污染纠纷等情况。</w:t>
            </w:r>
          </w:p>
          <w:p w14:paraId="2167A992">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企业排污发生重大变化、污染治理设施改变或生产运行计划发生改变都必须向当地环保部门申报，经审批同意后方可实施。</w:t>
            </w:r>
          </w:p>
          <w:p w14:paraId="7316C31D">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（2）污染治理设施的管理制度</w:t>
            </w:r>
          </w:p>
          <w:p w14:paraId="14C49BDA">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对污染治理设施</w:t>
            </w:r>
            <w:r>
              <w:rPr>
                <w:rFonts w:hint="eastAsia"/>
                <w:color w:val="000000" w:themeColor="text1"/>
                <w:highlight w:val="none"/>
                <w:lang w:val="en-US" w:eastAsia="zh-CN" w:bidi="ar-SA"/>
                <w14:textFill>
                  <w14:solidFill>
                    <w14:schemeClr w14:val="tx1"/>
                  </w14:solidFill>
                </w14:textFill>
              </w:rPr>
              <w:t>和</w:t>
            </w:r>
            <w:r>
              <w:rPr>
                <w:rFonts w:hint="eastAsia"/>
                <w:color w:val="000000" w:themeColor="text1"/>
                <w:lang w:val="en-US" w:eastAsia="zh-CN" w:bidi="ar-SA"/>
                <w14:textFill>
                  <w14:solidFill>
                    <w14:schemeClr w14:val="tx1"/>
                  </w14:solidFill>
                </w14:textFill>
              </w:rPr>
              <w:t>管理必须与生产经营活动一起纳入企业的日常管理中，要建立岗位责任制，制定操作规程，建立管理台账。</w:t>
            </w:r>
          </w:p>
          <w:p w14:paraId="5F53A0C3">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（3）奖惩制度</w:t>
            </w:r>
          </w:p>
          <w:p w14:paraId="38A83B75">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企业应设置环境保护奖惩制度，对爱护环保设施，节能降耗、改善环境者给予奖励；对不按环保要求管理，造成环保设施损坏，环境污染和资源、能源浪费者给予重罚。</w:t>
            </w:r>
          </w:p>
          <w:p w14:paraId="5405A3F3">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4、加强环境管理</w:t>
            </w:r>
          </w:p>
          <w:p w14:paraId="0A62EDCA">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（1）将环境管理纳入生产管理，避免工艺操作异常；</w:t>
            </w:r>
          </w:p>
          <w:p w14:paraId="6CEA5498">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（2）加强设备养护，</w:t>
            </w:r>
            <w:r>
              <w:rPr>
                <w:rFonts w:hint="eastAsia"/>
                <w:color w:val="000000" w:themeColor="text1"/>
                <w:highlight w:val="none"/>
                <w:lang w:val="en-US" w:eastAsia="zh-CN" w:bidi="ar-SA"/>
                <w14:textFill>
                  <w14:solidFill>
                    <w14:schemeClr w14:val="tx1"/>
                  </w14:solidFill>
                </w14:textFill>
              </w:rPr>
              <w:t>堵截</w:t>
            </w:r>
            <w:r>
              <w:rPr>
                <w:rFonts w:hint="eastAsia"/>
                <w:color w:val="000000" w:themeColor="text1"/>
                <w:lang w:val="en-US" w:eastAsia="zh-CN" w:bidi="ar-SA"/>
                <w14:textFill>
                  <w14:solidFill>
                    <w14:schemeClr w14:val="tx1"/>
                  </w14:solidFill>
                </w14:textFill>
              </w:rPr>
              <w:t>跑、冒、滴、漏；</w:t>
            </w:r>
          </w:p>
          <w:p w14:paraId="4C7D4666">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（3）大维修期间应同时对环保设施进行检修，清除杂物，保证管网畅通，需要更换的零部件应予更换；</w:t>
            </w:r>
          </w:p>
          <w:p w14:paraId="6990EF25">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（4）推广应用先进的环保技术和经验，促进污染的综合防治和废物的回收利用或者循环利用。</w:t>
            </w:r>
          </w:p>
          <w:p w14:paraId="0D0411DE">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（5）组织开展环境保护宣传和教育，加强群众的环保意识与工人清洁生产的意识。</w:t>
            </w:r>
          </w:p>
          <w:p w14:paraId="7003E8E4">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5、项目“三同时”要求</w:t>
            </w:r>
          </w:p>
          <w:p w14:paraId="43746176">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（1）污染防治措施必须与主体工程同时设计、同时施工、同时投产使用。</w:t>
            </w:r>
          </w:p>
          <w:p w14:paraId="334F5758">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（2）完成排污口规范化建设，应在排污口设置统一标志。</w:t>
            </w:r>
          </w:p>
          <w:p w14:paraId="59D010DD">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（3）防治污染设施必须经验收合格后，建设项目方可正式投入生产。</w:t>
            </w:r>
          </w:p>
          <w:p w14:paraId="3EFD4FC2">
            <w:pPr>
              <w:pStyle w:val="43"/>
              <w:bidi w:val="0"/>
              <w:rPr>
                <w:rFonts w:hint="eastAsia"/>
                <w:color w:val="000000" w:themeColor="text1"/>
                <w:lang w:val="en-US" w:eastAsia="zh-CN" w:bidi="ar-SA"/>
                <w14:textFill>
                  <w14:solidFill>
                    <w14:schemeClr w14:val="tx1"/>
                  </w14:solidFill>
                </w14:textFill>
              </w:rPr>
            </w:pPr>
          </w:p>
          <w:p w14:paraId="0158A308">
            <w:pPr>
              <w:pStyle w:val="43"/>
              <w:bidi w:val="0"/>
              <w:rPr>
                <w:rFonts w:hint="eastAsia"/>
                <w:color w:val="000000" w:themeColor="text1"/>
                <w:lang w:val="en-US" w:eastAsia="zh-CN" w:bidi="ar-SA"/>
                <w14:textFill>
                  <w14:solidFill>
                    <w14:schemeClr w14:val="tx1"/>
                  </w14:solidFill>
                </w14:textFill>
              </w:rPr>
            </w:pPr>
          </w:p>
          <w:p w14:paraId="542B0E13">
            <w:pPr>
              <w:pStyle w:val="43"/>
              <w:bidi w:val="0"/>
              <w:ind w:left="0" w:leftChars="0" w:firstLine="0" w:firstLineChars="0"/>
              <w:rPr>
                <w:rFonts w:hint="default"/>
                <w:color w:val="000000" w:themeColor="text1"/>
                <w:lang w:val="en-US" w:eastAsia="zh-CN" w:bidi="ar-SA"/>
                <w14:textFill>
                  <w14:solidFill>
                    <w14:schemeClr w14:val="tx1"/>
                  </w14:solidFill>
                </w14:textFill>
              </w:rPr>
            </w:pPr>
          </w:p>
        </w:tc>
      </w:tr>
    </w:tbl>
    <w:p w14:paraId="056CD36C">
      <w:pPr>
        <w:jc w:val="center"/>
        <w:outlineLvl w:val="9"/>
        <w:rPr>
          <w:rFonts w:hint="default" w:eastAsia="黑体" w:cs="Times New Roman"/>
          <w:snapToGrid w:val="0"/>
          <w:color w:val="000000" w:themeColor="text1"/>
          <w:sz w:val="30"/>
          <w:szCs w:val="30"/>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20C58CE">
      <w:pPr>
        <w:jc w:val="center"/>
        <w:outlineLvl w:val="0"/>
        <w:rPr>
          <w:rFonts w:hint="eastAsia" w:eastAsia="黑体" w:cs="Times New Roman"/>
          <w:snapToGrid w:val="0"/>
          <w:color w:val="000000" w:themeColor="text1"/>
          <w:sz w:val="30"/>
          <w:szCs w:val="30"/>
          <w:lang w:val="en-US" w:eastAsia="zh-CN"/>
          <w14:textFill>
            <w14:solidFill>
              <w14:schemeClr w14:val="tx1"/>
            </w14:solidFill>
          </w14:textFill>
        </w:rPr>
      </w:pPr>
      <w:bookmarkStart w:id="23" w:name="_Toc18162"/>
      <w:bookmarkStart w:id="24" w:name="_Toc16667"/>
      <w:bookmarkStart w:id="25" w:name="_Toc9752"/>
      <w:bookmarkStart w:id="26" w:name="_Toc28327"/>
      <w:bookmarkStart w:id="27" w:name="_Toc21423"/>
      <w:r>
        <w:rPr>
          <w:rFonts w:hint="eastAsia" w:eastAsia="黑体" w:cs="Times New Roman"/>
          <w:snapToGrid w:val="0"/>
          <w:color w:val="000000" w:themeColor="text1"/>
          <w:sz w:val="30"/>
          <w:szCs w:val="30"/>
          <w:lang w:val="en-US" w:eastAsia="zh-CN"/>
          <w14:textFill>
            <w14:solidFill>
              <w14:schemeClr w14:val="tx1"/>
            </w14:solidFill>
          </w14:textFill>
        </w:rPr>
        <w:t>六</w:t>
      </w:r>
      <w:r>
        <w:rPr>
          <w:rFonts w:hint="default" w:ascii="Times New Roman" w:hAnsi="Times New Roman" w:eastAsia="黑体" w:cs="Times New Roman"/>
          <w:snapToGrid w:val="0"/>
          <w:color w:val="000000" w:themeColor="text1"/>
          <w:sz w:val="30"/>
          <w:szCs w:val="30"/>
          <w14:textFill>
            <w14:solidFill>
              <w14:schemeClr w14:val="tx1"/>
            </w14:solidFill>
          </w14:textFill>
        </w:rPr>
        <w:t>、</w:t>
      </w:r>
      <w:r>
        <w:rPr>
          <w:rFonts w:hint="eastAsia" w:eastAsia="黑体" w:cs="Times New Roman"/>
          <w:snapToGrid w:val="0"/>
          <w:color w:val="000000" w:themeColor="text1"/>
          <w:sz w:val="30"/>
          <w:szCs w:val="30"/>
          <w:lang w:val="en-US" w:eastAsia="zh-CN"/>
          <w14:textFill>
            <w14:solidFill>
              <w14:schemeClr w14:val="tx1"/>
            </w14:solidFill>
          </w14:textFill>
        </w:rPr>
        <w:t>结论</w:t>
      </w:r>
      <w:bookmarkEnd w:id="23"/>
      <w:bookmarkEnd w:id="24"/>
      <w:bookmarkEnd w:id="25"/>
      <w:bookmarkEnd w:id="26"/>
      <w:bookmarkEnd w:id="27"/>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1906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08" w:hRule="atLeast"/>
        </w:trPr>
        <w:tc>
          <w:tcPr>
            <w:tcW w:w="8522" w:type="dxa"/>
          </w:tcPr>
          <w:p w14:paraId="4A1BD0F3">
            <w:pPr>
              <w:pStyle w:val="43"/>
              <w:bidi w:val="0"/>
              <w:rPr>
                <w:rFonts w:hint="eastAsia"/>
                <w:color w:val="000000" w:themeColor="text1"/>
                <w:lang w:val="en-US" w:eastAsia="zh-CN" w:bidi="ar-SA"/>
                <w14:textFill>
                  <w14:solidFill>
                    <w14:schemeClr w14:val="tx1"/>
                  </w14:solidFill>
                </w14:textFill>
              </w:rPr>
            </w:pPr>
            <w:r>
              <w:rPr>
                <w:rFonts w:hint="eastAsia"/>
                <w:color w:val="000000" w:themeColor="text1"/>
                <w:lang w:val="en-US" w:eastAsia="zh-CN" w:bidi="ar-SA"/>
                <w14:textFill>
                  <w14:solidFill>
                    <w14:schemeClr w14:val="tx1"/>
                  </w14:solidFill>
                </w14:textFill>
              </w:rPr>
              <w:t>池州市金升铝业科技有限责任公司年产10万吨电子、汽车、智能机器人等科技行业用铝型材项目（一期）符合国家产业政策；选址合理；项目拟采取的各项污染防治措施可行，可确保项目的各类污染物均做到稳定达标排放。因此，在严格执行操作规范、保证各项环保设施和措施正常运行的条件下，不会对当地的环境质量造成大的不利影响。从环境影响角度考虑，该项目可行。</w:t>
            </w:r>
          </w:p>
          <w:p w14:paraId="2AC300FA">
            <w:pPr>
              <w:pStyle w:val="43"/>
              <w:bidi w:val="0"/>
              <w:rPr>
                <w:rFonts w:hint="default"/>
                <w:color w:val="000000" w:themeColor="text1"/>
                <w:lang w:val="en-US" w:eastAsia="zh-CN" w:bidi="ar-SA"/>
                <w14:textFill>
                  <w14:solidFill>
                    <w14:schemeClr w14:val="tx1"/>
                  </w14:solidFill>
                </w14:textFill>
              </w:rPr>
            </w:pPr>
            <w:r>
              <w:rPr>
                <w:rFonts w:hint="eastAsia"/>
                <w:i/>
                <w:iCs/>
                <w:color w:val="000000" w:themeColor="text1"/>
                <w:lang w:val="en-US" w:eastAsia="zh-CN" w:bidi="ar-SA"/>
                <w14:textFill>
                  <w14:solidFill>
                    <w14:schemeClr w14:val="tx1"/>
                  </w14:solidFill>
                </w14:textFill>
              </w:rPr>
              <w:t>如产品方案、工艺设备、原辅材料消耗等生产情况有大的变动，应及时向有关部门及时申报，并应重新进行环境影响评价。</w:t>
            </w:r>
          </w:p>
        </w:tc>
      </w:tr>
    </w:tbl>
    <w:p w14:paraId="03E0F209">
      <w:pPr>
        <w:jc w:val="center"/>
        <w:outlineLvl w:val="9"/>
        <w:rPr>
          <w:rFonts w:hint="default" w:eastAsia="黑体" w:cs="Times New Roman"/>
          <w:snapToGrid w:val="0"/>
          <w:color w:val="000000" w:themeColor="text1"/>
          <w:sz w:val="30"/>
          <w:szCs w:val="30"/>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1F8E062">
      <w:pPr>
        <w:jc w:val="center"/>
        <w:outlineLvl w:val="0"/>
        <w:rPr>
          <w:rFonts w:hint="eastAsia" w:eastAsia="黑体" w:cs="Times New Roman"/>
          <w:snapToGrid w:val="0"/>
          <w:color w:val="000000" w:themeColor="text1"/>
          <w:sz w:val="30"/>
          <w:szCs w:val="30"/>
          <w:lang w:val="en-US" w:eastAsia="zh-CN"/>
          <w14:textFill>
            <w14:solidFill>
              <w14:schemeClr w14:val="tx1"/>
            </w14:solidFill>
          </w14:textFill>
        </w:rPr>
      </w:pPr>
      <w:bookmarkStart w:id="28" w:name="_Toc4101"/>
      <w:bookmarkStart w:id="29" w:name="_Toc19285"/>
      <w:bookmarkStart w:id="30" w:name="_Toc2227"/>
      <w:bookmarkStart w:id="31" w:name="_Toc25383"/>
      <w:bookmarkStart w:id="32" w:name="_Toc5166"/>
      <w:r>
        <w:rPr>
          <w:rFonts w:hint="eastAsia" w:eastAsia="黑体" w:cs="Times New Roman"/>
          <w:snapToGrid w:val="0"/>
          <w:color w:val="000000" w:themeColor="text1"/>
          <w:sz w:val="30"/>
          <w:szCs w:val="30"/>
          <w:lang w:val="en-US" w:eastAsia="zh-CN"/>
          <w14:textFill>
            <w14:solidFill>
              <w14:schemeClr w14:val="tx1"/>
            </w14:solidFill>
          </w14:textFill>
        </w:rPr>
        <w:t>七</w:t>
      </w:r>
      <w:r>
        <w:rPr>
          <w:rFonts w:hint="default" w:ascii="Times New Roman" w:hAnsi="Times New Roman" w:eastAsia="黑体" w:cs="Times New Roman"/>
          <w:snapToGrid w:val="0"/>
          <w:color w:val="000000" w:themeColor="text1"/>
          <w:sz w:val="30"/>
          <w:szCs w:val="30"/>
          <w14:textFill>
            <w14:solidFill>
              <w14:schemeClr w14:val="tx1"/>
            </w14:solidFill>
          </w14:textFill>
        </w:rPr>
        <w:t>、</w:t>
      </w:r>
      <w:r>
        <w:rPr>
          <w:rFonts w:hint="eastAsia" w:eastAsia="黑体" w:cs="Times New Roman"/>
          <w:snapToGrid w:val="0"/>
          <w:color w:val="000000" w:themeColor="text1"/>
          <w:sz w:val="30"/>
          <w:szCs w:val="30"/>
          <w:lang w:val="en-US" w:eastAsia="zh-CN"/>
          <w14:textFill>
            <w14:solidFill>
              <w14:schemeClr w14:val="tx1"/>
            </w14:solidFill>
          </w14:textFill>
        </w:rPr>
        <w:t>排污许可申请与填报信息表</w:t>
      </w:r>
      <w:bookmarkEnd w:id="28"/>
      <w:bookmarkEnd w:id="29"/>
      <w:bookmarkEnd w:id="30"/>
      <w:bookmarkEnd w:id="31"/>
      <w:bookmarkEnd w:id="32"/>
    </w:p>
    <w:p w14:paraId="66CD2361">
      <w:pPr>
        <w:pStyle w:val="43"/>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对照皖环发〔2021〕7号《安徽省生态环境厅关于统筹做好固定污染源排污许可日常监督工作的通知》，项目排污许可申请与填报信息表详见下表。</w:t>
      </w:r>
    </w:p>
    <w:p w14:paraId="79B3E4DB">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表1  纳入排污许可管理的行业和管理类别</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0"/>
        <w:gridCol w:w="1557"/>
        <w:gridCol w:w="891"/>
        <w:gridCol w:w="1381"/>
        <w:gridCol w:w="686"/>
        <w:gridCol w:w="1000"/>
        <w:gridCol w:w="1112"/>
        <w:gridCol w:w="1741"/>
        <w:gridCol w:w="1097"/>
        <w:gridCol w:w="2352"/>
        <w:gridCol w:w="1366"/>
      </w:tblGrid>
      <w:tr w14:paraId="68AA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50" w:type="dxa"/>
            <w:noWrap w:val="0"/>
            <w:vAlign w:val="center"/>
          </w:tcPr>
          <w:p w14:paraId="5C44382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557" w:type="dxa"/>
            <w:noWrap w:val="0"/>
            <w:vAlign w:val="center"/>
          </w:tcPr>
          <w:p w14:paraId="7B048D73">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生产线名称</w:t>
            </w:r>
          </w:p>
        </w:tc>
        <w:tc>
          <w:tcPr>
            <w:tcW w:w="891" w:type="dxa"/>
            <w:noWrap w:val="0"/>
            <w:vAlign w:val="center"/>
          </w:tcPr>
          <w:p w14:paraId="57B8D97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生产线编号</w:t>
            </w:r>
          </w:p>
        </w:tc>
        <w:tc>
          <w:tcPr>
            <w:tcW w:w="1381" w:type="dxa"/>
            <w:noWrap w:val="0"/>
            <w:vAlign w:val="center"/>
          </w:tcPr>
          <w:p w14:paraId="0FE4FFF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产品名称</w:t>
            </w:r>
          </w:p>
        </w:tc>
        <w:tc>
          <w:tcPr>
            <w:tcW w:w="686" w:type="dxa"/>
            <w:noWrap w:val="0"/>
            <w:vAlign w:val="center"/>
          </w:tcPr>
          <w:p w14:paraId="58AE0A3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计量</w:t>
            </w:r>
          </w:p>
          <w:p w14:paraId="18B8E72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1000" w:type="dxa"/>
            <w:noWrap w:val="0"/>
            <w:vAlign w:val="center"/>
          </w:tcPr>
          <w:p w14:paraId="5A6B2495">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生产能力</w:t>
            </w:r>
          </w:p>
        </w:tc>
        <w:tc>
          <w:tcPr>
            <w:tcW w:w="1112" w:type="dxa"/>
            <w:noWrap w:val="0"/>
            <w:vAlign w:val="center"/>
          </w:tcPr>
          <w:p w14:paraId="5CCCE88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年生产</w:t>
            </w:r>
          </w:p>
          <w:p w14:paraId="7990A30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时间（h）</w:t>
            </w:r>
          </w:p>
        </w:tc>
        <w:tc>
          <w:tcPr>
            <w:tcW w:w="1741" w:type="dxa"/>
            <w:noWrap w:val="0"/>
            <w:vAlign w:val="center"/>
          </w:tcPr>
          <w:p w14:paraId="3DEC977B">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国民经济</w:t>
            </w:r>
          </w:p>
          <w:p w14:paraId="0EB470A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行业类别</w:t>
            </w:r>
          </w:p>
        </w:tc>
        <w:tc>
          <w:tcPr>
            <w:tcW w:w="1097" w:type="dxa"/>
            <w:noWrap w:val="0"/>
            <w:vAlign w:val="center"/>
          </w:tcPr>
          <w:p w14:paraId="6FD47C9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排污许可</w:t>
            </w:r>
          </w:p>
          <w:p w14:paraId="453AE25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管理类别</w:t>
            </w:r>
          </w:p>
        </w:tc>
        <w:tc>
          <w:tcPr>
            <w:tcW w:w="2352" w:type="dxa"/>
            <w:noWrap w:val="0"/>
            <w:vAlign w:val="center"/>
          </w:tcPr>
          <w:p w14:paraId="396248C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排污许可申请</w:t>
            </w:r>
          </w:p>
          <w:p w14:paraId="159F9C0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与核发技术规范</w:t>
            </w:r>
          </w:p>
        </w:tc>
        <w:tc>
          <w:tcPr>
            <w:tcW w:w="1366" w:type="dxa"/>
            <w:noWrap w:val="0"/>
            <w:vAlign w:val="center"/>
          </w:tcPr>
          <w:p w14:paraId="62C3E73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14:paraId="2A25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50" w:type="dxa"/>
            <w:noWrap w:val="0"/>
            <w:vAlign w:val="center"/>
          </w:tcPr>
          <w:p w14:paraId="13D211D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1</w:t>
            </w:r>
          </w:p>
        </w:tc>
        <w:tc>
          <w:tcPr>
            <w:tcW w:w="1557" w:type="dxa"/>
            <w:noWrap w:val="0"/>
            <w:vAlign w:val="center"/>
          </w:tcPr>
          <w:p w14:paraId="5B47460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铝型材</w:t>
            </w:r>
            <w:r>
              <w:rPr>
                <w:rFonts w:hint="default" w:ascii="Times New Roman" w:hAnsi="Times New Roman" w:eastAsia="宋体" w:cs="Times New Roman"/>
                <w:b w:val="0"/>
                <w:bCs/>
                <w:color w:val="auto"/>
                <w:sz w:val="21"/>
                <w:szCs w:val="21"/>
                <w:lang w:val="en-US" w:eastAsia="zh-CN"/>
              </w:rPr>
              <w:t>生产线</w:t>
            </w:r>
          </w:p>
        </w:tc>
        <w:tc>
          <w:tcPr>
            <w:tcW w:w="891" w:type="dxa"/>
            <w:noWrap w:val="0"/>
            <w:vAlign w:val="center"/>
          </w:tcPr>
          <w:p w14:paraId="03CB301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sz w:val="21"/>
                <w:szCs w:val="21"/>
                <w:lang w:val="en-US" w:eastAsia="zh-CN"/>
              </w:rPr>
              <w:t>SCX001</w:t>
            </w:r>
          </w:p>
        </w:tc>
        <w:tc>
          <w:tcPr>
            <w:tcW w:w="1381" w:type="dxa"/>
            <w:noWrap w:val="0"/>
            <w:vAlign w:val="center"/>
          </w:tcPr>
          <w:p w14:paraId="53256B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铝型材结构件</w:t>
            </w:r>
          </w:p>
        </w:tc>
        <w:tc>
          <w:tcPr>
            <w:tcW w:w="686" w:type="dxa"/>
            <w:noWrap w:val="0"/>
            <w:vAlign w:val="center"/>
          </w:tcPr>
          <w:p w14:paraId="1902D6B1">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kern w:val="2"/>
                <w:sz w:val="21"/>
                <w:szCs w:val="21"/>
                <w:lang w:val="en-US" w:eastAsia="zh-CN" w:bidi="ar-SA"/>
              </w:rPr>
              <w:t>t</w:t>
            </w:r>
            <w:r>
              <w:rPr>
                <w:rFonts w:hint="default" w:ascii="Times New Roman" w:hAnsi="Times New Roman" w:eastAsia="宋体" w:cs="Times New Roman"/>
                <w:b w:val="0"/>
                <w:bCs/>
                <w:color w:val="auto"/>
                <w:kern w:val="2"/>
                <w:sz w:val="21"/>
                <w:szCs w:val="21"/>
                <w:lang w:val="en-US" w:eastAsia="zh-CN" w:bidi="ar-SA"/>
              </w:rPr>
              <w:t>/a</w:t>
            </w:r>
          </w:p>
        </w:tc>
        <w:tc>
          <w:tcPr>
            <w:tcW w:w="1000" w:type="dxa"/>
            <w:noWrap w:val="0"/>
            <w:vAlign w:val="center"/>
          </w:tcPr>
          <w:p w14:paraId="758DD6A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16000</w:t>
            </w:r>
          </w:p>
        </w:tc>
        <w:tc>
          <w:tcPr>
            <w:tcW w:w="1112" w:type="dxa"/>
            <w:noWrap w:val="0"/>
            <w:vAlign w:val="center"/>
          </w:tcPr>
          <w:p w14:paraId="67BAAA8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24</w:t>
            </w:r>
            <w:r>
              <w:rPr>
                <w:rFonts w:hint="default" w:ascii="Times New Roman" w:hAnsi="Times New Roman" w:eastAsia="宋体" w:cs="Times New Roman"/>
                <w:b w:val="0"/>
                <w:bCs/>
                <w:color w:val="auto"/>
                <w:sz w:val="21"/>
                <w:szCs w:val="21"/>
                <w:lang w:val="en-US" w:eastAsia="zh-CN"/>
              </w:rPr>
              <w:t>00</w:t>
            </w:r>
          </w:p>
        </w:tc>
        <w:tc>
          <w:tcPr>
            <w:tcW w:w="1741" w:type="dxa"/>
            <w:noWrap w:val="0"/>
            <w:vAlign w:val="center"/>
          </w:tcPr>
          <w:p w14:paraId="5D76229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C3252 铝压延加工</w:t>
            </w:r>
          </w:p>
        </w:tc>
        <w:tc>
          <w:tcPr>
            <w:tcW w:w="1097" w:type="dxa"/>
            <w:noWrap w:val="0"/>
            <w:vAlign w:val="center"/>
          </w:tcPr>
          <w:p w14:paraId="37E82FD3">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lang w:val="en-US" w:eastAsia="zh-CN"/>
              </w:rPr>
              <w:t>登记管理</w:t>
            </w:r>
          </w:p>
        </w:tc>
        <w:tc>
          <w:tcPr>
            <w:tcW w:w="2352" w:type="dxa"/>
            <w:noWrap w:val="0"/>
            <w:vAlign w:val="center"/>
          </w:tcPr>
          <w:p w14:paraId="07F4239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eastAsia="zh-CN"/>
              </w:rPr>
              <w:t xml:space="preserve">《排污许可证申请与核发技术规范 </w:t>
            </w:r>
            <w:r>
              <w:rPr>
                <w:rFonts w:hint="eastAsia" w:ascii="Times New Roman" w:hAnsi="Times New Roman" w:eastAsia="宋体" w:cs="Times New Roman"/>
                <w:b w:val="0"/>
                <w:bCs/>
                <w:color w:val="auto"/>
                <w:sz w:val="21"/>
                <w:szCs w:val="21"/>
                <w:lang w:val="en-US" w:eastAsia="zh-CN"/>
              </w:rPr>
              <w:t>工业炉窑</w:t>
            </w:r>
            <w:r>
              <w:rPr>
                <w:rFonts w:hint="default" w:ascii="Times New Roman" w:hAnsi="Times New Roman" w:eastAsia="宋体" w:cs="Times New Roman"/>
                <w:b w:val="0"/>
                <w:bCs/>
                <w:color w:val="auto"/>
                <w:sz w:val="21"/>
                <w:szCs w:val="21"/>
                <w:lang w:eastAsia="zh-CN"/>
              </w:rPr>
              <w:t xml:space="preserve">》（HJ </w:t>
            </w:r>
            <w:r>
              <w:rPr>
                <w:rFonts w:hint="eastAsia" w:ascii="Times New Roman" w:hAnsi="Times New Roman" w:eastAsia="宋体" w:cs="Times New Roman"/>
                <w:b w:val="0"/>
                <w:bCs/>
                <w:color w:val="auto"/>
                <w:sz w:val="21"/>
                <w:szCs w:val="21"/>
                <w:lang w:val="en-US" w:eastAsia="zh-CN"/>
              </w:rPr>
              <w:t>1121-2020</w:t>
            </w:r>
            <w:r>
              <w:rPr>
                <w:rFonts w:hint="default" w:ascii="Times New Roman" w:hAnsi="Times New Roman" w:eastAsia="宋体" w:cs="Times New Roman"/>
                <w:b w:val="0"/>
                <w:bCs/>
                <w:color w:val="auto"/>
                <w:sz w:val="21"/>
                <w:szCs w:val="21"/>
                <w:lang w:eastAsia="zh-CN"/>
              </w:rPr>
              <w:t>）</w:t>
            </w:r>
          </w:p>
        </w:tc>
        <w:tc>
          <w:tcPr>
            <w:tcW w:w="1366" w:type="dxa"/>
            <w:noWrap w:val="0"/>
            <w:vAlign w:val="center"/>
          </w:tcPr>
          <w:p w14:paraId="157368F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eastAsia" w:ascii="Times New Roman" w:hAnsi="Times New Roman" w:eastAsia="宋体" w:cs="Times New Roman"/>
                <w:b/>
                <w:bCs w:val="0"/>
                <w:color w:val="auto"/>
                <w:sz w:val="21"/>
                <w:szCs w:val="21"/>
                <w:lang w:val="en-US" w:eastAsia="zh-CN"/>
              </w:rPr>
            </w:pPr>
            <w:r>
              <w:rPr>
                <w:rFonts w:hint="eastAsia" w:ascii="Times New Roman" w:hAnsi="Times New Roman" w:eastAsia="宋体" w:cs="Times New Roman"/>
                <w:b/>
                <w:bCs w:val="0"/>
                <w:color w:val="auto"/>
                <w:sz w:val="21"/>
                <w:szCs w:val="21"/>
                <w:lang w:val="en-US" w:eastAsia="zh-CN"/>
              </w:rPr>
              <w:t>无轧制和退火工序</w:t>
            </w:r>
          </w:p>
        </w:tc>
      </w:tr>
    </w:tbl>
    <w:p w14:paraId="28DE6995">
      <w:pPr>
        <w:rPr>
          <w:rFonts w:hint="default"/>
          <w:lang w:val="en-US" w:eastAsia="zh-CN"/>
        </w:rPr>
      </w:pPr>
    </w:p>
    <w:p w14:paraId="16D25257">
      <w:pPr>
        <w:rPr>
          <w:rFonts w:hint="default"/>
          <w:color w:val="000000" w:themeColor="text1"/>
          <w:lang w:val="en-US" w:eastAsia="zh-CN"/>
          <w14:textFill>
            <w14:solidFill>
              <w14:schemeClr w14:val="tx1"/>
            </w14:solidFill>
          </w14:textFill>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B847B0B">
      <w:pPr>
        <w:adjustRightInd w:val="0"/>
        <w:snapToGrid w:val="0"/>
        <w:spacing w:before="0" w:beforeAutospacing="0" w:after="0" w:afterAutospacing="0" w:line="240" w:lineRule="auto"/>
        <w:jc w:val="left"/>
        <w:rPr>
          <w:rFonts w:ascii="Times New Roman" w:hAnsi="Times New Roman" w:eastAsia="黑体"/>
          <w:snapToGrid w:val="0"/>
          <w:color w:val="000000" w:themeColor="text1"/>
          <w:sz w:val="32"/>
          <w:szCs w:val="32"/>
          <w14:textFill>
            <w14:solidFill>
              <w14:schemeClr w14:val="tx1"/>
            </w14:solidFill>
          </w14:textFill>
        </w:rPr>
      </w:pPr>
      <w:r>
        <w:rPr>
          <w:rFonts w:hint="eastAsia" w:ascii="Times New Roman" w:hAnsi="Times New Roman" w:eastAsia="黑体"/>
          <w:snapToGrid w:val="0"/>
          <w:color w:val="000000" w:themeColor="text1"/>
          <w:sz w:val="32"/>
          <w:szCs w:val="32"/>
          <w14:textFill>
            <w14:solidFill>
              <w14:schemeClr w14:val="tx1"/>
            </w14:solidFill>
          </w14:textFill>
        </w:rPr>
        <w:t>附表</w:t>
      </w:r>
    </w:p>
    <w:p w14:paraId="53E77D03">
      <w:pPr>
        <w:adjustRightInd w:val="0"/>
        <w:snapToGrid w:val="0"/>
        <w:spacing w:before="0" w:beforeAutospacing="0" w:after="0" w:afterAutospacing="0" w:line="240" w:lineRule="auto"/>
        <w:jc w:val="center"/>
        <w:outlineLvl w:val="0"/>
        <w:rPr>
          <w:rFonts w:hint="eastAsia" w:ascii="Times New Roman" w:hAnsi="Times New Roman" w:eastAsia="方正小标宋_GBK"/>
          <w:snapToGrid w:val="0"/>
          <w:color w:val="000000" w:themeColor="text1"/>
          <w:sz w:val="38"/>
          <w:szCs w:val="38"/>
          <w14:textFill>
            <w14:solidFill>
              <w14:schemeClr w14:val="tx1"/>
            </w14:solidFill>
          </w14:textFill>
        </w:rPr>
      </w:pPr>
      <w:bookmarkStart w:id="33" w:name="_Toc22407"/>
      <w:bookmarkStart w:id="34" w:name="_Toc21197"/>
      <w:bookmarkStart w:id="35" w:name="_Toc4291"/>
      <w:bookmarkStart w:id="36" w:name="_Toc14224"/>
      <w:bookmarkStart w:id="37" w:name="_Toc473"/>
      <w:bookmarkStart w:id="38" w:name="_Toc4549"/>
      <w:bookmarkStart w:id="39" w:name="_Toc4361"/>
      <w:bookmarkStart w:id="40" w:name="_Toc22816"/>
      <w:bookmarkStart w:id="41" w:name="_Toc13642"/>
      <w:bookmarkStart w:id="42" w:name="_Toc2746"/>
      <w:bookmarkStart w:id="43" w:name="_Toc14375"/>
      <w:bookmarkStart w:id="44" w:name="_Toc30260"/>
      <w:bookmarkStart w:id="45" w:name="_Toc29742"/>
      <w:r>
        <w:rPr>
          <w:rFonts w:hint="eastAsia" w:ascii="Times New Roman" w:hAnsi="Times New Roman" w:eastAsia="方正小标宋_GBK"/>
          <w:snapToGrid w:val="0"/>
          <w:color w:val="000000" w:themeColor="text1"/>
          <w:sz w:val="38"/>
          <w:szCs w:val="38"/>
          <w14:textFill>
            <w14:solidFill>
              <w14:schemeClr w14:val="tx1"/>
            </w14:solidFill>
          </w14:textFill>
        </w:rPr>
        <w:t>建设项目污染物排放量汇总表</w:t>
      </w:r>
      <w:bookmarkEnd w:id="33"/>
      <w:bookmarkEnd w:id="34"/>
      <w:bookmarkEnd w:id="35"/>
      <w:bookmarkEnd w:id="36"/>
      <w:bookmarkEnd w:id="37"/>
      <w:bookmarkEnd w:id="38"/>
      <w:bookmarkEnd w:id="39"/>
      <w:bookmarkEnd w:id="40"/>
      <w:bookmarkEnd w:id="41"/>
      <w:bookmarkEnd w:id="42"/>
      <w:bookmarkEnd w:id="43"/>
      <w:bookmarkEnd w:id="44"/>
      <w:bookmarkEnd w:id="45"/>
    </w:p>
    <w:tbl>
      <w:tblPr>
        <w:tblStyle w:val="23"/>
        <w:tblW w:w="137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1743"/>
        <w:gridCol w:w="1619"/>
        <w:gridCol w:w="1276"/>
        <w:gridCol w:w="1701"/>
        <w:gridCol w:w="1559"/>
        <w:gridCol w:w="1761"/>
        <w:gridCol w:w="1494"/>
        <w:gridCol w:w="1291"/>
      </w:tblGrid>
      <w:tr w14:paraId="487714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344" w:type="dxa"/>
            <w:tcBorders>
              <w:tl2br w:val="single" w:color="auto" w:sz="4" w:space="0"/>
            </w:tcBorders>
            <w:noWrap w:val="0"/>
            <w:tcMar>
              <w:left w:w="28" w:type="dxa"/>
              <w:right w:w="28" w:type="dxa"/>
            </w:tcMar>
            <w:vAlign w:val="center"/>
          </w:tcPr>
          <w:p w14:paraId="2550ECA0">
            <w:pPr>
              <w:pStyle w:val="41"/>
              <w:keepNext w:val="0"/>
              <w:keepLines w:val="0"/>
              <w:pageBreakBefore w:val="0"/>
              <w:kinsoku/>
              <w:wordWrap/>
              <w:overflowPunct/>
              <w:topLinePunct w:val="0"/>
              <w:autoSpaceDE/>
              <w:autoSpaceDN/>
              <w:bidi w:val="0"/>
              <w:adjustRightInd w:val="0"/>
              <w:snapToGrid w:val="0"/>
              <w:spacing w:line="240" w:lineRule="auto"/>
              <w:jc w:val="right"/>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项目</w:t>
            </w:r>
          </w:p>
          <w:p w14:paraId="57FEA50C">
            <w:pPr>
              <w:pStyle w:val="41"/>
              <w:keepNext w:val="0"/>
              <w:keepLines w:val="0"/>
              <w:pageBreakBefore w:val="0"/>
              <w:kinsoku/>
              <w:wordWrap/>
              <w:overflowPunct/>
              <w:topLinePunct w:val="0"/>
              <w:autoSpaceDE/>
              <w:autoSpaceDN/>
              <w:bidi w:val="0"/>
              <w:adjustRightInd w:val="0"/>
              <w:snapToGrid w:val="0"/>
              <w:spacing w:line="240" w:lineRule="auto"/>
              <w:jc w:val="left"/>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分类</w:t>
            </w:r>
          </w:p>
        </w:tc>
        <w:tc>
          <w:tcPr>
            <w:tcW w:w="1743" w:type="dxa"/>
            <w:noWrap w:val="0"/>
            <w:tcMar>
              <w:left w:w="28" w:type="dxa"/>
              <w:right w:w="28" w:type="dxa"/>
            </w:tcMar>
            <w:vAlign w:val="center"/>
          </w:tcPr>
          <w:p w14:paraId="42FA9FCF">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污染物名称</w:t>
            </w:r>
          </w:p>
        </w:tc>
        <w:tc>
          <w:tcPr>
            <w:tcW w:w="1619" w:type="dxa"/>
            <w:noWrap w:val="0"/>
            <w:tcMar>
              <w:left w:w="28" w:type="dxa"/>
              <w:right w:w="28" w:type="dxa"/>
            </w:tcMar>
            <w:vAlign w:val="center"/>
          </w:tcPr>
          <w:p w14:paraId="1416E990">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现有工程</w:t>
            </w:r>
          </w:p>
          <w:p w14:paraId="35E4A34A">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排放量（固体废物产生量）</w:t>
            </w:r>
            <w:r>
              <w:rPr>
                <w:rFonts w:hint="default" w:ascii="Times New Roman" w:hAnsi="Times New Roman" w:eastAsia="黑体" w:cs="Times New Roman"/>
                <w:b w:val="0"/>
                <w:bCs/>
                <w:snapToGrid w:val="0"/>
                <w:color w:val="auto"/>
                <w:spacing w:val="-6"/>
                <w:kern w:val="21"/>
                <w:szCs w:val="21"/>
                <w:lang w:val="en-US" w:eastAsia="zh-CN"/>
              </w:rPr>
              <w:fldChar w:fldCharType="begin"/>
            </w:r>
            <w:r>
              <w:rPr>
                <w:rFonts w:hint="default" w:ascii="Times New Roman" w:hAnsi="Times New Roman" w:eastAsia="黑体" w:cs="Times New Roman"/>
                <w:b w:val="0"/>
                <w:bCs/>
                <w:snapToGrid w:val="0"/>
                <w:color w:val="auto"/>
                <w:spacing w:val="-6"/>
                <w:kern w:val="21"/>
                <w:szCs w:val="21"/>
                <w:lang w:val="en-US" w:eastAsia="zh-CN"/>
              </w:rPr>
              <w:instrText xml:space="preserve"> = 1 \* GB3 \* MERGEFORMAT </w:instrText>
            </w:r>
            <w:r>
              <w:rPr>
                <w:rFonts w:hint="default" w:ascii="Times New Roman" w:hAnsi="Times New Roman" w:eastAsia="黑体" w:cs="Times New Roman"/>
                <w:b w:val="0"/>
                <w:bCs/>
                <w:snapToGrid w:val="0"/>
                <w:color w:val="auto"/>
                <w:spacing w:val="-6"/>
                <w:kern w:val="21"/>
                <w:szCs w:val="21"/>
                <w:lang w:val="en-US" w:eastAsia="zh-CN"/>
              </w:rPr>
              <w:fldChar w:fldCharType="separate"/>
            </w:r>
            <w:r>
              <w:rPr>
                <w:rFonts w:hint="default" w:ascii="Times New Roman" w:hAnsi="Times New Roman" w:eastAsia="黑体" w:cs="Times New Roman"/>
                <w:b w:val="0"/>
                <w:bCs/>
                <w:color w:val="auto"/>
                <w:kern w:val="2"/>
                <w:szCs w:val="21"/>
                <w:lang w:val="en-US" w:eastAsia="zh-CN"/>
              </w:rPr>
              <w:t>①</w:t>
            </w:r>
            <w:r>
              <w:rPr>
                <w:rFonts w:hint="default" w:ascii="Times New Roman" w:hAnsi="Times New Roman" w:eastAsia="黑体" w:cs="Times New Roman"/>
                <w:b w:val="0"/>
                <w:bCs/>
                <w:snapToGrid w:val="0"/>
                <w:color w:val="auto"/>
                <w:spacing w:val="-6"/>
                <w:kern w:val="21"/>
                <w:szCs w:val="21"/>
                <w:lang w:val="en-US" w:eastAsia="zh-CN"/>
              </w:rPr>
              <w:fldChar w:fldCharType="end"/>
            </w:r>
          </w:p>
        </w:tc>
        <w:tc>
          <w:tcPr>
            <w:tcW w:w="1276" w:type="dxa"/>
            <w:noWrap w:val="0"/>
            <w:tcMar>
              <w:left w:w="28" w:type="dxa"/>
              <w:right w:w="28" w:type="dxa"/>
            </w:tcMar>
            <w:vAlign w:val="center"/>
          </w:tcPr>
          <w:p w14:paraId="411C31E1">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现有工程</w:t>
            </w:r>
          </w:p>
          <w:p w14:paraId="45E07387">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许可排放量</w:t>
            </w:r>
          </w:p>
          <w:p w14:paraId="72AAC817">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fldChar w:fldCharType="begin"/>
            </w:r>
            <w:r>
              <w:rPr>
                <w:rFonts w:hint="default" w:ascii="Times New Roman" w:hAnsi="Times New Roman" w:eastAsia="黑体" w:cs="Times New Roman"/>
                <w:b w:val="0"/>
                <w:bCs/>
                <w:snapToGrid w:val="0"/>
                <w:color w:val="auto"/>
                <w:spacing w:val="-6"/>
                <w:kern w:val="21"/>
                <w:szCs w:val="21"/>
                <w:lang w:val="en-US" w:eastAsia="zh-CN"/>
              </w:rPr>
              <w:instrText xml:space="preserve"> = 2 \* GB3 \* MERGEFORMAT </w:instrText>
            </w:r>
            <w:r>
              <w:rPr>
                <w:rFonts w:hint="default" w:ascii="Times New Roman" w:hAnsi="Times New Roman" w:eastAsia="黑体" w:cs="Times New Roman"/>
                <w:b w:val="0"/>
                <w:bCs/>
                <w:snapToGrid w:val="0"/>
                <w:color w:val="auto"/>
                <w:spacing w:val="-6"/>
                <w:kern w:val="21"/>
                <w:szCs w:val="21"/>
                <w:lang w:val="en-US" w:eastAsia="zh-CN"/>
              </w:rPr>
              <w:fldChar w:fldCharType="separate"/>
            </w:r>
            <w:r>
              <w:rPr>
                <w:rFonts w:hint="default" w:ascii="Times New Roman" w:hAnsi="Times New Roman" w:eastAsia="黑体" w:cs="Times New Roman"/>
                <w:b w:val="0"/>
                <w:bCs/>
                <w:snapToGrid w:val="0"/>
                <w:color w:val="auto"/>
                <w:spacing w:val="-6"/>
                <w:kern w:val="21"/>
                <w:szCs w:val="21"/>
                <w:lang w:val="en-US" w:eastAsia="zh-CN"/>
              </w:rPr>
              <w:t>②</w:t>
            </w:r>
            <w:r>
              <w:rPr>
                <w:rFonts w:hint="default" w:ascii="Times New Roman" w:hAnsi="Times New Roman" w:eastAsia="黑体" w:cs="Times New Roman"/>
                <w:b w:val="0"/>
                <w:bCs/>
                <w:snapToGrid w:val="0"/>
                <w:color w:val="auto"/>
                <w:spacing w:val="-6"/>
                <w:kern w:val="21"/>
                <w:szCs w:val="21"/>
                <w:lang w:val="en-US" w:eastAsia="zh-CN"/>
              </w:rPr>
              <w:fldChar w:fldCharType="end"/>
            </w:r>
          </w:p>
        </w:tc>
        <w:tc>
          <w:tcPr>
            <w:tcW w:w="1701" w:type="dxa"/>
            <w:noWrap w:val="0"/>
            <w:tcMar>
              <w:left w:w="28" w:type="dxa"/>
              <w:right w:w="28" w:type="dxa"/>
            </w:tcMar>
            <w:vAlign w:val="center"/>
          </w:tcPr>
          <w:p w14:paraId="28C69AD9">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在建工程</w:t>
            </w:r>
          </w:p>
          <w:p w14:paraId="7BA920C3">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排放量（固体废物产生量）</w:t>
            </w:r>
            <w:r>
              <w:rPr>
                <w:rFonts w:hint="default" w:ascii="Times New Roman" w:hAnsi="Times New Roman" w:eastAsia="黑体" w:cs="Times New Roman"/>
                <w:b w:val="0"/>
                <w:bCs/>
                <w:snapToGrid w:val="0"/>
                <w:color w:val="auto"/>
                <w:spacing w:val="-6"/>
                <w:kern w:val="21"/>
                <w:szCs w:val="21"/>
                <w:lang w:val="en-US" w:eastAsia="zh-CN"/>
              </w:rPr>
              <w:fldChar w:fldCharType="begin"/>
            </w:r>
            <w:r>
              <w:rPr>
                <w:rFonts w:hint="default" w:ascii="Times New Roman" w:hAnsi="Times New Roman" w:eastAsia="黑体" w:cs="Times New Roman"/>
                <w:b w:val="0"/>
                <w:bCs/>
                <w:snapToGrid w:val="0"/>
                <w:color w:val="auto"/>
                <w:spacing w:val="-6"/>
                <w:kern w:val="21"/>
                <w:szCs w:val="21"/>
                <w:lang w:val="en-US" w:eastAsia="zh-CN"/>
              </w:rPr>
              <w:instrText xml:space="preserve"> = 3 \* GB3 \* MERGEFORMAT </w:instrText>
            </w:r>
            <w:r>
              <w:rPr>
                <w:rFonts w:hint="default" w:ascii="Times New Roman" w:hAnsi="Times New Roman" w:eastAsia="黑体" w:cs="Times New Roman"/>
                <w:b w:val="0"/>
                <w:bCs/>
                <w:snapToGrid w:val="0"/>
                <w:color w:val="auto"/>
                <w:spacing w:val="-6"/>
                <w:kern w:val="21"/>
                <w:szCs w:val="21"/>
                <w:lang w:val="en-US" w:eastAsia="zh-CN"/>
              </w:rPr>
              <w:fldChar w:fldCharType="separate"/>
            </w:r>
            <w:r>
              <w:rPr>
                <w:rFonts w:hint="default" w:ascii="Times New Roman" w:hAnsi="Times New Roman" w:eastAsia="黑体" w:cs="Times New Roman"/>
                <w:b w:val="0"/>
                <w:bCs/>
                <w:color w:val="auto"/>
                <w:kern w:val="2"/>
                <w:szCs w:val="21"/>
                <w:lang w:val="en-US" w:eastAsia="zh-CN"/>
              </w:rPr>
              <w:t>③</w:t>
            </w:r>
            <w:r>
              <w:rPr>
                <w:rFonts w:hint="default" w:ascii="Times New Roman" w:hAnsi="Times New Roman" w:eastAsia="黑体" w:cs="Times New Roman"/>
                <w:b w:val="0"/>
                <w:bCs/>
                <w:snapToGrid w:val="0"/>
                <w:color w:val="auto"/>
                <w:spacing w:val="-6"/>
                <w:kern w:val="21"/>
                <w:szCs w:val="21"/>
                <w:lang w:val="en-US" w:eastAsia="zh-CN"/>
              </w:rPr>
              <w:fldChar w:fldCharType="end"/>
            </w:r>
          </w:p>
        </w:tc>
        <w:tc>
          <w:tcPr>
            <w:tcW w:w="1559" w:type="dxa"/>
            <w:noWrap w:val="0"/>
            <w:tcMar>
              <w:left w:w="28" w:type="dxa"/>
              <w:right w:w="28" w:type="dxa"/>
            </w:tcMar>
            <w:vAlign w:val="center"/>
          </w:tcPr>
          <w:p w14:paraId="145D9C0C">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本项目</w:t>
            </w:r>
          </w:p>
          <w:p w14:paraId="5E3D8F9F">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排放量（固体废物产生量）</w:t>
            </w:r>
            <w:r>
              <w:rPr>
                <w:rFonts w:hint="default" w:ascii="Times New Roman" w:hAnsi="Times New Roman" w:eastAsia="黑体" w:cs="Times New Roman"/>
                <w:b w:val="0"/>
                <w:bCs/>
                <w:snapToGrid w:val="0"/>
                <w:color w:val="auto"/>
                <w:spacing w:val="-6"/>
                <w:kern w:val="21"/>
                <w:szCs w:val="21"/>
                <w:lang w:val="en-US" w:eastAsia="zh-CN"/>
              </w:rPr>
              <w:fldChar w:fldCharType="begin"/>
            </w:r>
            <w:r>
              <w:rPr>
                <w:rFonts w:hint="default" w:ascii="Times New Roman" w:hAnsi="Times New Roman" w:eastAsia="黑体" w:cs="Times New Roman"/>
                <w:b w:val="0"/>
                <w:bCs/>
                <w:snapToGrid w:val="0"/>
                <w:color w:val="auto"/>
                <w:spacing w:val="-6"/>
                <w:kern w:val="21"/>
                <w:szCs w:val="21"/>
                <w:lang w:val="en-US" w:eastAsia="zh-CN"/>
              </w:rPr>
              <w:instrText xml:space="preserve"> = 4 \* GB3 \* MERGEFORMAT </w:instrText>
            </w:r>
            <w:r>
              <w:rPr>
                <w:rFonts w:hint="default" w:ascii="Times New Roman" w:hAnsi="Times New Roman" w:eastAsia="黑体" w:cs="Times New Roman"/>
                <w:b w:val="0"/>
                <w:bCs/>
                <w:snapToGrid w:val="0"/>
                <w:color w:val="auto"/>
                <w:spacing w:val="-6"/>
                <w:kern w:val="21"/>
                <w:szCs w:val="21"/>
                <w:lang w:val="en-US" w:eastAsia="zh-CN"/>
              </w:rPr>
              <w:fldChar w:fldCharType="separate"/>
            </w:r>
            <w:r>
              <w:rPr>
                <w:rFonts w:hint="default" w:ascii="Times New Roman" w:hAnsi="Times New Roman" w:eastAsia="黑体" w:cs="Times New Roman"/>
                <w:b w:val="0"/>
                <w:bCs/>
                <w:color w:val="auto"/>
                <w:kern w:val="2"/>
                <w:szCs w:val="21"/>
                <w:lang w:val="en-US" w:eastAsia="zh-CN"/>
              </w:rPr>
              <w:t>④</w:t>
            </w:r>
            <w:r>
              <w:rPr>
                <w:rFonts w:hint="default" w:ascii="Times New Roman" w:hAnsi="Times New Roman" w:eastAsia="黑体" w:cs="Times New Roman"/>
                <w:b w:val="0"/>
                <w:bCs/>
                <w:snapToGrid w:val="0"/>
                <w:color w:val="auto"/>
                <w:spacing w:val="-6"/>
                <w:kern w:val="21"/>
                <w:szCs w:val="21"/>
                <w:lang w:val="en-US" w:eastAsia="zh-CN"/>
              </w:rPr>
              <w:fldChar w:fldCharType="end"/>
            </w:r>
          </w:p>
        </w:tc>
        <w:tc>
          <w:tcPr>
            <w:tcW w:w="1761" w:type="dxa"/>
            <w:noWrap w:val="0"/>
            <w:tcMar>
              <w:left w:w="28" w:type="dxa"/>
              <w:right w:w="28" w:type="dxa"/>
            </w:tcMar>
            <w:vAlign w:val="center"/>
          </w:tcPr>
          <w:p w14:paraId="1AB0C0B4">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16"/>
                <w:kern w:val="21"/>
                <w:szCs w:val="21"/>
                <w:lang w:val="en-US" w:eastAsia="zh-CN"/>
              </w:rPr>
            </w:pPr>
            <w:r>
              <w:rPr>
                <w:rFonts w:hint="default" w:ascii="Times New Roman" w:hAnsi="Times New Roman" w:eastAsia="黑体" w:cs="Times New Roman"/>
                <w:b w:val="0"/>
                <w:bCs/>
                <w:snapToGrid w:val="0"/>
                <w:color w:val="auto"/>
                <w:spacing w:val="-16"/>
                <w:kern w:val="21"/>
                <w:szCs w:val="21"/>
                <w:lang w:val="en-US" w:eastAsia="zh-CN"/>
              </w:rPr>
              <w:t>以新带老削减量</w:t>
            </w:r>
          </w:p>
          <w:p w14:paraId="024BBA79">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16"/>
                <w:kern w:val="21"/>
                <w:szCs w:val="21"/>
                <w:lang w:val="en-US" w:eastAsia="zh-CN"/>
              </w:rPr>
            </w:pPr>
            <w:r>
              <w:rPr>
                <w:rFonts w:hint="default" w:ascii="Times New Roman" w:hAnsi="Times New Roman" w:eastAsia="黑体" w:cs="Times New Roman"/>
                <w:b w:val="0"/>
                <w:bCs/>
                <w:snapToGrid w:val="0"/>
                <w:color w:val="auto"/>
                <w:spacing w:val="-16"/>
                <w:kern w:val="21"/>
                <w:szCs w:val="21"/>
                <w:lang w:val="en-US" w:eastAsia="zh-CN"/>
              </w:rPr>
              <w:t>（新建项目不填）</w:t>
            </w:r>
            <w:r>
              <w:rPr>
                <w:rFonts w:hint="default" w:ascii="Times New Roman" w:hAnsi="Times New Roman" w:eastAsia="黑体" w:cs="Times New Roman"/>
                <w:b w:val="0"/>
                <w:bCs/>
                <w:snapToGrid w:val="0"/>
                <w:color w:val="auto"/>
                <w:spacing w:val="-16"/>
                <w:kern w:val="21"/>
                <w:szCs w:val="21"/>
                <w:lang w:val="en-US" w:eastAsia="zh-CN"/>
              </w:rPr>
              <w:fldChar w:fldCharType="begin"/>
            </w:r>
            <w:r>
              <w:rPr>
                <w:rFonts w:hint="default" w:ascii="Times New Roman" w:hAnsi="Times New Roman" w:eastAsia="黑体" w:cs="Times New Roman"/>
                <w:b w:val="0"/>
                <w:bCs/>
                <w:snapToGrid w:val="0"/>
                <w:color w:val="auto"/>
                <w:spacing w:val="-16"/>
                <w:kern w:val="21"/>
                <w:szCs w:val="21"/>
                <w:lang w:val="en-US" w:eastAsia="zh-CN"/>
              </w:rPr>
              <w:instrText xml:space="preserve"> = 5 \* GB3 \* MERGEFORMAT </w:instrText>
            </w:r>
            <w:r>
              <w:rPr>
                <w:rFonts w:hint="default" w:ascii="Times New Roman" w:hAnsi="Times New Roman" w:eastAsia="黑体" w:cs="Times New Roman"/>
                <w:b w:val="0"/>
                <w:bCs/>
                <w:snapToGrid w:val="0"/>
                <w:color w:val="auto"/>
                <w:spacing w:val="-16"/>
                <w:kern w:val="21"/>
                <w:szCs w:val="21"/>
                <w:lang w:val="en-US" w:eastAsia="zh-CN"/>
              </w:rPr>
              <w:fldChar w:fldCharType="separate"/>
            </w:r>
            <w:r>
              <w:rPr>
                <w:rFonts w:hint="default" w:ascii="Times New Roman" w:hAnsi="Times New Roman" w:eastAsia="黑体" w:cs="Times New Roman"/>
                <w:b w:val="0"/>
                <w:bCs/>
                <w:color w:val="auto"/>
                <w:kern w:val="2"/>
                <w:szCs w:val="21"/>
                <w:lang w:val="en-US" w:eastAsia="zh-CN"/>
              </w:rPr>
              <w:t>⑤</w:t>
            </w:r>
            <w:r>
              <w:rPr>
                <w:rFonts w:hint="default" w:ascii="Times New Roman" w:hAnsi="Times New Roman" w:eastAsia="黑体" w:cs="Times New Roman"/>
                <w:b w:val="0"/>
                <w:bCs/>
                <w:snapToGrid w:val="0"/>
                <w:color w:val="auto"/>
                <w:spacing w:val="-16"/>
                <w:kern w:val="21"/>
                <w:szCs w:val="21"/>
                <w:lang w:val="en-US" w:eastAsia="zh-CN"/>
              </w:rPr>
              <w:fldChar w:fldCharType="end"/>
            </w:r>
          </w:p>
        </w:tc>
        <w:tc>
          <w:tcPr>
            <w:tcW w:w="1494" w:type="dxa"/>
            <w:noWrap w:val="0"/>
            <w:tcMar>
              <w:left w:w="28" w:type="dxa"/>
              <w:right w:w="28" w:type="dxa"/>
            </w:tcMar>
            <w:vAlign w:val="center"/>
          </w:tcPr>
          <w:p w14:paraId="4BD3DD72">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16"/>
                <w:kern w:val="21"/>
                <w:szCs w:val="21"/>
                <w:lang w:val="en-US" w:eastAsia="zh-CN"/>
              </w:rPr>
            </w:pPr>
            <w:r>
              <w:rPr>
                <w:rFonts w:hint="default" w:ascii="Times New Roman" w:hAnsi="Times New Roman" w:eastAsia="黑体" w:cs="Times New Roman"/>
                <w:b w:val="0"/>
                <w:bCs/>
                <w:snapToGrid w:val="0"/>
                <w:color w:val="auto"/>
                <w:spacing w:val="-16"/>
                <w:kern w:val="21"/>
                <w:szCs w:val="21"/>
                <w:lang w:val="en-US" w:eastAsia="zh-CN"/>
              </w:rPr>
              <w:t>本项目建成后</w:t>
            </w:r>
          </w:p>
          <w:p w14:paraId="4A0E09D7">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16"/>
                <w:kern w:val="21"/>
                <w:szCs w:val="21"/>
                <w:lang w:val="en-US" w:eastAsia="zh-CN"/>
              </w:rPr>
            </w:pPr>
            <w:r>
              <w:rPr>
                <w:rFonts w:hint="default" w:ascii="Times New Roman" w:hAnsi="Times New Roman" w:eastAsia="黑体" w:cs="Times New Roman"/>
                <w:b w:val="0"/>
                <w:bCs/>
                <w:snapToGrid w:val="0"/>
                <w:color w:val="auto"/>
                <w:spacing w:val="-16"/>
                <w:kern w:val="21"/>
                <w:szCs w:val="21"/>
                <w:lang w:val="en-US" w:eastAsia="zh-CN"/>
              </w:rPr>
              <w:t>全厂排放量（固体废物产生量）</w:t>
            </w:r>
            <w:r>
              <w:rPr>
                <w:rFonts w:hint="default" w:ascii="Times New Roman" w:hAnsi="Times New Roman" w:eastAsia="黑体" w:cs="Times New Roman"/>
                <w:b w:val="0"/>
                <w:bCs/>
                <w:snapToGrid w:val="0"/>
                <w:color w:val="auto"/>
                <w:spacing w:val="-16"/>
                <w:kern w:val="21"/>
                <w:szCs w:val="21"/>
                <w:lang w:val="en-US" w:eastAsia="zh-CN"/>
              </w:rPr>
              <w:fldChar w:fldCharType="begin"/>
            </w:r>
            <w:r>
              <w:rPr>
                <w:rFonts w:hint="default" w:ascii="Times New Roman" w:hAnsi="Times New Roman" w:eastAsia="黑体" w:cs="Times New Roman"/>
                <w:b w:val="0"/>
                <w:bCs/>
                <w:snapToGrid w:val="0"/>
                <w:color w:val="auto"/>
                <w:spacing w:val="-16"/>
                <w:kern w:val="21"/>
                <w:szCs w:val="21"/>
                <w:lang w:val="en-US" w:eastAsia="zh-CN"/>
              </w:rPr>
              <w:instrText xml:space="preserve"> = 6 \* GB3 \* MERGEFORMAT </w:instrText>
            </w:r>
            <w:r>
              <w:rPr>
                <w:rFonts w:hint="default" w:ascii="Times New Roman" w:hAnsi="Times New Roman" w:eastAsia="黑体" w:cs="Times New Roman"/>
                <w:b w:val="0"/>
                <w:bCs/>
                <w:snapToGrid w:val="0"/>
                <w:color w:val="auto"/>
                <w:spacing w:val="-16"/>
                <w:kern w:val="21"/>
                <w:szCs w:val="21"/>
                <w:lang w:val="en-US" w:eastAsia="zh-CN"/>
              </w:rPr>
              <w:fldChar w:fldCharType="separate"/>
            </w:r>
            <w:r>
              <w:rPr>
                <w:rFonts w:hint="default" w:ascii="Times New Roman" w:hAnsi="Times New Roman" w:eastAsia="黑体" w:cs="Times New Roman"/>
                <w:b w:val="0"/>
                <w:bCs/>
                <w:color w:val="auto"/>
                <w:kern w:val="2"/>
                <w:szCs w:val="21"/>
                <w:lang w:val="en-US" w:eastAsia="zh-CN"/>
              </w:rPr>
              <w:t>⑥</w:t>
            </w:r>
            <w:r>
              <w:rPr>
                <w:rFonts w:hint="default" w:ascii="Times New Roman" w:hAnsi="Times New Roman" w:eastAsia="黑体" w:cs="Times New Roman"/>
                <w:b w:val="0"/>
                <w:bCs/>
                <w:snapToGrid w:val="0"/>
                <w:color w:val="auto"/>
                <w:spacing w:val="-16"/>
                <w:kern w:val="21"/>
                <w:szCs w:val="21"/>
                <w:lang w:val="en-US" w:eastAsia="zh-CN"/>
              </w:rPr>
              <w:fldChar w:fldCharType="end"/>
            </w:r>
          </w:p>
        </w:tc>
        <w:tc>
          <w:tcPr>
            <w:tcW w:w="1291" w:type="dxa"/>
            <w:noWrap w:val="0"/>
            <w:tcMar>
              <w:left w:w="28" w:type="dxa"/>
              <w:right w:w="28" w:type="dxa"/>
            </w:tcMar>
            <w:vAlign w:val="center"/>
          </w:tcPr>
          <w:p w14:paraId="3A602A01">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t>变化量</w:t>
            </w:r>
          </w:p>
          <w:p w14:paraId="0011A08C">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黑体" w:cs="Times New Roman"/>
                <w:b w:val="0"/>
                <w:bCs/>
                <w:snapToGrid w:val="0"/>
                <w:color w:val="auto"/>
                <w:spacing w:val="-6"/>
                <w:kern w:val="21"/>
                <w:szCs w:val="21"/>
                <w:lang w:val="en-US" w:eastAsia="zh-CN"/>
              </w:rPr>
            </w:pPr>
            <w:r>
              <w:rPr>
                <w:rFonts w:hint="default" w:ascii="Times New Roman" w:hAnsi="Times New Roman" w:eastAsia="黑体" w:cs="Times New Roman"/>
                <w:b w:val="0"/>
                <w:bCs/>
                <w:snapToGrid w:val="0"/>
                <w:color w:val="auto"/>
                <w:spacing w:val="-6"/>
                <w:kern w:val="21"/>
                <w:szCs w:val="21"/>
                <w:lang w:val="en-US" w:eastAsia="zh-CN"/>
              </w:rPr>
              <w:fldChar w:fldCharType="begin"/>
            </w:r>
            <w:r>
              <w:rPr>
                <w:rFonts w:hint="default" w:ascii="Times New Roman" w:hAnsi="Times New Roman" w:eastAsia="黑体" w:cs="Times New Roman"/>
                <w:b w:val="0"/>
                <w:bCs/>
                <w:snapToGrid w:val="0"/>
                <w:color w:val="auto"/>
                <w:spacing w:val="-6"/>
                <w:kern w:val="21"/>
                <w:szCs w:val="21"/>
                <w:lang w:val="en-US" w:eastAsia="zh-CN"/>
              </w:rPr>
              <w:instrText xml:space="preserve"> = 7 \* GB3 \* MERGEFORMAT </w:instrText>
            </w:r>
            <w:r>
              <w:rPr>
                <w:rFonts w:hint="default" w:ascii="Times New Roman" w:hAnsi="Times New Roman" w:eastAsia="黑体" w:cs="Times New Roman"/>
                <w:b w:val="0"/>
                <w:bCs/>
                <w:snapToGrid w:val="0"/>
                <w:color w:val="auto"/>
                <w:spacing w:val="-6"/>
                <w:kern w:val="21"/>
                <w:szCs w:val="21"/>
                <w:lang w:val="en-US" w:eastAsia="zh-CN"/>
              </w:rPr>
              <w:fldChar w:fldCharType="separate"/>
            </w:r>
            <w:r>
              <w:rPr>
                <w:rFonts w:hint="default" w:ascii="Times New Roman" w:hAnsi="Times New Roman" w:eastAsia="黑体" w:cs="Times New Roman"/>
                <w:b w:val="0"/>
                <w:bCs/>
                <w:color w:val="auto"/>
                <w:kern w:val="2"/>
                <w:szCs w:val="21"/>
                <w:lang w:val="en-US" w:eastAsia="zh-CN"/>
              </w:rPr>
              <w:t>⑦</w:t>
            </w:r>
            <w:r>
              <w:rPr>
                <w:rFonts w:hint="default" w:ascii="Times New Roman" w:hAnsi="Times New Roman" w:eastAsia="黑体" w:cs="Times New Roman"/>
                <w:b w:val="0"/>
                <w:bCs/>
                <w:snapToGrid w:val="0"/>
                <w:color w:val="auto"/>
                <w:spacing w:val="-6"/>
                <w:kern w:val="21"/>
                <w:szCs w:val="21"/>
                <w:lang w:val="en-US" w:eastAsia="zh-CN"/>
              </w:rPr>
              <w:fldChar w:fldCharType="end"/>
            </w:r>
          </w:p>
        </w:tc>
      </w:tr>
      <w:tr w14:paraId="1F5310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restart"/>
            <w:noWrap w:val="0"/>
            <w:vAlign w:val="center"/>
          </w:tcPr>
          <w:p w14:paraId="3DA176C4">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r>
              <w:rPr>
                <w:rFonts w:hint="default" w:ascii="Times New Roman" w:hAnsi="Times New Roman" w:eastAsia="宋体" w:cs="Times New Roman"/>
                <w:b w:val="0"/>
                <w:bCs/>
                <w:snapToGrid w:val="0"/>
                <w:color w:val="auto"/>
                <w:kern w:val="21"/>
                <w:szCs w:val="21"/>
                <w:lang w:val="en-US" w:eastAsia="zh-CN"/>
              </w:rPr>
              <w:t>废气</w:t>
            </w:r>
          </w:p>
        </w:tc>
        <w:tc>
          <w:tcPr>
            <w:tcW w:w="1743" w:type="dxa"/>
            <w:noWrap w:val="0"/>
            <w:vAlign w:val="center"/>
          </w:tcPr>
          <w:p w14:paraId="43A9D3A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r>
              <w:rPr>
                <w:rFonts w:hint="eastAsia" w:ascii="Times New Roman" w:hAnsi="Times New Roman" w:eastAsia="宋体" w:cs="Times New Roman"/>
                <w:b w:val="0"/>
                <w:bCs/>
                <w:i w:val="0"/>
                <w:iCs w:val="0"/>
                <w:color w:val="000000"/>
                <w:kern w:val="0"/>
                <w:sz w:val="21"/>
                <w:szCs w:val="21"/>
                <w:u w:val="none"/>
                <w:lang w:val="en-US" w:eastAsia="zh-CN" w:bidi="ar"/>
              </w:rPr>
              <w:t>颗粒物</w:t>
            </w:r>
          </w:p>
        </w:tc>
        <w:tc>
          <w:tcPr>
            <w:tcW w:w="1619" w:type="dxa"/>
            <w:noWrap w:val="0"/>
            <w:vAlign w:val="center"/>
          </w:tcPr>
          <w:p w14:paraId="324E1B0A">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276" w:type="dxa"/>
            <w:noWrap w:val="0"/>
            <w:vAlign w:val="center"/>
          </w:tcPr>
          <w:p w14:paraId="7C6114A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701" w:type="dxa"/>
            <w:noWrap w:val="0"/>
            <w:vAlign w:val="center"/>
          </w:tcPr>
          <w:p w14:paraId="28740A13">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559" w:type="dxa"/>
            <w:noWrap w:val="0"/>
            <w:vAlign w:val="center"/>
          </w:tcPr>
          <w:p w14:paraId="5B8551FE">
            <w:pPr>
              <w:keepNext w:val="0"/>
              <w:keepLines w:val="0"/>
              <w:widowControl/>
              <w:suppressLineNumbers w:val="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cs="Times New Roman"/>
                <w:i w:val="0"/>
                <w:iCs w:val="0"/>
                <w:color w:val="000000"/>
                <w:kern w:val="0"/>
                <w:sz w:val="21"/>
                <w:szCs w:val="21"/>
                <w:u w:val="none"/>
                <w:lang w:val="en-US" w:eastAsia="zh-CN" w:bidi="ar"/>
              </w:rPr>
              <w:t>891</w:t>
            </w:r>
          </w:p>
        </w:tc>
        <w:tc>
          <w:tcPr>
            <w:tcW w:w="1761" w:type="dxa"/>
            <w:noWrap w:val="0"/>
            <w:vAlign w:val="center"/>
          </w:tcPr>
          <w:p w14:paraId="3257C9A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678042A2">
            <w:pPr>
              <w:keepNext w:val="0"/>
              <w:keepLines w:val="0"/>
              <w:widowControl/>
              <w:suppressLineNumbers w:val="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cs="Times New Roman"/>
                <w:i w:val="0"/>
                <w:iCs w:val="0"/>
                <w:color w:val="000000"/>
                <w:kern w:val="0"/>
                <w:sz w:val="21"/>
                <w:szCs w:val="21"/>
                <w:u w:val="none"/>
                <w:lang w:val="en-US" w:eastAsia="zh-CN" w:bidi="ar"/>
              </w:rPr>
              <w:t>891</w:t>
            </w:r>
          </w:p>
        </w:tc>
        <w:tc>
          <w:tcPr>
            <w:tcW w:w="1291" w:type="dxa"/>
            <w:noWrap w:val="0"/>
            <w:vAlign w:val="center"/>
          </w:tcPr>
          <w:p w14:paraId="0B8BE9E3">
            <w:pPr>
              <w:keepNext w:val="0"/>
              <w:keepLines w:val="0"/>
              <w:widowControl/>
              <w:suppressLineNumbers w:val="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eastAsia"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w:t>
            </w:r>
            <w:r>
              <w:rPr>
                <w:rFonts w:hint="eastAsia" w:cs="Times New Roman"/>
                <w:i w:val="0"/>
                <w:iCs w:val="0"/>
                <w:color w:val="000000"/>
                <w:kern w:val="0"/>
                <w:sz w:val="21"/>
                <w:szCs w:val="21"/>
                <w:u w:val="none"/>
                <w:lang w:val="en-US" w:eastAsia="zh-CN" w:bidi="ar"/>
              </w:rPr>
              <w:t>891</w:t>
            </w:r>
          </w:p>
        </w:tc>
      </w:tr>
      <w:tr w14:paraId="236005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100A69A4">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3A98073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r>
              <w:rPr>
                <w:rFonts w:hint="eastAsia" w:ascii="Times New Roman" w:hAnsi="Times New Roman" w:eastAsia="宋体" w:cs="Times New Roman"/>
                <w:b w:val="0"/>
                <w:bCs/>
                <w:snapToGrid w:val="0"/>
                <w:color w:val="auto"/>
                <w:kern w:val="21"/>
                <w:sz w:val="21"/>
                <w:szCs w:val="21"/>
                <w:lang w:val="en-US" w:eastAsia="zh-CN"/>
              </w:rPr>
              <w:t>SO</w:t>
            </w:r>
            <w:r>
              <w:rPr>
                <w:rFonts w:hint="eastAsia" w:ascii="Times New Roman" w:hAnsi="Times New Roman" w:eastAsia="宋体" w:cs="Times New Roman"/>
                <w:b w:val="0"/>
                <w:bCs/>
                <w:snapToGrid w:val="0"/>
                <w:color w:val="auto"/>
                <w:kern w:val="21"/>
                <w:sz w:val="21"/>
                <w:szCs w:val="21"/>
                <w:vertAlign w:val="subscript"/>
                <w:lang w:val="en-US" w:eastAsia="zh-CN"/>
              </w:rPr>
              <w:t>2</w:t>
            </w:r>
          </w:p>
        </w:tc>
        <w:tc>
          <w:tcPr>
            <w:tcW w:w="1619" w:type="dxa"/>
            <w:noWrap w:val="0"/>
            <w:vAlign w:val="center"/>
          </w:tcPr>
          <w:p w14:paraId="1FD35481">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276" w:type="dxa"/>
            <w:noWrap w:val="0"/>
            <w:vAlign w:val="center"/>
          </w:tcPr>
          <w:p w14:paraId="2C91246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701" w:type="dxa"/>
            <w:noWrap w:val="0"/>
            <w:vAlign w:val="center"/>
          </w:tcPr>
          <w:p w14:paraId="4F014C7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559" w:type="dxa"/>
            <w:noWrap w:val="0"/>
            <w:vAlign w:val="center"/>
          </w:tcPr>
          <w:p w14:paraId="6662DDC0">
            <w:pPr>
              <w:keepNext w:val="0"/>
              <w:keepLines w:val="0"/>
              <w:widowControl/>
              <w:suppressLineNumbers w:val="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1761" w:type="dxa"/>
            <w:noWrap w:val="0"/>
            <w:vAlign w:val="center"/>
          </w:tcPr>
          <w:p w14:paraId="16A7E7F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2F4198AB">
            <w:pPr>
              <w:keepNext w:val="0"/>
              <w:keepLines w:val="0"/>
              <w:widowControl/>
              <w:suppressLineNumbers w:val="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0.036</w:t>
            </w:r>
          </w:p>
        </w:tc>
        <w:tc>
          <w:tcPr>
            <w:tcW w:w="1291" w:type="dxa"/>
            <w:noWrap w:val="0"/>
            <w:vAlign w:val="center"/>
          </w:tcPr>
          <w:p w14:paraId="2C518457">
            <w:pPr>
              <w:keepNext w:val="0"/>
              <w:keepLines w:val="0"/>
              <w:widowControl/>
              <w:suppressLineNumbers w:val="0"/>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eastAsia"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0.036</w:t>
            </w:r>
          </w:p>
        </w:tc>
      </w:tr>
      <w:tr w14:paraId="4DF971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577017D8">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750CF01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氮氧化物</w:t>
            </w:r>
          </w:p>
        </w:tc>
        <w:tc>
          <w:tcPr>
            <w:tcW w:w="1619" w:type="dxa"/>
            <w:noWrap w:val="0"/>
            <w:vAlign w:val="center"/>
          </w:tcPr>
          <w:p w14:paraId="0FF6EE34">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276" w:type="dxa"/>
            <w:noWrap w:val="0"/>
            <w:vAlign w:val="center"/>
          </w:tcPr>
          <w:p w14:paraId="2590F85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p>
        </w:tc>
        <w:tc>
          <w:tcPr>
            <w:tcW w:w="1701" w:type="dxa"/>
            <w:noWrap w:val="0"/>
            <w:vAlign w:val="center"/>
          </w:tcPr>
          <w:p w14:paraId="2350A888">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559" w:type="dxa"/>
            <w:noWrap w:val="0"/>
            <w:vAlign w:val="center"/>
          </w:tcPr>
          <w:p w14:paraId="27807E39">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1761" w:type="dxa"/>
            <w:noWrap w:val="0"/>
            <w:vAlign w:val="center"/>
          </w:tcPr>
          <w:p w14:paraId="06E4503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p>
        </w:tc>
        <w:tc>
          <w:tcPr>
            <w:tcW w:w="1494" w:type="dxa"/>
            <w:noWrap w:val="0"/>
            <w:vAlign w:val="center"/>
          </w:tcPr>
          <w:p w14:paraId="3518A945">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1291" w:type="dxa"/>
            <w:noWrap w:val="0"/>
            <w:vAlign w:val="center"/>
          </w:tcPr>
          <w:p w14:paraId="13A7C13D">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0.168</w:t>
            </w:r>
          </w:p>
        </w:tc>
      </w:tr>
      <w:tr w14:paraId="2534F9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restart"/>
            <w:noWrap w:val="0"/>
            <w:vAlign w:val="center"/>
          </w:tcPr>
          <w:p w14:paraId="5F96F61C">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r>
              <w:rPr>
                <w:rFonts w:hint="default" w:ascii="Times New Roman" w:hAnsi="Times New Roman" w:eastAsia="宋体" w:cs="Times New Roman"/>
                <w:b w:val="0"/>
                <w:bCs/>
                <w:snapToGrid w:val="0"/>
                <w:color w:val="auto"/>
                <w:kern w:val="21"/>
                <w:szCs w:val="21"/>
                <w:lang w:val="en-US" w:eastAsia="zh-CN"/>
              </w:rPr>
              <w:t>废水</w:t>
            </w:r>
          </w:p>
        </w:tc>
        <w:tc>
          <w:tcPr>
            <w:tcW w:w="1743" w:type="dxa"/>
            <w:noWrap w:val="0"/>
            <w:vAlign w:val="center"/>
          </w:tcPr>
          <w:p w14:paraId="3942A96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b w:val="0"/>
                <w:bCs/>
                <w:snapToGrid w:val="0"/>
                <w:color w:val="auto"/>
                <w:kern w:val="21"/>
                <w:sz w:val="21"/>
                <w:szCs w:val="21"/>
                <w:lang w:val="en-US" w:eastAsia="zh-CN"/>
              </w:rPr>
              <w:t>废水量</w:t>
            </w:r>
          </w:p>
        </w:tc>
        <w:tc>
          <w:tcPr>
            <w:tcW w:w="1619" w:type="dxa"/>
            <w:noWrap w:val="0"/>
            <w:vAlign w:val="center"/>
          </w:tcPr>
          <w:p w14:paraId="754FA8B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rPr>
            </w:pPr>
          </w:p>
        </w:tc>
        <w:tc>
          <w:tcPr>
            <w:tcW w:w="1276" w:type="dxa"/>
            <w:noWrap w:val="0"/>
            <w:vAlign w:val="center"/>
          </w:tcPr>
          <w:p w14:paraId="5403ECB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701" w:type="dxa"/>
            <w:noWrap w:val="0"/>
            <w:vAlign w:val="center"/>
          </w:tcPr>
          <w:p w14:paraId="2A8908E7">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rPr>
            </w:pPr>
          </w:p>
        </w:tc>
        <w:tc>
          <w:tcPr>
            <w:tcW w:w="1559" w:type="dxa"/>
            <w:noWrap w:val="0"/>
            <w:vAlign w:val="center"/>
          </w:tcPr>
          <w:p w14:paraId="2F1832A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2"/>
                <w:sz w:val="21"/>
                <w:szCs w:val="21"/>
                <w:u w:val="none"/>
                <w:lang w:val="en-US" w:eastAsia="zh-CN" w:bidi="ar-SA"/>
              </w:rPr>
            </w:pPr>
            <w:r>
              <w:rPr>
                <w:rFonts w:hint="eastAsia" w:cs="Times New Roman"/>
                <w:b w:val="0"/>
                <w:bCs/>
                <w:i w:val="0"/>
                <w:iCs w:val="0"/>
                <w:color w:val="000000"/>
                <w:kern w:val="0"/>
                <w:sz w:val="21"/>
                <w:szCs w:val="21"/>
                <w:u w:val="none"/>
                <w:lang w:val="en-US" w:eastAsia="zh-CN" w:bidi="ar"/>
              </w:rPr>
              <w:t>480</w:t>
            </w:r>
          </w:p>
        </w:tc>
        <w:tc>
          <w:tcPr>
            <w:tcW w:w="1761" w:type="dxa"/>
            <w:noWrap w:val="0"/>
            <w:vAlign w:val="center"/>
          </w:tcPr>
          <w:p w14:paraId="7D3001B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7FAEC31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bidi="ar-SA"/>
              </w:rPr>
            </w:pPr>
            <w:r>
              <w:rPr>
                <w:rFonts w:hint="eastAsia" w:cs="Times New Roman"/>
                <w:b w:val="0"/>
                <w:bCs/>
                <w:i w:val="0"/>
                <w:iCs w:val="0"/>
                <w:color w:val="000000"/>
                <w:kern w:val="0"/>
                <w:sz w:val="21"/>
                <w:szCs w:val="21"/>
                <w:u w:val="none"/>
                <w:lang w:val="en-US" w:eastAsia="zh-CN" w:bidi="ar"/>
              </w:rPr>
              <w:t>480</w:t>
            </w:r>
          </w:p>
        </w:tc>
        <w:tc>
          <w:tcPr>
            <w:tcW w:w="1291" w:type="dxa"/>
            <w:noWrap w:val="0"/>
            <w:vAlign w:val="center"/>
          </w:tcPr>
          <w:p w14:paraId="0BE0866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2"/>
                <w:sz w:val="21"/>
                <w:szCs w:val="21"/>
                <w:u w:val="none"/>
                <w:lang w:val="en-US" w:eastAsia="zh-CN" w:bidi="ar-SA"/>
              </w:rPr>
            </w:pPr>
            <w:r>
              <w:rPr>
                <w:rFonts w:hint="eastAsia" w:cs="Times New Roman"/>
                <w:b w:val="0"/>
                <w:bCs/>
                <w:i w:val="0"/>
                <w:iCs w:val="0"/>
                <w:color w:val="000000"/>
                <w:kern w:val="0"/>
                <w:sz w:val="21"/>
                <w:szCs w:val="21"/>
                <w:u w:val="none"/>
                <w:lang w:val="en-US" w:eastAsia="zh-CN" w:bidi="ar"/>
              </w:rPr>
              <w:t>+480</w:t>
            </w:r>
          </w:p>
        </w:tc>
      </w:tr>
      <w:tr w14:paraId="63B3E5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20A1B287">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0F54CBD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Cs w:val="21"/>
                <w:lang w:val="en-US" w:eastAsia="zh-CN"/>
              </w:rPr>
            </w:pPr>
            <w:r>
              <w:rPr>
                <w:rFonts w:hint="default" w:ascii="Times New Roman" w:hAnsi="Times New Roman" w:eastAsia="宋体" w:cs="Times New Roman"/>
                <w:b w:val="0"/>
                <w:bCs/>
                <w:i w:val="0"/>
                <w:iCs w:val="0"/>
                <w:color w:val="000000"/>
                <w:kern w:val="0"/>
                <w:sz w:val="21"/>
                <w:szCs w:val="21"/>
                <w:u w:val="none"/>
                <w:lang w:val="en-US" w:eastAsia="zh-CN" w:bidi="ar"/>
              </w:rPr>
              <w:t>COD</w:t>
            </w:r>
          </w:p>
        </w:tc>
        <w:tc>
          <w:tcPr>
            <w:tcW w:w="1619" w:type="dxa"/>
            <w:noWrap w:val="0"/>
            <w:vAlign w:val="center"/>
          </w:tcPr>
          <w:p w14:paraId="70EF857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2"/>
                <w:sz w:val="24"/>
                <w:szCs w:val="24"/>
                <w:lang w:val="en-US" w:eastAsia="zh-CN" w:bidi="ar-SA"/>
              </w:rPr>
            </w:pPr>
          </w:p>
        </w:tc>
        <w:tc>
          <w:tcPr>
            <w:tcW w:w="1276" w:type="dxa"/>
            <w:noWrap w:val="0"/>
            <w:vAlign w:val="center"/>
          </w:tcPr>
          <w:p w14:paraId="06B0800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701" w:type="dxa"/>
            <w:noWrap w:val="0"/>
            <w:vAlign w:val="center"/>
          </w:tcPr>
          <w:p w14:paraId="29DF98DC">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rPr>
            </w:pPr>
          </w:p>
        </w:tc>
        <w:tc>
          <w:tcPr>
            <w:tcW w:w="1559" w:type="dxa"/>
            <w:noWrap w:val="0"/>
            <w:vAlign w:val="center"/>
          </w:tcPr>
          <w:p w14:paraId="2DCBDED3">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1761" w:type="dxa"/>
            <w:noWrap w:val="0"/>
            <w:vAlign w:val="center"/>
          </w:tcPr>
          <w:p w14:paraId="59A37A3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494" w:type="dxa"/>
            <w:noWrap w:val="0"/>
            <w:vAlign w:val="center"/>
          </w:tcPr>
          <w:p w14:paraId="6687CE01">
            <w:pPr>
              <w:keepNext w:val="0"/>
              <w:keepLines w:val="0"/>
              <w:widowControl/>
              <w:suppressLineNumbers w:val="0"/>
              <w:jc w:val="center"/>
              <w:textAlignment w:val="center"/>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0.168</w:t>
            </w:r>
          </w:p>
        </w:tc>
        <w:tc>
          <w:tcPr>
            <w:tcW w:w="1291" w:type="dxa"/>
            <w:noWrap w:val="0"/>
            <w:vAlign w:val="center"/>
          </w:tcPr>
          <w:p w14:paraId="73AC7E83">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0.168</w:t>
            </w:r>
          </w:p>
        </w:tc>
      </w:tr>
      <w:tr w14:paraId="2C5061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6892F013">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30440F4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Cs w:val="21"/>
                <w:lang w:val="en-US" w:eastAsia="zh-CN"/>
              </w:rPr>
            </w:pPr>
            <w:r>
              <w:rPr>
                <w:rFonts w:hint="eastAsia" w:ascii="Times New Roman" w:hAnsi="Times New Roman" w:eastAsia="宋体" w:cs="Times New Roman"/>
                <w:b w:val="0"/>
                <w:bCs/>
                <w:i w:val="0"/>
                <w:iCs w:val="0"/>
                <w:color w:val="000000"/>
                <w:kern w:val="0"/>
                <w:sz w:val="21"/>
                <w:szCs w:val="21"/>
                <w:u w:val="none"/>
                <w:lang w:val="en-US" w:eastAsia="zh-CN" w:bidi="ar"/>
              </w:rPr>
              <w:t>BOD</w:t>
            </w:r>
            <w:r>
              <w:rPr>
                <w:rFonts w:hint="eastAsia" w:ascii="Times New Roman" w:hAnsi="Times New Roman" w:eastAsia="宋体" w:cs="Times New Roman"/>
                <w:b w:val="0"/>
                <w:bCs/>
                <w:i w:val="0"/>
                <w:iCs w:val="0"/>
                <w:color w:val="000000"/>
                <w:kern w:val="0"/>
                <w:sz w:val="21"/>
                <w:szCs w:val="21"/>
                <w:u w:val="none"/>
                <w:vertAlign w:val="subscript"/>
                <w:lang w:val="en-US" w:eastAsia="zh-CN" w:bidi="ar"/>
              </w:rPr>
              <w:t>5</w:t>
            </w:r>
          </w:p>
        </w:tc>
        <w:tc>
          <w:tcPr>
            <w:tcW w:w="1619" w:type="dxa"/>
            <w:noWrap w:val="0"/>
            <w:vAlign w:val="center"/>
          </w:tcPr>
          <w:p w14:paraId="473AF16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2"/>
                <w:sz w:val="24"/>
                <w:szCs w:val="24"/>
                <w:lang w:val="en-US" w:eastAsia="zh-CN" w:bidi="ar-SA"/>
              </w:rPr>
            </w:pPr>
          </w:p>
        </w:tc>
        <w:tc>
          <w:tcPr>
            <w:tcW w:w="1276" w:type="dxa"/>
            <w:noWrap w:val="0"/>
            <w:vAlign w:val="center"/>
          </w:tcPr>
          <w:p w14:paraId="2F908A5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701" w:type="dxa"/>
            <w:noWrap w:val="0"/>
            <w:vAlign w:val="center"/>
          </w:tcPr>
          <w:p w14:paraId="03D9D6E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rPr>
            </w:pPr>
          </w:p>
        </w:tc>
        <w:tc>
          <w:tcPr>
            <w:tcW w:w="1559" w:type="dxa"/>
            <w:noWrap w:val="0"/>
            <w:vAlign w:val="center"/>
          </w:tcPr>
          <w:p w14:paraId="0079F3E4">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0.067 </w:t>
            </w:r>
          </w:p>
        </w:tc>
        <w:tc>
          <w:tcPr>
            <w:tcW w:w="1761" w:type="dxa"/>
            <w:noWrap w:val="0"/>
            <w:vAlign w:val="center"/>
          </w:tcPr>
          <w:p w14:paraId="20E0140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494" w:type="dxa"/>
            <w:noWrap w:val="0"/>
            <w:vAlign w:val="center"/>
          </w:tcPr>
          <w:p w14:paraId="62C0F4F6">
            <w:pPr>
              <w:keepNext w:val="0"/>
              <w:keepLines w:val="0"/>
              <w:widowControl/>
              <w:suppressLineNumbers w:val="0"/>
              <w:jc w:val="center"/>
              <w:textAlignment w:val="center"/>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0.067 </w:t>
            </w:r>
          </w:p>
        </w:tc>
        <w:tc>
          <w:tcPr>
            <w:tcW w:w="1291" w:type="dxa"/>
            <w:noWrap w:val="0"/>
            <w:vAlign w:val="center"/>
          </w:tcPr>
          <w:p w14:paraId="58A6C7C9">
            <w:pPr>
              <w:keepNext w:val="0"/>
              <w:keepLines w:val="0"/>
              <w:widowControl/>
              <w:suppressLineNumbers w:val="0"/>
              <w:jc w:val="center"/>
              <w:textAlignment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 xml:space="preserve">0.067 </w:t>
            </w:r>
          </w:p>
        </w:tc>
      </w:tr>
      <w:tr w14:paraId="40A8B2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258CCD76">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559A07E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snapToGrid w:val="0"/>
                <w:color w:val="auto"/>
                <w:kern w:val="21"/>
                <w:sz w:val="21"/>
                <w:szCs w:val="21"/>
                <w:lang w:val="en-US" w:eastAsia="zh-CN"/>
              </w:rPr>
            </w:pPr>
            <w:r>
              <w:rPr>
                <w:rFonts w:hint="default" w:ascii="Times New Roman" w:hAnsi="Times New Roman" w:eastAsia="宋体" w:cs="Times New Roman"/>
                <w:b w:val="0"/>
                <w:bCs/>
                <w:i w:val="0"/>
                <w:iCs w:val="0"/>
                <w:color w:val="000000"/>
                <w:kern w:val="0"/>
                <w:sz w:val="21"/>
                <w:szCs w:val="21"/>
                <w:u w:val="none"/>
                <w:lang w:val="en-US" w:eastAsia="zh-CN" w:bidi="ar"/>
              </w:rPr>
              <w:t>SS</w:t>
            </w:r>
          </w:p>
        </w:tc>
        <w:tc>
          <w:tcPr>
            <w:tcW w:w="1619" w:type="dxa"/>
            <w:noWrap w:val="0"/>
            <w:vAlign w:val="center"/>
          </w:tcPr>
          <w:p w14:paraId="1B216E4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2"/>
                <w:sz w:val="24"/>
                <w:szCs w:val="24"/>
                <w:lang w:val="en-US" w:eastAsia="zh-CN" w:bidi="ar-SA"/>
              </w:rPr>
            </w:pPr>
          </w:p>
        </w:tc>
        <w:tc>
          <w:tcPr>
            <w:tcW w:w="1276" w:type="dxa"/>
            <w:noWrap w:val="0"/>
            <w:vAlign w:val="center"/>
          </w:tcPr>
          <w:p w14:paraId="020149E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701" w:type="dxa"/>
            <w:noWrap w:val="0"/>
            <w:vAlign w:val="center"/>
          </w:tcPr>
          <w:p w14:paraId="7C60573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rPr>
            </w:pPr>
          </w:p>
        </w:tc>
        <w:tc>
          <w:tcPr>
            <w:tcW w:w="1559" w:type="dxa"/>
            <w:noWrap w:val="0"/>
            <w:vAlign w:val="center"/>
          </w:tcPr>
          <w:p w14:paraId="1409059D">
            <w:pPr>
              <w:keepNext w:val="0"/>
              <w:keepLines w:val="0"/>
              <w:widowControl/>
              <w:suppressLineNumbers w:val="0"/>
              <w:jc w:val="center"/>
              <w:textAlignment w:val="center"/>
              <w:rPr>
                <w:rFonts w:hint="eastAsia"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0.096</w:t>
            </w:r>
          </w:p>
        </w:tc>
        <w:tc>
          <w:tcPr>
            <w:tcW w:w="1761" w:type="dxa"/>
            <w:noWrap w:val="0"/>
            <w:vAlign w:val="center"/>
          </w:tcPr>
          <w:p w14:paraId="2C60F63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494" w:type="dxa"/>
            <w:noWrap w:val="0"/>
            <w:vAlign w:val="center"/>
          </w:tcPr>
          <w:p w14:paraId="3B07FAD8">
            <w:pPr>
              <w:keepNext w:val="0"/>
              <w:keepLines w:val="0"/>
              <w:widowControl/>
              <w:suppressLineNumbers w:val="0"/>
              <w:jc w:val="center"/>
              <w:textAlignment w:val="center"/>
              <w:rPr>
                <w:rFonts w:hint="eastAsia"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0.096</w:t>
            </w:r>
          </w:p>
        </w:tc>
        <w:tc>
          <w:tcPr>
            <w:tcW w:w="1291" w:type="dxa"/>
            <w:noWrap w:val="0"/>
            <w:vAlign w:val="center"/>
          </w:tcPr>
          <w:p w14:paraId="75FA2687">
            <w:pPr>
              <w:keepNext w:val="0"/>
              <w:keepLines w:val="0"/>
              <w:widowControl/>
              <w:suppressLineNumbers w:val="0"/>
              <w:jc w:val="center"/>
              <w:textAlignment w:val="center"/>
              <w:rPr>
                <w:rFonts w:hint="eastAsia"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0.096</w:t>
            </w:r>
          </w:p>
        </w:tc>
      </w:tr>
      <w:tr w14:paraId="67B56A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2055F222">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4A46B7A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r>
              <w:rPr>
                <w:rFonts w:hint="default" w:ascii="Times New Roman" w:hAnsi="Times New Roman" w:eastAsia="宋体" w:cs="Times New Roman"/>
                <w:b w:val="0"/>
                <w:bCs/>
                <w:i w:val="0"/>
                <w:iCs w:val="0"/>
                <w:color w:val="000000"/>
                <w:kern w:val="0"/>
                <w:sz w:val="21"/>
                <w:szCs w:val="21"/>
                <w:u w:val="none"/>
                <w:lang w:val="en-US" w:eastAsia="zh-CN" w:bidi="ar"/>
              </w:rPr>
              <w:t>NH</w:t>
            </w:r>
            <w:r>
              <w:rPr>
                <w:rFonts w:hint="default" w:ascii="Times New Roman" w:hAnsi="Times New Roman" w:eastAsia="宋体" w:cs="Times New Roman"/>
                <w:b w:val="0"/>
                <w:bCs/>
                <w:i w:val="0"/>
                <w:iCs w:val="0"/>
                <w:color w:val="000000"/>
                <w:kern w:val="0"/>
                <w:sz w:val="21"/>
                <w:szCs w:val="21"/>
                <w:u w:val="none"/>
                <w:vertAlign w:val="subscript"/>
                <w:lang w:val="en-US" w:eastAsia="zh-CN" w:bidi="ar"/>
              </w:rPr>
              <w:t>3</w:t>
            </w:r>
            <w:r>
              <w:rPr>
                <w:rFonts w:hint="default" w:ascii="Times New Roman" w:hAnsi="Times New Roman" w:eastAsia="宋体" w:cs="Times New Roman"/>
                <w:b w:val="0"/>
                <w:bCs/>
                <w:i w:val="0"/>
                <w:iCs w:val="0"/>
                <w:color w:val="000000"/>
                <w:kern w:val="0"/>
                <w:sz w:val="21"/>
                <w:szCs w:val="21"/>
                <w:u w:val="none"/>
                <w:lang w:val="en-US" w:eastAsia="zh-CN" w:bidi="ar"/>
              </w:rPr>
              <w:t>-N</w:t>
            </w:r>
          </w:p>
        </w:tc>
        <w:tc>
          <w:tcPr>
            <w:tcW w:w="1619" w:type="dxa"/>
            <w:noWrap w:val="0"/>
            <w:vAlign w:val="center"/>
          </w:tcPr>
          <w:p w14:paraId="43AF3AE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2"/>
                <w:sz w:val="24"/>
                <w:szCs w:val="24"/>
                <w:lang w:val="en-US" w:eastAsia="zh-CN" w:bidi="ar-SA"/>
              </w:rPr>
            </w:pPr>
          </w:p>
        </w:tc>
        <w:tc>
          <w:tcPr>
            <w:tcW w:w="1276" w:type="dxa"/>
            <w:noWrap w:val="0"/>
            <w:vAlign w:val="center"/>
          </w:tcPr>
          <w:p w14:paraId="6212742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701" w:type="dxa"/>
            <w:noWrap w:val="0"/>
            <w:vAlign w:val="center"/>
          </w:tcPr>
          <w:p w14:paraId="67EE5A09">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rPr>
            </w:pPr>
          </w:p>
        </w:tc>
        <w:tc>
          <w:tcPr>
            <w:tcW w:w="1559" w:type="dxa"/>
            <w:noWrap w:val="0"/>
            <w:vAlign w:val="center"/>
          </w:tcPr>
          <w:p w14:paraId="77B161B4">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1761" w:type="dxa"/>
            <w:noWrap w:val="0"/>
            <w:vAlign w:val="center"/>
          </w:tcPr>
          <w:p w14:paraId="685DFDD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lang w:val="en-US" w:eastAsia="zh-CN"/>
              </w:rPr>
            </w:pPr>
          </w:p>
        </w:tc>
        <w:tc>
          <w:tcPr>
            <w:tcW w:w="1494" w:type="dxa"/>
            <w:noWrap w:val="0"/>
            <w:vAlign w:val="center"/>
          </w:tcPr>
          <w:p w14:paraId="477C02D4">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1291" w:type="dxa"/>
            <w:noWrap w:val="0"/>
            <w:vAlign w:val="center"/>
          </w:tcPr>
          <w:p w14:paraId="2E4DA999">
            <w:pPr>
              <w:keepNext w:val="0"/>
              <w:keepLines w:val="0"/>
              <w:widowControl/>
              <w:suppressLineNumbers w:val="0"/>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0.01</w:t>
            </w:r>
          </w:p>
        </w:tc>
      </w:tr>
      <w:tr w14:paraId="486998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restart"/>
            <w:noWrap w:val="0"/>
            <w:vAlign w:val="center"/>
          </w:tcPr>
          <w:p w14:paraId="69D65A1C">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r>
              <w:rPr>
                <w:rFonts w:hint="default" w:ascii="Times New Roman" w:hAnsi="Times New Roman" w:eastAsia="宋体" w:cs="Times New Roman"/>
                <w:b w:val="0"/>
                <w:bCs/>
                <w:snapToGrid w:val="0"/>
                <w:color w:val="auto"/>
                <w:kern w:val="21"/>
                <w:szCs w:val="21"/>
                <w:lang w:val="en-US" w:eastAsia="zh-CN"/>
              </w:rPr>
              <w:t>一般工业</w:t>
            </w:r>
          </w:p>
          <w:p w14:paraId="68759397">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r>
              <w:rPr>
                <w:rFonts w:hint="default" w:ascii="Times New Roman" w:hAnsi="Times New Roman" w:eastAsia="宋体" w:cs="Times New Roman"/>
                <w:b w:val="0"/>
                <w:bCs/>
                <w:snapToGrid w:val="0"/>
                <w:color w:val="auto"/>
                <w:kern w:val="21"/>
                <w:szCs w:val="21"/>
                <w:lang w:val="en-US" w:eastAsia="zh-CN"/>
              </w:rPr>
              <w:t>固体废物</w:t>
            </w:r>
          </w:p>
        </w:tc>
        <w:tc>
          <w:tcPr>
            <w:tcW w:w="1743" w:type="dxa"/>
            <w:noWrap w:val="0"/>
            <w:vAlign w:val="center"/>
          </w:tcPr>
          <w:p w14:paraId="0BE4981E">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金属屑及边角料</w:t>
            </w:r>
          </w:p>
        </w:tc>
        <w:tc>
          <w:tcPr>
            <w:tcW w:w="1619" w:type="dxa"/>
            <w:noWrap w:val="0"/>
            <w:vAlign w:val="center"/>
          </w:tcPr>
          <w:p w14:paraId="2DE94C8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14B5C7F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napToGrid w:val="0"/>
                <w:color w:val="auto"/>
                <w:kern w:val="21"/>
                <w:sz w:val="21"/>
                <w:szCs w:val="21"/>
                <w:lang w:val="en-US" w:eastAsia="zh-CN" w:bidi="ar-SA"/>
              </w:rPr>
            </w:pPr>
          </w:p>
        </w:tc>
        <w:tc>
          <w:tcPr>
            <w:tcW w:w="1701" w:type="dxa"/>
            <w:noWrap w:val="0"/>
            <w:vAlign w:val="center"/>
          </w:tcPr>
          <w:p w14:paraId="22931BE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bidi="ar-SA"/>
              </w:rPr>
            </w:pPr>
          </w:p>
        </w:tc>
        <w:tc>
          <w:tcPr>
            <w:tcW w:w="1559" w:type="dxa"/>
            <w:noWrap w:val="0"/>
            <w:vAlign w:val="center"/>
          </w:tcPr>
          <w:p w14:paraId="2CA6EA08">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color w:val="auto"/>
                <w:kern w:val="0"/>
                <w:sz w:val="21"/>
                <w:szCs w:val="24"/>
                <w:lang w:val="en-US" w:eastAsia="zh-CN" w:bidi="ar-SA"/>
              </w:rPr>
            </w:pPr>
            <w:r>
              <w:rPr>
                <w:rFonts w:hint="eastAsia" w:ascii="Times New Roman" w:hAnsi="Times New Roman" w:eastAsia="宋体" w:cs="Times New Roman"/>
                <w:b w:val="0"/>
                <w:bCs/>
                <w:snapToGrid w:val="0"/>
                <w:color w:val="auto"/>
                <w:kern w:val="21"/>
                <w:sz w:val="21"/>
                <w:szCs w:val="21"/>
                <w:lang w:val="en-US" w:eastAsia="zh-CN" w:bidi="ar-SA"/>
              </w:rPr>
              <w:t>1</w:t>
            </w:r>
            <w:r>
              <w:rPr>
                <w:rFonts w:hint="eastAsia" w:cs="Times New Roman"/>
                <w:b w:val="0"/>
                <w:bCs/>
                <w:snapToGrid w:val="0"/>
                <w:color w:val="auto"/>
                <w:kern w:val="21"/>
                <w:sz w:val="21"/>
                <w:szCs w:val="21"/>
                <w:lang w:val="en-US" w:eastAsia="zh-CN" w:bidi="ar-SA"/>
              </w:rPr>
              <w:t>584</w:t>
            </w:r>
          </w:p>
        </w:tc>
        <w:tc>
          <w:tcPr>
            <w:tcW w:w="1761" w:type="dxa"/>
            <w:noWrap w:val="0"/>
            <w:vAlign w:val="center"/>
          </w:tcPr>
          <w:p w14:paraId="165CBC7F">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6C4070E4">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color w:val="auto"/>
                <w:kern w:val="0"/>
                <w:sz w:val="21"/>
                <w:szCs w:val="24"/>
                <w:lang w:val="en-US" w:eastAsia="zh-CN" w:bidi="ar-SA"/>
              </w:rPr>
            </w:pPr>
            <w:r>
              <w:rPr>
                <w:rFonts w:hint="eastAsia" w:ascii="Times New Roman" w:hAnsi="Times New Roman" w:eastAsia="宋体" w:cs="Times New Roman"/>
                <w:b w:val="0"/>
                <w:bCs/>
                <w:snapToGrid w:val="0"/>
                <w:color w:val="auto"/>
                <w:kern w:val="21"/>
                <w:sz w:val="21"/>
                <w:szCs w:val="21"/>
                <w:lang w:val="en-US" w:eastAsia="zh-CN" w:bidi="ar-SA"/>
              </w:rPr>
              <w:t>1</w:t>
            </w:r>
            <w:r>
              <w:rPr>
                <w:rFonts w:hint="eastAsia" w:cs="Times New Roman"/>
                <w:b w:val="0"/>
                <w:bCs/>
                <w:snapToGrid w:val="0"/>
                <w:color w:val="auto"/>
                <w:kern w:val="21"/>
                <w:sz w:val="21"/>
                <w:szCs w:val="21"/>
                <w:lang w:val="en-US" w:eastAsia="zh-CN" w:bidi="ar-SA"/>
              </w:rPr>
              <w:t>584</w:t>
            </w:r>
          </w:p>
        </w:tc>
        <w:tc>
          <w:tcPr>
            <w:tcW w:w="1291" w:type="dxa"/>
            <w:noWrap w:val="0"/>
            <w:vAlign w:val="center"/>
          </w:tcPr>
          <w:p w14:paraId="7BB0855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color w:val="auto"/>
                <w:kern w:val="0"/>
                <w:sz w:val="21"/>
                <w:szCs w:val="24"/>
                <w:lang w:val="en-US" w:eastAsia="zh-CN" w:bidi="ar-SA"/>
              </w:rPr>
            </w:pPr>
            <w:r>
              <w:rPr>
                <w:rFonts w:hint="eastAsia" w:eastAsia="宋体" w:cs="Times New Roman"/>
                <w:b w:val="0"/>
                <w:bCs/>
                <w:snapToGrid w:val="0"/>
                <w:color w:val="auto"/>
                <w:kern w:val="21"/>
                <w:sz w:val="21"/>
                <w:szCs w:val="21"/>
                <w:lang w:val="en-US" w:eastAsia="zh-CN" w:bidi="ar-SA"/>
              </w:rPr>
              <w:t>+</w:t>
            </w:r>
            <w:r>
              <w:rPr>
                <w:rFonts w:hint="eastAsia" w:ascii="Times New Roman" w:hAnsi="Times New Roman" w:eastAsia="宋体" w:cs="Times New Roman"/>
                <w:b w:val="0"/>
                <w:bCs/>
                <w:snapToGrid w:val="0"/>
                <w:color w:val="auto"/>
                <w:kern w:val="21"/>
                <w:sz w:val="21"/>
                <w:szCs w:val="21"/>
                <w:lang w:val="en-US" w:eastAsia="zh-CN" w:bidi="ar-SA"/>
              </w:rPr>
              <w:t>1</w:t>
            </w:r>
            <w:r>
              <w:rPr>
                <w:rFonts w:hint="eastAsia" w:cs="Times New Roman"/>
                <w:b w:val="0"/>
                <w:bCs/>
                <w:snapToGrid w:val="0"/>
                <w:color w:val="auto"/>
                <w:kern w:val="21"/>
                <w:sz w:val="21"/>
                <w:szCs w:val="21"/>
                <w:lang w:val="en-US" w:eastAsia="zh-CN" w:bidi="ar-SA"/>
              </w:rPr>
              <w:t>584</w:t>
            </w:r>
          </w:p>
        </w:tc>
      </w:tr>
      <w:tr w14:paraId="13DBBD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7F8CDBB1">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12C9744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废模具</w:t>
            </w:r>
          </w:p>
        </w:tc>
        <w:tc>
          <w:tcPr>
            <w:tcW w:w="1619" w:type="dxa"/>
            <w:noWrap w:val="0"/>
            <w:vAlign w:val="center"/>
          </w:tcPr>
          <w:p w14:paraId="07F98CB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16A9E17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napToGrid w:val="0"/>
                <w:color w:val="auto"/>
                <w:kern w:val="21"/>
                <w:sz w:val="21"/>
                <w:szCs w:val="21"/>
                <w:lang w:val="en-US" w:eastAsia="zh-CN" w:bidi="ar-SA"/>
              </w:rPr>
            </w:pPr>
          </w:p>
        </w:tc>
        <w:tc>
          <w:tcPr>
            <w:tcW w:w="1701" w:type="dxa"/>
            <w:noWrap w:val="0"/>
            <w:vAlign w:val="center"/>
          </w:tcPr>
          <w:p w14:paraId="7DEC29EA">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bidi="ar-SA"/>
              </w:rPr>
            </w:pPr>
          </w:p>
        </w:tc>
        <w:tc>
          <w:tcPr>
            <w:tcW w:w="1559" w:type="dxa"/>
            <w:noWrap w:val="0"/>
            <w:vAlign w:val="center"/>
          </w:tcPr>
          <w:p w14:paraId="2BE92790">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bidi="ar-SA"/>
              </w:rPr>
            </w:pPr>
            <w:r>
              <w:rPr>
                <w:rFonts w:hint="eastAsia" w:ascii="Times New Roman" w:hAnsi="Times New Roman" w:eastAsia="宋体" w:cs="Times New Roman"/>
                <w:b w:val="0"/>
                <w:bCs/>
                <w:snapToGrid w:val="0"/>
                <w:color w:val="auto"/>
                <w:kern w:val="21"/>
                <w:sz w:val="21"/>
                <w:szCs w:val="21"/>
                <w:lang w:val="en-US" w:eastAsia="zh-CN" w:bidi="ar-SA"/>
              </w:rPr>
              <w:t>0.</w:t>
            </w:r>
            <w:r>
              <w:rPr>
                <w:rFonts w:hint="eastAsia" w:cs="Times New Roman"/>
                <w:b w:val="0"/>
                <w:bCs/>
                <w:snapToGrid w:val="0"/>
                <w:color w:val="auto"/>
                <w:kern w:val="21"/>
                <w:sz w:val="21"/>
                <w:szCs w:val="21"/>
                <w:lang w:val="en-US" w:eastAsia="zh-CN" w:bidi="ar-SA"/>
              </w:rPr>
              <w:t>4</w:t>
            </w:r>
          </w:p>
        </w:tc>
        <w:tc>
          <w:tcPr>
            <w:tcW w:w="1761" w:type="dxa"/>
            <w:noWrap w:val="0"/>
            <w:vAlign w:val="center"/>
          </w:tcPr>
          <w:p w14:paraId="29B6C62A">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7C5B9D36">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snapToGrid w:val="0"/>
                <w:color w:val="auto"/>
                <w:kern w:val="21"/>
                <w:sz w:val="21"/>
                <w:szCs w:val="21"/>
                <w:lang w:val="en-US" w:eastAsia="zh-CN" w:bidi="ar-SA"/>
              </w:rPr>
            </w:pPr>
            <w:r>
              <w:rPr>
                <w:rFonts w:hint="eastAsia" w:ascii="Times New Roman" w:hAnsi="Times New Roman" w:eastAsia="宋体" w:cs="Times New Roman"/>
                <w:b w:val="0"/>
                <w:bCs/>
                <w:snapToGrid w:val="0"/>
                <w:color w:val="auto"/>
                <w:kern w:val="21"/>
                <w:sz w:val="21"/>
                <w:szCs w:val="21"/>
                <w:lang w:val="en-US" w:eastAsia="zh-CN" w:bidi="ar-SA"/>
              </w:rPr>
              <w:t>0.</w:t>
            </w:r>
            <w:r>
              <w:rPr>
                <w:rFonts w:hint="eastAsia" w:cs="Times New Roman"/>
                <w:b w:val="0"/>
                <w:bCs/>
                <w:snapToGrid w:val="0"/>
                <w:color w:val="auto"/>
                <w:kern w:val="21"/>
                <w:sz w:val="21"/>
                <w:szCs w:val="21"/>
                <w:lang w:val="en-US" w:eastAsia="zh-CN" w:bidi="ar-SA"/>
              </w:rPr>
              <w:t>4</w:t>
            </w:r>
          </w:p>
        </w:tc>
        <w:tc>
          <w:tcPr>
            <w:tcW w:w="1291" w:type="dxa"/>
            <w:noWrap w:val="0"/>
            <w:vAlign w:val="center"/>
          </w:tcPr>
          <w:p w14:paraId="688E77C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textAlignment w:val="auto"/>
              <w:rPr>
                <w:rFonts w:hint="default" w:ascii="Times New Roman" w:hAnsi="Times New Roman" w:eastAsia="宋体" w:cs="Times New Roman"/>
                <w:b w:val="0"/>
                <w:bCs/>
                <w:color w:val="auto"/>
                <w:kern w:val="0"/>
                <w:sz w:val="21"/>
                <w:szCs w:val="24"/>
                <w:lang w:val="en-US" w:eastAsia="zh-CN" w:bidi="ar-SA"/>
              </w:rPr>
            </w:pPr>
            <w:r>
              <w:rPr>
                <w:rFonts w:hint="eastAsia" w:eastAsia="宋体" w:cs="Times New Roman"/>
                <w:b w:val="0"/>
                <w:bCs/>
                <w:snapToGrid w:val="0"/>
                <w:color w:val="auto"/>
                <w:kern w:val="21"/>
                <w:sz w:val="21"/>
                <w:szCs w:val="21"/>
                <w:lang w:val="en-US" w:eastAsia="zh-CN" w:bidi="ar-SA"/>
              </w:rPr>
              <w:t>+</w:t>
            </w:r>
            <w:r>
              <w:rPr>
                <w:rFonts w:hint="eastAsia" w:ascii="Times New Roman" w:hAnsi="Times New Roman" w:eastAsia="宋体" w:cs="Times New Roman"/>
                <w:b w:val="0"/>
                <w:bCs/>
                <w:snapToGrid w:val="0"/>
                <w:color w:val="auto"/>
                <w:kern w:val="21"/>
                <w:sz w:val="21"/>
                <w:szCs w:val="21"/>
                <w:lang w:val="en-US" w:eastAsia="zh-CN" w:bidi="ar-SA"/>
              </w:rPr>
              <w:t>0.</w:t>
            </w:r>
            <w:r>
              <w:rPr>
                <w:rFonts w:hint="eastAsia" w:cs="Times New Roman"/>
                <w:b w:val="0"/>
                <w:bCs/>
                <w:snapToGrid w:val="0"/>
                <w:color w:val="auto"/>
                <w:kern w:val="21"/>
                <w:sz w:val="21"/>
                <w:szCs w:val="21"/>
                <w:lang w:val="en-US" w:eastAsia="zh-CN" w:bidi="ar-SA"/>
              </w:rPr>
              <w:t>4</w:t>
            </w:r>
          </w:p>
        </w:tc>
      </w:tr>
      <w:tr w14:paraId="7CCDF8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restart"/>
            <w:noWrap w:val="0"/>
            <w:vAlign w:val="center"/>
          </w:tcPr>
          <w:p w14:paraId="7F62409C">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r>
              <w:rPr>
                <w:rFonts w:hint="default" w:ascii="Times New Roman" w:hAnsi="Times New Roman" w:eastAsia="宋体" w:cs="Times New Roman"/>
                <w:b w:val="0"/>
                <w:bCs/>
                <w:snapToGrid w:val="0"/>
                <w:color w:val="auto"/>
                <w:kern w:val="21"/>
                <w:szCs w:val="21"/>
                <w:lang w:val="en-US" w:eastAsia="zh-CN"/>
              </w:rPr>
              <w:t>危险废物</w:t>
            </w:r>
          </w:p>
        </w:tc>
        <w:tc>
          <w:tcPr>
            <w:tcW w:w="1743" w:type="dxa"/>
            <w:noWrap w:val="0"/>
            <w:vAlign w:val="center"/>
          </w:tcPr>
          <w:p w14:paraId="49D0E57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r>
              <w:rPr>
                <w:rFonts w:hint="eastAsia" w:ascii="Times New Roman" w:hAnsi="Times New Roman" w:eastAsia="宋体" w:cs="Times New Roman"/>
                <w:b w:val="0"/>
                <w:bCs/>
                <w:color w:val="000000"/>
                <w:kern w:val="0"/>
                <w:sz w:val="21"/>
                <w:szCs w:val="21"/>
                <w:lang w:val="en-US" w:eastAsia="zh-CN" w:bidi="ar-SA"/>
              </w:rPr>
              <w:t>废液压油</w:t>
            </w:r>
          </w:p>
        </w:tc>
        <w:tc>
          <w:tcPr>
            <w:tcW w:w="1619" w:type="dxa"/>
            <w:noWrap w:val="0"/>
            <w:vAlign w:val="center"/>
          </w:tcPr>
          <w:p w14:paraId="038AC68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59DD7C6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snapToGrid w:val="0"/>
                <w:color w:val="auto"/>
                <w:kern w:val="21"/>
                <w:sz w:val="21"/>
                <w:szCs w:val="21"/>
                <w:highlight w:val="none"/>
                <w:lang w:val="en-US" w:eastAsia="zh-CN" w:bidi="ar-SA"/>
              </w:rPr>
            </w:pPr>
          </w:p>
        </w:tc>
        <w:tc>
          <w:tcPr>
            <w:tcW w:w="1701" w:type="dxa"/>
            <w:noWrap w:val="0"/>
            <w:vAlign w:val="center"/>
          </w:tcPr>
          <w:p w14:paraId="73B00FCA">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highlight w:val="none"/>
                <w:lang w:val="en-US" w:eastAsia="zh-CN" w:bidi="ar-SA"/>
              </w:rPr>
            </w:pPr>
          </w:p>
        </w:tc>
        <w:tc>
          <w:tcPr>
            <w:tcW w:w="1559" w:type="dxa"/>
            <w:noWrap w:val="0"/>
            <w:vAlign w:val="center"/>
          </w:tcPr>
          <w:p w14:paraId="27CD6F3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0"/>
                <w:sz w:val="21"/>
                <w:szCs w:val="24"/>
                <w:lang w:val="en-US" w:eastAsia="zh-CN" w:bidi="ar-SA"/>
              </w:rPr>
            </w:pPr>
            <w:r>
              <w:rPr>
                <w:rFonts w:hint="eastAsia" w:cs="Times New Roman"/>
                <w:b w:val="0"/>
                <w:bCs/>
                <w:color w:val="auto"/>
                <w:kern w:val="0"/>
                <w:sz w:val="21"/>
                <w:szCs w:val="24"/>
                <w:lang w:val="en-US" w:eastAsia="zh-CN" w:bidi="ar-SA"/>
              </w:rPr>
              <w:t>0.5</w:t>
            </w:r>
          </w:p>
        </w:tc>
        <w:tc>
          <w:tcPr>
            <w:tcW w:w="1761" w:type="dxa"/>
            <w:noWrap w:val="0"/>
            <w:vAlign w:val="center"/>
          </w:tcPr>
          <w:p w14:paraId="225B26A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682E956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0"/>
                <w:sz w:val="21"/>
                <w:szCs w:val="24"/>
                <w:lang w:val="en-US" w:eastAsia="zh-CN" w:bidi="ar-SA"/>
              </w:rPr>
            </w:pPr>
            <w:r>
              <w:rPr>
                <w:rFonts w:hint="eastAsia" w:cs="Times New Roman"/>
                <w:b w:val="0"/>
                <w:bCs/>
                <w:color w:val="auto"/>
                <w:kern w:val="0"/>
                <w:sz w:val="21"/>
                <w:szCs w:val="24"/>
                <w:lang w:val="en-US" w:eastAsia="zh-CN" w:bidi="ar-SA"/>
              </w:rPr>
              <w:t>0.5</w:t>
            </w:r>
          </w:p>
        </w:tc>
        <w:tc>
          <w:tcPr>
            <w:tcW w:w="1291" w:type="dxa"/>
            <w:noWrap w:val="0"/>
            <w:vAlign w:val="center"/>
          </w:tcPr>
          <w:p w14:paraId="299A670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color w:val="auto"/>
                <w:kern w:val="0"/>
                <w:sz w:val="21"/>
                <w:szCs w:val="24"/>
                <w:lang w:val="en-US" w:eastAsia="zh-CN" w:bidi="ar-SA"/>
              </w:rPr>
            </w:pPr>
            <w:r>
              <w:rPr>
                <w:rFonts w:hint="eastAsia" w:cs="Times New Roman"/>
                <w:b w:val="0"/>
                <w:bCs/>
                <w:color w:val="auto"/>
                <w:kern w:val="0"/>
                <w:sz w:val="21"/>
                <w:szCs w:val="24"/>
                <w:lang w:val="en-US" w:eastAsia="zh-CN" w:bidi="ar-SA"/>
              </w:rPr>
              <w:t>+0.5</w:t>
            </w:r>
          </w:p>
        </w:tc>
      </w:tr>
      <w:tr w14:paraId="40C389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3E2BEEE5">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0825FD4C">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r>
              <w:rPr>
                <w:rFonts w:hint="eastAsia" w:ascii="Times New Roman" w:hAnsi="Times New Roman" w:eastAsia="宋体" w:cs="Times New Roman"/>
                <w:b w:val="0"/>
                <w:bCs/>
                <w:color w:val="000000"/>
                <w:kern w:val="0"/>
                <w:sz w:val="21"/>
                <w:szCs w:val="21"/>
                <w:lang w:val="en-US" w:eastAsia="zh-CN" w:bidi="ar-SA"/>
              </w:rPr>
              <w:t>废润滑油</w:t>
            </w:r>
          </w:p>
        </w:tc>
        <w:tc>
          <w:tcPr>
            <w:tcW w:w="1619" w:type="dxa"/>
            <w:noWrap w:val="0"/>
            <w:vAlign w:val="center"/>
          </w:tcPr>
          <w:p w14:paraId="0A7FDD1D">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04ADFBF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p>
        </w:tc>
        <w:tc>
          <w:tcPr>
            <w:tcW w:w="1701" w:type="dxa"/>
            <w:noWrap w:val="0"/>
            <w:vAlign w:val="center"/>
          </w:tcPr>
          <w:p w14:paraId="104BA52C">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highlight w:val="none"/>
                <w:lang w:val="en-US" w:eastAsia="zh-CN" w:bidi="ar-SA"/>
              </w:rPr>
            </w:pPr>
          </w:p>
        </w:tc>
        <w:tc>
          <w:tcPr>
            <w:tcW w:w="1559" w:type="dxa"/>
            <w:noWrap w:val="0"/>
            <w:vAlign w:val="center"/>
          </w:tcPr>
          <w:p w14:paraId="7E19BD6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0.2</w:t>
            </w:r>
          </w:p>
        </w:tc>
        <w:tc>
          <w:tcPr>
            <w:tcW w:w="1761" w:type="dxa"/>
            <w:noWrap w:val="0"/>
            <w:vAlign w:val="center"/>
          </w:tcPr>
          <w:p w14:paraId="2078881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p>
        </w:tc>
        <w:tc>
          <w:tcPr>
            <w:tcW w:w="1494" w:type="dxa"/>
            <w:noWrap w:val="0"/>
            <w:vAlign w:val="center"/>
          </w:tcPr>
          <w:p w14:paraId="4D55602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0.2</w:t>
            </w:r>
          </w:p>
        </w:tc>
        <w:tc>
          <w:tcPr>
            <w:tcW w:w="1291" w:type="dxa"/>
            <w:noWrap w:val="0"/>
            <w:vAlign w:val="center"/>
          </w:tcPr>
          <w:p w14:paraId="4F504BC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eastAsia="宋体" w:cs="Times New Roman"/>
                <w:b w:val="0"/>
                <w:bCs/>
                <w:i w:val="0"/>
                <w:iCs w:val="0"/>
                <w:color w:val="000000"/>
                <w:kern w:val="0"/>
                <w:sz w:val="21"/>
                <w:szCs w:val="21"/>
                <w:u w:val="none"/>
                <w:lang w:val="en-US" w:eastAsia="zh-CN" w:bidi="ar"/>
              </w:rPr>
              <w:t>+</w:t>
            </w:r>
            <w:r>
              <w:rPr>
                <w:rFonts w:hint="eastAsia" w:ascii="Times New Roman" w:hAnsi="Times New Roman" w:eastAsia="宋体" w:cs="Times New Roman"/>
                <w:b w:val="0"/>
                <w:bCs/>
                <w:i w:val="0"/>
                <w:iCs w:val="0"/>
                <w:color w:val="000000"/>
                <w:kern w:val="0"/>
                <w:sz w:val="21"/>
                <w:szCs w:val="21"/>
                <w:u w:val="none"/>
                <w:lang w:val="en-US" w:eastAsia="zh-CN" w:bidi="ar"/>
              </w:rPr>
              <w:t>0.2</w:t>
            </w:r>
          </w:p>
        </w:tc>
      </w:tr>
      <w:tr w14:paraId="044947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755C9CAE">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3E2EB1E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cs="Times New Roman"/>
                <w:b w:val="0"/>
                <w:bCs/>
                <w:color w:val="000000"/>
                <w:kern w:val="0"/>
                <w:sz w:val="21"/>
                <w:szCs w:val="21"/>
                <w:lang w:val="en-US" w:eastAsia="zh-CN" w:bidi="ar-SA"/>
              </w:rPr>
              <w:t>废油桶</w:t>
            </w:r>
          </w:p>
        </w:tc>
        <w:tc>
          <w:tcPr>
            <w:tcW w:w="1619" w:type="dxa"/>
            <w:noWrap w:val="0"/>
            <w:vAlign w:val="center"/>
          </w:tcPr>
          <w:p w14:paraId="6F110088">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57176C0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p>
        </w:tc>
        <w:tc>
          <w:tcPr>
            <w:tcW w:w="1701" w:type="dxa"/>
            <w:noWrap w:val="0"/>
            <w:vAlign w:val="center"/>
          </w:tcPr>
          <w:p w14:paraId="3652BE3D">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highlight w:val="none"/>
                <w:lang w:val="en-US" w:eastAsia="zh-CN" w:bidi="ar-SA"/>
              </w:rPr>
            </w:pPr>
          </w:p>
        </w:tc>
        <w:tc>
          <w:tcPr>
            <w:tcW w:w="1559" w:type="dxa"/>
            <w:noWrap w:val="0"/>
            <w:vAlign w:val="center"/>
          </w:tcPr>
          <w:p w14:paraId="49376BE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0.</w:t>
            </w:r>
            <w:r>
              <w:rPr>
                <w:rFonts w:hint="eastAsia" w:cs="Times New Roman"/>
                <w:b w:val="0"/>
                <w:bCs/>
                <w:i w:val="0"/>
                <w:iCs w:val="0"/>
                <w:color w:val="000000"/>
                <w:kern w:val="0"/>
                <w:sz w:val="21"/>
                <w:szCs w:val="21"/>
                <w:u w:val="none"/>
                <w:lang w:val="en-US" w:eastAsia="zh-CN" w:bidi="ar"/>
              </w:rPr>
              <w:t>05</w:t>
            </w:r>
          </w:p>
        </w:tc>
        <w:tc>
          <w:tcPr>
            <w:tcW w:w="1761" w:type="dxa"/>
            <w:noWrap w:val="0"/>
            <w:vAlign w:val="center"/>
          </w:tcPr>
          <w:p w14:paraId="336BFD4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p>
        </w:tc>
        <w:tc>
          <w:tcPr>
            <w:tcW w:w="1494" w:type="dxa"/>
            <w:noWrap w:val="0"/>
            <w:vAlign w:val="center"/>
          </w:tcPr>
          <w:p w14:paraId="52B7BCF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0.</w:t>
            </w:r>
            <w:r>
              <w:rPr>
                <w:rFonts w:hint="eastAsia" w:cs="Times New Roman"/>
                <w:b w:val="0"/>
                <w:bCs/>
                <w:i w:val="0"/>
                <w:iCs w:val="0"/>
                <w:color w:val="000000"/>
                <w:kern w:val="0"/>
                <w:sz w:val="21"/>
                <w:szCs w:val="21"/>
                <w:u w:val="none"/>
                <w:lang w:val="en-US" w:eastAsia="zh-CN" w:bidi="ar"/>
              </w:rPr>
              <w:t>05</w:t>
            </w:r>
          </w:p>
        </w:tc>
        <w:tc>
          <w:tcPr>
            <w:tcW w:w="1291" w:type="dxa"/>
            <w:noWrap w:val="0"/>
            <w:vAlign w:val="center"/>
          </w:tcPr>
          <w:p w14:paraId="23ED26E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eastAsia="宋体" w:cs="Times New Roman"/>
                <w:b w:val="0"/>
                <w:bCs/>
                <w:i w:val="0"/>
                <w:iCs w:val="0"/>
                <w:color w:val="000000"/>
                <w:kern w:val="0"/>
                <w:sz w:val="21"/>
                <w:szCs w:val="21"/>
                <w:u w:val="none"/>
                <w:lang w:val="en-US" w:eastAsia="zh-CN" w:bidi="ar"/>
              </w:rPr>
              <w:t>+</w:t>
            </w:r>
            <w:r>
              <w:rPr>
                <w:rFonts w:hint="eastAsia" w:ascii="Times New Roman" w:hAnsi="Times New Roman" w:eastAsia="宋体" w:cs="Times New Roman"/>
                <w:b w:val="0"/>
                <w:bCs/>
                <w:i w:val="0"/>
                <w:iCs w:val="0"/>
                <w:color w:val="000000"/>
                <w:kern w:val="0"/>
                <w:sz w:val="21"/>
                <w:szCs w:val="21"/>
                <w:u w:val="none"/>
                <w:lang w:val="en-US" w:eastAsia="zh-CN" w:bidi="ar"/>
              </w:rPr>
              <w:t>0.</w:t>
            </w:r>
            <w:r>
              <w:rPr>
                <w:rFonts w:hint="eastAsia" w:cs="Times New Roman"/>
                <w:b w:val="0"/>
                <w:bCs/>
                <w:i w:val="0"/>
                <w:iCs w:val="0"/>
                <w:color w:val="000000"/>
                <w:kern w:val="0"/>
                <w:sz w:val="21"/>
                <w:szCs w:val="21"/>
                <w:u w:val="none"/>
                <w:lang w:val="en-US" w:eastAsia="zh-CN" w:bidi="ar"/>
              </w:rPr>
              <w:t>05</w:t>
            </w:r>
          </w:p>
        </w:tc>
      </w:tr>
      <w:tr w14:paraId="13F03F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2D36954D">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0F0BA06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000000"/>
                <w:kern w:val="0"/>
                <w:sz w:val="21"/>
                <w:szCs w:val="21"/>
                <w:lang w:val="en-US" w:eastAsia="zh-CN" w:bidi="ar-SA"/>
              </w:rPr>
            </w:pPr>
            <w:r>
              <w:rPr>
                <w:rFonts w:hint="eastAsia" w:ascii="Times New Roman" w:hAnsi="Times New Roman" w:eastAsia="宋体" w:cs="Times New Roman"/>
                <w:b w:val="0"/>
                <w:bCs/>
                <w:color w:val="auto"/>
                <w:kern w:val="0"/>
                <w:sz w:val="21"/>
                <w:szCs w:val="21"/>
                <w:lang w:val="en-US" w:eastAsia="zh-CN" w:bidi="ar-SA"/>
              </w:rPr>
              <w:t>含油抹布</w:t>
            </w:r>
          </w:p>
        </w:tc>
        <w:tc>
          <w:tcPr>
            <w:tcW w:w="1619" w:type="dxa"/>
            <w:noWrap w:val="0"/>
            <w:vAlign w:val="center"/>
          </w:tcPr>
          <w:p w14:paraId="58D12DC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6CC1B21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bidi="ar-SA"/>
              </w:rPr>
            </w:pPr>
          </w:p>
        </w:tc>
        <w:tc>
          <w:tcPr>
            <w:tcW w:w="1701" w:type="dxa"/>
            <w:noWrap w:val="0"/>
            <w:vAlign w:val="center"/>
          </w:tcPr>
          <w:p w14:paraId="6BD5121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bidi="ar-SA"/>
              </w:rPr>
            </w:pPr>
          </w:p>
        </w:tc>
        <w:tc>
          <w:tcPr>
            <w:tcW w:w="1559" w:type="dxa"/>
            <w:noWrap w:val="0"/>
            <w:vAlign w:val="center"/>
          </w:tcPr>
          <w:p w14:paraId="737DD65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0.</w:t>
            </w:r>
            <w:r>
              <w:rPr>
                <w:rFonts w:hint="eastAsia" w:cs="Times New Roman"/>
                <w:b w:val="0"/>
                <w:bCs/>
                <w:i w:val="0"/>
                <w:iCs w:val="0"/>
                <w:color w:val="000000"/>
                <w:kern w:val="0"/>
                <w:sz w:val="21"/>
                <w:szCs w:val="21"/>
                <w:u w:val="none"/>
                <w:lang w:val="en-US" w:eastAsia="zh-CN" w:bidi="ar"/>
              </w:rPr>
              <w:t>04</w:t>
            </w:r>
          </w:p>
        </w:tc>
        <w:tc>
          <w:tcPr>
            <w:tcW w:w="1761" w:type="dxa"/>
            <w:noWrap w:val="0"/>
            <w:vAlign w:val="center"/>
          </w:tcPr>
          <w:p w14:paraId="30B1862F">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66B45C87">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ascii="Times New Roman" w:hAnsi="Times New Roman" w:eastAsia="宋体" w:cs="Times New Roman"/>
                <w:b w:val="0"/>
                <w:bCs/>
                <w:i w:val="0"/>
                <w:iCs w:val="0"/>
                <w:color w:val="000000"/>
                <w:kern w:val="0"/>
                <w:sz w:val="21"/>
                <w:szCs w:val="21"/>
                <w:u w:val="none"/>
                <w:lang w:val="en-US" w:eastAsia="zh-CN" w:bidi="ar"/>
              </w:rPr>
              <w:t>0.</w:t>
            </w:r>
            <w:r>
              <w:rPr>
                <w:rFonts w:hint="eastAsia" w:cs="Times New Roman"/>
                <w:b w:val="0"/>
                <w:bCs/>
                <w:i w:val="0"/>
                <w:iCs w:val="0"/>
                <w:color w:val="000000"/>
                <w:kern w:val="0"/>
                <w:sz w:val="21"/>
                <w:szCs w:val="21"/>
                <w:u w:val="none"/>
                <w:lang w:val="en-US" w:eastAsia="zh-CN" w:bidi="ar"/>
              </w:rPr>
              <w:t>04</w:t>
            </w:r>
          </w:p>
        </w:tc>
        <w:tc>
          <w:tcPr>
            <w:tcW w:w="1291" w:type="dxa"/>
            <w:noWrap w:val="0"/>
            <w:vAlign w:val="center"/>
          </w:tcPr>
          <w:p w14:paraId="789FEDC4">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i w:val="0"/>
                <w:iCs w:val="0"/>
                <w:color w:val="000000"/>
                <w:kern w:val="0"/>
                <w:sz w:val="21"/>
                <w:szCs w:val="21"/>
                <w:u w:val="none"/>
                <w:lang w:val="en-US" w:eastAsia="zh-CN" w:bidi="ar"/>
              </w:rPr>
            </w:pPr>
            <w:r>
              <w:rPr>
                <w:rFonts w:hint="eastAsia" w:eastAsia="宋体" w:cs="Times New Roman"/>
                <w:b w:val="0"/>
                <w:bCs/>
                <w:i w:val="0"/>
                <w:iCs w:val="0"/>
                <w:color w:val="000000"/>
                <w:kern w:val="0"/>
                <w:sz w:val="21"/>
                <w:szCs w:val="21"/>
                <w:u w:val="none"/>
                <w:lang w:val="en-US" w:eastAsia="zh-CN" w:bidi="ar"/>
              </w:rPr>
              <w:t>+</w:t>
            </w:r>
            <w:r>
              <w:rPr>
                <w:rFonts w:hint="eastAsia" w:ascii="Times New Roman" w:hAnsi="Times New Roman" w:eastAsia="宋体" w:cs="Times New Roman"/>
                <w:b w:val="0"/>
                <w:bCs/>
                <w:i w:val="0"/>
                <w:iCs w:val="0"/>
                <w:color w:val="000000"/>
                <w:kern w:val="0"/>
                <w:sz w:val="21"/>
                <w:szCs w:val="21"/>
                <w:u w:val="none"/>
                <w:lang w:val="en-US" w:eastAsia="zh-CN" w:bidi="ar"/>
              </w:rPr>
              <w:t>0.</w:t>
            </w:r>
            <w:r>
              <w:rPr>
                <w:rFonts w:hint="eastAsia" w:cs="Times New Roman"/>
                <w:b w:val="0"/>
                <w:bCs/>
                <w:i w:val="0"/>
                <w:iCs w:val="0"/>
                <w:color w:val="000000"/>
                <w:kern w:val="0"/>
                <w:sz w:val="21"/>
                <w:szCs w:val="21"/>
                <w:u w:val="none"/>
                <w:lang w:val="en-US" w:eastAsia="zh-CN" w:bidi="ar"/>
              </w:rPr>
              <w:t>04</w:t>
            </w:r>
          </w:p>
        </w:tc>
      </w:tr>
      <w:tr w14:paraId="333004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6F0DECF4">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29785DD5">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619" w:type="dxa"/>
            <w:noWrap w:val="0"/>
            <w:vAlign w:val="center"/>
          </w:tcPr>
          <w:p w14:paraId="5CEF9093">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42BA58F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bidi="ar-SA"/>
              </w:rPr>
            </w:pPr>
          </w:p>
        </w:tc>
        <w:tc>
          <w:tcPr>
            <w:tcW w:w="1701" w:type="dxa"/>
            <w:noWrap w:val="0"/>
            <w:vAlign w:val="center"/>
          </w:tcPr>
          <w:p w14:paraId="46A0145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bidi="ar-SA"/>
              </w:rPr>
            </w:pPr>
          </w:p>
        </w:tc>
        <w:tc>
          <w:tcPr>
            <w:tcW w:w="1559" w:type="dxa"/>
            <w:noWrap w:val="0"/>
            <w:vAlign w:val="center"/>
          </w:tcPr>
          <w:p w14:paraId="3A34A062">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761" w:type="dxa"/>
            <w:noWrap w:val="0"/>
            <w:vAlign w:val="center"/>
          </w:tcPr>
          <w:p w14:paraId="4476916B">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i w:val="0"/>
                <w:iCs w:val="0"/>
                <w:color w:val="auto"/>
                <w:kern w:val="0"/>
                <w:sz w:val="21"/>
                <w:szCs w:val="21"/>
                <w:u w:val="none"/>
                <w:lang w:val="en-US" w:eastAsia="zh-CN" w:bidi="ar"/>
              </w:rPr>
            </w:pPr>
          </w:p>
        </w:tc>
        <w:tc>
          <w:tcPr>
            <w:tcW w:w="1494" w:type="dxa"/>
            <w:noWrap w:val="0"/>
            <w:vAlign w:val="center"/>
          </w:tcPr>
          <w:p w14:paraId="55278B0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91" w:type="dxa"/>
            <w:noWrap w:val="0"/>
            <w:vAlign w:val="center"/>
          </w:tcPr>
          <w:p w14:paraId="203C0B21">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r>
      <w:tr w14:paraId="764BCF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4" w:type="dxa"/>
            <w:vMerge w:val="continue"/>
            <w:noWrap w:val="0"/>
            <w:vAlign w:val="center"/>
          </w:tcPr>
          <w:p w14:paraId="10351AC9">
            <w:pPr>
              <w:pStyle w:val="41"/>
              <w:keepNext w:val="0"/>
              <w:keepLines w:val="0"/>
              <w:pageBreakBefore w:val="0"/>
              <w:kinsoku/>
              <w:wordWrap/>
              <w:overflowPunct/>
              <w:topLinePunct w:val="0"/>
              <w:autoSpaceDE/>
              <w:autoSpaceDN/>
              <w:bidi w:val="0"/>
              <w:adjustRightInd w:val="0"/>
              <w:snapToGrid w:val="0"/>
              <w:spacing w:line="240" w:lineRule="auto"/>
              <w:rPr>
                <w:rFonts w:hint="default" w:ascii="Times New Roman" w:hAnsi="Times New Roman" w:eastAsia="宋体" w:cs="Times New Roman"/>
                <w:b w:val="0"/>
                <w:bCs/>
                <w:snapToGrid w:val="0"/>
                <w:color w:val="auto"/>
                <w:kern w:val="21"/>
                <w:szCs w:val="21"/>
                <w:lang w:val="en-US" w:eastAsia="zh-CN"/>
              </w:rPr>
            </w:pPr>
          </w:p>
        </w:tc>
        <w:tc>
          <w:tcPr>
            <w:tcW w:w="1743" w:type="dxa"/>
            <w:noWrap w:val="0"/>
            <w:vAlign w:val="center"/>
          </w:tcPr>
          <w:p w14:paraId="49463D6B">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619" w:type="dxa"/>
            <w:noWrap w:val="0"/>
            <w:vAlign w:val="center"/>
          </w:tcPr>
          <w:p w14:paraId="49831FA2">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c>
          <w:tcPr>
            <w:tcW w:w="1276" w:type="dxa"/>
            <w:noWrap w:val="0"/>
            <w:vAlign w:val="center"/>
          </w:tcPr>
          <w:p w14:paraId="5F82602A">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rPr>
            </w:pPr>
          </w:p>
        </w:tc>
        <w:tc>
          <w:tcPr>
            <w:tcW w:w="1701" w:type="dxa"/>
            <w:noWrap w:val="0"/>
            <w:vAlign w:val="center"/>
          </w:tcPr>
          <w:p w14:paraId="321E42E8">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rPr>
            </w:pPr>
          </w:p>
        </w:tc>
        <w:tc>
          <w:tcPr>
            <w:tcW w:w="1559" w:type="dxa"/>
            <w:noWrap w:val="0"/>
            <w:vAlign w:val="center"/>
          </w:tcPr>
          <w:p w14:paraId="4572E35F">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p>
        </w:tc>
        <w:tc>
          <w:tcPr>
            <w:tcW w:w="1761" w:type="dxa"/>
            <w:noWrap w:val="0"/>
            <w:vAlign w:val="center"/>
          </w:tcPr>
          <w:p w14:paraId="6B2F4289">
            <w:pPr>
              <w:pStyle w:val="41"/>
              <w:keepNext w:val="0"/>
              <w:keepLines w:val="0"/>
              <w:pageBreakBefore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1"/>
                <w:szCs w:val="21"/>
                <w:lang w:val="en-US" w:eastAsia="zh-CN"/>
              </w:rPr>
            </w:pPr>
          </w:p>
        </w:tc>
        <w:tc>
          <w:tcPr>
            <w:tcW w:w="1494" w:type="dxa"/>
            <w:noWrap w:val="0"/>
            <w:vAlign w:val="center"/>
          </w:tcPr>
          <w:p w14:paraId="527C5555">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p>
        </w:tc>
        <w:tc>
          <w:tcPr>
            <w:tcW w:w="1291" w:type="dxa"/>
            <w:noWrap w:val="0"/>
            <w:vAlign w:val="center"/>
          </w:tcPr>
          <w:p w14:paraId="40B0A4DE">
            <w:pPr>
              <w:pStyle w:val="41"/>
              <w:keepNext w:val="0"/>
              <w:keepLines w:val="0"/>
              <w:pageBreakBefore w:val="0"/>
              <w:widowControl w:val="0"/>
              <w:kinsoku/>
              <w:wordWrap/>
              <w:overflowPunct/>
              <w:topLinePunct w:val="0"/>
              <w:autoSpaceDE/>
              <w:autoSpaceDN/>
              <w:bidi w:val="0"/>
              <w:adjustRightInd w:val="0"/>
              <w:snapToGrid w:val="0"/>
              <w:spacing w:before="0" w:after="0" w:line="240" w:lineRule="auto"/>
              <w:ind w:firstLine="0" w:firstLineChars="0"/>
              <w:jc w:val="center"/>
              <w:textAlignment w:val="auto"/>
              <w:rPr>
                <w:rFonts w:hint="default" w:ascii="Times New Roman" w:hAnsi="Times New Roman" w:eastAsia="宋体" w:cs="Times New Roman"/>
                <w:b w:val="0"/>
                <w:bCs/>
                <w:color w:val="auto"/>
                <w:kern w:val="0"/>
                <w:sz w:val="21"/>
                <w:szCs w:val="24"/>
                <w:lang w:val="en-US" w:eastAsia="zh-CN" w:bidi="ar-SA"/>
              </w:rPr>
            </w:pPr>
          </w:p>
        </w:tc>
      </w:tr>
    </w:tbl>
    <w:p w14:paraId="5FA28946">
      <w:pPr>
        <w:pStyle w:val="41"/>
        <w:keepNext w:val="0"/>
        <w:keepLines w:val="0"/>
        <w:pageBreakBefore w:val="0"/>
        <w:widowControl/>
        <w:kinsoku/>
        <w:wordWrap/>
        <w:overflowPunct/>
        <w:topLinePunct w:val="0"/>
        <w:autoSpaceDE/>
        <w:autoSpaceDN/>
        <w:bidi w:val="0"/>
        <w:adjustRightInd/>
        <w:snapToGrid/>
        <w:jc w:val="left"/>
        <w:textAlignment w:val="auto"/>
        <w:rPr>
          <w:rFonts w:hint="default" w:eastAsia="黑体" w:cs="Times New Roman"/>
          <w:snapToGrid w:val="0"/>
          <w:color w:val="auto"/>
          <w:sz w:val="30"/>
          <w:szCs w:val="30"/>
          <w:lang w:val="en-US" w:eastAsia="zh-CN"/>
        </w:rPr>
      </w:pPr>
      <w:r>
        <w:rPr>
          <w:rFonts w:ascii="Times New Roman" w:hAnsi="Times New Roman"/>
          <w:snapToGrid w:val="0"/>
          <w:color w:val="000000" w:themeColor="text1"/>
          <w:kern w:val="21"/>
          <w:szCs w:val="21"/>
          <w14:textFill>
            <w14:solidFill>
              <w14:schemeClr w14:val="tx1"/>
            </w14:solidFill>
          </w14:textFill>
        </w:rPr>
        <w:t>注：</w:t>
      </w:r>
      <w:r>
        <w:rPr>
          <w:rFonts w:ascii="Times New Roman" w:hAnsi="Times New Roman"/>
          <w:snapToGrid w:val="0"/>
          <w:color w:val="000000" w:themeColor="text1"/>
          <w:spacing w:val="-16"/>
          <w:kern w:val="21"/>
          <w:szCs w:val="21"/>
          <w14:textFill>
            <w14:solidFill>
              <w14:schemeClr w14:val="tx1"/>
            </w14:solidFill>
          </w14:textFill>
        </w:rPr>
        <w:fldChar w:fldCharType="begin"/>
      </w:r>
      <w:r>
        <w:rPr>
          <w:rFonts w:hAnsi="宋体"/>
          <w:snapToGrid w:val="0"/>
          <w:color w:val="000000" w:themeColor="text1"/>
          <w:spacing w:val="-16"/>
          <w:kern w:val="21"/>
          <w:szCs w:val="21"/>
          <w14:textFill>
            <w14:solidFill>
              <w14:schemeClr w14:val="tx1"/>
            </w14:solidFill>
          </w14:textFill>
        </w:rPr>
        <w:instrText xml:space="preserve"> = 6 \* GB3 \* MERGEFORMAT </w:instrText>
      </w:r>
      <w:r>
        <w:rPr>
          <w:rFonts w:ascii="Times New Roman" w:hAnsi="Times New Roman"/>
          <w:snapToGrid w:val="0"/>
          <w:color w:val="000000" w:themeColor="text1"/>
          <w:spacing w:val="-1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⑥</w:t>
      </w:r>
      <w:r>
        <w:rPr>
          <w:rFonts w:ascii="Times New Roman" w:hAnsi="Times New Roman"/>
          <w:snapToGrid w:val="0"/>
          <w:color w:val="000000" w:themeColor="text1"/>
          <w:spacing w:val="-16"/>
          <w:kern w:val="21"/>
          <w:szCs w:val="21"/>
          <w14:textFill>
            <w14:solidFill>
              <w14:schemeClr w14:val="tx1"/>
            </w14:solidFill>
          </w14:textFill>
        </w:rPr>
        <w:fldChar w:fldCharType="end"/>
      </w:r>
      <w:r>
        <w:rPr>
          <w:rFonts w:ascii="Times New Roman" w:hAnsi="Times New Roman"/>
          <w:snapToGrid w:val="0"/>
          <w:color w:val="000000" w:themeColor="text1"/>
          <w:spacing w:val="-16"/>
          <w:kern w:val="21"/>
          <w:szCs w:val="21"/>
          <w14:textFill>
            <w14:solidFill>
              <w14:schemeClr w14:val="tx1"/>
            </w14:solidFill>
          </w14:textFill>
        </w:rPr>
        <w:t>=</w:t>
      </w:r>
      <w:r>
        <w:rPr>
          <w:rFonts w:ascii="Times New Roman" w:hAnsi="Times New Roman"/>
          <w:snapToGrid w:val="0"/>
          <w:color w:val="000000" w:themeColor="text1"/>
          <w:spacing w:val="-6"/>
          <w:kern w:val="21"/>
          <w:szCs w:val="21"/>
          <w14:textFill>
            <w14:solidFill>
              <w14:schemeClr w14:val="tx1"/>
            </w14:solidFill>
          </w14:textFill>
        </w:rPr>
        <w:fldChar w:fldCharType="begin"/>
      </w:r>
      <w:r>
        <w:rPr>
          <w:rFonts w:hAnsi="宋体"/>
          <w:snapToGrid w:val="0"/>
          <w:color w:val="000000" w:themeColor="text1"/>
          <w:spacing w:val="-6"/>
          <w:kern w:val="21"/>
          <w:szCs w:val="21"/>
          <w14:textFill>
            <w14:solidFill>
              <w14:schemeClr w14:val="tx1"/>
            </w14:solidFill>
          </w14:textFill>
        </w:rPr>
        <w:instrText xml:space="preserve"> = 1 \* GB3 \* MERGEFORMAT </w:instrText>
      </w:r>
      <w:r>
        <w:rPr>
          <w:rFonts w:ascii="Times New Roman" w:hAnsi="Times New Roman"/>
          <w:snapToGrid w:val="0"/>
          <w:color w:val="000000" w:themeColor="text1"/>
          <w:spacing w:val="-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①</w:t>
      </w:r>
      <w:r>
        <w:rPr>
          <w:rFonts w:ascii="Times New Roman" w:hAnsi="Times New Roman"/>
          <w:snapToGrid w:val="0"/>
          <w:color w:val="000000" w:themeColor="text1"/>
          <w:spacing w:val="-6"/>
          <w:kern w:val="21"/>
          <w:szCs w:val="21"/>
          <w14:textFill>
            <w14:solidFill>
              <w14:schemeClr w14:val="tx1"/>
            </w14:solidFill>
          </w14:textFill>
        </w:rPr>
        <w:fldChar w:fldCharType="end"/>
      </w:r>
      <w:r>
        <w:rPr>
          <w:rFonts w:ascii="Times New Roman" w:hAnsi="Times New Roman"/>
          <w:snapToGrid w:val="0"/>
          <w:color w:val="000000" w:themeColor="text1"/>
          <w:spacing w:val="-6"/>
          <w:kern w:val="21"/>
          <w:szCs w:val="21"/>
          <w14:textFill>
            <w14:solidFill>
              <w14:schemeClr w14:val="tx1"/>
            </w14:solidFill>
          </w14:textFill>
        </w:rPr>
        <w:t>+</w:t>
      </w:r>
      <w:r>
        <w:rPr>
          <w:rFonts w:ascii="Times New Roman" w:hAnsi="Times New Roman"/>
          <w:snapToGrid w:val="0"/>
          <w:color w:val="000000" w:themeColor="text1"/>
          <w:spacing w:val="-6"/>
          <w:kern w:val="21"/>
          <w:szCs w:val="21"/>
          <w14:textFill>
            <w14:solidFill>
              <w14:schemeClr w14:val="tx1"/>
            </w14:solidFill>
          </w14:textFill>
        </w:rPr>
        <w:fldChar w:fldCharType="begin"/>
      </w:r>
      <w:r>
        <w:rPr>
          <w:rFonts w:hAnsi="宋体"/>
          <w:snapToGrid w:val="0"/>
          <w:color w:val="000000" w:themeColor="text1"/>
          <w:spacing w:val="-6"/>
          <w:kern w:val="21"/>
          <w:szCs w:val="21"/>
          <w14:textFill>
            <w14:solidFill>
              <w14:schemeClr w14:val="tx1"/>
            </w14:solidFill>
          </w14:textFill>
        </w:rPr>
        <w:instrText xml:space="preserve"> = 3 \* GB3 \* MERGEFORMAT </w:instrText>
      </w:r>
      <w:r>
        <w:rPr>
          <w:rFonts w:ascii="Times New Roman" w:hAnsi="Times New Roman"/>
          <w:snapToGrid w:val="0"/>
          <w:color w:val="000000" w:themeColor="text1"/>
          <w:spacing w:val="-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③</w:t>
      </w:r>
      <w:r>
        <w:rPr>
          <w:rFonts w:ascii="Times New Roman" w:hAnsi="Times New Roman"/>
          <w:snapToGrid w:val="0"/>
          <w:color w:val="000000" w:themeColor="text1"/>
          <w:spacing w:val="-6"/>
          <w:kern w:val="21"/>
          <w:szCs w:val="21"/>
          <w14:textFill>
            <w14:solidFill>
              <w14:schemeClr w14:val="tx1"/>
            </w14:solidFill>
          </w14:textFill>
        </w:rPr>
        <w:fldChar w:fldCharType="end"/>
      </w:r>
      <w:r>
        <w:rPr>
          <w:rFonts w:ascii="Times New Roman" w:hAnsi="Times New Roman"/>
          <w:snapToGrid w:val="0"/>
          <w:color w:val="000000" w:themeColor="text1"/>
          <w:spacing w:val="-6"/>
          <w:kern w:val="21"/>
          <w:szCs w:val="21"/>
          <w14:textFill>
            <w14:solidFill>
              <w14:schemeClr w14:val="tx1"/>
            </w14:solidFill>
          </w14:textFill>
        </w:rPr>
        <w:t>+</w:t>
      </w:r>
      <w:r>
        <w:rPr>
          <w:rFonts w:ascii="Times New Roman" w:hAnsi="Times New Roman"/>
          <w:snapToGrid w:val="0"/>
          <w:color w:val="000000" w:themeColor="text1"/>
          <w:spacing w:val="-6"/>
          <w:kern w:val="21"/>
          <w:szCs w:val="21"/>
          <w14:textFill>
            <w14:solidFill>
              <w14:schemeClr w14:val="tx1"/>
            </w14:solidFill>
          </w14:textFill>
        </w:rPr>
        <w:fldChar w:fldCharType="begin"/>
      </w:r>
      <w:r>
        <w:rPr>
          <w:rFonts w:hAnsi="宋体"/>
          <w:snapToGrid w:val="0"/>
          <w:color w:val="000000" w:themeColor="text1"/>
          <w:spacing w:val="-6"/>
          <w:kern w:val="21"/>
          <w:szCs w:val="21"/>
          <w14:textFill>
            <w14:solidFill>
              <w14:schemeClr w14:val="tx1"/>
            </w14:solidFill>
          </w14:textFill>
        </w:rPr>
        <w:instrText xml:space="preserve"> = 4 \* GB3 \* MERGEFORMAT </w:instrText>
      </w:r>
      <w:r>
        <w:rPr>
          <w:rFonts w:ascii="Times New Roman" w:hAnsi="Times New Roman"/>
          <w:snapToGrid w:val="0"/>
          <w:color w:val="000000" w:themeColor="text1"/>
          <w:spacing w:val="-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④</w:t>
      </w:r>
      <w:r>
        <w:rPr>
          <w:rFonts w:ascii="Times New Roman" w:hAnsi="Times New Roman"/>
          <w:snapToGrid w:val="0"/>
          <w:color w:val="000000" w:themeColor="text1"/>
          <w:spacing w:val="-6"/>
          <w:kern w:val="21"/>
          <w:szCs w:val="21"/>
          <w14:textFill>
            <w14:solidFill>
              <w14:schemeClr w14:val="tx1"/>
            </w14:solidFill>
          </w14:textFill>
        </w:rPr>
        <w:fldChar w:fldCharType="end"/>
      </w:r>
      <w:r>
        <w:rPr>
          <w:rFonts w:ascii="Times New Roman" w:hAnsi="Times New Roman"/>
          <w:snapToGrid w:val="0"/>
          <w:color w:val="000000" w:themeColor="text1"/>
          <w:spacing w:val="-6"/>
          <w:kern w:val="21"/>
          <w:szCs w:val="21"/>
          <w14:textFill>
            <w14:solidFill>
              <w14:schemeClr w14:val="tx1"/>
            </w14:solidFill>
          </w14:textFill>
        </w:rPr>
        <w:t>-</w:t>
      </w:r>
      <w:r>
        <w:rPr>
          <w:rFonts w:ascii="Times New Roman" w:hAnsi="Times New Roman"/>
          <w:snapToGrid w:val="0"/>
          <w:color w:val="000000" w:themeColor="text1"/>
          <w:spacing w:val="-16"/>
          <w:kern w:val="21"/>
          <w:szCs w:val="21"/>
          <w14:textFill>
            <w14:solidFill>
              <w14:schemeClr w14:val="tx1"/>
            </w14:solidFill>
          </w14:textFill>
        </w:rPr>
        <w:fldChar w:fldCharType="begin"/>
      </w:r>
      <w:r>
        <w:rPr>
          <w:rFonts w:hAnsi="宋体"/>
          <w:snapToGrid w:val="0"/>
          <w:color w:val="000000" w:themeColor="text1"/>
          <w:spacing w:val="-16"/>
          <w:kern w:val="21"/>
          <w:szCs w:val="21"/>
          <w14:textFill>
            <w14:solidFill>
              <w14:schemeClr w14:val="tx1"/>
            </w14:solidFill>
          </w14:textFill>
        </w:rPr>
        <w:instrText xml:space="preserve"> = 5 \* GB3 \* MERGEFORMAT </w:instrText>
      </w:r>
      <w:r>
        <w:rPr>
          <w:rFonts w:ascii="Times New Roman" w:hAnsi="Times New Roman"/>
          <w:snapToGrid w:val="0"/>
          <w:color w:val="000000" w:themeColor="text1"/>
          <w:spacing w:val="-1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⑤</w:t>
      </w:r>
      <w:r>
        <w:rPr>
          <w:rFonts w:ascii="Times New Roman" w:hAnsi="Times New Roman"/>
          <w:snapToGrid w:val="0"/>
          <w:color w:val="000000" w:themeColor="text1"/>
          <w:spacing w:val="-16"/>
          <w:kern w:val="21"/>
          <w:szCs w:val="21"/>
          <w14:textFill>
            <w14:solidFill>
              <w14:schemeClr w14:val="tx1"/>
            </w14:solidFill>
          </w14:textFill>
        </w:rPr>
        <w:fldChar w:fldCharType="end"/>
      </w:r>
      <w:r>
        <w:rPr>
          <w:rFonts w:ascii="Times New Roman" w:hAnsi="Times New Roman"/>
          <w:snapToGrid w:val="0"/>
          <w:color w:val="000000" w:themeColor="text1"/>
          <w:spacing w:val="-16"/>
          <w:kern w:val="21"/>
          <w:szCs w:val="21"/>
          <w14:textFill>
            <w14:solidFill>
              <w14:schemeClr w14:val="tx1"/>
            </w14:solidFill>
          </w14:textFill>
        </w:rPr>
        <w:t>；</w:t>
      </w:r>
      <w:r>
        <w:rPr>
          <w:rFonts w:ascii="Times New Roman" w:hAnsi="Times New Roman"/>
          <w:snapToGrid w:val="0"/>
          <w:color w:val="000000" w:themeColor="text1"/>
          <w:spacing w:val="-6"/>
          <w:kern w:val="21"/>
          <w:szCs w:val="21"/>
          <w14:textFill>
            <w14:solidFill>
              <w14:schemeClr w14:val="tx1"/>
            </w14:solidFill>
          </w14:textFill>
        </w:rPr>
        <w:fldChar w:fldCharType="begin"/>
      </w:r>
      <w:r>
        <w:rPr>
          <w:rFonts w:hAnsi="宋体"/>
          <w:snapToGrid w:val="0"/>
          <w:color w:val="000000" w:themeColor="text1"/>
          <w:spacing w:val="-6"/>
          <w:kern w:val="21"/>
          <w:szCs w:val="21"/>
          <w14:textFill>
            <w14:solidFill>
              <w14:schemeClr w14:val="tx1"/>
            </w14:solidFill>
          </w14:textFill>
        </w:rPr>
        <w:instrText xml:space="preserve"> = 7 \* GB3 \* MERGEFORMAT </w:instrText>
      </w:r>
      <w:r>
        <w:rPr>
          <w:rFonts w:ascii="Times New Roman" w:hAnsi="Times New Roman"/>
          <w:snapToGrid w:val="0"/>
          <w:color w:val="000000" w:themeColor="text1"/>
          <w:spacing w:val="-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⑦</w:t>
      </w:r>
      <w:r>
        <w:rPr>
          <w:rFonts w:ascii="Times New Roman" w:hAnsi="Times New Roman"/>
          <w:snapToGrid w:val="0"/>
          <w:color w:val="000000" w:themeColor="text1"/>
          <w:spacing w:val="-6"/>
          <w:kern w:val="21"/>
          <w:szCs w:val="21"/>
          <w14:textFill>
            <w14:solidFill>
              <w14:schemeClr w14:val="tx1"/>
            </w14:solidFill>
          </w14:textFill>
        </w:rPr>
        <w:fldChar w:fldCharType="end"/>
      </w:r>
      <w:r>
        <w:rPr>
          <w:rFonts w:ascii="Times New Roman" w:hAnsi="Times New Roman"/>
          <w:snapToGrid w:val="0"/>
          <w:color w:val="000000" w:themeColor="text1"/>
          <w:spacing w:val="-6"/>
          <w:kern w:val="21"/>
          <w:szCs w:val="21"/>
          <w14:textFill>
            <w14:solidFill>
              <w14:schemeClr w14:val="tx1"/>
            </w14:solidFill>
          </w14:textFill>
        </w:rPr>
        <w:t>=</w:t>
      </w:r>
      <w:r>
        <w:rPr>
          <w:rFonts w:ascii="Times New Roman" w:hAnsi="Times New Roman"/>
          <w:snapToGrid w:val="0"/>
          <w:color w:val="000000" w:themeColor="text1"/>
          <w:spacing w:val="-16"/>
          <w:kern w:val="21"/>
          <w:szCs w:val="21"/>
          <w14:textFill>
            <w14:solidFill>
              <w14:schemeClr w14:val="tx1"/>
            </w14:solidFill>
          </w14:textFill>
        </w:rPr>
        <w:fldChar w:fldCharType="begin"/>
      </w:r>
      <w:r>
        <w:rPr>
          <w:rFonts w:hAnsi="宋体"/>
          <w:snapToGrid w:val="0"/>
          <w:color w:val="000000" w:themeColor="text1"/>
          <w:spacing w:val="-16"/>
          <w:kern w:val="21"/>
          <w:szCs w:val="21"/>
          <w14:textFill>
            <w14:solidFill>
              <w14:schemeClr w14:val="tx1"/>
            </w14:solidFill>
          </w14:textFill>
        </w:rPr>
        <w:instrText xml:space="preserve"> = 6 \* GB3 \* MERGEFORMAT </w:instrText>
      </w:r>
      <w:r>
        <w:rPr>
          <w:rFonts w:ascii="Times New Roman" w:hAnsi="Times New Roman"/>
          <w:snapToGrid w:val="0"/>
          <w:color w:val="000000" w:themeColor="text1"/>
          <w:spacing w:val="-1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⑥</w:t>
      </w:r>
      <w:r>
        <w:rPr>
          <w:rFonts w:ascii="Times New Roman" w:hAnsi="Times New Roman"/>
          <w:snapToGrid w:val="0"/>
          <w:color w:val="000000" w:themeColor="text1"/>
          <w:spacing w:val="-16"/>
          <w:kern w:val="21"/>
          <w:szCs w:val="21"/>
          <w14:textFill>
            <w14:solidFill>
              <w14:schemeClr w14:val="tx1"/>
            </w14:solidFill>
          </w14:textFill>
        </w:rPr>
        <w:fldChar w:fldCharType="end"/>
      </w:r>
      <w:r>
        <w:rPr>
          <w:rFonts w:ascii="Times New Roman" w:hAnsi="Times New Roman"/>
          <w:snapToGrid w:val="0"/>
          <w:color w:val="000000" w:themeColor="text1"/>
          <w:spacing w:val="-16"/>
          <w:kern w:val="21"/>
          <w:szCs w:val="21"/>
          <w14:textFill>
            <w14:solidFill>
              <w14:schemeClr w14:val="tx1"/>
            </w14:solidFill>
          </w14:textFill>
        </w:rPr>
        <w:t>-</w:t>
      </w:r>
      <w:r>
        <w:rPr>
          <w:rFonts w:ascii="Times New Roman" w:hAnsi="Times New Roman"/>
          <w:snapToGrid w:val="0"/>
          <w:color w:val="000000" w:themeColor="text1"/>
          <w:spacing w:val="-6"/>
          <w:kern w:val="21"/>
          <w:szCs w:val="21"/>
          <w14:textFill>
            <w14:solidFill>
              <w14:schemeClr w14:val="tx1"/>
            </w14:solidFill>
          </w14:textFill>
        </w:rPr>
        <w:fldChar w:fldCharType="begin"/>
      </w:r>
      <w:r>
        <w:rPr>
          <w:rFonts w:hAnsi="宋体"/>
          <w:snapToGrid w:val="0"/>
          <w:color w:val="000000" w:themeColor="text1"/>
          <w:spacing w:val="-6"/>
          <w:kern w:val="21"/>
          <w:szCs w:val="21"/>
          <w14:textFill>
            <w14:solidFill>
              <w14:schemeClr w14:val="tx1"/>
            </w14:solidFill>
          </w14:textFill>
        </w:rPr>
        <w:instrText xml:space="preserve"> = 1 \* GB3 \* MERGEFORMAT </w:instrText>
      </w:r>
      <w:r>
        <w:rPr>
          <w:rFonts w:ascii="Times New Roman" w:hAnsi="Times New Roman"/>
          <w:snapToGrid w:val="0"/>
          <w:color w:val="000000" w:themeColor="text1"/>
          <w:spacing w:val="-6"/>
          <w:kern w:val="21"/>
          <w:szCs w:val="21"/>
          <w14:textFill>
            <w14:solidFill>
              <w14:schemeClr w14:val="tx1"/>
            </w14:solidFill>
          </w14:textFill>
        </w:rPr>
        <w:fldChar w:fldCharType="separate"/>
      </w:r>
      <w:r>
        <w:rPr>
          <w:rFonts w:hint="eastAsia" w:ascii="Times New Roman" w:hAnsi="Times New Roman"/>
          <w:color w:val="000000" w:themeColor="text1"/>
          <w:szCs w:val="21"/>
          <w14:textFill>
            <w14:solidFill>
              <w14:schemeClr w14:val="tx1"/>
            </w14:solidFill>
          </w14:textFill>
        </w:rPr>
        <w:t>①</w:t>
      </w:r>
      <w:r>
        <w:rPr>
          <w:rFonts w:ascii="Times New Roman" w:hAnsi="Times New Roman"/>
          <w:snapToGrid w:val="0"/>
          <w:color w:val="000000" w:themeColor="text1"/>
          <w:spacing w:val="-6"/>
          <w:kern w:val="21"/>
          <w:szCs w:val="21"/>
          <w14:textFill>
            <w14:solidFill>
              <w14:schemeClr w14:val="tx1"/>
            </w14:solidFill>
          </w14:textFill>
        </w:rPr>
        <w:fldChar w:fldCharType="end"/>
      </w:r>
      <w:r>
        <w:rPr>
          <w:rFonts w:hint="eastAsia" w:ascii="Times New Roman" w:hAnsi="Times New Roman"/>
          <w:snapToGrid w:val="0"/>
          <w:color w:val="000000" w:themeColor="text1"/>
          <w:spacing w:val="-6"/>
          <w:kern w:val="21"/>
          <w:szCs w:val="21"/>
          <w14:textFill>
            <w14:solidFill>
              <w14:schemeClr w14:val="tx1"/>
            </w14:solidFill>
          </w14:textFill>
        </w:rPr>
        <w:t>，单位：t/a</w:t>
      </w:r>
    </w:p>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FADB83A-F9B5-4223-9E9D-E79C72B8F18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楷体_GBK">
    <w:altName w:val="黑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2" w:fontKey="{231C620E-495D-4450-9209-A105512BE96B}"/>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script"/>
    <w:pitch w:val="default"/>
    <w:sig w:usb0="A00002BF" w:usb1="38CF7CFA" w:usb2="00082016" w:usb3="00000000" w:csb0="00040001" w:csb1="00000000"/>
    <w:embedRegular r:id="rId3" w:fontKey="{E11EFBFF-4CAF-4CEC-BE23-57FB1526034A}"/>
  </w:font>
  <w:font w:name="楷体_GB2312">
    <w:panose1 w:val="02010609030101010101"/>
    <w:charset w:val="86"/>
    <w:family w:val="modern"/>
    <w:pitch w:val="default"/>
    <w:sig w:usb0="00000001" w:usb1="080E0000" w:usb2="00000000" w:usb3="00000000" w:csb0="00040000" w:csb1="00000000"/>
    <w:embedRegular r:id="rId4" w:fontKey="{4D93A416-806A-40BA-9FF9-B23EC21A8A47}"/>
  </w:font>
  <w:font w:name="仿宋">
    <w:panose1 w:val="02010609060101010101"/>
    <w:charset w:val="86"/>
    <w:family w:val="auto"/>
    <w:pitch w:val="default"/>
    <w:sig w:usb0="800002BF" w:usb1="38CF7CFA" w:usb2="00000016" w:usb3="00000000" w:csb0="00040001" w:csb1="00000000"/>
    <w:embedRegular r:id="rId5" w:fontKey="{262AAB79-CAB0-47DD-8074-B09BA41157C7}"/>
  </w:font>
  <w:font w:name="Wingdings 2">
    <w:panose1 w:val="05020102010507070707"/>
    <w:charset w:val="00"/>
    <w:family w:val="auto"/>
    <w:pitch w:val="default"/>
    <w:sig w:usb0="00000000" w:usb1="00000000" w:usb2="00000000" w:usb3="00000000" w:csb0="80000000" w:csb1="00000000"/>
    <w:embedRegular r:id="rId6" w:fontKey="{0E046EF5-9099-4648-AF96-BB06CE617C1A}"/>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C9A9">
    <w:pPr>
      <w:tabs>
        <w:tab w:val="center" w:pos="4153"/>
        <w:tab w:val="right" w:pos="8306"/>
      </w:tabs>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FCA19">
    <w:pPr>
      <w:framePr w:wrap="around" w:vAnchor="text" w:hAnchor="margin" w:xAlign="center" w:y="1"/>
      <w:tabs>
        <w:tab w:val="center" w:pos="4153"/>
        <w:tab w:val="right" w:pos="8306"/>
      </w:tabs>
    </w:pPr>
    <w:r>
      <w:fldChar w:fldCharType="begin"/>
    </w:r>
    <w:r>
      <w:instrText xml:space="preserve">PAGE  </w:instrText>
    </w:r>
    <w:r>
      <w:fldChar w:fldCharType="end"/>
    </w:r>
  </w:p>
  <w:p w14:paraId="08120401">
    <w:pPr>
      <w:tabs>
        <w:tab w:val="center" w:pos="4153"/>
        <w:tab w:val="right" w:pos="8306"/>
      </w:tabs>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EB18B">
    <w:pPr>
      <w:tabs>
        <w:tab w:val="center" w:pos="4153"/>
        <w:tab w:val="right" w:pos="8306"/>
      </w:tabs>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8FF68">
    <w:pPr>
      <w:tabs>
        <w:tab w:val="center" w:pos="4153"/>
        <w:tab w:val="right" w:pos="8306"/>
      </w:tabs>
      <w:ind w:right="360" w:firstLine="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AFD9E3">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7AFD9E3">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F0290A"/>
    <w:multiLevelType w:val="multilevel"/>
    <w:tmpl w:val="28F0290A"/>
    <w:lvl w:ilvl="0" w:tentative="0">
      <w:start w:val="1"/>
      <w:numFmt w:val="decimal"/>
      <w:lvlText w:val="%1"/>
      <w:lvlJc w:val="left"/>
      <w:pPr>
        <w:tabs>
          <w:tab w:val="left" w:pos="0"/>
        </w:tabs>
        <w:ind w:left="0" w:firstLine="0"/>
      </w:pPr>
      <w:rPr>
        <w:rFonts w:hint="default" w:ascii="Times New Roman" w:hAnsi="Times New Roman" w:cs="Times New Roman"/>
        <w:b/>
        <w:bCs w:val="0"/>
        <w:i w:val="0"/>
        <w:iCs w:val="0"/>
        <w:caps w:val="0"/>
        <w:smallCaps w:val="0"/>
        <w:strike w:val="0"/>
        <w:dstrike w:val="0"/>
        <w:vanish w:val="0"/>
        <w:color w:val="auto"/>
        <w:spacing w:val="16"/>
        <w:position w:val="0"/>
        <w:sz w:val="32"/>
        <w:szCs w:val="32"/>
        <w:u w:val="none"/>
        <w:vertAlign w:val="baseline"/>
      </w:rPr>
    </w:lvl>
    <w:lvl w:ilvl="1" w:tentative="0">
      <w:start w:val="1"/>
      <w:numFmt w:val="decimal"/>
      <w:lvlText w:val="%1.%2"/>
      <w:lvlJc w:val="left"/>
      <w:pPr>
        <w:tabs>
          <w:tab w:val="left" w:pos="576"/>
        </w:tabs>
        <w:ind w:left="576" w:hanging="576"/>
      </w:pPr>
      <w:rPr>
        <w:rFonts w:hint="default" w:ascii="Times New Roman" w:hAnsi="Times New Roman" w:cs="Times New Roman"/>
        <w:b/>
        <w:i w:val="0"/>
        <w:color w:val="auto"/>
        <w:sz w:val="30"/>
        <w:szCs w:val="30"/>
        <w:u w:val="none"/>
      </w:rPr>
    </w:lvl>
    <w:lvl w:ilvl="2" w:tentative="0">
      <w:start w:val="1"/>
      <w:numFmt w:val="decimal"/>
      <w:lvlText w:val="%1.%2.%3"/>
      <w:lvlJc w:val="left"/>
      <w:pPr>
        <w:tabs>
          <w:tab w:val="left" w:pos="720"/>
        </w:tabs>
        <w:ind w:left="720" w:hanging="720"/>
      </w:pPr>
      <w:rPr>
        <w:rFonts w:hint="default" w:ascii="Times New Roman" w:hAnsi="Times New Roman"/>
        <w:b/>
        <w:i w:val="0"/>
        <w:sz w:val="24"/>
        <w:szCs w:val="24"/>
      </w:rPr>
    </w:lvl>
    <w:lvl w:ilvl="3" w:tentative="0">
      <w:start w:val="1"/>
      <w:numFmt w:val="decimal"/>
      <w:pStyle w:val="10"/>
      <w:lvlText w:val="%1.%2.%3.%4"/>
      <w:lvlJc w:val="left"/>
      <w:pPr>
        <w:tabs>
          <w:tab w:val="left" w:pos="1364"/>
        </w:tabs>
        <w:ind w:left="1364" w:hanging="864"/>
      </w:pPr>
      <w:rPr>
        <w:rFonts w:hint="default" w:ascii="Times New Roman" w:hAnsi="Times New Roman" w:cs="Times New Roman"/>
        <w:b/>
        <w:bCs w:val="0"/>
        <w:i w:val="0"/>
        <w:iCs w:val="0"/>
        <w:caps w:val="0"/>
        <w:smallCaps w:val="0"/>
        <w:strike w:val="0"/>
        <w:dstrike w:val="0"/>
        <w:vanish w:val="0"/>
        <w:color w:val="auto"/>
        <w:spacing w:val="0"/>
        <w:position w:val="0"/>
        <w:sz w:val="24"/>
        <w:szCs w:val="24"/>
        <w:u w:val="none"/>
        <w:vertAlign w:val="baseline"/>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77BCFAAB"/>
    <w:multiLevelType w:val="singleLevel"/>
    <w:tmpl w:val="77BCFAAB"/>
    <w:lvl w:ilvl="0" w:tentative="0">
      <w:start w:val="1"/>
      <w:numFmt w:val="bullet"/>
      <w:pStyle w:val="17"/>
      <w:lvlText w:val=""/>
      <w:lvlJc w:val="left"/>
      <w:pPr>
        <w:tabs>
          <w:tab w:val="left" w:pos="2040"/>
        </w:tabs>
        <w:ind w:left="2040" w:hanging="360"/>
      </w:pPr>
      <w:rPr>
        <w:rFonts w:hint="default" w:ascii="Wingdings" w:hAnsi="Wingdings"/>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indows User">
    <w15:presenceInfo w15:providerId="None" w15:userId="Windows User"/>
  </w15:person>
  <w15:person w15:author="Smile">
    <w15:presenceInfo w15:providerId="None" w15:userId="Sm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hNzAyZTE0YWJkMWU4NmVmNjAxZGY1MDI2NjkwNmQifQ=="/>
  </w:docVars>
  <w:rsids>
    <w:rsidRoot w:val="00000000"/>
    <w:rsid w:val="00004EEE"/>
    <w:rsid w:val="000E5D71"/>
    <w:rsid w:val="002B137B"/>
    <w:rsid w:val="004C2E52"/>
    <w:rsid w:val="00797168"/>
    <w:rsid w:val="008D4EE8"/>
    <w:rsid w:val="00910AB4"/>
    <w:rsid w:val="00C41E3F"/>
    <w:rsid w:val="00D5063D"/>
    <w:rsid w:val="00E63E72"/>
    <w:rsid w:val="010351AA"/>
    <w:rsid w:val="011D79E3"/>
    <w:rsid w:val="01266FF9"/>
    <w:rsid w:val="012A2737"/>
    <w:rsid w:val="012C70C8"/>
    <w:rsid w:val="01341807"/>
    <w:rsid w:val="013B0F13"/>
    <w:rsid w:val="01761E20"/>
    <w:rsid w:val="01973EDF"/>
    <w:rsid w:val="01E81C0F"/>
    <w:rsid w:val="01F176F8"/>
    <w:rsid w:val="02092C94"/>
    <w:rsid w:val="026A23C8"/>
    <w:rsid w:val="02AB3D4B"/>
    <w:rsid w:val="02CB12D1"/>
    <w:rsid w:val="02D45050"/>
    <w:rsid w:val="02D908B8"/>
    <w:rsid w:val="02DF3421"/>
    <w:rsid w:val="02FE5E95"/>
    <w:rsid w:val="03082F4B"/>
    <w:rsid w:val="03095632"/>
    <w:rsid w:val="031C0384"/>
    <w:rsid w:val="032F4353"/>
    <w:rsid w:val="03525F75"/>
    <w:rsid w:val="035806DD"/>
    <w:rsid w:val="037B4AA0"/>
    <w:rsid w:val="037E6D6A"/>
    <w:rsid w:val="03824AAC"/>
    <w:rsid w:val="039667A9"/>
    <w:rsid w:val="03AF33C1"/>
    <w:rsid w:val="03BE43D6"/>
    <w:rsid w:val="03D42F42"/>
    <w:rsid w:val="03E72B61"/>
    <w:rsid w:val="03FB7446"/>
    <w:rsid w:val="043B2EAD"/>
    <w:rsid w:val="04461105"/>
    <w:rsid w:val="04563F48"/>
    <w:rsid w:val="045A530F"/>
    <w:rsid w:val="04640C5A"/>
    <w:rsid w:val="048545D7"/>
    <w:rsid w:val="048900BC"/>
    <w:rsid w:val="04B862AB"/>
    <w:rsid w:val="04C4129D"/>
    <w:rsid w:val="04D94B9F"/>
    <w:rsid w:val="05132919"/>
    <w:rsid w:val="05410997"/>
    <w:rsid w:val="055530AF"/>
    <w:rsid w:val="056A1E9D"/>
    <w:rsid w:val="056F3FC4"/>
    <w:rsid w:val="05776166"/>
    <w:rsid w:val="05933BAA"/>
    <w:rsid w:val="05A27CEE"/>
    <w:rsid w:val="05AA2098"/>
    <w:rsid w:val="05BB42A5"/>
    <w:rsid w:val="05BF18AF"/>
    <w:rsid w:val="05FD666C"/>
    <w:rsid w:val="066D1317"/>
    <w:rsid w:val="06783F44"/>
    <w:rsid w:val="069845E6"/>
    <w:rsid w:val="06C47DA6"/>
    <w:rsid w:val="06CC3937"/>
    <w:rsid w:val="06D610CF"/>
    <w:rsid w:val="06FA4BA8"/>
    <w:rsid w:val="070677A2"/>
    <w:rsid w:val="0708176C"/>
    <w:rsid w:val="07155C37"/>
    <w:rsid w:val="072D607D"/>
    <w:rsid w:val="07623C5B"/>
    <w:rsid w:val="07637753"/>
    <w:rsid w:val="07730ACB"/>
    <w:rsid w:val="07A63220"/>
    <w:rsid w:val="07C37441"/>
    <w:rsid w:val="07C520D6"/>
    <w:rsid w:val="08053EFD"/>
    <w:rsid w:val="08927EDA"/>
    <w:rsid w:val="08B43C51"/>
    <w:rsid w:val="08BD7B5E"/>
    <w:rsid w:val="08CE2B97"/>
    <w:rsid w:val="08D206A2"/>
    <w:rsid w:val="09124440"/>
    <w:rsid w:val="092263E9"/>
    <w:rsid w:val="09444942"/>
    <w:rsid w:val="0946374C"/>
    <w:rsid w:val="096D3B08"/>
    <w:rsid w:val="097A6225"/>
    <w:rsid w:val="098153F0"/>
    <w:rsid w:val="09B72FD5"/>
    <w:rsid w:val="09C81AEC"/>
    <w:rsid w:val="09D73678"/>
    <w:rsid w:val="09DB7527"/>
    <w:rsid w:val="0A0509EF"/>
    <w:rsid w:val="0A0F696E"/>
    <w:rsid w:val="0A1C72DC"/>
    <w:rsid w:val="0A214365"/>
    <w:rsid w:val="0A426C78"/>
    <w:rsid w:val="0A4707FD"/>
    <w:rsid w:val="0A504C82"/>
    <w:rsid w:val="0A8C7FBE"/>
    <w:rsid w:val="0A96205F"/>
    <w:rsid w:val="0AAA66CC"/>
    <w:rsid w:val="0AC0235E"/>
    <w:rsid w:val="0AC913EC"/>
    <w:rsid w:val="0ACC0D02"/>
    <w:rsid w:val="0ACE7C0F"/>
    <w:rsid w:val="0AD454DA"/>
    <w:rsid w:val="0AE11610"/>
    <w:rsid w:val="0AE46754"/>
    <w:rsid w:val="0AE95411"/>
    <w:rsid w:val="0AFC2BDE"/>
    <w:rsid w:val="0B1A381C"/>
    <w:rsid w:val="0B2C354F"/>
    <w:rsid w:val="0B5B65B5"/>
    <w:rsid w:val="0B6158EF"/>
    <w:rsid w:val="0B690661"/>
    <w:rsid w:val="0B960DD3"/>
    <w:rsid w:val="0BA5573A"/>
    <w:rsid w:val="0BB54A50"/>
    <w:rsid w:val="0BDB744F"/>
    <w:rsid w:val="0BF00A21"/>
    <w:rsid w:val="0C4548C9"/>
    <w:rsid w:val="0C583D55"/>
    <w:rsid w:val="0C6A44F1"/>
    <w:rsid w:val="0C8F023A"/>
    <w:rsid w:val="0C9475FE"/>
    <w:rsid w:val="0CA32D23"/>
    <w:rsid w:val="0CFA3905"/>
    <w:rsid w:val="0CFF0F1B"/>
    <w:rsid w:val="0D44682F"/>
    <w:rsid w:val="0D474670"/>
    <w:rsid w:val="0D5F02FD"/>
    <w:rsid w:val="0D8B342E"/>
    <w:rsid w:val="0D9440B0"/>
    <w:rsid w:val="0D9553DC"/>
    <w:rsid w:val="0DAB10A3"/>
    <w:rsid w:val="0DDF2AFB"/>
    <w:rsid w:val="0E014389"/>
    <w:rsid w:val="0E0E24E8"/>
    <w:rsid w:val="0E0F627A"/>
    <w:rsid w:val="0E333207"/>
    <w:rsid w:val="0E43308A"/>
    <w:rsid w:val="0E4B1F3E"/>
    <w:rsid w:val="0E5A4271"/>
    <w:rsid w:val="0E5E7EC3"/>
    <w:rsid w:val="0E6354DA"/>
    <w:rsid w:val="0E651561"/>
    <w:rsid w:val="0E7908C2"/>
    <w:rsid w:val="0E8E6F4C"/>
    <w:rsid w:val="0EA24254"/>
    <w:rsid w:val="0EAF17F0"/>
    <w:rsid w:val="0ECE0AA6"/>
    <w:rsid w:val="0ED32660"/>
    <w:rsid w:val="0F0A04BE"/>
    <w:rsid w:val="0F267D7E"/>
    <w:rsid w:val="0F2904D1"/>
    <w:rsid w:val="0F37737F"/>
    <w:rsid w:val="0F421593"/>
    <w:rsid w:val="0F4470B9"/>
    <w:rsid w:val="0F696B20"/>
    <w:rsid w:val="0F785BEB"/>
    <w:rsid w:val="0F880B5F"/>
    <w:rsid w:val="0F9A317D"/>
    <w:rsid w:val="0FD241C0"/>
    <w:rsid w:val="0FDC40C4"/>
    <w:rsid w:val="0FF17595"/>
    <w:rsid w:val="10294501"/>
    <w:rsid w:val="105772C0"/>
    <w:rsid w:val="106D2640"/>
    <w:rsid w:val="10806817"/>
    <w:rsid w:val="108654B0"/>
    <w:rsid w:val="108C4410"/>
    <w:rsid w:val="10C5422A"/>
    <w:rsid w:val="10CF50A9"/>
    <w:rsid w:val="11214630"/>
    <w:rsid w:val="112A0531"/>
    <w:rsid w:val="113C7ED8"/>
    <w:rsid w:val="116972AB"/>
    <w:rsid w:val="116C0B49"/>
    <w:rsid w:val="11823EC9"/>
    <w:rsid w:val="119F2CCD"/>
    <w:rsid w:val="11AE2F10"/>
    <w:rsid w:val="11B60016"/>
    <w:rsid w:val="11BC713D"/>
    <w:rsid w:val="11EC6414"/>
    <w:rsid w:val="11FF19BD"/>
    <w:rsid w:val="120130EC"/>
    <w:rsid w:val="12274A70"/>
    <w:rsid w:val="12336F63"/>
    <w:rsid w:val="123478B9"/>
    <w:rsid w:val="125A3098"/>
    <w:rsid w:val="126307C1"/>
    <w:rsid w:val="127777A6"/>
    <w:rsid w:val="127F48AC"/>
    <w:rsid w:val="12852F30"/>
    <w:rsid w:val="129F0E57"/>
    <w:rsid w:val="12A950AD"/>
    <w:rsid w:val="12AF732C"/>
    <w:rsid w:val="12B5204C"/>
    <w:rsid w:val="12B661CF"/>
    <w:rsid w:val="12C32606"/>
    <w:rsid w:val="12DB65C5"/>
    <w:rsid w:val="12DC4E5C"/>
    <w:rsid w:val="12F26E2C"/>
    <w:rsid w:val="130F5C30"/>
    <w:rsid w:val="13141499"/>
    <w:rsid w:val="13220D35"/>
    <w:rsid w:val="134C478E"/>
    <w:rsid w:val="134E6759"/>
    <w:rsid w:val="13671779"/>
    <w:rsid w:val="136D6D46"/>
    <w:rsid w:val="136F693D"/>
    <w:rsid w:val="138E7D54"/>
    <w:rsid w:val="139F6FB4"/>
    <w:rsid w:val="13D076A6"/>
    <w:rsid w:val="13E16355"/>
    <w:rsid w:val="13E46E0C"/>
    <w:rsid w:val="14021092"/>
    <w:rsid w:val="140908D1"/>
    <w:rsid w:val="142474B9"/>
    <w:rsid w:val="1432607A"/>
    <w:rsid w:val="1454043D"/>
    <w:rsid w:val="145913D5"/>
    <w:rsid w:val="146520BD"/>
    <w:rsid w:val="149B55BE"/>
    <w:rsid w:val="14AD74AF"/>
    <w:rsid w:val="14B545B5"/>
    <w:rsid w:val="14BF7211"/>
    <w:rsid w:val="14CD5D90"/>
    <w:rsid w:val="14E1184E"/>
    <w:rsid w:val="14EC447B"/>
    <w:rsid w:val="150A4B66"/>
    <w:rsid w:val="151E4873"/>
    <w:rsid w:val="153115A5"/>
    <w:rsid w:val="1557098F"/>
    <w:rsid w:val="156C2EC6"/>
    <w:rsid w:val="15750C8B"/>
    <w:rsid w:val="157F5F2D"/>
    <w:rsid w:val="15825C0F"/>
    <w:rsid w:val="1585667E"/>
    <w:rsid w:val="158F12AA"/>
    <w:rsid w:val="15AC2D30"/>
    <w:rsid w:val="15AE34DE"/>
    <w:rsid w:val="15B537E5"/>
    <w:rsid w:val="15D05B4B"/>
    <w:rsid w:val="15DD2016"/>
    <w:rsid w:val="15E518D3"/>
    <w:rsid w:val="160C120D"/>
    <w:rsid w:val="161044DF"/>
    <w:rsid w:val="16263324"/>
    <w:rsid w:val="1634224E"/>
    <w:rsid w:val="16404A39"/>
    <w:rsid w:val="164C2CF7"/>
    <w:rsid w:val="167B4CCC"/>
    <w:rsid w:val="1684683D"/>
    <w:rsid w:val="169F376F"/>
    <w:rsid w:val="16AD6CAE"/>
    <w:rsid w:val="16B83B72"/>
    <w:rsid w:val="16C94348"/>
    <w:rsid w:val="16DC407B"/>
    <w:rsid w:val="16DF3B6C"/>
    <w:rsid w:val="16F50C08"/>
    <w:rsid w:val="170B7971"/>
    <w:rsid w:val="17103D25"/>
    <w:rsid w:val="173C7CD7"/>
    <w:rsid w:val="174C1201"/>
    <w:rsid w:val="17597BA7"/>
    <w:rsid w:val="175A3CEF"/>
    <w:rsid w:val="175E31CD"/>
    <w:rsid w:val="17651AD2"/>
    <w:rsid w:val="17716EB9"/>
    <w:rsid w:val="1777715F"/>
    <w:rsid w:val="1796005D"/>
    <w:rsid w:val="17D34E50"/>
    <w:rsid w:val="17F05794"/>
    <w:rsid w:val="17FC3D52"/>
    <w:rsid w:val="1824217E"/>
    <w:rsid w:val="1828529C"/>
    <w:rsid w:val="182B57C9"/>
    <w:rsid w:val="185A794E"/>
    <w:rsid w:val="18667707"/>
    <w:rsid w:val="188744BB"/>
    <w:rsid w:val="188D3687"/>
    <w:rsid w:val="189866C8"/>
    <w:rsid w:val="18C2711D"/>
    <w:rsid w:val="18C76B92"/>
    <w:rsid w:val="18C87DAE"/>
    <w:rsid w:val="18CD6371"/>
    <w:rsid w:val="18D6243D"/>
    <w:rsid w:val="1909158D"/>
    <w:rsid w:val="19362169"/>
    <w:rsid w:val="193F37BD"/>
    <w:rsid w:val="198509FA"/>
    <w:rsid w:val="198D78AF"/>
    <w:rsid w:val="19996254"/>
    <w:rsid w:val="19AF7BDB"/>
    <w:rsid w:val="19B34F80"/>
    <w:rsid w:val="19EC4113"/>
    <w:rsid w:val="19F95F4F"/>
    <w:rsid w:val="19FC3B8C"/>
    <w:rsid w:val="1A167E68"/>
    <w:rsid w:val="1A2A15A2"/>
    <w:rsid w:val="1A4A39F2"/>
    <w:rsid w:val="1A6F7F04"/>
    <w:rsid w:val="1AA2382E"/>
    <w:rsid w:val="1ADD6614"/>
    <w:rsid w:val="1ADF05DE"/>
    <w:rsid w:val="1B1D74DF"/>
    <w:rsid w:val="1B285AE1"/>
    <w:rsid w:val="1B4D5548"/>
    <w:rsid w:val="1B6B3C20"/>
    <w:rsid w:val="1B6F4BA0"/>
    <w:rsid w:val="1B765E86"/>
    <w:rsid w:val="1BA17F13"/>
    <w:rsid w:val="1BD87507"/>
    <w:rsid w:val="1C10508C"/>
    <w:rsid w:val="1C1850E8"/>
    <w:rsid w:val="1C191097"/>
    <w:rsid w:val="1C197B20"/>
    <w:rsid w:val="1C393D1E"/>
    <w:rsid w:val="1C3B19B0"/>
    <w:rsid w:val="1C47643B"/>
    <w:rsid w:val="1C53568C"/>
    <w:rsid w:val="1C5D7521"/>
    <w:rsid w:val="1C6A4D82"/>
    <w:rsid w:val="1C9E62A1"/>
    <w:rsid w:val="1CA218C3"/>
    <w:rsid w:val="1CAC44F0"/>
    <w:rsid w:val="1CD1456C"/>
    <w:rsid w:val="1CD852E5"/>
    <w:rsid w:val="1CDA7AF0"/>
    <w:rsid w:val="1CF739BD"/>
    <w:rsid w:val="1D0D2DE6"/>
    <w:rsid w:val="1D102CD1"/>
    <w:rsid w:val="1D1F4CC2"/>
    <w:rsid w:val="1D8263E7"/>
    <w:rsid w:val="1D94745E"/>
    <w:rsid w:val="1D9E652E"/>
    <w:rsid w:val="1DAB3774"/>
    <w:rsid w:val="1DC00253"/>
    <w:rsid w:val="1DF0665E"/>
    <w:rsid w:val="1E0C7333"/>
    <w:rsid w:val="1E2E78B2"/>
    <w:rsid w:val="1E550662"/>
    <w:rsid w:val="1E5B5444"/>
    <w:rsid w:val="1E661665"/>
    <w:rsid w:val="1E672DC4"/>
    <w:rsid w:val="1E697E63"/>
    <w:rsid w:val="1E6A01BF"/>
    <w:rsid w:val="1E734A01"/>
    <w:rsid w:val="1E7C50C8"/>
    <w:rsid w:val="1E8079E2"/>
    <w:rsid w:val="1E86693D"/>
    <w:rsid w:val="1E936B8A"/>
    <w:rsid w:val="1ED443EB"/>
    <w:rsid w:val="1EEA5D8E"/>
    <w:rsid w:val="1F003E40"/>
    <w:rsid w:val="1F0E1492"/>
    <w:rsid w:val="1F1545CE"/>
    <w:rsid w:val="1F1C5820"/>
    <w:rsid w:val="1F33268E"/>
    <w:rsid w:val="1F49252A"/>
    <w:rsid w:val="1F7237CF"/>
    <w:rsid w:val="1F791933"/>
    <w:rsid w:val="1F7E086D"/>
    <w:rsid w:val="1F7E3685"/>
    <w:rsid w:val="1FA85442"/>
    <w:rsid w:val="1FB262C1"/>
    <w:rsid w:val="1FD07F12"/>
    <w:rsid w:val="203B44D3"/>
    <w:rsid w:val="203E477B"/>
    <w:rsid w:val="2040567B"/>
    <w:rsid w:val="204A64FA"/>
    <w:rsid w:val="205C4323"/>
    <w:rsid w:val="20861AA1"/>
    <w:rsid w:val="20A82481"/>
    <w:rsid w:val="20AB5BEF"/>
    <w:rsid w:val="20AB72FF"/>
    <w:rsid w:val="20D96964"/>
    <w:rsid w:val="20E217CA"/>
    <w:rsid w:val="20E51A67"/>
    <w:rsid w:val="20F47C73"/>
    <w:rsid w:val="20F65BDB"/>
    <w:rsid w:val="20FC21BE"/>
    <w:rsid w:val="211515F4"/>
    <w:rsid w:val="2119403C"/>
    <w:rsid w:val="21463F61"/>
    <w:rsid w:val="214E3DC8"/>
    <w:rsid w:val="215A09BE"/>
    <w:rsid w:val="216929AF"/>
    <w:rsid w:val="217E28FF"/>
    <w:rsid w:val="21D64F8E"/>
    <w:rsid w:val="21EE6934"/>
    <w:rsid w:val="21F51BB4"/>
    <w:rsid w:val="21F665EC"/>
    <w:rsid w:val="2212736A"/>
    <w:rsid w:val="22342FBD"/>
    <w:rsid w:val="227D2BB6"/>
    <w:rsid w:val="22C2238F"/>
    <w:rsid w:val="22DF6260"/>
    <w:rsid w:val="22EF10B0"/>
    <w:rsid w:val="23084E6B"/>
    <w:rsid w:val="230D5A0E"/>
    <w:rsid w:val="23104D3E"/>
    <w:rsid w:val="231D1CA3"/>
    <w:rsid w:val="23391F46"/>
    <w:rsid w:val="233D745E"/>
    <w:rsid w:val="233F538D"/>
    <w:rsid w:val="23422750"/>
    <w:rsid w:val="23607DE2"/>
    <w:rsid w:val="23671F63"/>
    <w:rsid w:val="23732817"/>
    <w:rsid w:val="23737B15"/>
    <w:rsid w:val="23785E6D"/>
    <w:rsid w:val="239343EA"/>
    <w:rsid w:val="23AB5501"/>
    <w:rsid w:val="23AD1660"/>
    <w:rsid w:val="23B05A23"/>
    <w:rsid w:val="23BF4FEF"/>
    <w:rsid w:val="23BF71FF"/>
    <w:rsid w:val="23D305B4"/>
    <w:rsid w:val="23D357C8"/>
    <w:rsid w:val="23E24F22"/>
    <w:rsid w:val="23EC4760"/>
    <w:rsid w:val="23EE0080"/>
    <w:rsid w:val="23F42DF5"/>
    <w:rsid w:val="24047C6C"/>
    <w:rsid w:val="24066BDB"/>
    <w:rsid w:val="24086309"/>
    <w:rsid w:val="241179EB"/>
    <w:rsid w:val="24140B6F"/>
    <w:rsid w:val="241C26CC"/>
    <w:rsid w:val="241D02BA"/>
    <w:rsid w:val="241F3B68"/>
    <w:rsid w:val="24417C14"/>
    <w:rsid w:val="244615DA"/>
    <w:rsid w:val="246D0A09"/>
    <w:rsid w:val="247072EC"/>
    <w:rsid w:val="249A384F"/>
    <w:rsid w:val="24AE43E7"/>
    <w:rsid w:val="24B93C4E"/>
    <w:rsid w:val="24DD39A8"/>
    <w:rsid w:val="251F61A7"/>
    <w:rsid w:val="25381017"/>
    <w:rsid w:val="25573754"/>
    <w:rsid w:val="256240E1"/>
    <w:rsid w:val="25654E07"/>
    <w:rsid w:val="25657932"/>
    <w:rsid w:val="25A46830"/>
    <w:rsid w:val="25D30D3F"/>
    <w:rsid w:val="25EE1E68"/>
    <w:rsid w:val="25F26DCE"/>
    <w:rsid w:val="25F3318F"/>
    <w:rsid w:val="26102D32"/>
    <w:rsid w:val="261447E3"/>
    <w:rsid w:val="26217CFD"/>
    <w:rsid w:val="26220F7D"/>
    <w:rsid w:val="262E5F76"/>
    <w:rsid w:val="263317DE"/>
    <w:rsid w:val="263356BC"/>
    <w:rsid w:val="26357304"/>
    <w:rsid w:val="263905F9"/>
    <w:rsid w:val="263F63D5"/>
    <w:rsid w:val="2685028B"/>
    <w:rsid w:val="26906C30"/>
    <w:rsid w:val="26AD6EE5"/>
    <w:rsid w:val="26D718FE"/>
    <w:rsid w:val="26E36D60"/>
    <w:rsid w:val="270C4E10"/>
    <w:rsid w:val="270E1B1F"/>
    <w:rsid w:val="273E6EC6"/>
    <w:rsid w:val="27441DBA"/>
    <w:rsid w:val="274E68CF"/>
    <w:rsid w:val="27675623"/>
    <w:rsid w:val="27AC35F6"/>
    <w:rsid w:val="27AC7A9A"/>
    <w:rsid w:val="27E965F8"/>
    <w:rsid w:val="27F136B5"/>
    <w:rsid w:val="27F31225"/>
    <w:rsid w:val="28017E90"/>
    <w:rsid w:val="282612FD"/>
    <w:rsid w:val="283421A3"/>
    <w:rsid w:val="287B758A"/>
    <w:rsid w:val="287D753D"/>
    <w:rsid w:val="288602EB"/>
    <w:rsid w:val="28956780"/>
    <w:rsid w:val="28C037FD"/>
    <w:rsid w:val="28C11C6B"/>
    <w:rsid w:val="28C335EE"/>
    <w:rsid w:val="28C612B4"/>
    <w:rsid w:val="28F33EEA"/>
    <w:rsid w:val="28FD67FF"/>
    <w:rsid w:val="290C5964"/>
    <w:rsid w:val="29307007"/>
    <w:rsid w:val="293D309F"/>
    <w:rsid w:val="294206B6"/>
    <w:rsid w:val="2953641F"/>
    <w:rsid w:val="295B52D4"/>
    <w:rsid w:val="298962E5"/>
    <w:rsid w:val="29A66C81"/>
    <w:rsid w:val="29AC3E5F"/>
    <w:rsid w:val="29B77E1B"/>
    <w:rsid w:val="29CE5AA6"/>
    <w:rsid w:val="29CE6249"/>
    <w:rsid w:val="29D357B2"/>
    <w:rsid w:val="29D86924"/>
    <w:rsid w:val="29E4176D"/>
    <w:rsid w:val="29E71961"/>
    <w:rsid w:val="29EC2B16"/>
    <w:rsid w:val="29F01EC0"/>
    <w:rsid w:val="2A135BAE"/>
    <w:rsid w:val="2A207CB0"/>
    <w:rsid w:val="2A336250"/>
    <w:rsid w:val="2A497D0A"/>
    <w:rsid w:val="2A693975"/>
    <w:rsid w:val="2A774DD6"/>
    <w:rsid w:val="2A830A1A"/>
    <w:rsid w:val="2A9543D6"/>
    <w:rsid w:val="2A9A62D0"/>
    <w:rsid w:val="2A9C149E"/>
    <w:rsid w:val="2AA44F7D"/>
    <w:rsid w:val="2AEF2177"/>
    <w:rsid w:val="2AF27EBA"/>
    <w:rsid w:val="2AF73663"/>
    <w:rsid w:val="2B1D798E"/>
    <w:rsid w:val="2B2B0A8A"/>
    <w:rsid w:val="2B3654F3"/>
    <w:rsid w:val="2B49463F"/>
    <w:rsid w:val="2B51698E"/>
    <w:rsid w:val="2B604E23"/>
    <w:rsid w:val="2B6204E4"/>
    <w:rsid w:val="2B8A6344"/>
    <w:rsid w:val="2B8F395A"/>
    <w:rsid w:val="2B940F71"/>
    <w:rsid w:val="2B984E4F"/>
    <w:rsid w:val="2B9D0013"/>
    <w:rsid w:val="2BE041B6"/>
    <w:rsid w:val="2BE07699"/>
    <w:rsid w:val="2BF67536"/>
    <w:rsid w:val="2BFA7026"/>
    <w:rsid w:val="2C047EA4"/>
    <w:rsid w:val="2C072B97"/>
    <w:rsid w:val="2C0B17DB"/>
    <w:rsid w:val="2C0C4FAB"/>
    <w:rsid w:val="2C3047F6"/>
    <w:rsid w:val="2C4E7372"/>
    <w:rsid w:val="2C5524AE"/>
    <w:rsid w:val="2C810D06"/>
    <w:rsid w:val="2CB01DDA"/>
    <w:rsid w:val="2CB2345D"/>
    <w:rsid w:val="2CB73061"/>
    <w:rsid w:val="2CC33DE8"/>
    <w:rsid w:val="2CDF7FCA"/>
    <w:rsid w:val="2CE86F95"/>
    <w:rsid w:val="2CED491B"/>
    <w:rsid w:val="2CF43A12"/>
    <w:rsid w:val="2CF63C91"/>
    <w:rsid w:val="2CFC5020"/>
    <w:rsid w:val="2CFF0C06"/>
    <w:rsid w:val="2D460049"/>
    <w:rsid w:val="2D5318E8"/>
    <w:rsid w:val="2D5B1D46"/>
    <w:rsid w:val="2D612B18"/>
    <w:rsid w:val="2D616C31"/>
    <w:rsid w:val="2D705CE7"/>
    <w:rsid w:val="2D7A3C90"/>
    <w:rsid w:val="2D8E399D"/>
    <w:rsid w:val="2DB72CF5"/>
    <w:rsid w:val="2E073C7C"/>
    <w:rsid w:val="2E0E0B66"/>
    <w:rsid w:val="2E156399"/>
    <w:rsid w:val="2E216736"/>
    <w:rsid w:val="2E450300"/>
    <w:rsid w:val="2E487264"/>
    <w:rsid w:val="2E530C6F"/>
    <w:rsid w:val="2E5A3DAC"/>
    <w:rsid w:val="2E6A7D67"/>
    <w:rsid w:val="2EB83DED"/>
    <w:rsid w:val="2EBA0CEE"/>
    <w:rsid w:val="2EBB2F5C"/>
    <w:rsid w:val="2EC21094"/>
    <w:rsid w:val="2F031A88"/>
    <w:rsid w:val="2F1523C9"/>
    <w:rsid w:val="2F230642"/>
    <w:rsid w:val="2F4866CE"/>
    <w:rsid w:val="2F4B1946"/>
    <w:rsid w:val="2F5C49A3"/>
    <w:rsid w:val="2F6B2844"/>
    <w:rsid w:val="2F863070"/>
    <w:rsid w:val="2F917CA1"/>
    <w:rsid w:val="2F9A5F32"/>
    <w:rsid w:val="2F9E3B4E"/>
    <w:rsid w:val="2FB15C4D"/>
    <w:rsid w:val="2FC42AC8"/>
    <w:rsid w:val="2FFB15BE"/>
    <w:rsid w:val="30343BBD"/>
    <w:rsid w:val="309317F7"/>
    <w:rsid w:val="30A47B90"/>
    <w:rsid w:val="30AD375F"/>
    <w:rsid w:val="30B26121"/>
    <w:rsid w:val="30BA49A5"/>
    <w:rsid w:val="311D7F97"/>
    <w:rsid w:val="311E55B3"/>
    <w:rsid w:val="31224929"/>
    <w:rsid w:val="312B0A84"/>
    <w:rsid w:val="315947EF"/>
    <w:rsid w:val="315F1A90"/>
    <w:rsid w:val="317023AA"/>
    <w:rsid w:val="317B0811"/>
    <w:rsid w:val="317E7FC9"/>
    <w:rsid w:val="31AA208F"/>
    <w:rsid w:val="31B175DE"/>
    <w:rsid w:val="31B25D8D"/>
    <w:rsid w:val="31DC0F7C"/>
    <w:rsid w:val="31E85B72"/>
    <w:rsid w:val="324750EF"/>
    <w:rsid w:val="32537B2D"/>
    <w:rsid w:val="326276D3"/>
    <w:rsid w:val="32933D30"/>
    <w:rsid w:val="32B83797"/>
    <w:rsid w:val="32BB6DE3"/>
    <w:rsid w:val="32CC2D9E"/>
    <w:rsid w:val="32DC3C98"/>
    <w:rsid w:val="32EE7A66"/>
    <w:rsid w:val="32F61294"/>
    <w:rsid w:val="32FC025E"/>
    <w:rsid w:val="33024A12"/>
    <w:rsid w:val="330641B3"/>
    <w:rsid w:val="330929F7"/>
    <w:rsid w:val="331B2F73"/>
    <w:rsid w:val="333C211A"/>
    <w:rsid w:val="3361798A"/>
    <w:rsid w:val="33623E70"/>
    <w:rsid w:val="337E678E"/>
    <w:rsid w:val="338F44F8"/>
    <w:rsid w:val="33961A47"/>
    <w:rsid w:val="339656F2"/>
    <w:rsid w:val="339715FE"/>
    <w:rsid w:val="33A04957"/>
    <w:rsid w:val="33F33F69"/>
    <w:rsid w:val="341B1337"/>
    <w:rsid w:val="341B23F3"/>
    <w:rsid w:val="342B2681"/>
    <w:rsid w:val="343A1223"/>
    <w:rsid w:val="34735BC7"/>
    <w:rsid w:val="34812466"/>
    <w:rsid w:val="349B511E"/>
    <w:rsid w:val="34B12734"/>
    <w:rsid w:val="34D66156"/>
    <w:rsid w:val="350411E2"/>
    <w:rsid w:val="351C7F43"/>
    <w:rsid w:val="351F7AFD"/>
    <w:rsid w:val="352D2D7D"/>
    <w:rsid w:val="353A1E30"/>
    <w:rsid w:val="356C794D"/>
    <w:rsid w:val="35731BF7"/>
    <w:rsid w:val="35775243"/>
    <w:rsid w:val="357F7977"/>
    <w:rsid w:val="358666D5"/>
    <w:rsid w:val="3599165E"/>
    <w:rsid w:val="35A3072E"/>
    <w:rsid w:val="35C944D0"/>
    <w:rsid w:val="35CF32D1"/>
    <w:rsid w:val="35D84369"/>
    <w:rsid w:val="361E6007"/>
    <w:rsid w:val="3627310D"/>
    <w:rsid w:val="3628478F"/>
    <w:rsid w:val="3632560E"/>
    <w:rsid w:val="363B7603"/>
    <w:rsid w:val="366426B4"/>
    <w:rsid w:val="36652761"/>
    <w:rsid w:val="36706AF6"/>
    <w:rsid w:val="367B5040"/>
    <w:rsid w:val="368A544A"/>
    <w:rsid w:val="36A15C12"/>
    <w:rsid w:val="36A5028E"/>
    <w:rsid w:val="36C9492F"/>
    <w:rsid w:val="36CA7255"/>
    <w:rsid w:val="36E5407A"/>
    <w:rsid w:val="371B42F4"/>
    <w:rsid w:val="37227431"/>
    <w:rsid w:val="37554D4E"/>
    <w:rsid w:val="375D2B5F"/>
    <w:rsid w:val="37623CD1"/>
    <w:rsid w:val="37C404E8"/>
    <w:rsid w:val="37D02F91"/>
    <w:rsid w:val="37D526F5"/>
    <w:rsid w:val="380F1A18"/>
    <w:rsid w:val="381551E7"/>
    <w:rsid w:val="38190834"/>
    <w:rsid w:val="381C2FD5"/>
    <w:rsid w:val="381E22EE"/>
    <w:rsid w:val="38547C0B"/>
    <w:rsid w:val="386D5023"/>
    <w:rsid w:val="387E2D8D"/>
    <w:rsid w:val="38804D57"/>
    <w:rsid w:val="38A909A6"/>
    <w:rsid w:val="38B90269"/>
    <w:rsid w:val="38C8225A"/>
    <w:rsid w:val="38C830ED"/>
    <w:rsid w:val="38CC452A"/>
    <w:rsid w:val="38D1296D"/>
    <w:rsid w:val="39353342"/>
    <w:rsid w:val="39445D84"/>
    <w:rsid w:val="394701D3"/>
    <w:rsid w:val="394C51BC"/>
    <w:rsid w:val="39517D9D"/>
    <w:rsid w:val="395B0C74"/>
    <w:rsid w:val="395D059B"/>
    <w:rsid w:val="39965EB4"/>
    <w:rsid w:val="39F2409B"/>
    <w:rsid w:val="3A004722"/>
    <w:rsid w:val="3A047872"/>
    <w:rsid w:val="3A06128C"/>
    <w:rsid w:val="3A4A1178"/>
    <w:rsid w:val="3A4F1B38"/>
    <w:rsid w:val="3A795B8B"/>
    <w:rsid w:val="3A824DB6"/>
    <w:rsid w:val="3A825421"/>
    <w:rsid w:val="3A8707BB"/>
    <w:rsid w:val="3A8A3BFA"/>
    <w:rsid w:val="3A9C2BC7"/>
    <w:rsid w:val="3AA5406D"/>
    <w:rsid w:val="3AB84F09"/>
    <w:rsid w:val="3AD55FC9"/>
    <w:rsid w:val="3AD82C28"/>
    <w:rsid w:val="3AF15A98"/>
    <w:rsid w:val="3AF5226D"/>
    <w:rsid w:val="3B003F2D"/>
    <w:rsid w:val="3B1508DA"/>
    <w:rsid w:val="3B192F95"/>
    <w:rsid w:val="3B6C511E"/>
    <w:rsid w:val="3B7B2CAF"/>
    <w:rsid w:val="3B852106"/>
    <w:rsid w:val="3B8B3833"/>
    <w:rsid w:val="3B95272B"/>
    <w:rsid w:val="3BA40D5C"/>
    <w:rsid w:val="3BAB3E99"/>
    <w:rsid w:val="3BB0325D"/>
    <w:rsid w:val="3BC94150"/>
    <w:rsid w:val="3BC9431F"/>
    <w:rsid w:val="3BCE5DD9"/>
    <w:rsid w:val="3C0417FB"/>
    <w:rsid w:val="3C396989"/>
    <w:rsid w:val="3C427A28"/>
    <w:rsid w:val="3C4416F2"/>
    <w:rsid w:val="3C473405"/>
    <w:rsid w:val="3C586A2D"/>
    <w:rsid w:val="3C624897"/>
    <w:rsid w:val="3C7E74F5"/>
    <w:rsid w:val="3C824C14"/>
    <w:rsid w:val="3C874096"/>
    <w:rsid w:val="3CC571DC"/>
    <w:rsid w:val="3CE744AC"/>
    <w:rsid w:val="3D211F38"/>
    <w:rsid w:val="3D363C36"/>
    <w:rsid w:val="3D4B3671"/>
    <w:rsid w:val="3D931088"/>
    <w:rsid w:val="3DB77087"/>
    <w:rsid w:val="3DF035A2"/>
    <w:rsid w:val="3E13525B"/>
    <w:rsid w:val="3E2F1ADA"/>
    <w:rsid w:val="3E322DC5"/>
    <w:rsid w:val="3E4D56DB"/>
    <w:rsid w:val="3E54240B"/>
    <w:rsid w:val="3E7C2E50"/>
    <w:rsid w:val="3E854E2A"/>
    <w:rsid w:val="3ED41958"/>
    <w:rsid w:val="3ED6747E"/>
    <w:rsid w:val="3EDB4A95"/>
    <w:rsid w:val="3EEC6CA2"/>
    <w:rsid w:val="3EED3B20"/>
    <w:rsid w:val="3F0044FB"/>
    <w:rsid w:val="3F057D64"/>
    <w:rsid w:val="3F0944EC"/>
    <w:rsid w:val="3F2004D3"/>
    <w:rsid w:val="3F400D9C"/>
    <w:rsid w:val="3F4A4CD8"/>
    <w:rsid w:val="3F51407E"/>
    <w:rsid w:val="3F5356B7"/>
    <w:rsid w:val="3F56143B"/>
    <w:rsid w:val="3F5B7984"/>
    <w:rsid w:val="3F8D76C6"/>
    <w:rsid w:val="3F8E1B07"/>
    <w:rsid w:val="3FAE3C75"/>
    <w:rsid w:val="3FCE45FA"/>
    <w:rsid w:val="3FD444D3"/>
    <w:rsid w:val="3FD85527"/>
    <w:rsid w:val="3FDB6F0D"/>
    <w:rsid w:val="3FF32D03"/>
    <w:rsid w:val="40096467"/>
    <w:rsid w:val="401D2496"/>
    <w:rsid w:val="40287EB6"/>
    <w:rsid w:val="405158F6"/>
    <w:rsid w:val="40526FD9"/>
    <w:rsid w:val="4081373D"/>
    <w:rsid w:val="408E7D20"/>
    <w:rsid w:val="4090737E"/>
    <w:rsid w:val="409969B6"/>
    <w:rsid w:val="40B04651"/>
    <w:rsid w:val="40EA7211"/>
    <w:rsid w:val="41281AE7"/>
    <w:rsid w:val="412D7A13"/>
    <w:rsid w:val="412E7A63"/>
    <w:rsid w:val="415070A3"/>
    <w:rsid w:val="41876C28"/>
    <w:rsid w:val="41920F45"/>
    <w:rsid w:val="41923405"/>
    <w:rsid w:val="41B537A0"/>
    <w:rsid w:val="41CE2E0E"/>
    <w:rsid w:val="41D30A5F"/>
    <w:rsid w:val="420E5C8A"/>
    <w:rsid w:val="421D7172"/>
    <w:rsid w:val="421E20FC"/>
    <w:rsid w:val="423D7194"/>
    <w:rsid w:val="424C5BA2"/>
    <w:rsid w:val="4255690C"/>
    <w:rsid w:val="42621228"/>
    <w:rsid w:val="426C3C56"/>
    <w:rsid w:val="42A41265"/>
    <w:rsid w:val="42B06238"/>
    <w:rsid w:val="42C24BC6"/>
    <w:rsid w:val="42C55780"/>
    <w:rsid w:val="42CD0B98"/>
    <w:rsid w:val="42E52FCE"/>
    <w:rsid w:val="42F779C3"/>
    <w:rsid w:val="43140575"/>
    <w:rsid w:val="431C4DAA"/>
    <w:rsid w:val="43241E91"/>
    <w:rsid w:val="433C7ACC"/>
    <w:rsid w:val="4346094B"/>
    <w:rsid w:val="43525542"/>
    <w:rsid w:val="436239D7"/>
    <w:rsid w:val="43911BC6"/>
    <w:rsid w:val="43923B90"/>
    <w:rsid w:val="4393795C"/>
    <w:rsid w:val="43AF120B"/>
    <w:rsid w:val="43B63566"/>
    <w:rsid w:val="43C7383A"/>
    <w:rsid w:val="43C755E8"/>
    <w:rsid w:val="43F63C91"/>
    <w:rsid w:val="43FF3ABF"/>
    <w:rsid w:val="44000AFA"/>
    <w:rsid w:val="443B7D84"/>
    <w:rsid w:val="446F7A2D"/>
    <w:rsid w:val="446F7AB4"/>
    <w:rsid w:val="448654A3"/>
    <w:rsid w:val="44877DE3"/>
    <w:rsid w:val="449535F7"/>
    <w:rsid w:val="44A26055"/>
    <w:rsid w:val="44D3620E"/>
    <w:rsid w:val="44E80D63"/>
    <w:rsid w:val="44E926CB"/>
    <w:rsid w:val="45010FCD"/>
    <w:rsid w:val="45091C30"/>
    <w:rsid w:val="450D7972"/>
    <w:rsid w:val="45193A79"/>
    <w:rsid w:val="451F77F4"/>
    <w:rsid w:val="454B049A"/>
    <w:rsid w:val="45575091"/>
    <w:rsid w:val="45592BB7"/>
    <w:rsid w:val="455C6204"/>
    <w:rsid w:val="4575131D"/>
    <w:rsid w:val="4577303D"/>
    <w:rsid w:val="45B44292"/>
    <w:rsid w:val="45B85B30"/>
    <w:rsid w:val="45C43700"/>
    <w:rsid w:val="45DD5596"/>
    <w:rsid w:val="45E701C3"/>
    <w:rsid w:val="45F971C9"/>
    <w:rsid w:val="461A2C29"/>
    <w:rsid w:val="46381386"/>
    <w:rsid w:val="465A3B65"/>
    <w:rsid w:val="4665558C"/>
    <w:rsid w:val="466F3B42"/>
    <w:rsid w:val="46731A57"/>
    <w:rsid w:val="469814BD"/>
    <w:rsid w:val="469C5C39"/>
    <w:rsid w:val="46A2233C"/>
    <w:rsid w:val="46AA201A"/>
    <w:rsid w:val="46D030AD"/>
    <w:rsid w:val="46D22C21"/>
    <w:rsid w:val="46F55B7C"/>
    <w:rsid w:val="46FD57C4"/>
    <w:rsid w:val="47240FA3"/>
    <w:rsid w:val="47346181"/>
    <w:rsid w:val="47356D0C"/>
    <w:rsid w:val="47486A40"/>
    <w:rsid w:val="477261B2"/>
    <w:rsid w:val="47745A86"/>
    <w:rsid w:val="47946129"/>
    <w:rsid w:val="47B67ECB"/>
    <w:rsid w:val="47C615D0"/>
    <w:rsid w:val="47C6205A"/>
    <w:rsid w:val="48197886"/>
    <w:rsid w:val="4823125B"/>
    <w:rsid w:val="482A25E9"/>
    <w:rsid w:val="483F2363"/>
    <w:rsid w:val="48403BBB"/>
    <w:rsid w:val="487D68BD"/>
    <w:rsid w:val="48994F34"/>
    <w:rsid w:val="48BA259E"/>
    <w:rsid w:val="48BD26F5"/>
    <w:rsid w:val="48D82045"/>
    <w:rsid w:val="4901159C"/>
    <w:rsid w:val="49082F8C"/>
    <w:rsid w:val="492B486B"/>
    <w:rsid w:val="496569FC"/>
    <w:rsid w:val="49940662"/>
    <w:rsid w:val="49A308A5"/>
    <w:rsid w:val="49A62143"/>
    <w:rsid w:val="49BD58F8"/>
    <w:rsid w:val="49CB1BAA"/>
    <w:rsid w:val="49E862B8"/>
    <w:rsid w:val="49F2632F"/>
    <w:rsid w:val="49F96ED5"/>
    <w:rsid w:val="4A0603E7"/>
    <w:rsid w:val="4A080708"/>
    <w:rsid w:val="4A1A04F2"/>
    <w:rsid w:val="4A2121CA"/>
    <w:rsid w:val="4A266DE0"/>
    <w:rsid w:val="4A5E657A"/>
    <w:rsid w:val="4A60789B"/>
    <w:rsid w:val="4A633991"/>
    <w:rsid w:val="4A835FE1"/>
    <w:rsid w:val="4AA745DE"/>
    <w:rsid w:val="4ABA13BB"/>
    <w:rsid w:val="4ABA5EA6"/>
    <w:rsid w:val="4ABE6253"/>
    <w:rsid w:val="4AC3503C"/>
    <w:rsid w:val="4AD55D2A"/>
    <w:rsid w:val="4AE07000"/>
    <w:rsid w:val="4AF6365E"/>
    <w:rsid w:val="4AFA2747"/>
    <w:rsid w:val="4B1B110F"/>
    <w:rsid w:val="4B3D07E1"/>
    <w:rsid w:val="4B4216E6"/>
    <w:rsid w:val="4B583064"/>
    <w:rsid w:val="4B5E2E52"/>
    <w:rsid w:val="4B5F3A6E"/>
    <w:rsid w:val="4B700C5B"/>
    <w:rsid w:val="4B895879"/>
    <w:rsid w:val="4B9F6E4A"/>
    <w:rsid w:val="4BDD7BA7"/>
    <w:rsid w:val="4BE37435"/>
    <w:rsid w:val="4BE97561"/>
    <w:rsid w:val="4BEA48ED"/>
    <w:rsid w:val="4BFA2679"/>
    <w:rsid w:val="4C3B3017"/>
    <w:rsid w:val="4C485734"/>
    <w:rsid w:val="4C4E7684"/>
    <w:rsid w:val="4C5916EF"/>
    <w:rsid w:val="4C925CA0"/>
    <w:rsid w:val="4CA3632F"/>
    <w:rsid w:val="4CA566E2"/>
    <w:rsid w:val="4CB6269D"/>
    <w:rsid w:val="4CDA2830"/>
    <w:rsid w:val="4CF03E01"/>
    <w:rsid w:val="4CF06D9C"/>
    <w:rsid w:val="4CF907DC"/>
    <w:rsid w:val="4D050016"/>
    <w:rsid w:val="4D090A1F"/>
    <w:rsid w:val="4D1907D2"/>
    <w:rsid w:val="4D2E2B7B"/>
    <w:rsid w:val="4D2F35F7"/>
    <w:rsid w:val="4D2F4BE4"/>
    <w:rsid w:val="4D536EF2"/>
    <w:rsid w:val="4D78734A"/>
    <w:rsid w:val="4DA91AE6"/>
    <w:rsid w:val="4DB34E2F"/>
    <w:rsid w:val="4DBE2FAA"/>
    <w:rsid w:val="4DC16FA3"/>
    <w:rsid w:val="4DC54FFA"/>
    <w:rsid w:val="4DD252B5"/>
    <w:rsid w:val="4DD54DA5"/>
    <w:rsid w:val="4DEE5202"/>
    <w:rsid w:val="4E177BCF"/>
    <w:rsid w:val="4E273FA4"/>
    <w:rsid w:val="4E3C637F"/>
    <w:rsid w:val="4E632713"/>
    <w:rsid w:val="4E9977F3"/>
    <w:rsid w:val="4EAF1DD2"/>
    <w:rsid w:val="4EC310A1"/>
    <w:rsid w:val="4EC4672D"/>
    <w:rsid w:val="4ED908C5"/>
    <w:rsid w:val="4EDB63EB"/>
    <w:rsid w:val="4EE42990"/>
    <w:rsid w:val="4EFD37C6"/>
    <w:rsid w:val="4F363F69"/>
    <w:rsid w:val="4F3A5808"/>
    <w:rsid w:val="4F42290E"/>
    <w:rsid w:val="4F4C04B8"/>
    <w:rsid w:val="4F4E7851"/>
    <w:rsid w:val="4F4F0B87"/>
    <w:rsid w:val="4F7F04E9"/>
    <w:rsid w:val="4F8621DB"/>
    <w:rsid w:val="4F90768D"/>
    <w:rsid w:val="4F9273F2"/>
    <w:rsid w:val="4F9326C3"/>
    <w:rsid w:val="4F9F38BD"/>
    <w:rsid w:val="4FAC7D88"/>
    <w:rsid w:val="4FB8405F"/>
    <w:rsid w:val="50083210"/>
    <w:rsid w:val="500E27F0"/>
    <w:rsid w:val="501649B2"/>
    <w:rsid w:val="50513DEE"/>
    <w:rsid w:val="50516725"/>
    <w:rsid w:val="505F3698"/>
    <w:rsid w:val="50772144"/>
    <w:rsid w:val="50793D5E"/>
    <w:rsid w:val="50A0169A"/>
    <w:rsid w:val="50AA076B"/>
    <w:rsid w:val="50F43794"/>
    <w:rsid w:val="50FC089B"/>
    <w:rsid w:val="50FC71F7"/>
    <w:rsid w:val="51002139"/>
    <w:rsid w:val="51064626"/>
    <w:rsid w:val="510C31D4"/>
    <w:rsid w:val="51211C32"/>
    <w:rsid w:val="5135404F"/>
    <w:rsid w:val="51501312"/>
    <w:rsid w:val="51515235"/>
    <w:rsid w:val="51566F29"/>
    <w:rsid w:val="515C4B2F"/>
    <w:rsid w:val="51713037"/>
    <w:rsid w:val="519A063C"/>
    <w:rsid w:val="51A72608"/>
    <w:rsid w:val="51C12DBC"/>
    <w:rsid w:val="51EC31C2"/>
    <w:rsid w:val="51F30C46"/>
    <w:rsid w:val="522643B7"/>
    <w:rsid w:val="52426781"/>
    <w:rsid w:val="52635075"/>
    <w:rsid w:val="52724CE2"/>
    <w:rsid w:val="52897107"/>
    <w:rsid w:val="52983465"/>
    <w:rsid w:val="52A512FE"/>
    <w:rsid w:val="52A71664"/>
    <w:rsid w:val="52A80CDA"/>
    <w:rsid w:val="52ED53C7"/>
    <w:rsid w:val="52EF3659"/>
    <w:rsid w:val="52FD1FCD"/>
    <w:rsid w:val="53114898"/>
    <w:rsid w:val="53314D8C"/>
    <w:rsid w:val="534A62AD"/>
    <w:rsid w:val="53533D66"/>
    <w:rsid w:val="535E369C"/>
    <w:rsid w:val="537B63EF"/>
    <w:rsid w:val="53A20B86"/>
    <w:rsid w:val="53BC0725"/>
    <w:rsid w:val="53CE7EE3"/>
    <w:rsid w:val="53DD2C05"/>
    <w:rsid w:val="53FF0803"/>
    <w:rsid w:val="54075177"/>
    <w:rsid w:val="54225295"/>
    <w:rsid w:val="544D38E7"/>
    <w:rsid w:val="545C0FAE"/>
    <w:rsid w:val="545D78A2"/>
    <w:rsid w:val="54826B69"/>
    <w:rsid w:val="548337AD"/>
    <w:rsid w:val="54890697"/>
    <w:rsid w:val="54892B18"/>
    <w:rsid w:val="54B90F7D"/>
    <w:rsid w:val="54C811C0"/>
    <w:rsid w:val="54CD30CC"/>
    <w:rsid w:val="54D44C51"/>
    <w:rsid w:val="551663CF"/>
    <w:rsid w:val="552A1EAF"/>
    <w:rsid w:val="553700F3"/>
    <w:rsid w:val="55394479"/>
    <w:rsid w:val="554A7E27"/>
    <w:rsid w:val="555B64D8"/>
    <w:rsid w:val="55886BA1"/>
    <w:rsid w:val="558F6181"/>
    <w:rsid w:val="559D089E"/>
    <w:rsid w:val="55B026BB"/>
    <w:rsid w:val="55CC1183"/>
    <w:rsid w:val="56073F6A"/>
    <w:rsid w:val="56104ED0"/>
    <w:rsid w:val="56290384"/>
    <w:rsid w:val="56311E85"/>
    <w:rsid w:val="56336B0D"/>
    <w:rsid w:val="56464255"/>
    <w:rsid w:val="5647080A"/>
    <w:rsid w:val="564B43CE"/>
    <w:rsid w:val="565F7902"/>
    <w:rsid w:val="566B0DBF"/>
    <w:rsid w:val="56A65E2F"/>
    <w:rsid w:val="56A83DD4"/>
    <w:rsid w:val="56A96DCF"/>
    <w:rsid w:val="56C854A7"/>
    <w:rsid w:val="56D12A3B"/>
    <w:rsid w:val="56DF0A95"/>
    <w:rsid w:val="57114BDB"/>
    <w:rsid w:val="57324929"/>
    <w:rsid w:val="57354D95"/>
    <w:rsid w:val="574542D8"/>
    <w:rsid w:val="576D42A0"/>
    <w:rsid w:val="577E025B"/>
    <w:rsid w:val="578F2469"/>
    <w:rsid w:val="57945CD1"/>
    <w:rsid w:val="57A44166"/>
    <w:rsid w:val="57EE53E1"/>
    <w:rsid w:val="58000428"/>
    <w:rsid w:val="580467C0"/>
    <w:rsid w:val="583D3C73"/>
    <w:rsid w:val="585055B1"/>
    <w:rsid w:val="58627B7D"/>
    <w:rsid w:val="587B479B"/>
    <w:rsid w:val="587D7C31"/>
    <w:rsid w:val="587F2E40"/>
    <w:rsid w:val="588C0756"/>
    <w:rsid w:val="58AA4E27"/>
    <w:rsid w:val="58B170EA"/>
    <w:rsid w:val="58C00F7F"/>
    <w:rsid w:val="58C045B8"/>
    <w:rsid w:val="58D2085F"/>
    <w:rsid w:val="58DA7713"/>
    <w:rsid w:val="5939268C"/>
    <w:rsid w:val="596D415F"/>
    <w:rsid w:val="59725786"/>
    <w:rsid w:val="59982B93"/>
    <w:rsid w:val="59995821"/>
    <w:rsid w:val="59A4342A"/>
    <w:rsid w:val="59AF0BA0"/>
    <w:rsid w:val="59BD150F"/>
    <w:rsid w:val="59DD395F"/>
    <w:rsid w:val="59F11964"/>
    <w:rsid w:val="5A0013FC"/>
    <w:rsid w:val="5A03734F"/>
    <w:rsid w:val="5A0B3DB0"/>
    <w:rsid w:val="5A1D3D5C"/>
    <w:rsid w:val="5A301CAF"/>
    <w:rsid w:val="5A365E56"/>
    <w:rsid w:val="5A4734A7"/>
    <w:rsid w:val="5A592D80"/>
    <w:rsid w:val="5A8B6F17"/>
    <w:rsid w:val="5A8C6151"/>
    <w:rsid w:val="5A965D56"/>
    <w:rsid w:val="5ADF54B5"/>
    <w:rsid w:val="5AE57473"/>
    <w:rsid w:val="5AF947C9"/>
    <w:rsid w:val="5B022F52"/>
    <w:rsid w:val="5B1A4A81"/>
    <w:rsid w:val="5B262D1D"/>
    <w:rsid w:val="5B440FD6"/>
    <w:rsid w:val="5B623CFD"/>
    <w:rsid w:val="5B6365FF"/>
    <w:rsid w:val="5B6634E0"/>
    <w:rsid w:val="5B694847"/>
    <w:rsid w:val="5B8149D7"/>
    <w:rsid w:val="5B8A5588"/>
    <w:rsid w:val="5BD26C8F"/>
    <w:rsid w:val="5C044AA9"/>
    <w:rsid w:val="5C1D42D4"/>
    <w:rsid w:val="5C370523"/>
    <w:rsid w:val="5C556587"/>
    <w:rsid w:val="5C617AB4"/>
    <w:rsid w:val="5C9F6F45"/>
    <w:rsid w:val="5CCC3817"/>
    <w:rsid w:val="5CD90F77"/>
    <w:rsid w:val="5CEE7379"/>
    <w:rsid w:val="5CF7587D"/>
    <w:rsid w:val="5CF761A1"/>
    <w:rsid w:val="5D202C7A"/>
    <w:rsid w:val="5D244668"/>
    <w:rsid w:val="5D3C274B"/>
    <w:rsid w:val="5D557CB0"/>
    <w:rsid w:val="5D630BD6"/>
    <w:rsid w:val="5D6A09FF"/>
    <w:rsid w:val="5D885990"/>
    <w:rsid w:val="5D8F6D1E"/>
    <w:rsid w:val="5DA12EF6"/>
    <w:rsid w:val="5DA76ADB"/>
    <w:rsid w:val="5DA85C35"/>
    <w:rsid w:val="5DBB7EFB"/>
    <w:rsid w:val="5DBE51D9"/>
    <w:rsid w:val="5DD41343"/>
    <w:rsid w:val="5DD755B5"/>
    <w:rsid w:val="5DFD2E6F"/>
    <w:rsid w:val="5E074636"/>
    <w:rsid w:val="5E1320AC"/>
    <w:rsid w:val="5E175BE4"/>
    <w:rsid w:val="5E2C3A69"/>
    <w:rsid w:val="5E330560"/>
    <w:rsid w:val="5E4478AB"/>
    <w:rsid w:val="5E4A0E97"/>
    <w:rsid w:val="5E4E049D"/>
    <w:rsid w:val="5E727476"/>
    <w:rsid w:val="5E79249B"/>
    <w:rsid w:val="5E8479A2"/>
    <w:rsid w:val="5EA22A81"/>
    <w:rsid w:val="5EB414F0"/>
    <w:rsid w:val="5EDC074D"/>
    <w:rsid w:val="5EDC0837"/>
    <w:rsid w:val="5EF521CD"/>
    <w:rsid w:val="5F3F4774"/>
    <w:rsid w:val="5F40407D"/>
    <w:rsid w:val="5F4D598F"/>
    <w:rsid w:val="5F577D10"/>
    <w:rsid w:val="5F7C32D2"/>
    <w:rsid w:val="5F8B6279"/>
    <w:rsid w:val="5FC23025"/>
    <w:rsid w:val="5FC76631"/>
    <w:rsid w:val="5FDD2606"/>
    <w:rsid w:val="60033344"/>
    <w:rsid w:val="603B35AC"/>
    <w:rsid w:val="60400243"/>
    <w:rsid w:val="604B0833"/>
    <w:rsid w:val="604F4E8B"/>
    <w:rsid w:val="606A5821"/>
    <w:rsid w:val="60787F3E"/>
    <w:rsid w:val="6088632C"/>
    <w:rsid w:val="609704A5"/>
    <w:rsid w:val="60DA6C43"/>
    <w:rsid w:val="60E46F03"/>
    <w:rsid w:val="60E617D0"/>
    <w:rsid w:val="60F10E6A"/>
    <w:rsid w:val="61001CE1"/>
    <w:rsid w:val="612D3FD5"/>
    <w:rsid w:val="61693D2A"/>
    <w:rsid w:val="61785D1C"/>
    <w:rsid w:val="6194471F"/>
    <w:rsid w:val="619F774C"/>
    <w:rsid w:val="61AC2CB9"/>
    <w:rsid w:val="61CD529E"/>
    <w:rsid w:val="61D24646"/>
    <w:rsid w:val="61EA6C19"/>
    <w:rsid w:val="61F41846"/>
    <w:rsid w:val="61FB3250"/>
    <w:rsid w:val="62263A59"/>
    <w:rsid w:val="622901AE"/>
    <w:rsid w:val="625137BA"/>
    <w:rsid w:val="625247BE"/>
    <w:rsid w:val="6252691E"/>
    <w:rsid w:val="629923ED"/>
    <w:rsid w:val="62C27942"/>
    <w:rsid w:val="62D834FA"/>
    <w:rsid w:val="62DC7913"/>
    <w:rsid w:val="62DF4377"/>
    <w:rsid w:val="62EE44E7"/>
    <w:rsid w:val="63016C8C"/>
    <w:rsid w:val="63021D41"/>
    <w:rsid w:val="63041F5D"/>
    <w:rsid w:val="630806B5"/>
    <w:rsid w:val="631812A3"/>
    <w:rsid w:val="635307EE"/>
    <w:rsid w:val="635A4483"/>
    <w:rsid w:val="636429FB"/>
    <w:rsid w:val="636447A9"/>
    <w:rsid w:val="63671A75"/>
    <w:rsid w:val="63750765"/>
    <w:rsid w:val="63903912"/>
    <w:rsid w:val="639C03E7"/>
    <w:rsid w:val="63B93146"/>
    <w:rsid w:val="63D862F0"/>
    <w:rsid w:val="63DA0F0F"/>
    <w:rsid w:val="64205156"/>
    <w:rsid w:val="642B176B"/>
    <w:rsid w:val="64351307"/>
    <w:rsid w:val="643F0D73"/>
    <w:rsid w:val="643F3E77"/>
    <w:rsid w:val="64722EF6"/>
    <w:rsid w:val="648A6492"/>
    <w:rsid w:val="64A76A95"/>
    <w:rsid w:val="64AC6DC5"/>
    <w:rsid w:val="64B36713"/>
    <w:rsid w:val="64EC0EFA"/>
    <w:rsid w:val="64F658D5"/>
    <w:rsid w:val="64FE478A"/>
    <w:rsid w:val="6511270F"/>
    <w:rsid w:val="653757DF"/>
    <w:rsid w:val="65451832"/>
    <w:rsid w:val="65476131"/>
    <w:rsid w:val="657D1B52"/>
    <w:rsid w:val="65BF3F07"/>
    <w:rsid w:val="65D04378"/>
    <w:rsid w:val="65DC0BCC"/>
    <w:rsid w:val="65DC3EBE"/>
    <w:rsid w:val="65E37D73"/>
    <w:rsid w:val="65EA1882"/>
    <w:rsid w:val="65F02272"/>
    <w:rsid w:val="65F03AB4"/>
    <w:rsid w:val="65FE7137"/>
    <w:rsid w:val="660202AA"/>
    <w:rsid w:val="661A0861"/>
    <w:rsid w:val="66342B59"/>
    <w:rsid w:val="667001CA"/>
    <w:rsid w:val="667058F8"/>
    <w:rsid w:val="667C26AB"/>
    <w:rsid w:val="66AA2E1B"/>
    <w:rsid w:val="66BB6DD6"/>
    <w:rsid w:val="66C079B6"/>
    <w:rsid w:val="66C33EDD"/>
    <w:rsid w:val="66CF63DE"/>
    <w:rsid w:val="66F35CB5"/>
    <w:rsid w:val="675114E9"/>
    <w:rsid w:val="6773320D"/>
    <w:rsid w:val="677B6565"/>
    <w:rsid w:val="678113E5"/>
    <w:rsid w:val="67B20BAC"/>
    <w:rsid w:val="67C147FE"/>
    <w:rsid w:val="67CE2B39"/>
    <w:rsid w:val="67D619EE"/>
    <w:rsid w:val="67E22141"/>
    <w:rsid w:val="67EB7247"/>
    <w:rsid w:val="67FF73B0"/>
    <w:rsid w:val="68014CBD"/>
    <w:rsid w:val="68024591"/>
    <w:rsid w:val="68081226"/>
    <w:rsid w:val="6809591F"/>
    <w:rsid w:val="68133BB0"/>
    <w:rsid w:val="68152516"/>
    <w:rsid w:val="68190258"/>
    <w:rsid w:val="68356714"/>
    <w:rsid w:val="6844177D"/>
    <w:rsid w:val="68444BA9"/>
    <w:rsid w:val="687B487C"/>
    <w:rsid w:val="68BF136E"/>
    <w:rsid w:val="68CC5AA8"/>
    <w:rsid w:val="68EA1700"/>
    <w:rsid w:val="68EC51F6"/>
    <w:rsid w:val="68FE744E"/>
    <w:rsid w:val="691427CE"/>
    <w:rsid w:val="69275AFC"/>
    <w:rsid w:val="69825989"/>
    <w:rsid w:val="699D4B24"/>
    <w:rsid w:val="69A73642"/>
    <w:rsid w:val="69C66F6D"/>
    <w:rsid w:val="69CA46A1"/>
    <w:rsid w:val="69E34A98"/>
    <w:rsid w:val="69F60125"/>
    <w:rsid w:val="6A022816"/>
    <w:rsid w:val="6A03526C"/>
    <w:rsid w:val="6A10568B"/>
    <w:rsid w:val="6A2922A9"/>
    <w:rsid w:val="6A5305D3"/>
    <w:rsid w:val="6A892D47"/>
    <w:rsid w:val="6AAA4903"/>
    <w:rsid w:val="6AAB7162"/>
    <w:rsid w:val="6ACA583A"/>
    <w:rsid w:val="6ACE37A8"/>
    <w:rsid w:val="6ADE7957"/>
    <w:rsid w:val="6B2A0087"/>
    <w:rsid w:val="6B300ACB"/>
    <w:rsid w:val="6B497214"/>
    <w:rsid w:val="6B6537B4"/>
    <w:rsid w:val="6B917F05"/>
    <w:rsid w:val="6B982F0A"/>
    <w:rsid w:val="6BB668DE"/>
    <w:rsid w:val="6BB86D8C"/>
    <w:rsid w:val="6BC86371"/>
    <w:rsid w:val="6BDD432C"/>
    <w:rsid w:val="6BF07522"/>
    <w:rsid w:val="6BF568E6"/>
    <w:rsid w:val="6C08629F"/>
    <w:rsid w:val="6C213482"/>
    <w:rsid w:val="6C37445C"/>
    <w:rsid w:val="6C6541BF"/>
    <w:rsid w:val="6C7015F6"/>
    <w:rsid w:val="6C823EF2"/>
    <w:rsid w:val="6C895281"/>
    <w:rsid w:val="6C9C3206"/>
    <w:rsid w:val="6CCF631B"/>
    <w:rsid w:val="6CD16A4E"/>
    <w:rsid w:val="6CDC5A58"/>
    <w:rsid w:val="6CE4695B"/>
    <w:rsid w:val="6D0C0889"/>
    <w:rsid w:val="6D196605"/>
    <w:rsid w:val="6D3671B7"/>
    <w:rsid w:val="6D611D5A"/>
    <w:rsid w:val="6D7D4DE5"/>
    <w:rsid w:val="6D8254CE"/>
    <w:rsid w:val="6D877A12"/>
    <w:rsid w:val="6D9D7B28"/>
    <w:rsid w:val="6DA96EE1"/>
    <w:rsid w:val="6DC42DC3"/>
    <w:rsid w:val="6DC5678C"/>
    <w:rsid w:val="6DC85463"/>
    <w:rsid w:val="6DCD3082"/>
    <w:rsid w:val="6DEB192D"/>
    <w:rsid w:val="6DFB21AE"/>
    <w:rsid w:val="6E0252EB"/>
    <w:rsid w:val="6E0E5A3E"/>
    <w:rsid w:val="6E364A4A"/>
    <w:rsid w:val="6E6E163B"/>
    <w:rsid w:val="6E873A42"/>
    <w:rsid w:val="6E891568"/>
    <w:rsid w:val="6ECE10DC"/>
    <w:rsid w:val="6EFA2466"/>
    <w:rsid w:val="6F0973D9"/>
    <w:rsid w:val="6F235519"/>
    <w:rsid w:val="6F4B0F13"/>
    <w:rsid w:val="6F543D73"/>
    <w:rsid w:val="6F751AEC"/>
    <w:rsid w:val="6F9A063F"/>
    <w:rsid w:val="6FAB13F9"/>
    <w:rsid w:val="6FB940CF"/>
    <w:rsid w:val="6FC860C0"/>
    <w:rsid w:val="6FCF3560"/>
    <w:rsid w:val="6FCF56A0"/>
    <w:rsid w:val="6FE253D4"/>
    <w:rsid w:val="6FF46EB5"/>
    <w:rsid w:val="7020414E"/>
    <w:rsid w:val="703B2D36"/>
    <w:rsid w:val="70422316"/>
    <w:rsid w:val="70626515"/>
    <w:rsid w:val="70661D98"/>
    <w:rsid w:val="70673009"/>
    <w:rsid w:val="706A53C9"/>
    <w:rsid w:val="706A7177"/>
    <w:rsid w:val="70A703CB"/>
    <w:rsid w:val="70C26305"/>
    <w:rsid w:val="70D65823"/>
    <w:rsid w:val="70DB1882"/>
    <w:rsid w:val="71025199"/>
    <w:rsid w:val="710B44B6"/>
    <w:rsid w:val="7124318C"/>
    <w:rsid w:val="7127004E"/>
    <w:rsid w:val="71347EB1"/>
    <w:rsid w:val="71431EA2"/>
    <w:rsid w:val="71470BB4"/>
    <w:rsid w:val="715249B6"/>
    <w:rsid w:val="716C2C03"/>
    <w:rsid w:val="716F2C97"/>
    <w:rsid w:val="716F713B"/>
    <w:rsid w:val="71822CBC"/>
    <w:rsid w:val="71A52E08"/>
    <w:rsid w:val="71A9001A"/>
    <w:rsid w:val="71B36BDE"/>
    <w:rsid w:val="71B94115"/>
    <w:rsid w:val="71C50B09"/>
    <w:rsid w:val="71C72AD3"/>
    <w:rsid w:val="71CA611F"/>
    <w:rsid w:val="71EA4A14"/>
    <w:rsid w:val="71FF4B3F"/>
    <w:rsid w:val="72161365"/>
    <w:rsid w:val="721E646B"/>
    <w:rsid w:val="72402885"/>
    <w:rsid w:val="72412E3C"/>
    <w:rsid w:val="72453D7A"/>
    <w:rsid w:val="72567ED6"/>
    <w:rsid w:val="7258197D"/>
    <w:rsid w:val="72766AE8"/>
    <w:rsid w:val="72876051"/>
    <w:rsid w:val="728A3B01"/>
    <w:rsid w:val="729C6D0C"/>
    <w:rsid w:val="72B166D3"/>
    <w:rsid w:val="72D03C09"/>
    <w:rsid w:val="72D10772"/>
    <w:rsid w:val="72DC22FF"/>
    <w:rsid w:val="72E11790"/>
    <w:rsid w:val="73155AC0"/>
    <w:rsid w:val="732A2620"/>
    <w:rsid w:val="732C3B21"/>
    <w:rsid w:val="7340625C"/>
    <w:rsid w:val="73433551"/>
    <w:rsid w:val="73682094"/>
    <w:rsid w:val="73854877"/>
    <w:rsid w:val="739764D5"/>
    <w:rsid w:val="73A75967"/>
    <w:rsid w:val="73A81128"/>
    <w:rsid w:val="73AF7CC3"/>
    <w:rsid w:val="73B42554"/>
    <w:rsid w:val="73BA2364"/>
    <w:rsid w:val="73BD0A2D"/>
    <w:rsid w:val="73ED4347"/>
    <w:rsid w:val="73F7204E"/>
    <w:rsid w:val="740102E5"/>
    <w:rsid w:val="740B64C9"/>
    <w:rsid w:val="74281823"/>
    <w:rsid w:val="7456013E"/>
    <w:rsid w:val="745919DD"/>
    <w:rsid w:val="747060A2"/>
    <w:rsid w:val="7472484C"/>
    <w:rsid w:val="74744A68"/>
    <w:rsid w:val="74C7051B"/>
    <w:rsid w:val="74CA127A"/>
    <w:rsid w:val="74D80B53"/>
    <w:rsid w:val="74EA7AEE"/>
    <w:rsid w:val="7501067A"/>
    <w:rsid w:val="750F102B"/>
    <w:rsid w:val="75581C94"/>
    <w:rsid w:val="75790588"/>
    <w:rsid w:val="758067FF"/>
    <w:rsid w:val="75882579"/>
    <w:rsid w:val="75A650F5"/>
    <w:rsid w:val="75A66EA3"/>
    <w:rsid w:val="75B82733"/>
    <w:rsid w:val="76013A06"/>
    <w:rsid w:val="76100CE4"/>
    <w:rsid w:val="762D1373"/>
    <w:rsid w:val="764B35A7"/>
    <w:rsid w:val="764B4F6C"/>
    <w:rsid w:val="766703E1"/>
    <w:rsid w:val="766A1C7F"/>
    <w:rsid w:val="76876CD5"/>
    <w:rsid w:val="768C0AA2"/>
    <w:rsid w:val="769767EC"/>
    <w:rsid w:val="76B25806"/>
    <w:rsid w:val="76DB0DCF"/>
    <w:rsid w:val="76FD461C"/>
    <w:rsid w:val="77043E82"/>
    <w:rsid w:val="7722255A"/>
    <w:rsid w:val="77302EC9"/>
    <w:rsid w:val="77422BFC"/>
    <w:rsid w:val="77455983"/>
    <w:rsid w:val="77472A61"/>
    <w:rsid w:val="77674410"/>
    <w:rsid w:val="77884AB3"/>
    <w:rsid w:val="77951E3F"/>
    <w:rsid w:val="77A5600B"/>
    <w:rsid w:val="77BC650A"/>
    <w:rsid w:val="77D53A70"/>
    <w:rsid w:val="78041C18"/>
    <w:rsid w:val="781718FB"/>
    <w:rsid w:val="782701BA"/>
    <w:rsid w:val="78312715"/>
    <w:rsid w:val="785C7CED"/>
    <w:rsid w:val="7880578A"/>
    <w:rsid w:val="78972A80"/>
    <w:rsid w:val="78EF6670"/>
    <w:rsid w:val="790740FD"/>
    <w:rsid w:val="79152C95"/>
    <w:rsid w:val="791A64FA"/>
    <w:rsid w:val="793D7B1F"/>
    <w:rsid w:val="79440C77"/>
    <w:rsid w:val="79515378"/>
    <w:rsid w:val="795F3BE5"/>
    <w:rsid w:val="79857CAF"/>
    <w:rsid w:val="79B17BC5"/>
    <w:rsid w:val="79C344C3"/>
    <w:rsid w:val="79D82C55"/>
    <w:rsid w:val="7A0A0217"/>
    <w:rsid w:val="7A0B19CB"/>
    <w:rsid w:val="7A140880"/>
    <w:rsid w:val="7A1F0FD2"/>
    <w:rsid w:val="7A3178BD"/>
    <w:rsid w:val="7A460C55"/>
    <w:rsid w:val="7A4A3FB0"/>
    <w:rsid w:val="7A565CD5"/>
    <w:rsid w:val="7A6366BC"/>
    <w:rsid w:val="7A8C1265"/>
    <w:rsid w:val="7AB91427"/>
    <w:rsid w:val="7AC313B8"/>
    <w:rsid w:val="7AC878BC"/>
    <w:rsid w:val="7AF414C8"/>
    <w:rsid w:val="7AFD1314"/>
    <w:rsid w:val="7B146F90"/>
    <w:rsid w:val="7B266D5A"/>
    <w:rsid w:val="7B274714"/>
    <w:rsid w:val="7B2C2464"/>
    <w:rsid w:val="7B51165F"/>
    <w:rsid w:val="7B5551A9"/>
    <w:rsid w:val="7B6E3FBF"/>
    <w:rsid w:val="7B6E69AF"/>
    <w:rsid w:val="7B9300E3"/>
    <w:rsid w:val="7B960870"/>
    <w:rsid w:val="7BA43E85"/>
    <w:rsid w:val="7BA619AB"/>
    <w:rsid w:val="7BAA63B7"/>
    <w:rsid w:val="7BBC37BE"/>
    <w:rsid w:val="7BBF0DF2"/>
    <w:rsid w:val="7BC56B64"/>
    <w:rsid w:val="7BEC3554"/>
    <w:rsid w:val="7BFB4F84"/>
    <w:rsid w:val="7C1E2AFE"/>
    <w:rsid w:val="7C2D0429"/>
    <w:rsid w:val="7C51083B"/>
    <w:rsid w:val="7C683105"/>
    <w:rsid w:val="7C86358B"/>
    <w:rsid w:val="7C977546"/>
    <w:rsid w:val="7C991510"/>
    <w:rsid w:val="7CA860A6"/>
    <w:rsid w:val="7CE252D4"/>
    <w:rsid w:val="7CE81B50"/>
    <w:rsid w:val="7D360B0D"/>
    <w:rsid w:val="7D4F1016"/>
    <w:rsid w:val="7D5B7021"/>
    <w:rsid w:val="7D797D2B"/>
    <w:rsid w:val="7D99109C"/>
    <w:rsid w:val="7D9D293A"/>
    <w:rsid w:val="7DB00018"/>
    <w:rsid w:val="7DB859C6"/>
    <w:rsid w:val="7DC03851"/>
    <w:rsid w:val="7DC819B4"/>
    <w:rsid w:val="7DE95B7F"/>
    <w:rsid w:val="7DEF1AF2"/>
    <w:rsid w:val="7DF67AAE"/>
    <w:rsid w:val="7E2D63B4"/>
    <w:rsid w:val="7E417769"/>
    <w:rsid w:val="7E4B05E8"/>
    <w:rsid w:val="7E5C27F5"/>
    <w:rsid w:val="7E5E47BF"/>
    <w:rsid w:val="7E620E42"/>
    <w:rsid w:val="7E6D67B0"/>
    <w:rsid w:val="7E75366D"/>
    <w:rsid w:val="7E993FC4"/>
    <w:rsid w:val="7EA321D2"/>
    <w:rsid w:val="7EC5219F"/>
    <w:rsid w:val="7EDC56E4"/>
    <w:rsid w:val="7EE12CFA"/>
    <w:rsid w:val="7EF26CB5"/>
    <w:rsid w:val="7F0215EE"/>
    <w:rsid w:val="7F1F5BC8"/>
    <w:rsid w:val="7F405C73"/>
    <w:rsid w:val="7F654E6F"/>
    <w:rsid w:val="7F820D13"/>
    <w:rsid w:val="7F8C2C66"/>
    <w:rsid w:val="7F9B33F2"/>
    <w:rsid w:val="7FA46972"/>
    <w:rsid w:val="7FC93EBA"/>
    <w:rsid w:val="7FD27237"/>
    <w:rsid w:val="7FDA60C7"/>
    <w:rsid w:val="7FDF548C"/>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6">
    <w:name w:val="heading 2"/>
    <w:basedOn w:val="1"/>
    <w:next w:val="7"/>
    <w:autoRedefine/>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paragraph" w:styleId="9">
    <w:name w:val="heading 3"/>
    <w:basedOn w:val="1"/>
    <w:next w:val="1"/>
    <w:autoRedefine/>
    <w:unhideWhenUsed/>
    <w:qFormat/>
    <w:uiPriority w:val="0"/>
    <w:pPr>
      <w:keepNext/>
      <w:keepLines/>
      <w:spacing w:before="260" w:after="260" w:line="416" w:lineRule="auto"/>
      <w:ind w:firstLine="200" w:firstLineChars="200"/>
      <w:outlineLvl w:val="2"/>
    </w:pPr>
    <w:rPr>
      <w:b/>
      <w:bCs/>
      <w:sz w:val="32"/>
      <w:szCs w:val="32"/>
    </w:rPr>
  </w:style>
  <w:style w:type="paragraph" w:styleId="10">
    <w:name w:val="heading 4"/>
    <w:basedOn w:val="1"/>
    <w:next w:val="1"/>
    <w:autoRedefine/>
    <w:qFormat/>
    <w:uiPriority w:val="0"/>
    <w:pPr>
      <w:keepNext/>
      <w:keepLines/>
      <w:numPr>
        <w:ilvl w:val="3"/>
        <w:numId w:val="1"/>
      </w:numPr>
      <w:spacing w:before="280" w:beforeLines="0" w:beforeAutospacing="0" w:after="290" w:afterLines="0" w:afterAutospacing="0" w:line="372" w:lineRule="auto"/>
      <w:ind w:left="1364" w:hanging="864"/>
      <w:outlineLvl w:val="3"/>
    </w:pPr>
    <w:rPr>
      <w:rFonts w:ascii="Arial" w:hAnsi="Arial" w:eastAsia="黑体"/>
      <w:b/>
      <w:sz w:val="28"/>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3"/>
    <w:next w:val="4"/>
    <w:autoRedefine/>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3">
    <w:name w:val="文本"/>
    <w:basedOn w:val="1"/>
    <w:next w:val="1"/>
    <w:autoRedefine/>
    <w:qFormat/>
    <w:uiPriority w:val="0"/>
    <w:pPr>
      <w:autoSpaceDE w:val="0"/>
      <w:autoSpaceDN w:val="0"/>
      <w:ind w:firstLine="480"/>
    </w:pPr>
    <w:rPr>
      <w:rFonts w:cs="Times New Roman"/>
      <w:szCs w:val="24"/>
      <w:lang w:val="zh-CN"/>
    </w:rPr>
  </w:style>
  <w:style w:type="paragraph" w:styleId="4">
    <w:name w:val="toc 9"/>
    <w:basedOn w:val="1"/>
    <w:next w:val="1"/>
    <w:autoRedefine/>
    <w:qFormat/>
    <w:uiPriority w:val="0"/>
    <w:pPr>
      <w:wordWrap w:val="0"/>
      <w:spacing w:line="240" w:lineRule="auto"/>
      <w:ind w:left="2975"/>
    </w:pPr>
    <w:rPr>
      <w:rFonts w:cs="Times New Roman"/>
      <w:sz w:val="21"/>
      <w:szCs w:val="22"/>
    </w:rPr>
  </w:style>
  <w:style w:type="paragraph" w:styleId="7">
    <w:name w:val="Normal Indent"/>
    <w:basedOn w:val="1"/>
    <w:next w:val="8"/>
    <w:autoRedefine/>
    <w:qFormat/>
    <w:uiPriority w:val="0"/>
    <w:pPr>
      <w:ind w:firstLine="420" w:firstLineChars="200"/>
    </w:pPr>
    <w:rPr>
      <w:szCs w:val="20"/>
    </w:rPr>
  </w:style>
  <w:style w:type="paragraph" w:styleId="8">
    <w:name w:val="Body Text First Indent 2"/>
    <w:basedOn w:val="1"/>
    <w:next w:val="1"/>
    <w:autoRedefine/>
    <w:semiHidden/>
    <w:qFormat/>
    <w:uiPriority w:val="0"/>
    <w:pPr>
      <w:tabs>
        <w:tab w:val="left" w:pos="1364"/>
      </w:tabs>
      <w:ind w:firstLine="420" w:firstLineChars="200"/>
    </w:pPr>
  </w:style>
  <w:style w:type="paragraph" w:styleId="11">
    <w:name w:val="table of authorities"/>
    <w:basedOn w:val="1"/>
    <w:next w:val="1"/>
    <w:qFormat/>
    <w:uiPriority w:val="0"/>
    <w:pPr>
      <w:ind w:left="420" w:leftChars="200"/>
    </w:pPr>
  </w:style>
  <w:style w:type="paragraph" w:styleId="12">
    <w:name w:val="caption"/>
    <w:basedOn w:val="1"/>
    <w:next w:val="1"/>
    <w:autoRedefine/>
    <w:qFormat/>
    <w:uiPriority w:val="0"/>
    <w:rPr>
      <w:rFonts w:ascii="Cambria" w:hAnsi="Cambria" w:eastAsia="黑体"/>
      <w:sz w:val="20"/>
      <w:szCs w:val="20"/>
    </w:rPr>
  </w:style>
  <w:style w:type="paragraph" w:styleId="13">
    <w:name w:val="annotation text"/>
    <w:basedOn w:val="1"/>
    <w:autoRedefine/>
    <w:qFormat/>
    <w:uiPriority w:val="0"/>
    <w:pPr>
      <w:jc w:val="left"/>
    </w:pPr>
  </w:style>
  <w:style w:type="paragraph" w:styleId="14">
    <w:name w:val="Body Text"/>
    <w:basedOn w:val="1"/>
    <w:next w:val="1"/>
    <w:autoRedefine/>
    <w:qFormat/>
    <w:uiPriority w:val="0"/>
    <w:pPr>
      <w:spacing w:after="120" w:afterLines="0" w:afterAutospacing="0"/>
    </w:pPr>
  </w:style>
  <w:style w:type="paragraph" w:styleId="15">
    <w:name w:val="Body Text Indent"/>
    <w:basedOn w:val="1"/>
    <w:next w:val="16"/>
    <w:autoRedefine/>
    <w:qFormat/>
    <w:uiPriority w:val="0"/>
    <w:pPr>
      <w:spacing w:after="120"/>
      <w:ind w:left="420" w:leftChars="200"/>
    </w:pPr>
    <w:rPr>
      <w:kern w:val="0"/>
      <w:sz w:val="24"/>
      <w:szCs w:val="20"/>
    </w:rPr>
  </w:style>
  <w:style w:type="paragraph" w:styleId="16">
    <w:name w:val="Body Text Indent 2"/>
    <w:basedOn w:val="1"/>
    <w:next w:val="8"/>
    <w:autoRedefine/>
    <w:qFormat/>
    <w:uiPriority w:val="0"/>
    <w:pPr>
      <w:spacing w:before="120"/>
      <w:ind w:firstLine="527"/>
    </w:pPr>
    <w:rPr>
      <w:szCs w:val="20"/>
    </w:rPr>
  </w:style>
  <w:style w:type="paragraph" w:styleId="17">
    <w:name w:val="List Bullet 5"/>
    <w:basedOn w:val="1"/>
    <w:autoRedefine/>
    <w:qFormat/>
    <w:uiPriority w:val="0"/>
    <w:pPr>
      <w:numPr>
        <w:ilvl w:val="0"/>
        <w:numId w:val="2"/>
      </w:numPr>
    </w:pPr>
  </w:style>
  <w:style w:type="paragraph" w:styleId="18">
    <w:name w:val="footer"/>
    <w:basedOn w:val="1"/>
    <w:autoRedefine/>
    <w:qFormat/>
    <w:uiPriority w:val="0"/>
    <w:pPr>
      <w:tabs>
        <w:tab w:val="center" w:pos="4153"/>
        <w:tab w:val="right" w:pos="8306"/>
      </w:tabs>
      <w:snapToGrid w:val="0"/>
      <w:jc w:val="left"/>
    </w:pPr>
    <w:rPr>
      <w:sz w:val="18"/>
    </w:rPr>
  </w:style>
  <w:style w:type="paragraph" w:styleId="19">
    <w:name w:val="envelope return"/>
    <w:basedOn w:val="1"/>
    <w:qFormat/>
    <w:uiPriority w:val="0"/>
    <w:pPr>
      <w:snapToGrid w:val="0"/>
      <w:spacing w:line="480" w:lineRule="exact"/>
    </w:pPr>
    <w:rPr>
      <w:rFonts w:ascii="Arial" w:hAnsi="Arial" w:cs="Arial"/>
      <w:szCs w:val="24"/>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autoRedefine/>
    <w:qFormat/>
    <w:uiPriority w:val="0"/>
    <w:pPr>
      <w:spacing w:line="400" w:lineRule="exact"/>
    </w:pPr>
    <w:rPr>
      <w:szCs w:val="21"/>
    </w:rPr>
  </w:style>
  <w:style w:type="paragraph" w:styleId="22">
    <w:name w:val="Body Text First Indent"/>
    <w:basedOn w:val="1"/>
    <w:autoRedefine/>
    <w:qFormat/>
    <w:uiPriority w:val="0"/>
    <w:pPr>
      <w:ind w:firstLine="200" w:firstLineChars="200"/>
    </w:pPr>
    <w:rPr>
      <w:rFonts w:ascii="Times New Roman" w:hAnsi="Times New Roman"/>
      <w:lang w:eastAsia="en-US"/>
    </w:rPr>
  </w:style>
  <w:style w:type="table" w:styleId="24">
    <w:name w:val="Table Grid"/>
    <w:basedOn w:val="23"/>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rPr>
  </w:style>
  <w:style w:type="character" w:styleId="27">
    <w:name w:val="FollowedHyperlink"/>
    <w:basedOn w:val="25"/>
    <w:autoRedefine/>
    <w:qFormat/>
    <w:uiPriority w:val="0"/>
    <w:rPr>
      <w:color w:val="333333"/>
      <w:u w:val="none"/>
    </w:rPr>
  </w:style>
  <w:style w:type="character" w:styleId="28">
    <w:name w:val="Emphasis"/>
    <w:basedOn w:val="25"/>
    <w:autoRedefine/>
    <w:qFormat/>
    <w:uiPriority w:val="0"/>
  </w:style>
  <w:style w:type="character" w:styleId="29">
    <w:name w:val="Hyperlink"/>
    <w:basedOn w:val="25"/>
    <w:autoRedefine/>
    <w:qFormat/>
    <w:uiPriority w:val="0"/>
    <w:rPr>
      <w:color w:val="0000FF"/>
      <w:u w:val="single"/>
    </w:rPr>
  </w:style>
  <w:style w:type="character" w:styleId="30">
    <w:name w:val="annotation reference"/>
    <w:autoRedefine/>
    <w:semiHidden/>
    <w:qFormat/>
    <w:uiPriority w:val="0"/>
    <w:rPr>
      <w:sz w:val="21"/>
    </w:rPr>
  </w:style>
  <w:style w:type="character" w:styleId="31">
    <w:name w:val="HTML Cite"/>
    <w:basedOn w:val="25"/>
    <w:autoRedefine/>
    <w:qFormat/>
    <w:uiPriority w:val="0"/>
    <w:rPr>
      <w:color w:val="999999"/>
      <w:sz w:val="18"/>
      <w:szCs w:val="18"/>
    </w:rPr>
  </w:style>
  <w:style w:type="paragraph" w:customStyle="1" w:styleId="32">
    <w:name w:val="xl27"/>
    <w:basedOn w:val="1"/>
    <w:next w:val="33"/>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3">
    <w:name w:val="A正文"/>
    <w:basedOn w:val="1"/>
    <w:autoRedefine/>
    <w:qFormat/>
    <w:uiPriority w:val="0"/>
    <w:pPr>
      <w:spacing w:line="360" w:lineRule="auto"/>
      <w:ind w:firstLine="480" w:firstLineChars="200"/>
    </w:pPr>
    <w:rPr>
      <w:rFonts w:ascii="Times New Roman" w:hAnsi="Times New Roman"/>
      <w:kern w:val="0"/>
      <w:sz w:val="24"/>
      <w:szCs w:val="24"/>
    </w:rPr>
  </w:style>
  <w:style w:type="paragraph" w:customStyle="1" w:styleId="34">
    <w:name w:val="Default1"/>
    <w:basedOn w:val="35"/>
    <w:next w:val="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
    <w:name w:val="Normal_14_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36">
    <w:name w:val="正文1"/>
    <w:basedOn w:val="7"/>
    <w:autoRedefine/>
    <w:qFormat/>
    <w:uiPriority w:val="0"/>
    <w:pPr>
      <w:adjustRightInd w:val="0"/>
      <w:snapToGrid w:val="0"/>
      <w:spacing w:line="360" w:lineRule="auto"/>
      <w:ind w:firstLine="482"/>
    </w:pPr>
    <w:rPr>
      <w:rFonts w:ascii="宋体" w:hAnsi="宋体"/>
      <w:snapToGrid w:val="0"/>
      <w:kern w:val="0"/>
      <w:sz w:val="24"/>
    </w:rPr>
  </w:style>
  <w:style w:type="paragraph" w:customStyle="1" w:styleId="37">
    <w:name w:val="样式 正文文本缩进 + 行距: 1.5 倍行距"/>
    <w:basedOn w:val="1"/>
    <w:autoRedefine/>
    <w:qFormat/>
    <w:uiPriority w:val="0"/>
    <w:pPr>
      <w:spacing w:after="120" w:line="360" w:lineRule="auto"/>
      <w:ind w:left="90" w:leftChars="32" w:firstLine="560" w:firstLineChars="200"/>
    </w:pPr>
    <w:rPr>
      <w:rFonts w:cs="宋体"/>
    </w:rPr>
  </w:style>
  <w:style w:type="paragraph" w:customStyle="1" w:styleId="38">
    <w:name w:val="样式3"/>
    <w:basedOn w:val="21"/>
    <w:next w:val="39"/>
    <w:autoRedefine/>
    <w:qFormat/>
    <w:uiPriority w:val="0"/>
    <w:pPr>
      <w:autoSpaceDE w:val="0"/>
      <w:autoSpaceDN w:val="0"/>
      <w:snapToGrid w:val="0"/>
      <w:spacing w:before="120" w:line="460" w:lineRule="atLeast"/>
      <w:jc w:val="center"/>
    </w:pPr>
    <w:rPr>
      <w:rFonts w:eastAsia="黑体"/>
      <w:sz w:val="28"/>
    </w:rPr>
  </w:style>
  <w:style w:type="paragraph" w:customStyle="1" w:styleId="39">
    <w:name w:val="目录 53"/>
    <w:basedOn w:val="1"/>
    <w:next w:val="1"/>
    <w:autoRedefine/>
    <w:qFormat/>
    <w:uiPriority w:val="0"/>
    <w:pPr>
      <w:ind w:left="840"/>
    </w:pPr>
    <w:rPr>
      <w:rFonts w:cs="宋体"/>
      <w:color w:val="000000"/>
    </w:rPr>
  </w:style>
  <w:style w:type="paragraph" w:customStyle="1" w:styleId="40">
    <w:name w:val="标题2"/>
    <w:basedOn w:val="1"/>
    <w:next w:val="1"/>
    <w:autoRedefine/>
    <w:qFormat/>
    <w:uiPriority w:val="0"/>
    <w:pPr>
      <w:autoSpaceDE w:val="0"/>
      <w:autoSpaceDN w:val="0"/>
      <w:snapToGrid w:val="0"/>
      <w:spacing w:line="590" w:lineRule="atLeast"/>
      <w:jc w:val="center"/>
    </w:pPr>
    <w:rPr>
      <w:rFonts w:eastAsia="方正楷体_GBK"/>
      <w:snapToGrid w:val="0"/>
      <w:kern w:val="0"/>
      <w:sz w:val="32"/>
    </w:rPr>
  </w:style>
  <w:style w:type="paragraph" w:customStyle="1" w:styleId="41">
    <w:name w:val="表格"/>
    <w:basedOn w:val="12"/>
    <w:next w:val="1"/>
    <w:link w:val="42"/>
    <w:autoRedefine/>
    <w:qFormat/>
    <w:uiPriority w:val="0"/>
    <w:pPr>
      <w:spacing w:line="240" w:lineRule="auto"/>
      <w:jc w:val="center"/>
    </w:pPr>
    <w:rPr>
      <w:rFonts w:hint="default" w:ascii="Times New Roman" w:hAnsi="Times New Roman" w:eastAsia="宋体" w:cs="宋体"/>
      <w:sz w:val="21"/>
    </w:rPr>
  </w:style>
  <w:style w:type="character" w:customStyle="1" w:styleId="42">
    <w:name w:val="表格 Char"/>
    <w:link w:val="41"/>
    <w:autoRedefine/>
    <w:qFormat/>
    <w:uiPriority w:val="0"/>
    <w:rPr>
      <w:rFonts w:hint="default" w:ascii="Times New Roman" w:hAnsi="Times New Roman" w:eastAsia="宋体" w:cs="宋体"/>
      <w:sz w:val="21"/>
    </w:rPr>
  </w:style>
  <w:style w:type="paragraph" w:customStyle="1" w:styleId="43">
    <w:name w:val="正文部分"/>
    <w:link w:val="46"/>
    <w:autoRedefine/>
    <w:qFormat/>
    <w:uiPriority w:val="0"/>
    <w:pPr>
      <w:spacing w:line="360" w:lineRule="auto"/>
      <w:ind w:firstLine="1440" w:firstLineChars="200"/>
    </w:pPr>
    <w:rPr>
      <w:rFonts w:ascii="Times New Roman" w:hAnsi="Times New Roman" w:eastAsia="宋体" w:cs="Times New Roman"/>
      <w:sz w:val="24"/>
    </w:rPr>
  </w:style>
  <w:style w:type="paragraph" w:customStyle="1" w:styleId="44">
    <w:name w:val="表头"/>
    <w:basedOn w:val="7"/>
    <w:autoRedefine/>
    <w:qFormat/>
    <w:uiPriority w:val="0"/>
    <w:pPr>
      <w:spacing w:line="360" w:lineRule="auto"/>
      <w:jc w:val="center"/>
    </w:pPr>
    <w:rPr>
      <w:rFonts w:hint="eastAsia" w:ascii="Times New Roman" w:hAnsi="Times New Roman" w:eastAsia="宋体" w:cs="Times New Roman"/>
      <w:b/>
      <w:sz w:val="24"/>
    </w:rPr>
  </w:style>
  <w:style w:type="paragraph" w:customStyle="1" w:styleId="45">
    <w:name w:val="WPSOffice手动目录 1"/>
    <w:autoRedefine/>
    <w:qFormat/>
    <w:uiPriority w:val="0"/>
    <w:pPr>
      <w:ind w:leftChars="0"/>
    </w:pPr>
    <w:rPr>
      <w:rFonts w:asciiTheme="minorHAnsi" w:hAnsiTheme="minorHAnsi" w:eastAsiaTheme="minorEastAsia" w:cstheme="minorBidi"/>
      <w:sz w:val="20"/>
      <w:szCs w:val="20"/>
    </w:rPr>
  </w:style>
  <w:style w:type="character" w:customStyle="1" w:styleId="46">
    <w:name w:val="正文部分 Char"/>
    <w:link w:val="43"/>
    <w:autoRedefine/>
    <w:qFormat/>
    <w:uiPriority w:val="0"/>
    <w:rPr>
      <w:rFonts w:ascii="Times New Roman" w:hAnsi="Times New Roman" w:eastAsia="宋体" w:cs="Times New Roman"/>
      <w:sz w:val="24"/>
    </w:rPr>
  </w:style>
  <w:style w:type="table" w:customStyle="1" w:styleId="47">
    <w:name w:val="Table Normal"/>
    <w:autoRedefine/>
    <w:unhideWhenUsed/>
    <w:qFormat/>
    <w:uiPriority w:val="2"/>
    <w:pPr>
      <w:widowControl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48">
    <w:name w:val="! 表中"/>
    <w:autoRedefine/>
    <w:qFormat/>
    <w:uiPriority w:val="0"/>
    <w:pPr>
      <w:overflowPunct w:val="0"/>
      <w:autoSpaceDE w:val="0"/>
      <w:autoSpaceDN w:val="0"/>
      <w:adjustRightInd w:val="0"/>
      <w:snapToGrid w:val="0"/>
      <w:jc w:val="center"/>
      <w:textAlignment w:val="baseline"/>
    </w:pPr>
    <w:rPr>
      <w:rFonts w:ascii="Times New Roman" w:hAnsi="Times New Roman" w:eastAsia="宋体" w:cs="Times New Roman"/>
      <w:sz w:val="18"/>
      <w:lang w:val="en-US" w:eastAsia="zh-CN" w:bidi="ar-SA"/>
    </w:rPr>
  </w:style>
  <w:style w:type="character" w:customStyle="1" w:styleId="49">
    <w:name w:val="font21"/>
    <w:basedOn w:val="25"/>
    <w:autoRedefine/>
    <w:qFormat/>
    <w:uiPriority w:val="0"/>
    <w:rPr>
      <w:rFonts w:hint="default" w:ascii="Times New Roman" w:hAnsi="Times New Roman" w:cs="Times New Roman"/>
      <w:color w:val="000000"/>
      <w:sz w:val="21"/>
      <w:szCs w:val="21"/>
      <w:u w:val="none"/>
      <w:vertAlign w:val="superscript"/>
    </w:rPr>
  </w:style>
  <w:style w:type="paragraph" w:customStyle="1" w:styleId="50">
    <w:name w:val="表格内容Q"/>
    <w:basedOn w:val="1"/>
    <w:autoRedefine/>
    <w:qFormat/>
    <w:uiPriority w:val="0"/>
    <w:pPr>
      <w:jc w:val="center"/>
    </w:pPr>
    <w:rPr>
      <w:kern w:val="0"/>
      <w:szCs w:val="21"/>
    </w:rPr>
  </w:style>
  <w:style w:type="paragraph" w:customStyle="1" w:styleId="51">
    <w:name w:val="Table Paragraph"/>
    <w:basedOn w:val="1"/>
    <w:next w:val="1"/>
    <w:autoRedefine/>
    <w:qFormat/>
    <w:uiPriority w:val="1"/>
    <w:rPr>
      <w:rFonts w:ascii="仿宋_GB2312" w:hAnsi="仿宋_GB2312" w:eastAsia="仿宋_GB2312" w:cs="仿宋_GB2312"/>
    </w:rPr>
  </w:style>
  <w:style w:type="paragraph" w:customStyle="1" w:styleId="52">
    <w:name w:val="Table Text"/>
    <w:basedOn w:val="1"/>
    <w:autoRedefine/>
    <w:semiHidden/>
    <w:qFormat/>
    <w:uiPriority w:val="0"/>
    <w:rPr>
      <w:rFonts w:ascii="宋体" w:hAnsi="宋体" w:eastAsia="宋体" w:cs="宋体"/>
      <w:sz w:val="20"/>
      <w:szCs w:val="20"/>
      <w:lang w:val="en-US" w:eastAsia="en-US" w:bidi="ar-SA"/>
    </w:rPr>
  </w:style>
  <w:style w:type="paragraph" w:customStyle="1" w:styleId="53">
    <w:name w:val="正文文本缩进 31"/>
    <w:basedOn w:val="1"/>
    <w:autoRedefine/>
    <w:qFormat/>
    <w:uiPriority w:val="0"/>
    <w:pPr>
      <w:spacing w:line="540" w:lineRule="exact"/>
      <w:ind w:firstLine="480" w:firstLineChars="200"/>
    </w:pPr>
    <w:rPr>
      <w:rFonts w:ascii="宋体"/>
      <w:sz w:val="24"/>
    </w:rPr>
  </w:style>
  <w:style w:type="paragraph" w:customStyle="1" w:styleId="54">
    <w:name w:val="环评正文"/>
    <w:basedOn w:val="1"/>
    <w:autoRedefine/>
    <w:qFormat/>
    <w:uiPriority w:val="0"/>
    <w:pPr>
      <w:spacing w:beforeLines="30"/>
      <w:ind w:firstLine="480" w:firstLineChars="200"/>
    </w:pPr>
    <w:rPr>
      <w:rFonts w:ascii="Tahoma" w:hAnsi="Tahoma" w:cs="Tahoma"/>
      <w:kern w:val="0"/>
      <w:sz w:val="24"/>
    </w:rPr>
  </w:style>
  <w:style w:type="paragraph" w:customStyle="1" w:styleId="55">
    <w:name w:val="A标题"/>
    <w:basedOn w:val="33"/>
    <w:autoRedefine/>
    <w:qFormat/>
    <w:uiPriority w:val="0"/>
    <w:pPr>
      <w:ind w:firstLine="482"/>
    </w:pPr>
    <w:rPr>
      <w:b/>
      <w:color w:val="000000"/>
    </w:rPr>
  </w:style>
  <w:style w:type="character" w:customStyle="1" w:styleId="56">
    <w:name w:val="first-child"/>
    <w:basedOn w:val="25"/>
    <w:autoRedefine/>
    <w:qFormat/>
    <w:uiPriority w:val="0"/>
  </w:style>
  <w:style w:type="character" w:customStyle="1" w:styleId="57">
    <w:name w:val="layui-layer-tabnow"/>
    <w:basedOn w:val="25"/>
    <w:autoRedefine/>
    <w:qFormat/>
    <w:uiPriority w:val="0"/>
    <w:rPr>
      <w:bdr w:val="single" w:color="CCCCCC" w:sz="6" w:space="0"/>
      <w:shd w:val="clear" w:fill="FFFFFF"/>
    </w:rPr>
  </w:style>
  <w:style w:type="paragraph" w:customStyle="1" w:styleId="58">
    <w:name w:val="表内"/>
    <w:basedOn w:val="11"/>
    <w:qFormat/>
    <w:uiPriority w:val="0"/>
    <w:pPr>
      <w:spacing w:line="240" w:lineRule="auto"/>
      <w:ind w:firstLine="0" w:firstLineChars="0"/>
      <w:jc w:val="center"/>
    </w:pPr>
    <w:rPr>
      <w:sz w:val="21"/>
    </w:rPr>
  </w:style>
  <w:style w:type="paragraph" w:customStyle="1" w:styleId="59">
    <w:name w:val="正文文本，表格"/>
    <w:basedOn w:val="1"/>
    <w:qFormat/>
    <w:uiPriority w:val="0"/>
    <w:pPr>
      <w:jc w:val="center"/>
    </w:pPr>
    <w:rPr>
      <w:rFonts w:cs="宋体"/>
      <w:szCs w:val="21"/>
    </w:rPr>
  </w:style>
  <w:style w:type="paragraph" w:customStyle="1" w:styleId="60">
    <w:name w:val="表内容"/>
    <w:basedOn w:val="1"/>
    <w:next w:val="1"/>
    <w:qFormat/>
    <w:uiPriority w:val="0"/>
    <w:pPr>
      <w:spacing w:line="240" w:lineRule="auto"/>
      <w:jc w:val="center"/>
    </w:pPr>
    <w:rPr>
      <w:sz w:val="21"/>
    </w:rPr>
  </w:style>
  <w:style w:type="paragraph" w:customStyle="1" w:styleId="61">
    <w:name w:val="0正文"/>
    <w:unhideWhenUsed/>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character" w:customStyle="1" w:styleId="62">
    <w:name w:val="font31"/>
    <w:basedOn w:val="25"/>
    <w:qFormat/>
    <w:uiPriority w:val="0"/>
    <w:rPr>
      <w:rFonts w:hint="default" w:ascii="Times New Roman" w:hAnsi="Times New Roman" w:cs="Times New Roman"/>
      <w:color w:val="000000"/>
      <w:sz w:val="21"/>
      <w:szCs w:val="21"/>
      <w:u w:val="none"/>
      <w:vertAlign w:val="subscript"/>
    </w:rPr>
  </w:style>
  <w:style w:type="paragraph" w:customStyle="1" w:styleId="63">
    <w:name w:val="msolistparagraph"/>
    <w:basedOn w:val="1"/>
    <w:qFormat/>
    <w:uiPriority w:val="0"/>
    <w:pPr>
      <w:ind w:firstLine="420"/>
    </w:pPr>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3" Type="http://schemas.microsoft.com/office/2011/relationships/people" Target="people.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18.png"/><Relationship Id="rId28" Type="http://schemas.openxmlformats.org/officeDocument/2006/relationships/image" Target="media/image17.wmf"/><Relationship Id="rId27" Type="http://schemas.openxmlformats.org/officeDocument/2006/relationships/image" Target="media/image16.wmf"/><Relationship Id="rId26" Type="http://schemas.openxmlformats.org/officeDocument/2006/relationships/image" Target="media/image15.wmf"/><Relationship Id="rId25" Type="http://schemas.openxmlformats.org/officeDocument/2006/relationships/image" Target="media/image14.wmf"/><Relationship Id="rId24" Type="http://schemas.openxmlformats.org/officeDocument/2006/relationships/image" Target="media/image13.png"/><Relationship Id="rId23" Type="http://schemas.openxmlformats.org/officeDocument/2006/relationships/image" Target="media/image12.wmf"/><Relationship Id="rId22" Type="http://schemas.openxmlformats.org/officeDocument/2006/relationships/image" Target="media/image11.wmf"/><Relationship Id="rId21" Type="http://schemas.openxmlformats.org/officeDocument/2006/relationships/image" Target="media/image10.wmf"/><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emf"/><Relationship Id="rId18" Type="http://schemas.openxmlformats.org/officeDocument/2006/relationships/oleObject" Target="embeddings/oleObject4.bin"/><Relationship Id="rId17" Type="http://schemas.openxmlformats.org/officeDocument/2006/relationships/image" Target="media/image7.wmf"/><Relationship Id="rId16" Type="http://schemas.openxmlformats.org/officeDocument/2006/relationships/oleObject" Target="embeddings/oleObject3.bin"/><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emf"/><Relationship Id="rId12" Type="http://schemas.openxmlformats.org/officeDocument/2006/relationships/oleObject" Target="embeddings/oleObject2.bin"/><Relationship Id="rId11" Type="http://schemas.openxmlformats.org/officeDocument/2006/relationships/image" Target="media/image3.emf"/><Relationship Id="rId10" Type="http://schemas.openxmlformats.org/officeDocument/2006/relationships/oleObject" Target="embeddings/oleObject1.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19607</Words>
  <Characters>20344</Characters>
  <Lines>0</Lines>
  <Paragraphs>0</Paragraphs>
  <TotalTime>4</TotalTime>
  <ScaleCrop>false</ScaleCrop>
  <LinksUpToDate>false</LinksUpToDate>
  <CharactersWithSpaces>20472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2022-05-27T05:58:00Z</dcterms:created>
  <dc:creator>Admin</dc:creator>
  <cp:lastModifiedBy>GUICW</cp:lastModifiedBy>
  <cp:lastPrinted>2023-03-21T06:02:00Z</cp:lastPrinted>
  <dcterms:modified xsi:type="dcterms:W3CDTF">2025-09-15T02:24:47Z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68D2BE8446B6406D955809E1DA513CA7_13</vt:lpwstr>
  </property>
  <property fmtid="{D5CDD505-2E9C-101B-9397-08002B2CF9AE}" pid="4" name="KSOTemplateDocerSaveRecord">
    <vt:lpwstr>eyJoZGlkIjoiOGJmNTM4MDQ5MjJhNmM2MmM3ODJkZDlkNzYyYWZjYjkiLCJ1c2VySWQiOiIyOTc1MTQzMDUifQ==</vt:lpwstr>
  </property>
</Properties>
</file>